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memorandum"/>
    <w:p>
      <w:pPr>
        <w:pStyle w:val="Heading1"/>
      </w:pPr>
      <w:r>
        <w:t xml:space="preserve">MEMORANDUM</w:t>
      </w:r>
    </w:p>
    <w:p>
      <w:pPr>
        <w:pStyle w:val="FirstParagraph"/>
      </w:pPr>
      <w:r>
        <w:rPr>
          <w:b/>
          <w:bCs/>
        </w:rPr>
        <w:t xml:space="preserve">PRIVILEGED &amp; CONFIDENTIAL — ATTORNEY WORK PRODUCT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File / Immigration Counsel — Daniel Okafor, Esq., Holloway Sterne LLP</w:t>
            </w:r>
          </w:p>
        </w:tc>
      </w:tr>
      <w:tr>
        <w:tc>
          <w:tcPr/>
          <w:p>
            <w:pPr>
              <w:pStyle w:val="Compact"/>
              <w:jc w:val="left"/>
            </w:pPr>
            <w:r>
              <w:rPr>
                <w:b/>
                <w:bCs/>
              </w:rPr>
              <w:t xml:space="preserve">FROM:</w:t>
            </w:r>
          </w:p>
        </w:tc>
        <w:tc>
          <w:tcPr/>
          <w:p>
            <w:pPr>
              <w:pStyle w:val="Compact"/>
              <w:jc w:val="left"/>
            </w:pPr>
            <w:r>
              <w:t xml:space="preserve">Petition Review</w:t>
            </w:r>
          </w:p>
        </w:tc>
      </w:tr>
      <w:tr>
        <w:tc>
          <w:tcPr/>
          <w:p>
            <w:pPr>
              <w:pStyle w:val="Compact"/>
              <w:jc w:val="left"/>
            </w:pPr>
            <w:r>
              <w:rPr>
                <w:b/>
                <w:bCs/>
              </w:rPr>
              <w:t xml:space="preserve">DATE:</w:t>
            </w:r>
          </w:p>
        </w:tc>
        <w:tc>
          <w:tcPr/>
          <w:p>
            <w:pPr>
              <w:pStyle w:val="Compact"/>
              <w:jc w:val="left"/>
            </w:pPr>
            <w:r>
              <w:t xml:space="preserve">April 10, 2025</w:t>
            </w:r>
          </w:p>
        </w:tc>
      </w:tr>
      <w:tr>
        <w:tc>
          <w:tcPr/>
          <w:p>
            <w:pPr>
              <w:pStyle w:val="Compact"/>
              <w:jc w:val="left"/>
            </w:pPr>
            <w:r>
              <w:rPr>
                <w:b/>
                <w:bCs/>
              </w:rPr>
              <w:t xml:space="preserve">RE:</w:t>
            </w:r>
          </w:p>
        </w:tc>
        <w:tc>
          <w:tcPr/>
          <w:p>
            <w:pPr>
              <w:pStyle w:val="Compact"/>
              <w:jc w:val="left"/>
            </w:pPr>
            <w:r>
              <w:t xml:space="preserve">Issue Identification — H-1B Petition on Behalf of Rajesh Venkataraman; Petitioner: Brightfield Analytics Inc.; Position: Senior Machine Learning Engineer (SOC 15-2051)</w:t>
            </w:r>
          </w:p>
        </w:tc>
      </w:tr>
    </w:tbl>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reports the issues identified during a cross-reference review of the H-1B petition package prepared on behalf of</w:t>
      </w:r>
      <w:r>
        <w:t xml:space="preserve"> </w:t>
      </w:r>
      <w:r>
        <w:rPr>
          <w:b/>
          <w:bCs/>
        </w:rPr>
        <w:t xml:space="preserve">Rajesh Venkataraman</w:t>
      </w:r>
      <w:r>
        <w:t xml:space="preserve"> </w:t>
      </w:r>
      <w:r>
        <w:t xml:space="preserve">(the</w:t>
      </w:r>
      <w:r>
        <w:t xml:space="preserve"> </w:t>
      </w:r>
      <w:r>
        <w:t xml:space="preserve">“</w:t>
      </w:r>
      <w:r>
        <w:t xml:space="preserve">Beneficiary</w:t>
      </w:r>
      <w:r>
        <w:t xml:space="preserve">”</w:t>
      </w:r>
      <w:r>
        <w:t xml:space="preserve">) for the position of</w:t>
      </w:r>
      <w:r>
        <w:t xml:space="preserve"> </w:t>
      </w:r>
      <w:r>
        <w:rPr>
          <w:b/>
          <w:bCs/>
        </w:rPr>
        <w:t xml:space="preserve">Senior Machine Learning Engineer</w:t>
      </w:r>
      <w:r>
        <w:t xml:space="preserve"> </w:t>
      </w:r>
      <w:r>
        <w:t xml:space="preserve">with</w:t>
      </w:r>
      <w:r>
        <w:t xml:space="preserve"> </w:t>
      </w:r>
      <w:r>
        <w:rPr>
          <w:b/>
          <w:bCs/>
        </w:rPr>
        <w:t xml:space="preserve">Brightfield Analytics Inc.</w:t>
      </w:r>
      <w:r>
        <w:t xml:space="preserve"> </w:t>
      </w:r>
      <w:r>
        <w:t xml:space="preserve">(the</w:t>
      </w:r>
      <w:r>
        <w:t xml:space="preserve"> </w:t>
      </w:r>
      <w:r>
        <w:t xml:space="preserve">“</w:t>
      </w:r>
      <w:r>
        <w:t xml:space="preserve">Petitioner</w:t>
      </w:r>
      <w:r>
        <w:t xml:space="preserve">”</w:t>
      </w:r>
      <w:r>
        <w:t xml:space="preserve">). The review covers the ten documents listed in Section II and cross-references each document against every other relevant document and against the governing H-1B statutory and regulatory requirements — INA §§ 101(a)(15)(H)(i)(b), 214(i); 8 CFR § 214.2(h)(4); and 20 CFR Part 655, Subparts H and I.</w:t>
      </w:r>
    </w:p>
    <w:p>
      <w:pPr>
        <w:pStyle w:val="BodyText"/>
      </w:pPr>
      <w:r>
        <w:t xml:space="preserve">Each issue below states (a) the precise identification grounded in a citation to the source record, (b) why it matters (the risk or consequence), and (c) a concrete recommendation. Issues are classified as</w:t>
      </w:r>
      <w:r>
        <w:t xml:space="preserve"> </w:t>
      </w:r>
      <w:r>
        <w:rPr>
          <w:b/>
          <w:bCs/>
        </w:rPr>
        <w:t xml:space="preserve">High</w:t>
      </w:r>
      <w:r>
        <w:t xml:space="preserve"> </w:t>
      </w:r>
      <w:r>
        <w:t xml:space="preserve">(potential denial, revocation, or material compliance violation),</w:t>
      </w:r>
      <w:r>
        <w:t xml:space="preserve"> </w:t>
      </w:r>
      <w:r>
        <w:rPr>
          <w:b/>
          <w:bCs/>
        </w:rPr>
        <w:t xml:space="preserve">Medium</w:t>
      </w:r>
      <w:r>
        <w:t xml:space="preserve"> </w:t>
      </w:r>
      <w:r>
        <w:t xml:space="preserve">(material inconsistency or compliance gap likely to generate an RFE), or</w:t>
      </w:r>
      <w:r>
        <w:t xml:space="preserve"> </w:t>
      </w:r>
      <w:r>
        <w:rPr>
          <w:b/>
          <w:bCs/>
        </w:rPr>
        <w:t xml:space="preserve">Low</w:t>
      </w:r>
      <w:r>
        <w:t xml:space="preserve"> </w:t>
      </w:r>
      <w:r>
        <w:t xml:space="preserve">(minor inconsistency or documentation item).</w:t>
      </w:r>
    </w:p>
    <w:bookmarkEnd w:id="20"/>
    <w:bookmarkStart w:id="21" w:name="ii.-documents-reviewed"/>
    <w:p>
      <w:pPr>
        <w:pStyle w:val="Heading2"/>
      </w:pPr>
      <w:r>
        <w:t xml:space="preserve">II. Documents Reviewed</w:t>
      </w:r>
    </w:p>
    <w:p>
      <w:pPr>
        <w:pStyle w:val="Compact"/>
        <w:numPr>
          <w:ilvl w:val="0"/>
          <w:numId w:val="1001"/>
        </w:numPr>
      </w:pPr>
      <w:r>
        <w:rPr>
          <w:b/>
          <w:bCs/>
        </w:rPr>
        <w:t xml:space="preserve">Beneficiary Resume</w:t>
      </w:r>
      <w:r>
        <w:t xml:space="preserve"> </w:t>
      </w:r>
      <w:r>
        <w:t xml:space="preserve">— Rajesh Venkataraman</w:t>
      </w:r>
    </w:p>
    <w:p>
      <w:pPr>
        <w:pStyle w:val="Compact"/>
        <w:numPr>
          <w:ilvl w:val="0"/>
          <w:numId w:val="1001"/>
        </w:numPr>
      </w:pPr>
      <w:r>
        <w:rPr>
          <w:b/>
          <w:bCs/>
        </w:rPr>
        <w:t xml:space="preserve">Certified Labor Condition Application</w:t>
      </w:r>
      <w:r>
        <w:t xml:space="preserve"> </w:t>
      </w:r>
      <w:r>
        <w:t xml:space="preserve">(ETA Form 9035/9035E), Case No. I-200-25031-543219</w:t>
      </w:r>
    </w:p>
    <w:p>
      <w:pPr>
        <w:pStyle w:val="Compact"/>
        <w:numPr>
          <w:ilvl w:val="0"/>
          <w:numId w:val="1001"/>
        </w:numPr>
      </w:pPr>
      <w:r>
        <w:rPr>
          <w:b/>
          <w:bCs/>
        </w:rPr>
        <w:t xml:space="preserve">Foreign Credential Evaluation Report</w:t>
      </w:r>
      <w:r>
        <w:t xml:space="preserve">, Westbridge Credential Services, Report No. WCS-2025-03187 (Feb. 18, 2025)</w:t>
      </w:r>
    </w:p>
    <w:p>
      <w:pPr>
        <w:pStyle w:val="Compact"/>
        <w:numPr>
          <w:ilvl w:val="0"/>
          <w:numId w:val="1001"/>
        </w:numPr>
      </w:pPr>
      <w:r>
        <w:rPr>
          <w:b/>
          <w:bCs/>
        </w:rPr>
        <w:t xml:space="preserve">Employer Support Letter</w:t>
      </w:r>
      <w:r>
        <w:t xml:space="preserve">, Brightfield Analytics Inc. (Apr. 7, 2025)</w:t>
      </w:r>
    </w:p>
    <w:p>
      <w:pPr>
        <w:pStyle w:val="Compact"/>
        <w:numPr>
          <w:ilvl w:val="0"/>
          <w:numId w:val="1001"/>
        </w:numPr>
      </w:pPr>
      <w:r>
        <w:rPr>
          <w:b/>
          <w:bCs/>
        </w:rPr>
        <w:t xml:space="preserve">JNTU Hyderabad Official Transcript</w:t>
      </w:r>
      <w:r>
        <w:t xml:space="preserve">, Ref. No. JNTUH/ECE/2014/08347</w:t>
      </w:r>
    </w:p>
    <w:p>
      <w:pPr>
        <w:pStyle w:val="Compact"/>
        <w:numPr>
          <w:ilvl w:val="0"/>
          <w:numId w:val="1001"/>
        </w:numPr>
      </w:pPr>
      <w:r>
        <w:rPr>
          <w:b/>
          <w:bCs/>
        </w:rPr>
        <w:t xml:space="preserve">Kiran Software Solutions Pvt. Ltd. Experience Letter</w:t>
      </w:r>
      <w:r>
        <w:t xml:space="preserve"> </w:t>
      </w:r>
      <w:r>
        <w:t xml:space="preserve">(Feb. 18, 2025)</w:t>
      </w:r>
    </w:p>
    <w:p>
      <w:pPr>
        <w:pStyle w:val="Compact"/>
        <w:numPr>
          <w:ilvl w:val="0"/>
          <w:numId w:val="1001"/>
        </w:numPr>
      </w:pPr>
      <w:r>
        <w:rPr>
          <w:b/>
          <w:bCs/>
        </w:rPr>
        <w:t xml:space="preserve">LCA Posting Notice</w:t>
      </w:r>
      <w:r>
        <w:t xml:space="preserve">, Brightfield Analytics Inc.</w:t>
      </w:r>
    </w:p>
    <w:p>
      <w:pPr>
        <w:pStyle w:val="Compact"/>
        <w:numPr>
          <w:ilvl w:val="0"/>
          <w:numId w:val="1001"/>
        </w:numPr>
      </w:pPr>
      <w:r>
        <w:rPr>
          <w:b/>
          <w:bCs/>
        </w:rPr>
        <w:t xml:space="preserve">NovaStar Data Systems LLC Experience Letter</w:t>
      </w:r>
      <w:r>
        <w:t xml:space="preserve"> </w:t>
      </w:r>
      <w:r>
        <w:t xml:space="preserve">(Mar. 5, 2025)</w:t>
      </w:r>
    </w:p>
    <w:p>
      <w:pPr>
        <w:pStyle w:val="Compact"/>
        <w:numPr>
          <w:ilvl w:val="0"/>
          <w:numId w:val="1001"/>
        </w:numPr>
      </w:pPr>
      <w:r>
        <w:rPr>
          <w:b/>
          <w:bCs/>
        </w:rPr>
        <w:t xml:space="preserve">Organizational Chart — Data Science &amp; Machine Learning Group</w:t>
      </w:r>
      <w:r>
        <w:t xml:space="preserve">, Brightfield Analytics Inc. (Mar. 2025)</w:t>
      </w:r>
    </w:p>
    <w:p>
      <w:pPr>
        <w:pStyle w:val="Compact"/>
        <w:numPr>
          <w:ilvl w:val="0"/>
          <w:numId w:val="1001"/>
        </w:numPr>
      </w:pPr>
      <w:r>
        <w:rPr>
          <w:b/>
          <w:bCs/>
        </w:rPr>
        <w:t xml:space="preserve">Prevailing Wage Determination</w:t>
      </w:r>
      <w:r>
        <w:t xml:space="preserve">, Case No. P-300-25012-183456 (Jan. 15, 2025)</w:t>
      </w:r>
    </w:p>
    <w:bookmarkEnd w:id="21"/>
    <w:bookmarkStart w:id="22" w:name="iii.-summary-of-issues"/>
    <w:p>
      <w:pPr>
        <w:pStyle w:val="Heading2"/>
      </w:pPr>
      <w:r>
        <w:t xml:space="preserve">III. Summary of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Documents in Tension</w:t>
            </w:r>
          </w:p>
        </w:tc>
      </w:tr>
      <w:tr>
        <w:tc>
          <w:tcPr/>
          <w:p>
            <w:pPr>
              <w:pStyle w:val="Compact"/>
              <w:jc w:val="left"/>
            </w:pPr>
            <w:r>
              <w:t xml:space="preserve">1</w:t>
            </w:r>
          </w:p>
        </w:tc>
        <w:tc>
          <w:tcPr/>
          <w:p>
            <w:pPr>
              <w:pStyle w:val="Compact"/>
              <w:jc w:val="left"/>
            </w:pPr>
            <w:r>
              <w:t xml:space="preserve">Prevailing wage level appears understated (Level 2) for a supervisory/independent-judgment position; offered wage below Level 3</w:t>
            </w:r>
          </w:p>
        </w:tc>
        <w:tc>
          <w:tcPr/>
          <w:p>
            <w:pPr>
              <w:pStyle w:val="Compact"/>
              <w:jc w:val="left"/>
            </w:pPr>
            <w:r>
              <w:t xml:space="preserve">High</w:t>
            </w:r>
          </w:p>
        </w:tc>
        <w:tc>
          <w:tcPr/>
          <w:p>
            <w:pPr>
              <w:pStyle w:val="Compact"/>
              <w:jc w:val="left"/>
            </w:pPr>
            <w:r>
              <w:t xml:space="preserve">PWD; LCA; Support Letter; Org Chart</w:t>
            </w:r>
          </w:p>
        </w:tc>
      </w:tr>
      <w:tr>
        <w:tc>
          <w:tcPr/>
          <w:p>
            <w:pPr>
              <w:pStyle w:val="Compact"/>
              <w:jc w:val="left"/>
            </w:pPr>
            <w:r>
              <w:t xml:space="preserve">2</w:t>
            </w:r>
          </w:p>
        </w:tc>
        <w:tc>
          <w:tcPr/>
          <w:p>
            <w:pPr>
              <w:pStyle w:val="Compact"/>
              <w:jc w:val="left"/>
            </w:pPr>
            <w:r>
              <w:t xml:space="preserve">Beneficiary’s degree field (ECE) does not match required major (CS/ML/AI or closely related); evaluation does not bridge the gap</w:t>
            </w:r>
          </w:p>
        </w:tc>
        <w:tc>
          <w:tcPr/>
          <w:p>
            <w:pPr>
              <w:pStyle w:val="Compact"/>
              <w:jc w:val="left"/>
            </w:pPr>
            <w:r>
              <w:t xml:space="preserve">High</w:t>
            </w:r>
          </w:p>
        </w:tc>
        <w:tc>
          <w:tcPr/>
          <w:p>
            <w:pPr>
              <w:pStyle w:val="Compact"/>
              <w:jc w:val="left"/>
            </w:pPr>
            <w:r>
              <w:t xml:space="preserve">Support Letter; LCA; Credential Eval.; Transcript</w:t>
            </w:r>
          </w:p>
        </w:tc>
      </w:tr>
      <w:tr>
        <w:tc>
          <w:tcPr/>
          <w:p>
            <w:pPr>
              <w:pStyle w:val="Compact"/>
              <w:jc w:val="left"/>
            </w:pPr>
            <w:r>
              <w:t xml:space="preserve">3</w:t>
            </w:r>
          </w:p>
        </w:tc>
        <w:tc>
          <w:tcPr/>
          <w:p>
            <w:pPr>
              <w:pStyle w:val="Compact"/>
              <w:jc w:val="left"/>
            </w:pPr>
            <w:r>
              <w:t xml:space="preserve">“</w:t>
            </w:r>
            <w:r>
              <w:t xml:space="preserve">Alternative qualification</w:t>
            </w:r>
            <w:r>
              <w:t xml:space="preserve">”</w:t>
            </w:r>
            <w:r>
              <w:t xml:space="preserve"> </w:t>
            </w:r>
            <w:r>
              <w:t xml:space="preserve">(any engineering degree + 5 yrs ML experience) is not a USCIS-recognized equivalency</w:t>
            </w:r>
          </w:p>
        </w:tc>
        <w:tc>
          <w:tcPr/>
          <w:p>
            <w:pPr>
              <w:pStyle w:val="Compact"/>
              <w:jc w:val="left"/>
            </w:pPr>
            <w:r>
              <w:t xml:space="preserve">High</w:t>
            </w:r>
          </w:p>
        </w:tc>
        <w:tc>
          <w:tcPr/>
          <w:p>
            <w:pPr>
              <w:pStyle w:val="Compact"/>
              <w:jc w:val="left"/>
            </w:pPr>
            <w:r>
              <w:t xml:space="preserve">Support Letter</w:t>
            </w:r>
          </w:p>
        </w:tc>
      </w:tr>
      <w:tr>
        <w:tc>
          <w:tcPr/>
          <w:p>
            <w:pPr>
              <w:pStyle w:val="Compact"/>
              <w:jc w:val="left"/>
            </w:pPr>
            <w:r>
              <w:t xml:space="preserve">4</w:t>
            </w:r>
          </w:p>
        </w:tc>
        <w:tc>
          <w:tcPr/>
          <w:p>
            <w:pPr>
              <w:pStyle w:val="Compact"/>
              <w:jc w:val="left"/>
            </w:pPr>
            <w:r>
              <w:t xml:space="preserve">Three years of independent ML consulting experience (Aug 2020–Aug 2023) is undocumented; needed for the 5-year alternative</w:t>
            </w:r>
          </w:p>
        </w:tc>
        <w:tc>
          <w:tcPr/>
          <w:p>
            <w:pPr>
              <w:pStyle w:val="Compact"/>
              <w:jc w:val="left"/>
            </w:pPr>
            <w:r>
              <w:t xml:space="preserve">High</w:t>
            </w:r>
          </w:p>
        </w:tc>
        <w:tc>
          <w:tcPr/>
          <w:p>
            <w:pPr>
              <w:pStyle w:val="Compact"/>
              <w:jc w:val="left"/>
            </w:pPr>
            <w:r>
              <w:t xml:space="preserve">Resume; Support Letter (no supporting letter)</w:t>
            </w:r>
          </w:p>
        </w:tc>
      </w:tr>
      <w:tr>
        <w:tc>
          <w:tcPr/>
          <w:p>
            <w:pPr>
              <w:pStyle w:val="Compact"/>
              <w:jc w:val="left"/>
            </w:pPr>
            <w:r>
              <w:t xml:space="preserve">5</w:t>
            </w:r>
          </w:p>
        </w:tc>
        <w:tc>
          <w:tcPr/>
          <w:p>
            <w:pPr>
              <w:pStyle w:val="Compact"/>
              <w:jc w:val="left"/>
            </w:pPr>
            <w:r>
              <w:t xml:space="preserve">Employment-date discrepancies (Kiran, NovaStar) between Resume and experience letters; unexplained ~4-month gap</w:t>
            </w:r>
          </w:p>
        </w:tc>
        <w:tc>
          <w:tcPr/>
          <w:p>
            <w:pPr>
              <w:pStyle w:val="Compact"/>
              <w:jc w:val="left"/>
            </w:pPr>
            <w:r>
              <w:t xml:space="preserve">Medium</w:t>
            </w:r>
          </w:p>
        </w:tc>
        <w:tc>
          <w:tcPr/>
          <w:p>
            <w:pPr>
              <w:pStyle w:val="Compact"/>
              <w:jc w:val="left"/>
            </w:pPr>
            <w:r>
              <w:t xml:space="preserve">Resume; Kiran Letter; NovaStar Letter; Support Letter</w:t>
            </w:r>
          </w:p>
        </w:tc>
      </w:tr>
      <w:tr>
        <w:tc>
          <w:tcPr/>
          <w:p>
            <w:pPr>
              <w:pStyle w:val="Compact"/>
              <w:jc w:val="left"/>
            </w:pPr>
            <w:r>
              <w:t xml:space="preserve">6</w:t>
            </w:r>
          </w:p>
        </w:tc>
        <w:tc>
          <w:tcPr/>
          <w:p>
            <w:pPr>
              <w:pStyle w:val="Compact"/>
              <w:jc w:val="left"/>
            </w:pPr>
            <w:r>
              <w:t xml:space="preserve">LCA posting period was 8 business days, short of the 10-consecutive-business-day requirement</w:t>
            </w:r>
          </w:p>
        </w:tc>
        <w:tc>
          <w:tcPr/>
          <w:p>
            <w:pPr>
              <w:pStyle w:val="Compact"/>
              <w:jc w:val="left"/>
            </w:pPr>
            <w:r>
              <w:t xml:space="preserve">Medium</w:t>
            </w:r>
          </w:p>
        </w:tc>
        <w:tc>
          <w:tcPr/>
          <w:p>
            <w:pPr>
              <w:pStyle w:val="Compact"/>
              <w:jc w:val="left"/>
            </w:pPr>
            <w:r>
              <w:t xml:space="preserve">LCA §J; Posting Notice</w:t>
            </w:r>
          </w:p>
        </w:tc>
      </w:tr>
      <w:tr>
        <w:tc>
          <w:tcPr/>
          <w:p>
            <w:pPr>
              <w:pStyle w:val="Compact"/>
              <w:jc w:val="left"/>
            </w:pPr>
            <w:r>
              <w:t xml:space="preserve">7</w:t>
            </w:r>
          </w:p>
        </w:tc>
        <w:tc>
          <w:tcPr/>
          <w:p>
            <w:pPr>
              <w:pStyle w:val="Compact"/>
              <w:jc w:val="left"/>
            </w:pPr>
            <w:r>
              <w:t xml:space="preserve">Number of direct reports inconsistent: Support Letter says 3; Org Chart shows 2</w:t>
            </w:r>
          </w:p>
        </w:tc>
        <w:tc>
          <w:tcPr/>
          <w:p>
            <w:pPr>
              <w:pStyle w:val="Compact"/>
              <w:jc w:val="left"/>
            </w:pPr>
            <w:r>
              <w:t xml:space="preserve">Medium</w:t>
            </w:r>
          </w:p>
        </w:tc>
        <w:tc>
          <w:tcPr/>
          <w:p>
            <w:pPr>
              <w:pStyle w:val="Compact"/>
              <w:jc w:val="left"/>
            </w:pPr>
            <w:r>
              <w:t xml:space="preserve">Support Letter; Org Chart</w:t>
            </w:r>
          </w:p>
        </w:tc>
      </w:tr>
      <w:tr>
        <w:tc>
          <w:tcPr/>
          <w:p>
            <w:pPr>
              <w:pStyle w:val="Compact"/>
              <w:jc w:val="left"/>
            </w:pPr>
            <w:r>
              <w:t xml:space="preserve">8</w:t>
            </w:r>
          </w:p>
        </w:tc>
        <w:tc>
          <w:tcPr/>
          <w:p>
            <w:pPr>
              <w:pStyle w:val="Compact"/>
              <w:jc w:val="left"/>
            </w:pPr>
            <w:r>
              <w:t xml:space="preserve">Four different employer telephone numbers across documents; Posting Notice lists the Beneficiary’s personal cell as employer contact</w:t>
            </w:r>
          </w:p>
        </w:tc>
        <w:tc>
          <w:tcPr/>
          <w:p>
            <w:pPr>
              <w:pStyle w:val="Compact"/>
              <w:jc w:val="left"/>
            </w:pPr>
            <w:r>
              <w:t xml:space="preserve">Medium</w:t>
            </w:r>
          </w:p>
        </w:tc>
        <w:tc>
          <w:tcPr/>
          <w:p>
            <w:pPr>
              <w:pStyle w:val="Compact"/>
              <w:jc w:val="left"/>
            </w:pPr>
            <w:r>
              <w:t xml:space="preserve">LCA; PWD; Support Letter; Posting Notice; Resume</w:t>
            </w:r>
          </w:p>
        </w:tc>
      </w:tr>
      <w:tr>
        <w:tc>
          <w:tcPr/>
          <w:p>
            <w:pPr>
              <w:pStyle w:val="Compact"/>
              <w:jc w:val="left"/>
            </w:pPr>
            <w:r>
              <w:t xml:space="preserve">9</w:t>
            </w:r>
          </w:p>
        </w:tc>
        <w:tc>
          <w:tcPr/>
          <w:p>
            <w:pPr>
              <w:pStyle w:val="Compact"/>
              <w:jc w:val="left"/>
            </w:pPr>
            <w:r>
              <w:t xml:space="preserve">Reporting-line discrepancy: Support Letter states permanent CTO reporting; Org Chart shows interim reporting pending VP hire (omitted from Support Letter)</w:t>
            </w:r>
          </w:p>
        </w:tc>
        <w:tc>
          <w:tcPr/>
          <w:p>
            <w:pPr>
              <w:pStyle w:val="Compact"/>
              <w:jc w:val="left"/>
            </w:pPr>
            <w:r>
              <w:t xml:space="preserve">Medium</w:t>
            </w:r>
          </w:p>
        </w:tc>
        <w:tc>
          <w:tcPr/>
          <w:p>
            <w:pPr>
              <w:pStyle w:val="Compact"/>
              <w:jc w:val="left"/>
            </w:pPr>
            <w:r>
              <w:t xml:space="preserve">Support Letter; Org Chart</w:t>
            </w:r>
          </w:p>
        </w:tc>
      </w:tr>
      <w:tr>
        <w:tc>
          <w:tcPr/>
          <w:p>
            <w:pPr>
              <w:pStyle w:val="Compact"/>
              <w:jc w:val="left"/>
            </w:pPr>
            <w:r>
              <w:t xml:space="preserve">10</w:t>
            </w:r>
          </w:p>
        </w:tc>
        <w:tc>
          <w:tcPr/>
          <w:p>
            <w:pPr>
              <w:pStyle w:val="Compact"/>
              <w:jc w:val="left"/>
            </w:pPr>
            <w:r>
              <w:t xml:space="preserve">Posting Notice references</w:t>
            </w:r>
            <w:r>
              <w:t xml:space="preserve"> </w:t>
            </w:r>
            <w:r>
              <w:t xml:space="preserve">“</w:t>
            </w:r>
            <w:r>
              <w:t xml:space="preserve">two conspicuous locations</w:t>
            </w:r>
            <w:r>
              <w:t xml:space="preserve">”</w:t>
            </w:r>
            <w:r>
              <w:t xml:space="preserve"> </w:t>
            </w:r>
            <w:r>
              <w:t xml:space="preserve">but only one is documented</w:t>
            </w:r>
          </w:p>
        </w:tc>
        <w:tc>
          <w:tcPr/>
          <w:p>
            <w:pPr>
              <w:pStyle w:val="Compact"/>
              <w:jc w:val="left"/>
            </w:pPr>
            <w:r>
              <w:t xml:space="preserve">Low</w:t>
            </w:r>
          </w:p>
        </w:tc>
        <w:tc>
          <w:tcPr/>
          <w:p>
            <w:pPr>
              <w:pStyle w:val="Compact"/>
              <w:jc w:val="left"/>
            </w:pPr>
            <w:r>
              <w:t xml:space="preserve">LCA §J.3; Posting Notice</w:t>
            </w:r>
          </w:p>
        </w:tc>
      </w:tr>
      <w:tr>
        <w:tc>
          <w:tcPr/>
          <w:p>
            <w:pPr>
              <w:pStyle w:val="Compact"/>
              <w:jc w:val="left"/>
            </w:pPr>
            <w:r>
              <w:t xml:space="preserve">11</w:t>
            </w:r>
          </w:p>
        </w:tc>
        <w:tc>
          <w:tcPr/>
          <w:p>
            <w:pPr>
              <w:pStyle w:val="Compact"/>
              <w:jc w:val="left"/>
            </w:pPr>
            <w:r>
              <w:t xml:space="preserve">Current Brightfield title (</w:t>
            </w:r>
            <w:r>
              <w:t xml:space="preserve">“</w:t>
            </w:r>
            <w:r>
              <w:t xml:space="preserve">Data Scientist</w:t>
            </w:r>
            <w:r>
              <w:t xml:space="preserve">”</w:t>
            </w:r>
            <w:r>
              <w:t xml:space="preserve">) vs. petitioned position (</w:t>
            </w:r>
            <w:r>
              <w:t xml:space="preserve">“</w:t>
            </w:r>
            <w:r>
              <w:t xml:space="preserve">Senior ML Engineer</w:t>
            </w:r>
            <w:r>
              <w:t xml:space="preserve">”</w:t>
            </w:r>
            <w:r>
              <w:t xml:space="preserve">) not reconciled</w:t>
            </w:r>
          </w:p>
        </w:tc>
        <w:tc>
          <w:tcPr/>
          <w:p>
            <w:pPr>
              <w:pStyle w:val="Compact"/>
              <w:jc w:val="left"/>
            </w:pPr>
            <w:r>
              <w:t xml:space="preserve">Low</w:t>
            </w:r>
          </w:p>
        </w:tc>
        <w:tc>
          <w:tcPr/>
          <w:p>
            <w:pPr>
              <w:pStyle w:val="Compact"/>
              <w:jc w:val="left"/>
            </w:pPr>
            <w:r>
              <w:t xml:space="preserve">Resume; Support Letter</w:t>
            </w:r>
          </w:p>
        </w:tc>
      </w:tr>
      <w:tr>
        <w:tc>
          <w:tcPr/>
          <w:p>
            <w:pPr>
              <w:pStyle w:val="Compact"/>
              <w:jc w:val="left"/>
            </w:pPr>
            <w:r>
              <w:t xml:space="preserve">12</w:t>
            </w:r>
          </w:p>
        </w:tc>
        <w:tc>
          <w:tcPr/>
          <w:p>
            <w:pPr>
              <w:pStyle w:val="Compact"/>
              <w:jc w:val="left"/>
            </w:pPr>
            <w:r>
              <w:t xml:space="preserve">Experience-years inconsistency: Resume</w:t>
            </w:r>
            <w:r>
              <w:t xml:space="preserve"> </w:t>
            </w:r>
            <w:r>
              <w:t xml:space="preserve">“</w:t>
            </w:r>
            <w:r>
              <w:t xml:space="preserve">7+ years</w:t>
            </w:r>
            <w:r>
              <w:t xml:space="preserve">”</w:t>
            </w:r>
            <w:r>
              <w:t xml:space="preserve"> </w:t>
            </w:r>
            <w:r>
              <w:t xml:space="preserve">vs. Support Letter</w:t>
            </w:r>
            <w:r>
              <w:t xml:space="preserve"> </w:t>
            </w:r>
            <w:r>
              <w:t xml:space="preserve">“</w:t>
            </w:r>
            <w:r>
              <w:t xml:space="preserve">over 8 years</w:t>
            </w:r>
            <w:r>
              <w:t xml:space="preserve">”</w:t>
            </w:r>
          </w:p>
        </w:tc>
        <w:tc>
          <w:tcPr/>
          <w:p>
            <w:pPr>
              <w:pStyle w:val="Compact"/>
              <w:jc w:val="left"/>
            </w:pPr>
            <w:r>
              <w:t xml:space="preserve">Low</w:t>
            </w:r>
          </w:p>
        </w:tc>
        <w:tc>
          <w:tcPr/>
          <w:p>
            <w:pPr>
              <w:pStyle w:val="Compact"/>
              <w:jc w:val="left"/>
            </w:pPr>
            <w:r>
              <w:t xml:space="preserve">Resume; Support Letter</w:t>
            </w:r>
          </w:p>
        </w:tc>
      </w:tr>
      <w:tr>
        <w:tc>
          <w:tcPr/>
          <w:p>
            <w:pPr>
              <w:pStyle w:val="Compact"/>
              <w:jc w:val="left"/>
            </w:pPr>
            <w:r>
              <w:t xml:space="preserve">13</w:t>
            </w:r>
          </w:p>
        </w:tc>
        <w:tc>
          <w:tcPr/>
          <w:p>
            <w:pPr>
              <w:pStyle w:val="Compact"/>
              <w:jc w:val="left"/>
            </w:pPr>
            <w:r>
              <w:t xml:space="preserve">NovaStar experience letter lacks specific day-level dates</w:t>
            </w:r>
          </w:p>
        </w:tc>
        <w:tc>
          <w:tcPr/>
          <w:p>
            <w:pPr>
              <w:pStyle w:val="Compact"/>
              <w:jc w:val="left"/>
            </w:pPr>
            <w:r>
              <w:t xml:space="preserve">Low</w:t>
            </w:r>
          </w:p>
        </w:tc>
        <w:tc>
          <w:tcPr/>
          <w:p>
            <w:pPr>
              <w:pStyle w:val="Compact"/>
              <w:jc w:val="left"/>
            </w:pPr>
            <w:r>
              <w:t xml:space="preserve">NovaStar Letter</w:t>
            </w:r>
          </w:p>
        </w:tc>
      </w:tr>
      <w:tr>
        <w:tc>
          <w:tcPr/>
          <w:p>
            <w:pPr>
              <w:pStyle w:val="Compact"/>
              <w:jc w:val="left"/>
            </w:pPr>
            <w:r>
              <w:t xml:space="preserve">14</w:t>
            </w:r>
          </w:p>
        </w:tc>
        <w:tc>
          <w:tcPr/>
          <w:p>
            <w:pPr>
              <w:pStyle w:val="Compact"/>
              <w:jc w:val="left"/>
            </w:pPr>
            <w:r>
              <w:t xml:space="preserve">Kiran experience is general software development, not ML;</w:t>
            </w:r>
            <w:r>
              <w:t xml:space="preserve"> </w:t>
            </w:r>
            <w:r>
              <w:t xml:space="preserve">“</w:t>
            </w:r>
            <w:r>
              <w:t xml:space="preserve">progressive ML experience</w:t>
            </w:r>
            <w:r>
              <w:t xml:space="preserve">”</w:t>
            </w:r>
            <w:r>
              <w:t xml:space="preserve"> </w:t>
            </w:r>
            <w:r>
              <w:t xml:space="preserve">characterization is loose</w:t>
            </w:r>
          </w:p>
        </w:tc>
        <w:tc>
          <w:tcPr/>
          <w:p>
            <w:pPr>
              <w:pStyle w:val="Compact"/>
              <w:jc w:val="left"/>
            </w:pPr>
            <w:r>
              <w:t xml:space="preserve">Low</w:t>
            </w:r>
          </w:p>
        </w:tc>
        <w:tc>
          <w:tcPr/>
          <w:p>
            <w:pPr>
              <w:pStyle w:val="Compact"/>
              <w:jc w:val="left"/>
            </w:pPr>
            <w:r>
              <w:t xml:space="preserve">Support Letter; Kiran Letter</w:t>
            </w:r>
          </w:p>
        </w:tc>
      </w:tr>
      <w:tr>
        <w:tc>
          <w:tcPr/>
          <w:p>
            <w:pPr>
              <w:pStyle w:val="Compact"/>
              <w:jc w:val="left"/>
            </w:pPr>
            <w:r>
              <w:t xml:space="preserve">15</w:t>
            </w:r>
          </w:p>
        </w:tc>
        <w:tc>
          <w:tcPr/>
          <w:p>
            <w:pPr>
              <w:pStyle w:val="Compact"/>
              <w:jc w:val="left"/>
            </w:pPr>
            <w:r>
              <w:t xml:space="preserve">Credential evaluation credit-hour characterization (~160) vs. transcript (184 total / 160 theory)</w:t>
            </w:r>
          </w:p>
        </w:tc>
        <w:tc>
          <w:tcPr/>
          <w:p>
            <w:pPr>
              <w:pStyle w:val="Compact"/>
              <w:jc w:val="left"/>
            </w:pPr>
            <w:r>
              <w:t xml:space="preserve">Low</w:t>
            </w:r>
          </w:p>
        </w:tc>
        <w:tc>
          <w:tcPr/>
          <w:p>
            <w:pPr>
              <w:pStyle w:val="Compact"/>
              <w:jc w:val="left"/>
            </w:pPr>
            <w:r>
              <w:t xml:space="preserve">Credential Eval.; Transcript</w:t>
            </w:r>
          </w:p>
        </w:tc>
      </w:tr>
      <w:tr>
        <w:tc>
          <w:tcPr/>
          <w:p>
            <w:pPr>
              <w:pStyle w:val="Compact"/>
              <w:jc w:val="left"/>
            </w:pPr>
            <w:r>
              <w:t xml:space="preserve">16</w:t>
            </w:r>
          </w:p>
        </w:tc>
        <w:tc>
          <w:tcPr/>
          <w:p>
            <w:pPr>
              <w:pStyle w:val="Compact"/>
              <w:jc w:val="left"/>
            </w:pPr>
            <w:r>
              <w:t xml:space="preserve">Evaluator’s doctoral institution (</w:t>
            </w:r>
            <w:r>
              <w:t xml:space="preserve">“</w:t>
            </w:r>
            <w:r>
              <w:t xml:space="preserve">Halford University</w:t>
            </w:r>
            <w:r>
              <w:t xml:space="preserve">”</w:t>
            </w:r>
            <w:r>
              <w:t xml:space="preserve">) should be verified as accredited</w:t>
            </w:r>
          </w:p>
        </w:tc>
        <w:tc>
          <w:tcPr/>
          <w:p>
            <w:pPr>
              <w:pStyle w:val="Compact"/>
              <w:jc w:val="left"/>
            </w:pPr>
            <w:r>
              <w:t xml:space="preserve">Low</w:t>
            </w:r>
          </w:p>
        </w:tc>
        <w:tc>
          <w:tcPr/>
          <w:p>
            <w:pPr>
              <w:pStyle w:val="Compact"/>
              <w:jc w:val="left"/>
            </w:pPr>
            <w:r>
              <w:t xml:space="preserve">Credential Eval.</w:t>
            </w:r>
          </w:p>
        </w:tc>
      </w:tr>
      <w:tr>
        <w:tc>
          <w:tcPr/>
          <w:p>
            <w:pPr>
              <w:pStyle w:val="Compact"/>
              <w:jc w:val="left"/>
            </w:pPr>
            <w:r>
              <w:t xml:space="preserve">17</w:t>
            </w:r>
          </w:p>
        </w:tc>
        <w:tc>
          <w:tcPr/>
          <w:p>
            <w:pPr>
              <w:pStyle w:val="Compact"/>
              <w:jc w:val="left"/>
            </w:pPr>
            <w:r>
              <w:t xml:space="preserve">Financial ability to pay supported only by gross revenue; no tax returns/net income provided</w:t>
            </w:r>
          </w:p>
        </w:tc>
        <w:tc>
          <w:tcPr/>
          <w:p>
            <w:pPr>
              <w:pStyle w:val="Compact"/>
              <w:jc w:val="left"/>
            </w:pPr>
            <w:r>
              <w:t xml:space="preserve">Low</w:t>
            </w:r>
          </w:p>
        </w:tc>
        <w:tc>
          <w:tcPr/>
          <w:p>
            <w:pPr>
              <w:pStyle w:val="Compact"/>
              <w:jc w:val="left"/>
            </w:pPr>
            <w:r>
              <w:t xml:space="preserve">Support Letter</w:t>
            </w:r>
          </w:p>
        </w:tc>
      </w:tr>
      <w:tr>
        <w:tc>
          <w:tcPr/>
          <w:p>
            <w:pPr>
              <w:pStyle w:val="Compact"/>
              <w:jc w:val="left"/>
            </w:pPr>
            <w:r>
              <w:t xml:space="preserve">18</w:t>
            </w:r>
          </w:p>
        </w:tc>
        <w:tc>
          <w:tcPr/>
          <w:p>
            <w:pPr>
              <w:pStyle w:val="Compact"/>
              <w:jc w:val="left"/>
            </w:pPr>
            <w:r>
              <w:t xml:space="preserve">Beneficiary status/filing documents (I-20, EAD, cap-gap, registration selection, Form I-129) not in package</w:t>
            </w:r>
          </w:p>
        </w:tc>
        <w:tc>
          <w:tcPr/>
          <w:p>
            <w:pPr>
              <w:pStyle w:val="Compact"/>
              <w:jc w:val="left"/>
            </w:pPr>
            <w:r>
              <w:t xml:space="preserve">Low</w:t>
            </w:r>
          </w:p>
        </w:tc>
        <w:tc>
          <w:tcPr/>
          <w:p>
            <w:pPr>
              <w:pStyle w:val="Compact"/>
              <w:jc w:val="left"/>
            </w:pPr>
            <w:r>
              <w:t xml:space="preserve">Support Letter (package)</w:t>
            </w:r>
          </w:p>
        </w:tc>
      </w:tr>
      <w:tr>
        <w:tc>
          <w:tcPr/>
          <w:p>
            <w:pPr>
              <w:pStyle w:val="Compact"/>
              <w:jc w:val="left"/>
            </w:pPr>
            <w:r>
              <w:t xml:space="preserve">19</w:t>
            </w:r>
          </w:p>
        </w:tc>
        <w:tc>
          <w:tcPr/>
          <w:p>
            <w:pPr>
              <w:pStyle w:val="Compact"/>
              <w:jc w:val="left"/>
            </w:pPr>
            <w:r>
              <w:t xml:space="preserve">SOC 15-2051 (Data Scientists) vs. </w:t>
            </w:r>
            <w:r>
              <w:t xml:space="preserve">“</w:t>
            </w:r>
            <w:r>
              <w:t xml:space="preserve">Machine Learning Engineer</w:t>
            </w:r>
            <w:r>
              <w:t xml:space="preserve">”</w:t>
            </w:r>
            <w:r>
              <w:t xml:space="preserve"> </w:t>
            </w:r>
            <w:r>
              <w:t xml:space="preserve">title and engineering/infrastructure duties</w:t>
            </w:r>
          </w:p>
        </w:tc>
        <w:tc>
          <w:tcPr/>
          <w:p>
            <w:pPr>
              <w:pStyle w:val="Compact"/>
              <w:jc w:val="left"/>
            </w:pPr>
            <w:r>
              <w:t xml:space="preserve">Low</w:t>
            </w:r>
          </w:p>
        </w:tc>
        <w:tc>
          <w:tcPr/>
          <w:p>
            <w:pPr>
              <w:pStyle w:val="Compact"/>
              <w:jc w:val="left"/>
            </w:pPr>
            <w:r>
              <w:t xml:space="preserve">LCA; PWD; Support Letter</w:t>
            </w:r>
          </w:p>
        </w:tc>
      </w:tr>
      <w:tr>
        <w:tc>
          <w:tcPr/>
          <w:p>
            <w:pPr>
              <w:pStyle w:val="Compact"/>
              <w:jc w:val="left"/>
            </w:pPr>
            <w:r>
              <w:t xml:space="preserve">20</w:t>
            </w:r>
          </w:p>
        </w:tc>
        <w:tc>
          <w:tcPr/>
          <w:p>
            <w:pPr>
              <w:pStyle w:val="Compact"/>
              <w:jc w:val="left"/>
            </w:pPr>
            <w:r>
              <w:t xml:space="preserve">Org Chart</w:t>
            </w:r>
            <w:r>
              <w:t xml:space="preserve"> </w:t>
            </w:r>
            <w:r>
              <w:t xml:space="preserve">“</w:t>
            </w:r>
            <w:r>
              <w:t xml:space="preserve">Effective as of March 2025</w:t>
            </w:r>
            <w:r>
              <w:t xml:space="preserve">”</w:t>
            </w:r>
            <w:r>
              <w:t xml:space="preserve"> </w:t>
            </w:r>
            <w:r>
              <w:t xml:space="preserve">while petitioned position starts October 1, 2025</w:t>
            </w:r>
          </w:p>
        </w:tc>
        <w:tc>
          <w:tcPr/>
          <w:p>
            <w:pPr>
              <w:pStyle w:val="Compact"/>
              <w:jc w:val="left"/>
            </w:pPr>
            <w:r>
              <w:t xml:space="preserve">Low</w:t>
            </w:r>
          </w:p>
        </w:tc>
        <w:tc>
          <w:tcPr/>
          <w:p>
            <w:pPr>
              <w:pStyle w:val="Compact"/>
              <w:jc w:val="left"/>
            </w:pPr>
            <w:r>
              <w:t xml:space="preserve">Org Chart; Support Letter</w:t>
            </w:r>
          </w:p>
        </w:tc>
      </w:tr>
      <w:tr>
        <w:tc>
          <w:tcPr/>
          <w:p>
            <w:pPr>
              <w:pStyle w:val="Compact"/>
              <w:jc w:val="left"/>
            </w:pPr>
            <w:r>
              <w:t xml:space="preserve">21</w:t>
            </w:r>
          </w:p>
        </w:tc>
        <w:tc>
          <w:tcPr/>
          <w:p>
            <w:pPr>
              <w:pStyle w:val="Compact"/>
              <w:jc w:val="left"/>
            </w:pPr>
            <w:r>
              <w:t xml:space="preserve">NovaStar experience letter appears unsigned (blank signature line); confirm original signatures on LCA, Support Letter, and experience letters</w:t>
            </w:r>
          </w:p>
        </w:tc>
        <w:tc>
          <w:tcPr/>
          <w:p>
            <w:pPr>
              <w:pStyle w:val="Compact"/>
              <w:jc w:val="left"/>
            </w:pPr>
            <w:r>
              <w:t xml:space="preserve">Low</w:t>
            </w:r>
          </w:p>
        </w:tc>
        <w:tc>
          <w:tcPr/>
          <w:p>
            <w:pPr>
              <w:pStyle w:val="Compact"/>
              <w:jc w:val="left"/>
            </w:pPr>
            <w:r>
              <w:t xml:space="preserve">NovaStar Letter; LCA §L.2; Support Letter</w:t>
            </w:r>
          </w:p>
        </w:tc>
      </w:tr>
    </w:tbl>
    <w:bookmarkEnd w:id="22"/>
    <w:bookmarkStart w:id="47" w:name="iv.-detailed-issue-analysis"/>
    <w:p>
      <w:pPr>
        <w:pStyle w:val="Heading2"/>
      </w:pPr>
      <w:r>
        <w:t xml:space="preserve">IV. Detailed Issue Analysis</w:t>
      </w:r>
    </w:p>
    <w:bookmarkStart w:id="27" w:name="a.-high-severity-issues"/>
    <w:p>
      <w:pPr>
        <w:pStyle w:val="Heading3"/>
      </w:pPr>
      <w:r>
        <w:t xml:space="preserve">A. High-Severity Issues</w:t>
      </w:r>
    </w:p>
    <w:bookmarkStart w:id="23" w:name="X03eb20692fae469ad78ee70e58df0da2da09d66"/>
    <w:p>
      <w:pPr>
        <w:pStyle w:val="Heading4"/>
      </w:pPr>
      <w:r>
        <w:t xml:space="preserve">Issue 1 — Prevailing wage level appears understated (Level 2) for a position with supervisory duties and independent judgment; offered wage falls below Level 3.</w:t>
      </w:r>
    </w:p>
    <w:p>
      <w:pPr>
        <w:pStyle w:val="FirstParagraph"/>
      </w:pPr>
      <w:r>
        <w:rPr>
          <w:b/>
          <w:bCs/>
        </w:rPr>
        <w:t xml:space="preserve">Identification.</w:t>
      </w:r>
      <w:r>
        <w:t xml:space="preserve"> </w:t>
      </w:r>
      <w:r>
        <w:t xml:space="preserve">The PWD (Case No. P-300-25012-183456, §4) and the certified LCA (§F.4) classify the position at</w:t>
      </w:r>
      <w:r>
        <w:t xml:space="preserve"> </w:t>
      </w:r>
      <w:r>
        <w:rPr>
          <w:b/>
          <w:bCs/>
        </w:rPr>
        <w:t xml:space="preserve">Wage Level 2</w:t>
      </w:r>
      <w:r>
        <w:t xml:space="preserve"> </w:t>
      </w:r>
      <w:r>
        <w:t xml:space="preserve">($113,734). The offered wage is</w:t>
      </w:r>
      <w:r>
        <w:t xml:space="preserve"> </w:t>
      </w:r>
      <w:r>
        <w:rPr>
          <w:b/>
          <w:bCs/>
        </w:rPr>
        <w:t xml:space="preserve">$128,000</w:t>
      </w:r>
      <w:r>
        <w:t xml:space="preserve"> </w:t>
      </w:r>
      <w:r>
        <w:t xml:space="preserve">(LCA §F.1; Support Letter §2, §5; Posting Notice). The position’s duties, however, include</w:t>
      </w:r>
      <w:r>
        <w:t xml:space="preserve"> </w:t>
      </w:r>
      <w:r>
        <w:t xml:space="preserve">“</w:t>
      </w:r>
      <w:r>
        <w:t xml:space="preserve">lead and mentor a team of [3] junior data scientists</w:t>
      </w:r>
      <w:r>
        <w:t xml:space="preserve">”</w:t>
      </w:r>
      <w:r>
        <w:t xml:space="preserve"> </w:t>
      </w:r>
      <w:r>
        <w:t xml:space="preserve">(Support Letter §2, duty 4; LCA §G.5; PWD §3 job-duties summary) and the Beneficiary</w:t>
      </w:r>
      <w:r>
        <w:t xml:space="preserve"> </w:t>
      </w:r>
      <w:r>
        <w:t xml:space="preserve">“</w:t>
      </w:r>
      <w:r>
        <w:t xml:space="preserve">exercises independent judgment in the design and implementation of machine learning solutions</w:t>
      </w:r>
      <w:r>
        <w:t xml:space="preserve">”</w:t>
      </w:r>
      <w:r>
        <w:t xml:space="preserve"> </w:t>
      </w:r>
      <w:r>
        <w:t xml:space="preserve">(Support Letter §2). The wage-level definitions printed on the face of the PWD describe</w:t>
      </w:r>
      <w:r>
        <w:t xml:space="preserve"> </w:t>
      </w:r>
      <w:r>
        <w:rPr>
          <w:b/>
          <w:bCs/>
        </w:rPr>
        <w:t xml:space="preserve">Level 2</w:t>
      </w:r>
      <w:r>
        <w:t xml:space="preserve"> </w:t>
      </w:r>
      <w:r>
        <w:t xml:space="preserve">as workers who</w:t>
      </w:r>
      <w:r>
        <w:t xml:space="preserve"> </w:t>
      </w:r>
      <w:r>
        <w:t xml:space="preserve">“</w:t>
      </w:r>
      <w:r>
        <w:t xml:space="preserve">perform moderately complex tasks requiring limited judgment,</w:t>
      </w:r>
      <w:r>
        <w:t xml:space="preserve">”</w:t>
      </w:r>
      <w:r>
        <w:t xml:space="preserve"> </w:t>
      </w:r>
      <w:r>
        <w:rPr>
          <w:b/>
          <w:bCs/>
        </w:rPr>
        <w:t xml:space="preserve">Level 3</w:t>
      </w:r>
      <w:r>
        <w:t xml:space="preserve"> </w:t>
      </w:r>
      <w:r>
        <w:t xml:space="preserve">as workers who</w:t>
      </w:r>
      <w:r>
        <w:t xml:space="preserve"> </w:t>
      </w:r>
      <w:r>
        <w:t xml:space="preserve">“</w:t>
      </w:r>
      <w:r>
        <w:t xml:space="preserve">may exercise independent judgment, and may have supervisory responsibilities,</w:t>
      </w:r>
      <w:r>
        <w:t xml:space="preserve">”</w:t>
      </w:r>
      <w:r>
        <w:t xml:space="preserve"> </w:t>
      </w:r>
      <w:r>
        <w:t xml:space="preserve">and</w:t>
      </w:r>
      <w:r>
        <w:t xml:space="preserve"> </w:t>
      </w:r>
      <w:r>
        <w:rPr>
          <w:b/>
          <w:bCs/>
        </w:rPr>
        <w:t xml:space="preserve">Level 4</w:t>
      </w:r>
      <w:r>
        <w:t xml:space="preserve"> </w:t>
      </w:r>
      <w:r>
        <w:t xml:space="preserve">as workers who</w:t>
      </w:r>
      <w:r>
        <w:t xml:space="preserve"> </w:t>
      </w:r>
      <w:r>
        <w:t xml:space="preserve">“</w:t>
      </w:r>
      <w:r>
        <w:t xml:space="preserve">supervise and train other workers</w:t>
      </w:r>
      <w:r>
        <w:t xml:space="preserve">”</w:t>
      </w:r>
      <w:r>
        <w:t xml:space="preserve"> </w:t>
      </w:r>
      <w:r>
        <w:t xml:space="preserve">and</w:t>
      </w:r>
      <w:r>
        <w:t xml:space="preserve"> </w:t>
      </w:r>
      <w:r>
        <w:t xml:space="preserve">“</w:t>
      </w:r>
      <w:r>
        <w:t xml:space="preserve">exercise broad latitude.</w:t>
      </w:r>
      <w:r>
        <w:t xml:space="preserve">”</w:t>
      </w:r>
    </w:p>
    <w:p>
      <w:pPr>
        <w:pStyle w:val="BodyText"/>
      </w:pPr>
      <w:r>
        <w:rPr>
          <w:b/>
          <w:bCs/>
        </w:rPr>
        <w:t xml:space="preserve">Why it matters.</w:t>
      </w:r>
      <w:r>
        <w:t xml:space="preserve"> </w:t>
      </w:r>
      <w:r>
        <w:t xml:space="preserve">The described duties — team leadership/mentoring, independent judgment, a</w:t>
      </w:r>
      <w:r>
        <w:t xml:space="preserve"> </w:t>
      </w:r>
      <w:r>
        <w:t xml:space="preserve">“</w:t>
      </w:r>
      <w:r>
        <w:t xml:space="preserve">Senior</w:t>
      </w:r>
      <w:r>
        <w:t xml:space="preserve">”</w:t>
      </w:r>
      <w:r>
        <w:t xml:space="preserve"> </w:t>
      </w:r>
      <w:r>
        <w:t xml:space="preserve">title, and direct reporting to the CTO — map to</w:t>
      </w:r>
      <w:r>
        <w:t xml:space="preserve"> </w:t>
      </w:r>
      <w:r>
        <w:rPr>
          <w:b/>
          <w:bCs/>
        </w:rPr>
        <w:t xml:space="preserve">Level 3</w:t>
      </w:r>
      <w:r>
        <w:t xml:space="preserve">, and arguably</w:t>
      </w:r>
      <w:r>
        <w:t xml:space="preserve"> </w:t>
      </w:r>
      <w:r>
        <w:rPr>
          <w:b/>
          <w:bCs/>
        </w:rPr>
        <w:t xml:space="preserve">Level 4</w:t>
      </w:r>
      <w:r>
        <w:t xml:space="preserve"> </w:t>
      </w:r>
      <w:r>
        <w:t xml:space="preserve">(</w:t>
      </w:r>
      <w:r>
        <w:t xml:space="preserve">“</w:t>
      </w:r>
      <w:r>
        <w:t xml:space="preserve">supervise and train</w:t>
      </w:r>
      <w:r>
        <w:t xml:space="preserve">”</w:t>
      </w:r>
      <w:r>
        <w:t xml:space="preserve">). The offered wage of $128,000 exceeds the Level 2 prevailing wage ($113,734) but is</w:t>
      </w:r>
      <w:r>
        <w:t xml:space="preserve"> </w:t>
      </w:r>
      <w:r>
        <w:rPr>
          <w:b/>
          <w:bCs/>
        </w:rPr>
        <w:t xml:space="preserve">below the Level 3 prevailing wage ($137,946)</w:t>
      </w:r>
      <w:r>
        <w:t xml:space="preserve"> </w:t>
      </w:r>
      <w:r>
        <w:t xml:space="preserve">by approximately $9,946/year (and well below Level 4’s $162,157). If DOL (on audit) or another reviewing authority determines the correct level is Level 3, the LCA wage attestation (§K.1) would be unsatisfied, exposing the Petitioner to back-wage liability and undermining the petition. The internal inconsistency between the supervisory job description and the Level 2 classification is itself a red flag.</w:t>
      </w:r>
    </w:p>
    <w:p>
      <w:pPr>
        <w:pStyle w:val="BodyText"/>
      </w:pPr>
      <w:r>
        <w:rPr>
          <w:b/>
          <w:bCs/>
        </w:rPr>
        <w:t xml:space="preserve">Recommendation.</w:t>
      </w:r>
      <w:r>
        <w:t xml:space="preserve"> </w:t>
      </w:r>
      <w:r>
        <w:t xml:space="preserve">Either (a)</w:t>
      </w:r>
      <w:r>
        <w:t xml:space="preserve"> </w:t>
      </w:r>
      <w:r>
        <w:rPr>
          <w:b/>
          <w:bCs/>
        </w:rPr>
        <w:t xml:space="preserve">increase the offered wage to at least $137,946 (Level 3)</w:t>
      </w:r>
      <w:r>
        <w:t xml:space="preserve"> </w:t>
      </w:r>
      <w:r>
        <w:t xml:space="preserve">to cover the most likely correct level; (b)</w:t>
      </w:r>
      <w:r>
        <w:t xml:space="preserve"> </w:t>
      </w:r>
      <w:r>
        <w:rPr>
          <w:b/>
          <w:bCs/>
        </w:rPr>
        <w:t xml:space="preserve">revise the job description</w:t>
      </w:r>
      <w:r>
        <w:t xml:space="preserve"> </w:t>
      </w:r>
      <w:r>
        <w:t xml:space="preserve">to remove supervisory/mentoring and independent-judgment language so the duties genuinely support Level 2 (and obtain a conforming PWD/LCA); or (c)</w:t>
      </w:r>
      <w:r>
        <w:t xml:space="preserve"> </w:t>
      </w:r>
      <w:r>
        <w:rPr>
          <w:b/>
          <w:bCs/>
        </w:rPr>
        <w:t xml:space="preserve">request a new PWD at Level 3</w:t>
      </w:r>
      <w:r>
        <w:t xml:space="preserve"> </w:t>
      </w:r>
      <w:r>
        <w:t xml:space="preserve">and file a new LCA. Given the</w:t>
      </w:r>
      <w:r>
        <w:t xml:space="preserve"> </w:t>
      </w:r>
      <w:r>
        <w:t xml:space="preserve">“</w:t>
      </w:r>
      <w:r>
        <w:t xml:space="preserve">Senior</w:t>
      </w:r>
      <w:r>
        <w:t xml:space="preserve">”</w:t>
      </w:r>
      <w:r>
        <w:t xml:space="preserve"> </w:t>
      </w:r>
      <w:r>
        <w:t xml:space="preserve">title and team-lead duties, option (a) is the safest. Separately, confirm the</w:t>
      </w:r>
      <w:r>
        <w:t xml:space="preserve"> </w:t>
      </w:r>
      <w:r>
        <w:t xml:space="preserve">“</w:t>
      </w:r>
      <w:r>
        <w:t xml:space="preserve">actual wage</w:t>
      </w:r>
      <w:r>
        <w:t xml:space="preserve">”</w:t>
      </w:r>
      <w:r>
        <w:t xml:space="preserve"> </w:t>
      </w:r>
      <w:r>
        <w:t xml:space="preserve">paid to any similarly situated Senior ML Engineers is not above $128,000, as the LCA requires payment of the higher of the prevailing or actual wage.</w:t>
      </w:r>
    </w:p>
    <w:bookmarkEnd w:id="23"/>
    <w:bookmarkStart w:id="24" w:name="Xd8b60fc21336b3a35d0eb4a81126146bc356326"/>
    <w:p>
      <w:pPr>
        <w:pStyle w:val="Heading4"/>
      </w:pPr>
      <w:r>
        <w:t xml:space="preserve">Issue 2 — Beneficiary’s degree field (Electronics &amp; Communication Engineering) does not match the required major field of study (CS/ML/AI or closely related); the credential evaluation does not bridge the gap.</w:t>
      </w:r>
    </w:p>
    <w:p>
      <w:pPr>
        <w:pStyle w:val="FirstParagraph"/>
      </w:pPr>
      <w:r>
        <w:rPr>
          <w:b/>
          <w:bCs/>
        </w:rPr>
        <w:t xml:space="preserve">Identification.</w:t>
      </w:r>
      <w:r>
        <w:t xml:space="preserve"> </w:t>
      </w:r>
      <w:r>
        <w:t xml:space="preserve">The position requires a bachelor’s degree in</w:t>
      </w:r>
      <w:r>
        <w:t xml:space="preserve"> </w:t>
      </w:r>
      <w:r>
        <w:t xml:space="preserve">“</w:t>
      </w:r>
      <w:r>
        <w:t xml:space="preserve">Computer Science, Machine Learning, Artificial Intelligence, or a closely related field</w:t>
      </w:r>
      <w:r>
        <w:t xml:space="preserve">”</w:t>
      </w:r>
      <w:r>
        <w:t xml:space="preserve"> </w:t>
      </w:r>
      <w:r>
        <w:t xml:space="preserve">(Support Letter §3; LCA §G.7). The Beneficiary holds a</w:t>
      </w:r>
      <w:r>
        <w:t xml:space="preserve"> </w:t>
      </w:r>
      <w:r>
        <w:rPr>
          <w:b/>
          <w:bCs/>
        </w:rPr>
        <w:t xml:space="preserve">B.Tech in Electronics and Communication Engineering (ECE)</w:t>
      </w:r>
      <w:r>
        <w:t xml:space="preserve"> </w:t>
      </w:r>
      <w:r>
        <w:t xml:space="preserve">from JNTU Hyderabad (Transcript; Credential Evaluation §1). The Credential Evaluation (§5) opines only that the degree is equivalent to a</w:t>
      </w:r>
      <w:r>
        <w:t xml:space="preserve"> </w:t>
      </w:r>
      <w:r>
        <w:t xml:space="preserve">“</w:t>
      </w:r>
      <w:r>
        <w:t xml:space="preserve">Bachelor of Science (B.S.) in</w:t>
      </w:r>
      <w:r>
        <w:t xml:space="preserve"> </w:t>
      </w:r>
      <w:r>
        <w:rPr>
          <w:b/>
          <w:bCs/>
        </w:rPr>
        <w:t xml:space="preserve">Electronics and Communication Engineering</w:t>
      </w:r>
      <w:r>
        <w:t xml:space="preserve">”</w:t>
      </w:r>
      <w:r>
        <w:t xml:space="preserve"> </w:t>
      </w:r>
      <w:r>
        <w:t xml:space="preserve">— i.e., it equates the degree to a U.S.</w:t>
      </w:r>
      <w:r>
        <w:t xml:space="preserve"> </w:t>
      </w:r>
      <w:r>
        <w:rPr>
          <w:b/>
          <w:bCs/>
        </w:rPr>
        <w:t xml:space="preserve">ECE</w:t>
      </w:r>
      <w:r>
        <w:t xml:space="preserve"> </w:t>
      </w:r>
      <w:r>
        <w:t xml:space="preserve">degree, not to a CS/ML/AI degree. The evaluation further states (§4) that</w:t>
      </w:r>
      <w:r>
        <w:t xml:space="preserve"> </w:t>
      </w:r>
      <w:r>
        <w:t xml:space="preserve">“</w:t>
      </w:r>
      <w:r>
        <w:t xml:space="preserve">computer science and information technology-related coursework constitutes approximately 12 credit hours out of the total approximately 160 credit hours … approximately 7.5% of the overall curriculum,</w:t>
      </w:r>
      <w:r>
        <w:t xml:space="preserve">”</w:t>
      </w:r>
      <w:r>
        <w:t xml:space="preserve"> </w:t>
      </w:r>
      <w:r>
        <w:t xml:space="preserve">and</w:t>
      </w:r>
      <w:r>
        <w:t xml:space="preserve"> </w:t>
      </w:r>
      <w:r>
        <w:rPr>
          <w:b/>
          <w:bCs/>
        </w:rPr>
        <w:t xml:space="preserve">expressly disclaims</w:t>
      </w:r>
      <w:r>
        <w:t xml:space="preserve"> </w:t>
      </w:r>
      <w:r>
        <w:t xml:space="preserve">(§7) that</w:t>
      </w:r>
      <w:r>
        <w:t xml:space="preserve"> </w:t>
      </w:r>
      <w:r>
        <w:t xml:space="preserve">“</w:t>
      </w:r>
      <w:r>
        <w:t xml:space="preserve">[t]his evaluation does not opine on whether the applicant’s field of study satisfies the requirements of any particular position or petition.</w:t>
      </w:r>
      <w:r>
        <w:t xml:space="preserve">”</w:t>
      </w:r>
    </w:p>
    <w:p>
      <w:pPr>
        <w:pStyle w:val="BodyText"/>
      </w:pPr>
      <w:r>
        <w:rPr>
          <w:b/>
          <w:bCs/>
        </w:rPr>
        <w:t xml:space="preserve">Why it matters.</w:t>
      </w:r>
      <w:r>
        <w:t xml:space="preserve"> </w:t>
      </w:r>
      <w:r>
        <w:t xml:space="preserve">For H-1B, the Beneficiary must hold the degree required for the specialty occupation in the</w:t>
      </w:r>
      <w:r>
        <w:t xml:space="preserve"> </w:t>
      </w:r>
      <w:r>
        <w:t xml:space="preserve">“</w:t>
      </w:r>
      <w:r>
        <w:t xml:space="preserve">specific specialty.</w:t>
      </w:r>
      <w:r>
        <w:t xml:space="preserve">”</w:t>
      </w:r>
      <w:r>
        <w:t xml:space="preserve"> </w:t>
      </w:r>
      <w:r>
        <w:t xml:space="preserve">INA § 214(i)(1); 8 CFR § 214.2(h)(4)(iii)(A). With only ~7.5% CS/IT coursework and an ECE degree, the</w:t>
      </w:r>
      <w:r>
        <w:t xml:space="preserve"> </w:t>
      </w:r>
      <w:r>
        <w:t xml:space="preserve">“</w:t>
      </w:r>
      <w:r>
        <w:t xml:space="preserve">closely related field</w:t>
      </w:r>
      <w:r>
        <w:t xml:space="preserve">”</w:t>
      </w:r>
      <w:r>
        <w:t xml:space="preserve"> </w:t>
      </w:r>
      <w:r>
        <w:t xml:space="preserve">argument is weak, and the record contains</w:t>
      </w:r>
      <w:r>
        <w:t xml:space="preserve"> </w:t>
      </w:r>
      <w:r>
        <w:rPr>
          <w:b/>
          <w:bCs/>
        </w:rPr>
        <w:t xml:space="preserve">no expert opinion connecting the ECE degree to the ML/AI specialty</w:t>
      </w:r>
      <w:r>
        <w:t xml:space="preserve"> </w:t>
      </w:r>
      <w:r>
        <w:t xml:space="preserve">— the evaluation expressly declines to provide it. USCIS may issue an RFE or deny on the basis that the Beneficiary does not possess a degree in the required specialty.</w:t>
      </w:r>
    </w:p>
    <w:p>
      <w:pPr>
        <w:pStyle w:val="BodyText"/>
      </w:pPr>
      <w:r>
        <w:rPr>
          <w:b/>
          <w:bCs/>
        </w:rPr>
        <w:t xml:space="preserve">Recommendation.</w:t>
      </w:r>
      <w:r>
        <w:t xml:space="preserve"> </w:t>
      </w:r>
      <w:r>
        <w:t xml:space="preserve">Obtain a</w:t>
      </w:r>
      <w:r>
        <w:t xml:space="preserve"> </w:t>
      </w:r>
      <w:r>
        <w:rPr>
          <w:b/>
          <w:bCs/>
        </w:rPr>
        <w:t xml:space="preserve">supplemental expert evaluation</w:t>
      </w:r>
      <w:r>
        <w:t xml:space="preserve"> </w:t>
      </w:r>
      <w:r>
        <w:t xml:space="preserve">(from a NACES-member or qualified credentialed expert) that specifically opines that the Beneficiary’s ECE coursework (including C Programming, Advanced C Programming, Data Structures, and Introduction to Artificial Intelligence), together with the relevant professional experience, qualifies as a degree in a</w:t>
      </w:r>
      <w:r>
        <w:t xml:space="preserve"> </w:t>
      </w:r>
      <w:r>
        <w:t xml:space="preserve">“</w:t>
      </w:r>
      <w:r>
        <w:t xml:space="preserve">closely related field</w:t>
      </w:r>
      <w:r>
        <w:t xml:space="preserve">”</w:t>
      </w:r>
      <w:r>
        <w:t xml:space="preserve"> </w:t>
      </w:r>
      <w:r>
        <w:t xml:space="preserve">to CS/ML/AI for this position. Alternatively, broaden the stated minimum field of study to include</w:t>
      </w:r>
      <w:r>
        <w:t xml:space="preserve"> </w:t>
      </w:r>
      <w:r>
        <w:t xml:space="preserve">“</w:t>
      </w:r>
      <w:r>
        <w:t xml:space="preserve">Electronics and Communication Engineering, Electrical Engineering, or a closely related technical field</w:t>
      </w:r>
      <w:r>
        <w:t xml:space="preserve">”</w:t>
      </w:r>
      <w:r>
        <w:t xml:space="preserve"> </w:t>
      </w:r>
      <w:r>
        <w:t xml:space="preserve">(and conform the LCA/PWD), provided the position genuinely requires only that breadth. Do not rely on the current evaluation alone, as it disclaims the very opinion needed.</w:t>
      </w:r>
    </w:p>
    <w:bookmarkEnd w:id="24"/>
    <w:bookmarkStart w:id="25" w:name="Xd261fd9cb326fd9c7011ddd0b883bc9580c65e9"/>
    <w:p>
      <w:pPr>
        <w:pStyle w:val="Heading4"/>
      </w:pPr>
      <w:r>
        <w:t xml:space="preserve">Issue 3 — The</w:t>
      </w:r>
      <w:r>
        <w:t xml:space="preserve"> </w:t>
      </w:r>
      <w:r>
        <w:t xml:space="preserve">“</w:t>
      </w:r>
      <w:r>
        <w:t xml:space="preserve">alternative qualification</w:t>
      </w:r>
      <w:r>
        <w:t xml:space="preserve">”</w:t>
      </w:r>
      <w:r>
        <w:t xml:space="preserve"> </w:t>
      </w:r>
      <w:r>
        <w:t xml:space="preserve">(any engineering degree + 5 years progressive ML experience) is not a USCIS-recognized equivalency methodology and is not properly supported.</w:t>
      </w:r>
    </w:p>
    <w:p>
      <w:pPr>
        <w:pStyle w:val="FirstParagraph"/>
      </w:pPr>
      <w:r>
        <w:rPr>
          <w:b/>
          <w:bCs/>
        </w:rPr>
        <w:t xml:space="preserve">Identification.</w:t>
      </w:r>
      <w:r>
        <w:t xml:space="preserve"> </w:t>
      </w:r>
      <w:r>
        <w:t xml:space="preserve">The Support Letter (§3) states:</w:t>
      </w:r>
      <w:r>
        <w:t xml:space="preserve"> </w:t>
      </w:r>
      <w:r>
        <w:t xml:space="preserve">“</w:t>
      </w:r>
      <w:r>
        <w:t xml:space="preserve">Alternatively, a Bachelor’s degree in any engineering discipline combined with 5 years of progressive experience in machine learning may be accepted as an equivalent qualification for this position.</w:t>
      </w:r>
      <w:r>
        <w:t xml:space="preserve">”</w:t>
      </w:r>
    </w:p>
    <w:p>
      <w:pPr>
        <w:pStyle w:val="BodyText"/>
      </w:pPr>
      <w:r>
        <w:rPr>
          <w:b/>
          <w:bCs/>
        </w:rPr>
        <w:t xml:space="preserve">Why it matters.</w:t>
      </w:r>
      <w:r>
        <w:t xml:space="preserve"> </w:t>
      </w:r>
      <w:r>
        <w:t xml:space="preserve">USCIS recognizes a narrow set of degree-equivalency methods: (i) a U.S. bachelor’s or foreign equivalent in the specialty; (ii) a foreign degree plus three years of relevant specialized training/experience as equivalent to a U.S. bachelor’s (supported by an expert evaluation); and (iii) a combination of education and experience under the</w:t>
      </w:r>
      <w:r>
        <w:t xml:space="preserve"> </w:t>
      </w:r>
      <w:r>
        <w:t xml:space="preserve">“</w:t>
      </w:r>
      <w:r>
        <w:t xml:space="preserve">3-for-1</w:t>
      </w:r>
      <w:r>
        <w:t xml:space="preserve">”</w:t>
      </w:r>
      <w:r>
        <w:t xml:space="preserve"> </w:t>
      </w:r>
      <w:r>
        <w:t xml:space="preserve">rule. 8 CFR § 214.2(h)(4)(iii)(C). The Support Letter’s</w:t>
      </w:r>
      <w:r>
        <w:t xml:space="preserve"> </w:t>
      </w:r>
      <w:r>
        <w:t xml:space="preserve">“</w:t>
      </w:r>
      <w:r>
        <w:t xml:space="preserve">any engineering degree + 5 years ML experience</w:t>
      </w:r>
      <w:r>
        <w:t xml:space="preserve">”</w:t>
      </w:r>
      <w:r>
        <w:t xml:space="preserve"> </w:t>
      </w:r>
      <w:r>
        <w:t xml:space="preserve">formulation is an</w:t>
      </w:r>
      <w:r>
        <w:t xml:space="preserve"> </w:t>
      </w:r>
      <w:r>
        <w:rPr>
          <w:b/>
          <w:bCs/>
        </w:rPr>
        <w:t xml:space="preserve">employer hiring preference, not a recognized equivalency</w:t>
      </w:r>
      <w:r>
        <w:t xml:space="preserve">, and it is not supported by any expert evaluation. If the primary degree-field requirement is not met (Issue 2), this alternative is unlikely to be accepted as stated.</w:t>
      </w:r>
    </w:p>
    <w:p>
      <w:pPr>
        <w:pStyle w:val="BodyText"/>
      </w:pPr>
      <w:r>
        <w:rPr>
          <w:b/>
          <w:bCs/>
        </w:rPr>
        <w:t xml:space="preserve">Recommendation.</w:t>
      </w:r>
      <w:r>
        <w:t xml:space="preserve"> </w:t>
      </w:r>
      <w:r>
        <w:t xml:space="preserve">Reframe the alternative using a recognized equivalency — e.g., a combination evaluation under 8 CFR § 214.2(h)(4)(iii)(C) opining that the foreign ECE degree plus the Beneficiary’s progressive ML experience equates to a U.S. bachelor’s in the specialty — and have the expert evaluation expressly address it. Ensure the qualifying experience is documented (see Issue 4).</w:t>
      </w:r>
    </w:p>
    <w:bookmarkEnd w:id="25"/>
    <w:bookmarkStart w:id="26" w:name="Xcbfe042a7eef06cf717b151f56f36ac0872b2a3"/>
    <w:p>
      <w:pPr>
        <w:pStyle w:val="Heading4"/>
      </w:pPr>
      <w:r>
        <w:t xml:space="preserve">Issue 4 — Three years of claimed experience (independent ML consulting, Aug 2020–Aug 2023) is undocumented; this period is necessary to meet the 5-year alternative.</w:t>
      </w:r>
    </w:p>
    <w:p>
      <w:pPr>
        <w:pStyle w:val="FirstParagraph"/>
      </w:pPr>
      <w:r>
        <w:rPr>
          <w:b/>
          <w:bCs/>
        </w:rPr>
        <w:t xml:space="preserve">Identification.</w:t>
      </w:r>
      <w:r>
        <w:t xml:space="preserve"> </w:t>
      </w:r>
      <w:r>
        <w:t xml:space="preserve">The Resume and Support Letter (§4) list</w:t>
      </w:r>
      <w:r>
        <w:t xml:space="preserve"> </w:t>
      </w:r>
      <w:r>
        <w:t xml:space="preserve">“</w:t>
      </w:r>
      <w:r>
        <w:t xml:space="preserve">Independent Machine Learning Consultant (August 2020–August 2023).</w:t>
      </w:r>
      <w:r>
        <w:t xml:space="preserve">”</w:t>
      </w:r>
      <w:r>
        <w:t xml:space="preserve"> </w:t>
      </w:r>
      <w:r>
        <w:t xml:space="preserve">The package contains experience letters only for</w:t>
      </w:r>
      <w:r>
        <w:t xml:space="preserve"> </w:t>
      </w:r>
      <w:r>
        <w:rPr>
          <w:b/>
          <w:bCs/>
        </w:rPr>
        <w:t xml:space="preserve">Kiran Software Solutions</w:t>
      </w:r>
      <w:r>
        <w:t xml:space="preserve"> </w:t>
      </w:r>
      <w:r>
        <w:t xml:space="preserve">and</w:t>
      </w:r>
      <w:r>
        <w:t xml:space="preserve"> </w:t>
      </w:r>
      <w:r>
        <w:rPr>
          <w:b/>
          <w:bCs/>
        </w:rPr>
        <w:t xml:space="preserve">NovaStar Data Systems</w:t>
      </w:r>
      <w:r>
        <w:t xml:space="preserve">. There is</w:t>
      </w:r>
      <w:r>
        <w:t xml:space="preserve"> </w:t>
      </w:r>
      <w:r>
        <w:rPr>
          <w:b/>
          <w:bCs/>
        </w:rPr>
        <w:t xml:space="preserve">no experience letter, client letter, 1099/tax record, statement of work, or business registration</w:t>
      </w:r>
      <w:r>
        <w:t xml:space="preserve"> </w:t>
      </w:r>
      <w:r>
        <w:t xml:space="preserve">documenting the three-year independent consulting period.</w:t>
      </w:r>
    </w:p>
    <w:p>
      <w:pPr>
        <w:pStyle w:val="BodyText"/>
      </w:pPr>
      <w:r>
        <w:rPr>
          <w:b/>
          <w:bCs/>
        </w:rPr>
        <w:t xml:space="preserve">Why it matters.</w:t>
      </w:r>
      <w:r>
        <w:t xml:space="preserve"> </w:t>
      </w:r>
      <w:r>
        <w:t xml:space="preserve">Self-employment/independent consulting is heavily scrutinized by USCIS, which generally will not credit undocumented experience. Without this period, the Beneficiary’s documented ML-specific experience is NovaStar (Apr 2017–Jul 2020, ~3.3 years) plus the current Brightfield role (which may not be creditable toward the petitioned position’s requirements because it was gained with the Petitioner). This likely falls</w:t>
      </w:r>
      <w:r>
        <w:t xml:space="preserve"> </w:t>
      </w:r>
      <w:r>
        <w:rPr>
          <w:b/>
          <w:bCs/>
        </w:rPr>
        <w:t xml:space="preserve">short of the 5-year alternative threshold</w:t>
      </w:r>
      <w:r>
        <w:t xml:space="preserve"> </w:t>
      </w:r>
      <w:r>
        <w:t xml:space="preserve">in Issue 3, compounding the field-of-study problem in Issue 2. The Support Letter’s</w:t>
      </w:r>
      <w:r>
        <w:t xml:space="preserve"> </w:t>
      </w:r>
      <w:r>
        <w:t xml:space="preserve">“</w:t>
      </w:r>
      <w:r>
        <w:t xml:space="preserve">over 8 years of progressive experience</w:t>
      </w:r>
      <w:r>
        <w:t xml:space="preserve">”</w:t>
      </w:r>
      <w:r>
        <w:t xml:space="preserve"> </w:t>
      </w:r>
      <w:r>
        <w:t xml:space="preserve">figure depends materially on this undocumented period.</w:t>
      </w:r>
    </w:p>
    <w:p>
      <w:pPr>
        <w:pStyle w:val="BodyText"/>
      </w:pPr>
      <w:r>
        <w:rPr>
          <w:b/>
          <w:bCs/>
        </w:rPr>
        <w:t xml:space="preserve">Recommendation.</w:t>
      </w:r>
      <w:r>
        <w:t xml:space="preserve"> </w:t>
      </w:r>
      <w:r>
        <w:t xml:space="preserve">Obtain documentary support for the independent consulting period — ideally</w:t>
      </w:r>
      <w:r>
        <w:t xml:space="preserve"> </w:t>
      </w:r>
      <w:r>
        <w:rPr>
          <w:b/>
          <w:bCs/>
        </w:rPr>
        <w:t xml:space="preserve">client letters</w:t>
      </w:r>
      <w:r>
        <w:t xml:space="preserve"> </w:t>
      </w:r>
      <w:r>
        <w:t xml:space="preserve">(on client letterhead, signed by a supervisor/engagement manager, describing projects, dates, tools, and the Beneficiary’s role), supplemented by 1099s, contracts/SOWs, and/or business registration. If the experience cannot be documented, recompute the qualifying experience and adjust the petition strategy (e.g., rely on a combination equivalency that does not depend on the full 5 years, or strengthen the degree-field argument under Issue 2).</w:t>
      </w:r>
    </w:p>
    <w:bookmarkEnd w:id="26"/>
    <w:bookmarkEnd w:id="27"/>
    <w:bookmarkStart w:id="33" w:name="b.-medium-severity-issues"/>
    <w:p>
      <w:pPr>
        <w:pStyle w:val="Heading3"/>
      </w:pPr>
      <w:r>
        <w:t xml:space="preserve">B. Medium-Severity Issues</w:t>
      </w:r>
    </w:p>
    <w:bookmarkStart w:id="28" w:name="X6b82a73cc618cf366ad483ebb5d66bc67f9ec61"/>
    <w:p>
      <w:pPr>
        <w:pStyle w:val="Heading4"/>
      </w:pPr>
      <w:r>
        <w:t xml:space="preserve">Issue 5 — Employment-date discrepancies between the Resume and the experience letters/Support Letter (Kiran and NovaStar), and an unexplained gap.</w:t>
      </w:r>
    </w:p>
    <w:p>
      <w:pPr>
        <w:pStyle w:val="FirstParagraph"/>
      </w:pPr>
      <w:r>
        <w:rPr>
          <w:b/>
          <w:bCs/>
        </w:rPr>
        <w:t xml:space="preserve">Identification.</w:t>
      </w:r>
    </w:p>
    <w:p>
      <w:pPr>
        <w:pStyle w:val="Compact"/>
        <w:numPr>
          <w:ilvl w:val="0"/>
          <w:numId w:val="1002"/>
        </w:numPr>
      </w:pPr>
      <w:r>
        <w:rPr>
          <w:b/>
          <w:bCs/>
        </w:rPr>
        <w:t xml:space="preserve">Kiran:</w:t>
      </w:r>
      <w:r>
        <w:t xml:space="preserve"> </w:t>
      </w:r>
      <w:r>
        <w:t xml:space="preserve">The Resume states</w:t>
      </w:r>
      <w:r>
        <w:t xml:space="preserve"> </w:t>
      </w:r>
      <w:r>
        <w:t xml:space="preserve">“</w:t>
      </w:r>
      <w:r>
        <w:t xml:space="preserve">June 2014 – March 2017</w:t>
      </w:r>
      <w:r>
        <w:t xml:space="preserve">”</w:t>
      </w:r>
      <w:r>
        <w:t xml:space="preserve">; the Kiran experience letter states employment</w:t>
      </w:r>
      <w:r>
        <w:t xml:space="preserve"> </w:t>
      </w:r>
      <w:r>
        <w:t xml:space="preserve">“</w:t>
      </w:r>
      <w:r>
        <w:t xml:space="preserve">commenced on June 16, 2014 and concluded on December 9, 2016</w:t>
      </w:r>
      <w:r>
        <w:t xml:space="preserve">”</w:t>
      </w:r>
      <w:r>
        <w:t xml:space="preserve">; the Support Letter states</w:t>
      </w:r>
      <w:r>
        <w:t xml:space="preserve"> </w:t>
      </w:r>
      <w:r>
        <w:t xml:space="preserve">“</w:t>
      </w:r>
      <w:r>
        <w:t xml:space="preserve">June 2014 – December 2016.</w:t>
      </w:r>
      <w:r>
        <w:t xml:space="preserve">”</w:t>
      </w:r>
      <w:r>
        <w:t xml:space="preserve"> </w:t>
      </w:r>
      <w:r>
        <w:t xml:space="preserve">The Resume</w:t>
      </w:r>
      <w:r>
        <w:t xml:space="preserve"> </w:t>
      </w:r>
      <w:r>
        <w:rPr>
          <w:b/>
          <w:bCs/>
        </w:rPr>
        <w:t xml:space="preserve">overstates the end date by ~3 months</w:t>
      </w:r>
      <w:r>
        <w:t xml:space="preserve">.</w:t>
      </w:r>
    </w:p>
    <w:p>
      <w:pPr>
        <w:pStyle w:val="Compact"/>
        <w:numPr>
          <w:ilvl w:val="0"/>
          <w:numId w:val="1002"/>
        </w:numPr>
      </w:pPr>
      <w:r>
        <w:rPr>
          <w:b/>
          <w:bCs/>
        </w:rPr>
        <w:t xml:space="preserve">NovaStar:</w:t>
      </w:r>
      <w:r>
        <w:t xml:space="preserve"> </w:t>
      </w:r>
      <w:r>
        <w:t xml:space="preserve">The Resume states</w:t>
      </w:r>
      <w:r>
        <w:t xml:space="preserve"> </w:t>
      </w:r>
      <w:r>
        <w:t xml:space="preserve">“</w:t>
      </w:r>
      <w:r>
        <w:t xml:space="preserve">April 2017 – August 2020</w:t>
      </w:r>
      <w:r>
        <w:t xml:space="preserve">”</w:t>
      </w:r>
      <w:r>
        <w:t xml:space="preserve">; the NovaStar experience letter and the Support Letter state</w:t>
      </w:r>
      <w:r>
        <w:t xml:space="preserve"> </w:t>
      </w:r>
      <w:r>
        <w:t xml:space="preserve">“</w:t>
      </w:r>
      <w:r>
        <w:t xml:space="preserve">April 2017 to July 2020.</w:t>
      </w:r>
      <w:r>
        <w:t xml:space="preserve">”</w:t>
      </w:r>
      <w:r>
        <w:t xml:space="preserve"> </w:t>
      </w:r>
      <w:r>
        <w:t xml:space="preserve">The Resume</w:t>
      </w:r>
      <w:r>
        <w:t xml:space="preserve"> </w:t>
      </w:r>
      <w:r>
        <w:rPr>
          <w:b/>
          <w:bCs/>
        </w:rPr>
        <w:t xml:space="preserve">overstates the end date by one month</w:t>
      </w:r>
      <w:r>
        <w:t xml:space="preserve">.</w:t>
      </w:r>
    </w:p>
    <w:p>
      <w:pPr>
        <w:pStyle w:val="Compact"/>
        <w:numPr>
          <w:ilvl w:val="0"/>
          <w:numId w:val="1002"/>
        </w:numPr>
      </w:pPr>
      <w:r>
        <w:t xml:space="preserve">The experience-letter dates (Kiran ending Dec. 9, 2016; NovaStar beginning April 2017) reveal an</w:t>
      </w:r>
      <w:r>
        <w:t xml:space="preserve"> </w:t>
      </w:r>
      <w:r>
        <w:rPr>
          <w:b/>
          <w:bCs/>
        </w:rPr>
        <w:t xml:space="preserve">unexplained ~4-month gap (January–March 2017)</w:t>
      </w:r>
      <w:r>
        <w:t xml:space="preserve"> </w:t>
      </w:r>
      <w:r>
        <w:t xml:space="preserve">that the Resume obscures by extending the Kiran tenure to March 2017.</w:t>
      </w:r>
    </w:p>
    <w:p>
      <w:pPr>
        <w:pStyle w:val="FirstParagraph"/>
      </w:pPr>
      <w:r>
        <w:rPr>
          <w:b/>
          <w:bCs/>
        </w:rPr>
        <w:t xml:space="preserve">Why it matters.</w:t>
      </w:r>
      <w:r>
        <w:t xml:space="preserve"> </w:t>
      </w:r>
      <w:r>
        <w:t xml:space="preserve">Inconsistent employment dates across the Resume, experience letters, and Support Letter create credibility concerns and may prompt an RFE. The Resume’s extension of the Kiran end date to March 2017 appears to paper over a gap, which USCIS may view unfavorably.</w:t>
      </w:r>
    </w:p>
    <w:p>
      <w:pPr>
        <w:pStyle w:val="BodyText"/>
      </w:pPr>
      <w:r>
        <w:rPr>
          <w:b/>
          <w:bCs/>
        </w:rPr>
        <w:t xml:space="preserve">Recommendation.</w:t>
      </w:r>
      <w:r>
        <w:t xml:space="preserve"> </w:t>
      </w:r>
      <w:r>
        <w:t xml:space="preserve">Correct the Resume to match the experience letters (Kiran: June 16, 2014 – December 9, 2016; NovaStar: April 2017 – July 2020). Explain the January–March 2017 gap (e.g., job search, return to India, study) in the Support Letter or a beneficiary statement. Ensure all dates are consistent across every document.</w:t>
      </w:r>
    </w:p>
    <w:bookmarkEnd w:id="28"/>
    <w:bookmarkStart w:id="29" w:name="Xf9c078c3087edc65bb89768c44c7557902a9d79"/>
    <w:p>
      <w:pPr>
        <w:pStyle w:val="Heading4"/>
      </w:pPr>
      <w:r>
        <w:t xml:space="preserve">Issue 6 — LCA posting period was only 8 business days, short of the 10-consecutive-business-day requirement.</w:t>
      </w:r>
    </w:p>
    <w:p>
      <w:pPr>
        <w:pStyle w:val="FirstParagraph"/>
      </w:pPr>
      <w:r>
        <w:rPr>
          <w:b/>
          <w:bCs/>
        </w:rPr>
        <w:t xml:space="preserve">Identification.</w:t>
      </w:r>
      <w:r>
        <w:t xml:space="preserve"> </w:t>
      </w:r>
      <w:r>
        <w:t xml:space="preserve">The LCA (§J.2) and the Posting Notice both state the notice was posted</w:t>
      </w:r>
      <w:r>
        <w:t xml:space="preserve"> </w:t>
      </w:r>
      <w:r>
        <w:rPr>
          <w:b/>
          <w:bCs/>
        </w:rPr>
        <w:t xml:space="preserve">March 10, 2025</w:t>
      </w:r>
      <w:r>
        <w:t xml:space="preserve"> </w:t>
      </w:r>
      <w:r>
        <w:t xml:space="preserve">and removed</w:t>
      </w:r>
      <w:r>
        <w:t xml:space="preserve"> </w:t>
      </w:r>
      <w:r>
        <w:rPr>
          <w:b/>
          <w:bCs/>
        </w:rPr>
        <w:t xml:space="preserve">March 19, 2025</w:t>
      </w:r>
      <w:r>
        <w:t xml:space="preserve">. Counting business days and excluding the March 15–16 weekend, March 10–19, 2025 equals</w:t>
      </w:r>
      <w:r>
        <w:t xml:space="preserve"> </w:t>
      </w:r>
      <w:r>
        <w:rPr>
          <w:b/>
          <w:bCs/>
        </w:rPr>
        <w:t xml:space="preserve">8 business days</w:t>
      </w:r>
      <w:r>
        <w:t xml:space="preserve"> </w:t>
      </w:r>
      <w:r>
        <w:t xml:space="preserve">(Mar. 10, 11, 12, 13, 14, 17, 18, 19).</w:t>
      </w:r>
    </w:p>
    <w:p>
      <w:pPr>
        <w:pStyle w:val="BodyText"/>
      </w:pPr>
      <w:r>
        <w:rPr>
          <w:b/>
          <w:bCs/>
        </w:rPr>
        <w:t xml:space="preserve">Why it matters.</w:t>
      </w:r>
      <w:r>
        <w:t xml:space="preserve"> </w:t>
      </w:r>
      <w:r>
        <w:t xml:space="preserve">20 CFR § 655.734(d)(1) requires that the notice</w:t>
      </w:r>
      <w:r>
        <w:t xml:space="preserve"> </w:t>
      </w:r>
      <w:r>
        <w:t xml:space="preserve">“</w:t>
      </w:r>
      <w:r>
        <w:t xml:space="preserve">remain posted for a total of 10 consecutive business days.</w:t>
      </w:r>
      <w:r>
        <w:t xml:space="preserve">”</w:t>
      </w:r>
      <w:r>
        <w:t xml:space="preserve"> </w:t>
      </w:r>
      <w:r>
        <w:t xml:space="preserve">An 8-business-day posting does not satisfy the regulation, creating an LCA notice violation that DOL could cite on audit and that undermines the notice attestation in the LCA (§K.4).</w:t>
      </w:r>
    </w:p>
    <w:p>
      <w:pPr>
        <w:pStyle w:val="BodyText"/>
      </w:pPr>
      <w:r>
        <w:rPr>
          <w:b/>
          <w:bCs/>
        </w:rPr>
        <w:t xml:space="preserve">Recommendation.</w:t>
      </w:r>
      <w:r>
        <w:t xml:space="preserve"> </w:t>
      </w:r>
      <w:r>
        <w:t xml:space="preserve">If the petition has not yet been filed,</w:t>
      </w:r>
      <w:r>
        <w:t xml:space="preserve"> </w:t>
      </w:r>
      <w:r>
        <w:rPr>
          <w:b/>
          <w:bCs/>
        </w:rPr>
        <w:t xml:space="preserve">re-post for a full 10 consecutive business days</w:t>
      </w:r>
      <w:r>
        <w:t xml:space="preserve"> </w:t>
      </w:r>
      <w:r>
        <w:t xml:space="preserve">(through at least March 21, 2025) and document both posting locations and dates before refiling the LCA if necessary. If already filed, document the deficiency and be prepared to address it; consider whether a new LCA with compliant posting is warranted. Implement a posting protocol that ensures 10 business days going forward.</w:t>
      </w:r>
    </w:p>
    <w:bookmarkEnd w:id="29"/>
    <w:bookmarkStart w:id="30" w:name="X5f43463a91a4f043469c2863ef28643d5edbda2"/>
    <w:p>
      <w:pPr>
        <w:pStyle w:val="Heading4"/>
      </w:pPr>
      <w:r>
        <w:t xml:space="preserve">Issue 7 — Number of direct reports inconsistent: Support Letter says 3; Org Chart shows 2.</w:t>
      </w:r>
    </w:p>
    <w:p>
      <w:pPr>
        <w:pStyle w:val="FirstParagraph"/>
      </w:pPr>
      <w:r>
        <w:rPr>
          <w:b/>
          <w:bCs/>
        </w:rPr>
        <w:t xml:space="preserve">Identification.</w:t>
      </w:r>
      <w:r>
        <w:t xml:space="preserve"> </w:t>
      </w:r>
      <w:r>
        <w:t xml:space="preserve">The Support Letter (§2, duty 4) states the position involves</w:t>
      </w:r>
      <w:r>
        <w:t xml:space="preserve"> </w:t>
      </w:r>
      <w:r>
        <w:t xml:space="preserve">“</w:t>
      </w:r>
      <w:r>
        <w:t xml:space="preserve">Leading and mentoring a team of</w:t>
      </w:r>
      <w:r>
        <w:t xml:space="preserve"> </w:t>
      </w:r>
      <w:r>
        <w:rPr>
          <w:b/>
          <w:bCs/>
        </w:rPr>
        <w:t xml:space="preserve">3</w:t>
      </w:r>
      <w:r>
        <w:t xml:space="preserve"> </w:t>
      </w:r>
      <w:r>
        <w:t xml:space="preserve">junior data scientists.</w:t>
      </w:r>
      <w:r>
        <w:t xml:space="preserve">”</w:t>
      </w:r>
      <w:r>
        <w:t xml:space="preserve"> </w:t>
      </w:r>
      <w:r>
        <w:t xml:space="preserve">The Org Chart (Level 4) shows only</w:t>
      </w:r>
      <w:r>
        <w:t xml:space="preserve"> </w:t>
      </w:r>
      <w:r>
        <w:rPr>
          <w:b/>
          <w:bCs/>
        </w:rPr>
        <w:t xml:space="preserve">2</w:t>
      </w:r>
      <w:r>
        <w:t xml:space="preserve"> </w:t>
      </w:r>
      <w:r>
        <w:t xml:space="preserve">Data Scientists as direct reports to the Senior Machine Learning Engineer.</w:t>
      </w:r>
    </w:p>
    <w:p>
      <w:pPr>
        <w:pStyle w:val="BodyText"/>
      </w:pPr>
      <w:r>
        <w:rPr>
          <w:b/>
          <w:bCs/>
        </w:rPr>
        <w:t xml:space="preserve">Why it matters.</w:t>
      </w:r>
      <w:r>
        <w:t xml:space="preserve"> </w:t>
      </w:r>
      <w:r>
        <w:t xml:space="preserve">The discrepancy affects the specialty-occupation analysis (supervisory scope) and the wage-level analysis (Issue 1). Inconsistent headcount statements can prompt an RFE and undermine the credibility of the organizational description.</w:t>
      </w:r>
    </w:p>
    <w:p>
      <w:pPr>
        <w:pStyle w:val="BodyText"/>
      </w:pPr>
      <w:r>
        <w:rPr>
          <w:b/>
          <w:bCs/>
        </w:rPr>
        <w:t xml:space="preserve">Recommendation.</w:t>
      </w:r>
      <w:r>
        <w:t xml:space="preserve"> </w:t>
      </w:r>
      <w:r>
        <w:t xml:space="preserve">Reconcile the number — confirm the actual/current direct reports and make the Support Letter and Org Chart consistent. If the team is being expanded to 3, explain the timing; if it is 2, correct the Support Letter.</w:t>
      </w:r>
    </w:p>
    <w:bookmarkEnd w:id="30"/>
    <w:bookmarkStart w:id="31" w:name="X4df68b0e5f8f563e4fe3d1137658653ac797d13"/>
    <w:p>
      <w:pPr>
        <w:pStyle w:val="Heading4"/>
      </w:pPr>
      <w:r>
        <w:t xml:space="preserve">Issue 8 — Multiple inconsistent employer telephone numbers across documents; the Posting Notice lists the Beneficiary’s personal cell number as the employer contact.</w:t>
      </w:r>
    </w:p>
    <w:p>
      <w:pPr>
        <w:pStyle w:val="FirstParagraph"/>
      </w:pPr>
      <w:r>
        <w:rPr>
          <w:b/>
          <w:bCs/>
        </w:rPr>
        <w:t xml:space="preserve">Identification.</w:t>
      </w:r>
      <w:r>
        <w:t xml:space="preserve"> </w:t>
      </w:r>
      <w:r>
        <w:t xml:space="preserve">The Petitioner’s telephone number appears as</w:t>
      </w:r>
      <w:r>
        <w:t xml:space="preserve"> </w:t>
      </w:r>
      <w:r>
        <w:rPr>
          <w:b/>
          <w:bCs/>
        </w:rPr>
        <w:t xml:space="preserve">four different values</w:t>
      </w:r>
      <w:r>
        <w:t xml:space="preserve">: (512) 555-0142 (LCA §§C.4, D.4); (512) 555-0194 (Support Letter header and §6); (512) 555-0187 (PWD §2); and (512) 555-0174 (Posting Notice</w:t>
      </w:r>
      <w:r>
        <w:t xml:space="preserve"> </w:t>
      </w:r>
      <w:r>
        <w:t xml:space="preserve">“</w:t>
      </w:r>
      <w:r>
        <w:t xml:space="preserve">Employer Contact</w:t>
      </w:r>
      <w:r>
        <w:t xml:space="preserve">”</w:t>
      </w:r>
      <w:r>
        <w:t xml:space="preserve">). The number on the Posting Notice —</w:t>
      </w:r>
      <w:r>
        <w:t xml:space="preserve"> </w:t>
      </w:r>
      <w:r>
        <w:rPr>
          <w:b/>
          <w:bCs/>
        </w:rPr>
        <w:t xml:space="preserve">(512) 555-0174</w:t>
      </w:r>
      <w:r>
        <w:t xml:space="preserve"> </w:t>
      </w:r>
      <w:r>
        <w:t xml:space="preserve">— is the</w:t>
      </w:r>
      <w:r>
        <w:t xml:space="preserve"> </w:t>
      </w:r>
      <w:r>
        <w:rPr>
          <w:b/>
          <w:bCs/>
        </w:rPr>
        <w:t xml:space="preserve">Beneficiary’s personal telephone number</w:t>
      </w:r>
      <w:r>
        <w:t xml:space="preserve"> </w:t>
      </w:r>
      <w:r>
        <w:t xml:space="preserve">as listed on the Resume.</w:t>
      </w:r>
    </w:p>
    <w:p>
      <w:pPr>
        <w:pStyle w:val="BodyText"/>
      </w:pPr>
      <w:r>
        <w:rPr>
          <w:b/>
          <w:bCs/>
        </w:rPr>
        <w:t xml:space="preserve">Why it matters.</w:t>
      </w:r>
      <w:r>
        <w:t xml:space="preserve"> </w:t>
      </w:r>
      <w:r>
        <w:t xml:space="preserve">Inconsistent contact information across the LCA, PWD, Support Letter, and Posting Notice is a clerical integrity problem. Listing the Beneficiary’s personal cell as the employer contact on the Posting Notice is a clear error that could draw scrutiny and does not provide employees a proper employer contact for LCA complaints, as 20 CFR § 655.734 requires.</w:t>
      </w:r>
    </w:p>
    <w:p>
      <w:pPr>
        <w:pStyle w:val="BodyText"/>
      </w:pPr>
      <w:r>
        <w:rPr>
          <w:b/>
          <w:bCs/>
        </w:rPr>
        <w:t xml:space="preserve">Recommendation.</w:t>
      </w:r>
      <w:r>
        <w:t xml:space="preserve"> </w:t>
      </w:r>
      <w:r>
        <w:t xml:space="preserve">Standardize the Petitioner’s main telephone number across all documents. Correct the Posting Notice to show the employer’s actual contact number (and HR contact), not the Beneficiary’s. Confirm the numbers on the PWD and LCA match.</w:t>
      </w:r>
    </w:p>
    <w:bookmarkEnd w:id="31"/>
    <w:bookmarkStart w:id="32" w:name="X41cdc34ff7243407646925215170fdb71cce864"/>
    <w:p>
      <w:pPr>
        <w:pStyle w:val="Heading4"/>
      </w:pPr>
      <w:r>
        <w:t xml:space="preserve">Issue 9 — Reporting-line discrepancy: Support Letter states permanent direct reporting to the CTO; Org Chart shows interim reporting pending hire of a VP of Data Science (a role the Support Letter omits).</w:t>
      </w:r>
    </w:p>
    <w:p>
      <w:pPr>
        <w:pStyle w:val="FirstParagraph"/>
      </w:pPr>
      <w:r>
        <w:rPr>
          <w:b/>
          <w:bCs/>
        </w:rPr>
        <w:t xml:space="preserve">Identification.</w:t>
      </w:r>
      <w:r>
        <w:t xml:space="preserve"> </w:t>
      </w:r>
      <w:r>
        <w:t xml:space="preserve">The Support Letter (§2) states the position</w:t>
      </w:r>
      <w:r>
        <w:t xml:space="preserve"> </w:t>
      </w:r>
      <w:r>
        <w:t xml:space="preserve">“</w:t>
      </w:r>
      <w:r>
        <w:t xml:space="preserve">reports directly to the Chief Technology Officer (CTO).</w:t>
      </w:r>
      <w:r>
        <w:t xml:space="preserve">”</w:t>
      </w:r>
      <w:r>
        <w:t xml:space="preserve"> </w:t>
      </w:r>
      <w:r>
        <w:t xml:space="preserve">The Org Chart shows the Senior Machine Learning Engineer</w:t>
      </w:r>
      <w:r>
        <w:t xml:space="preserve"> </w:t>
      </w:r>
      <w:r>
        <w:t xml:space="preserve">“</w:t>
      </w:r>
      <w:r>
        <w:t xml:space="preserve">Reports To: CTO (Interim — see Note 1),</w:t>
      </w:r>
      <w:r>
        <w:t xml:space="preserve">”</w:t>
      </w:r>
      <w:r>
        <w:t xml:space="preserve"> </w:t>
      </w:r>
      <w:r>
        <w:t xml:space="preserve">with Note 1 explaining that a</w:t>
      </w:r>
      <w:r>
        <w:t xml:space="preserve"> </w:t>
      </w:r>
      <w:r>
        <w:rPr>
          <w:b/>
          <w:bCs/>
        </w:rPr>
        <w:t xml:space="preserve">Vice President of Data Science</w:t>
      </w:r>
      <w:r>
        <w:t xml:space="preserve"> </w:t>
      </w:r>
      <w:r>
        <w:t xml:space="preserve">position is</w:t>
      </w:r>
      <w:r>
        <w:t xml:space="preserve"> </w:t>
      </w:r>
      <w:r>
        <w:t xml:space="preserve">“</w:t>
      </w:r>
      <w:r>
        <w:t xml:space="preserve">TBH</w:t>
      </w:r>
      <w:r>
        <w:t xml:space="preserve">”</w:t>
      </w:r>
      <w:r>
        <w:t xml:space="preserve"> </w:t>
      </w:r>
      <w:r>
        <w:t xml:space="preserve">(to be hired) and that, once filled, the reporting line would change. The Support Letter does not mention the VP of Data Science role or the interim nature of the reporting line.</w:t>
      </w:r>
    </w:p>
    <w:p>
      <w:pPr>
        <w:pStyle w:val="BodyText"/>
      </w:pPr>
      <w:r>
        <w:rPr>
          <w:b/>
          <w:bCs/>
        </w:rPr>
        <w:t xml:space="preserve">Why it matters.</w:t>
      </w:r>
      <w:r>
        <w:t xml:space="preserve"> </w:t>
      </w:r>
      <w:r>
        <w:t xml:space="preserve">The omission creates an incomplete and potentially misleading picture of the organizational structure. The existence of a VP-level role above the petitioned</w:t>
      </w:r>
      <w:r>
        <w:t xml:space="preserve"> </w:t>
      </w:r>
      <w:r>
        <w:t xml:space="preserve">“</w:t>
      </w:r>
      <w:r>
        <w:t xml:space="preserve">Senior</w:t>
      </w:r>
      <w:r>
        <w:t xml:space="preserve">”</w:t>
      </w:r>
      <w:r>
        <w:t xml:space="preserve"> </w:t>
      </w:r>
      <w:r>
        <w:t xml:space="preserve">position also bears on the wage-level analysis (Issue 1) — a</w:t>
      </w:r>
      <w:r>
        <w:t xml:space="preserve"> </w:t>
      </w:r>
      <w:r>
        <w:t xml:space="preserve">“</w:t>
      </w:r>
      <w:r>
        <w:t xml:space="preserve">Senior</w:t>
      </w:r>
      <w:r>
        <w:t xml:space="preserve">”</w:t>
      </w:r>
      <w:r>
        <w:t xml:space="preserve"> </w:t>
      </w:r>
      <w:r>
        <w:t xml:space="preserve">role beneath a VP is more consistent with Level 2–3 than Level 4. Inconsistent reporting descriptions can prompt an RFE.</w:t>
      </w:r>
    </w:p>
    <w:p>
      <w:pPr>
        <w:pStyle w:val="BodyText"/>
      </w:pPr>
      <w:r>
        <w:rPr>
          <w:b/>
          <w:bCs/>
        </w:rPr>
        <w:t xml:space="preserve">Recommendation.</w:t>
      </w:r>
      <w:r>
        <w:t xml:space="preserve"> </w:t>
      </w:r>
      <w:r>
        <w:t xml:space="preserve">Reconcile the reporting structure. Either describe the interim reporting arrangement accurately in the Support Letter (and address the planned VP hire), or remove the interim/VP notation from the Org Chart if the structure is final. Ensure the two documents tell the same story.</w:t>
      </w:r>
    </w:p>
    <w:bookmarkEnd w:id="32"/>
    <w:bookmarkEnd w:id="33"/>
    <w:bookmarkStart w:id="46" w:name="X1ea73e35fabd634b02138ce38134e177e15ca22"/>
    <w:p>
      <w:pPr>
        <w:pStyle w:val="Heading3"/>
      </w:pPr>
      <w:r>
        <w:t xml:space="preserve">C. Low-Severity Issues and Documentation Gaps</w:t>
      </w:r>
    </w:p>
    <w:bookmarkStart w:id="34" w:name="X66e9e00c9826673759d0e09a73b4c400c79c6ab"/>
    <w:p>
      <w:pPr>
        <w:pStyle w:val="Heading4"/>
      </w:pPr>
      <w:r>
        <w:t xml:space="preserve">Issue 10 — Posting Notice references</w:t>
      </w:r>
      <w:r>
        <w:t xml:space="preserve"> </w:t>
      </w:r>
      <w:r>
        <w:t xml:space="preserve">“</w:t>
      </w:r>
      <w:r>
        <w:t xml:space="preserve">two conspicuous locations</w:t>
      </w:r>
      <w:r>
        <w:t xml:space="preserve">”</w:t>
      </w:r>
      <w:r>
        <w:t xml:space="preserve"> </w:t>
      </w:r>
      <w:r>
        <w:t xml:space="preserve">but only one is documented.</w:t>
      </w:r>
    </w:p>
    <w:p>
      <w:pPr>
        <w:pStyle w:val="FirstParagraph"/>
      </w:pPr>
      <w:r>
        <w:t xml:space="preserve">The Posting Notice states it</w:t>
      </w:r>
      <w:r>
        <w:t xml:space="preserve"> </w:t>
      </w:r>
      <w:r>
        <w:t xml:space="preserve">“</w:t>
      </w:r>
      <w:r>
        <w:t xml:space="preserve">is being posted in two conspicuous locations,</w:t>
      </w:r>
      <w:r>
        <w:t xml:space="preserve">”</w:t>
      </w:r>
      <w:r>
        <w:t xml:space="preserve"> </w:t>
      </w:r>
      <w:r>
        <w:t xml:space="preserve">and 20 CFR § 655.734(d)(1) requires posting in at least two conspicuous locations. The LCA (§J.3) and Posting Notice identify only</w:t>
      </w:r>
      <w:r>
        <w:t xml:space="preserve"> </w:t>
      </w:r>
      <w:r>
        <w:rPr>
          <w:b/>
          <w:bCs/>
        </w:rPr>
        <w:t xml:space="preserve">one</w:t>
      </w:r>
      <w:r>
        <w:t xml:space="preserve"> </w:t>
      </w:r>
      <w:r>
        <w:t xml:space="preserve">location (employee common area / break room, first floor).</w:t>
      </w:r>
      <w:r>
        <w:t xml:space="preserve"> </w:t>
      </w:r>
      <w:r>
        <w:rPr>
          <w:b/>
          <w:bCs/>
        </w:rPr>
        <w:t xml:space="preserve">Recommendation:</w:t>
      </w:r>
      <w:r>
        <w:t xml:space="preserve"> </w:t>
      </w:r>
      <w:r>
        <w:t xml:space="preserve">document the second posting location in both the LCA and the Posting Notice.</w:t>
      </w:r>
    </w:p>
    <w:bookmarkEnd w:id="34"/>
    <w:bookmarkStart w:id="35" w:name="X97eafd9bb891b70ffcce5b2a0ec98e607d1803f"/>
    <w:p>
      <w:pPr>
        <w:pStyle w:val="Heading4"/>
      </w:pPr>
      <w:r>
        <w:t xml:space="preserve">Issue 11 — Current Brightfield job title (</w:t>
      </w:r>
      <w:r>
        <w:t xml:space="preserve">“</w:t>
      </w:r>
      <w:r>
        <w:t xml:space="preserve">Data Scientist</w:t>
      </w:r>
      <w:r>
        <w:t xml:space="preserve">”</w:t>
      </w:r>
      <w:r>
        <w:t xml:space="preserve">) vs. petitioned position (</w:t>
      </w:r>
      <w:r>
        <w:t xml:space="preserve">“</w:t>
      </w:r>
      <w:r>
        <w:t xml:space="preserve">Senior Machine Learning Engineer</w:t>
      </w:r>
      <w:r>
        <w:t xml:space="preserve">”</w:t>
      </w:r>
      <w:r>
        <w:t xml:space="preserve">) not reconciled.</w:t>
      </w:r>
    </w:p>
    <w:p>
      <w:pPr>
        <w:pStyle w:val="FirstParagraph"/>
      </w:pPr>
      <w:r>
        <w:t xml:space="preserve">The Resume lists the Beneficiary’s current Brightfield role as</w:t>
      </w:r>
      <w:r>
        <w:t xml:space="preserve"> </w:t>
      </w:r>
      <w:r>
        <w:t xml:space="preserve">“</w:t>
      </w:r>
      <w:r>
        <w:t xml:space="preserve">Data Scientist</w:t>
      </w:r>
      <w:r>
        <w:t xml:space="preserve">”</w:t>
      </w:r>
      <w:r>
        <w:t xml:space="preserve"> </w:t>
      </w:r>
      <w:r>
        <w:t xml:space="preserve">(Sept. 2023–present), while the petition is for</w:t>
      </w:r>
      <w:r>
        <w:t xml:space="preserve"> </w:t>
      </w:r>
      <w:r>
        <w:t xml:space="preserve">“</w:t>
      </w:r>
      <w:r>
        <w:t xml:space="preserve">Senior Machine Learning Engineer.</w:t>
      </w:r>
      <w:r>
        <w:t xml:space="preserve">”</w:t>
      </w:r>
      <w:r>
        <w:t xml:space="preserve"> </w:t>
      </w:r>
      <w:r>
        <w:rPr>
          <w:b/>
          <w:bCs/>
        </w:rPr>
        <w:t xml:space="preserve">Recommendation:</w:t>
      </w:r>
      <w:r>
        <w:t xml:space="preserve"> </w:t>
      </w:r>
      <w:r>
        <w:t xml:space="preserve">clarify whether this is a promotion/new role and address whether current Brightfield experience can count toward the petitioned position’s minimum requirements (experience with the Petitioner is generally creditable only if gained in a position substantially different from the petitioned role).</w:t>
      </w:r>
    </w:p>
    <w:bookmarkEnd w:id="35"/>
    <w:bookmarkStart w:id="36" w:name="X638ffc8042eff35f6bf73b861c6e36156c4c296"/>
    <w:p>
      <w:pPr>
        <w:pStyle w:val="Heading4"/>
      </w:pPr>
      <w:r>
        <w:t xml:space="preserve">Issue 12 — Experience-years inconsistency: Resume</w:t>
      </w:r>
      <w:r>
        <w:t xml:space="preserve"> </w:t>
      </w:r>
      <w:r>
        <w:t xml:space="preserve">“</w:t>
      </w:r>
      <w:r>
        <w:t xml:space="preserve">7+ years</w:t>
      </w:r>
      <w:r>
        <w:t xml:space="preserve">”</w:t>
      </w:r>
      <w:r>
        <w:t xml:space="preserve"> </w:t>
      </w:r>
      <w:r>
        <w:t xml:space="preserve">vs. Support Letter</w:t>
      </w:r>
      <w:r>
        <w:t xml:space="preserve"> </w:t>
      </w:r>
      <w:r>
        <w:t xml:space="preserve">“</w:t>
      </w:r>
      <w:r>
        <w:t xml:space="preserve">over 8 years.</w:t>
      </w:r>
      <w:r>
        <w:t xml:space="preserve">”</w:t>
      </w:r>
    </w:p>
    <w:p>
      <w:pPr>
        <w:pStyle w:val="FirstParagraph"/>
      </w:pPr>
      <w:r>
        <w:t xml:space="preserve">The Resume’s professional summary states</w:t>
      </w:r>
      <w:r>
        <w:t xml:space="preserve"> </w:t>
      </w:r>
      <w:r>
        <w:t xml:space="preserve">“</w:t>
      </w:r>
      <w:r>
        <w:t xml:space="preserve">7+ years of experience</w:t>
      </w:r>
      <w:r>
        <w:t xml:space="preserve">”</w:t>
      </w:r>
      <w:r>
        <w:t xml:space="preserve">; the Support Letter (§4) states</w:t>
      </w:r>
      <w:r>
        <w:t xml:space="preserve"> </w:t>
      </w:r>
      <w:r>
        <w:t xml:space="preserve">“</w:t>
      </w:r>
      <w:r>
        <w:t xml:space="preserve">over 8 years of progressive experience.</w:t>
      </w:r>
      <w:r>
        <w:t xml:space="preserve">”</w:t>
      </w:r>
      <w:r>
        <w:t xml:space="preserve"> </w:t>
      </w:r>
      <w:r>
        <w:t xml:space="preserve">Both exceed the 3-year minimum, but the figures are inconsistent.</w:t>
      </w:r>
      <w:r>
        <w:t xml:space="preserve"> </w:t>
      </w:r>
      <w:r>
        <w:rPr>
          <w:b/>
          <w:bCs/>
        </w:rPr>
        <w:t xml:space="preserve">Recommendation:</w:t>
      </w:r>
      <w:r>
        <w:t xml:space="preserve"> </w:t>
      </w:r>
      <w:r>
        <w:t xml:space="preserve">reconcile to a single, supportable figure.</w:t>
      </w:r>
    </w:p>
    <w:bookmarkEnd w:id="36"/>
    <w:bookmarkStart w:id="37" w:name="Xd85f67dd0fd64ad727a9eb222b30034cbd417d8"/>
    <w:p>
      <w:pPr>
        <w:pStyle w:val="Heading4"/>
      </w:pPr>
      <w:r>
        <w:t xml:space="preserve">Issue 13 — NovaStar experience letter lacks specific day-level dates.</w:t>
      </w:r>
    </w:p>
    <w:p>
      <w:pPr>
        <w:pStyle w:val="FirstParagraph"/>
      </w:pPr>
      <w:r>
        <w:t xml:space="preserve">The NovaStar letter gives only</w:t>
      </w:r>
      <w:r>
        <w:t xml:space="preserve"> </w:t>
      </w:r>
      <w:r>
        <w:t xml:space="preserve">“</w:t>
      </w:r>
      <w:r>
        <w:t xml:space="preserve">April 2017 to July 2020</w:t>
      </w:r>
      <w:r>
        <w:t xml:space="preserve">”</w:t>
      </w:r>
      <w:r>
        <w:t xml:space="preserve"> </w:t>
      </w:r>
      <w:r>
        <w:t xml:space="preserve">(month/year), whereas the Kiran letter provides specific dates (June 16, 2014 – December 9, 2016).</w:t>
      </w:r>
      <w:r>
        <w:t xml:space="preserve"> </w:t>
      </w:r>
      <w:r>
        <w:rPr>
          <w:b/>
          <w:bCs/>
        </w:rPr>
        <w:t xml:space="preserve">Recommendation:</w:t>
      </w:r>
      <w:r>
        <w:t xml:space="preserve"> </w:t>
      </w:r>
      <w:r>
        <w:t xml:space="preserve">obtain specific start/end dates from NovaStar to match the precision of the Kiran letter and to support the timeline.</w:t>
      </w:r>
    </w:p>
    <w:bookmarkEnd w:id="37"/>
    <w:bookmarkStart w:id="38" w:name="Xe7ebf5089302984233ec7203491cf737fd99b2f"/>
    <w:p>
      <w:pPr>
        <w:pStyle w:val="Heading4"/>
      </w:pPr>
      <w:r>
        <w:t xml:space="preserve">Issue 14 — Kiran experience is general software development, not ML;</w:t>
      </w:r>
      <w:r>
        <w:t xml:space="preserve"> </w:t>
      </w:r>
      <w:r>
        <w:t xml:space="preserve">“</w:t>
      </w:r>
      <w:r>
        <w:t xml:space="preserve">progressive ML experience</w:t>
      </w:r>
      <w:r>
        <w:t xml:space="preserve">”</w:t>
      </w:r>
      <w:r>
        <w:t xml:space="preserve"> </w:t>
      </w:r>
      <w:r>
        <w:t xml:space="preserve">characterization is loose.</w:t>
      </w:r>
    </w:p>
    <w:p>
      <w:pPr>
        <w:pStyle w:val="FirstParagraph"/>
      </w:pPr>
      <w:r>
        <w:t xml:space="preserve">The Support Letter’s</w:t>
      </w:r>
      <w:r>
        <w:t xml:space="preserve"> </w:t>
      </w:r>
      <w:r>
        <w:t xml:space="preserve">“</w:t>
      </w:r>
      <w:r>
        <w:t xml:space="preserve">over 8 years of progressive experience in software development and machine learning engineering</w:t>
      </w:r>
      <w:r>
        <w:t xml:space="preserve">”</w:t>
      </w:r>
      <w:r>
        <w:t xml:space="preserve"> </w:t>
      </w:r>
      <w:r>
        <w:t xml:space="preserve">lumps non-ML software development (Kiran, 2014–2016) with ML experience.</w:t>
      </w:r>
      <w:r>
        <w:t xml:space="preserve"> </w:t>
      </w:r>
      <w:r>
        <w:rPr>
          <w:b/>
          <w:bCs/>
        </w:rPr>
        <w:t xml:space="preserve">Recommendation:</w:t>
      </w:r>
      <w:r>
        <w:t xml:space="preserve"> </w:t>
      </w:r>
      <w:r>
        <w:t xml:space="preserve">characterize the ML-specific experience separately and precisely, particularly for the alternative qualification (Issue 3); the Kiran period should not be counted toward</w:t>
      </w:r>
      <w:r>
        <w:t xml:space="preserve"> </w:t>
      </w:r>
      <w:r>
        <w:t xml:space="preserve">“</w:t>
      </w:r>
      <w:r>
        <w:t xml:space="preserve">progressive experience in machine learning.</w:t>
      </w:r>
      <w:r>
        <w:t xml:space="preserve">”</w:t>
      </w:r>
    </w:p>
    <w:bookmarkEnd w:id="38"/>
    <w:bookmarkStart w:id="39" w:name="X7d790a56e26359edba13c1ba1e0d6e1208b1073"/>
    <w:p>
      <w:pPr>
        <w:pStyle w:val="Heading4"/>
      </w:pPr>
      <w:r>
        <w:t xml:space="preserve">Issue 15 — Credential evaluation credit-hour characterization.</w:t>
      </w:r>
    </w:p>
    <w:p>
      <w:pPr>
        <w:pStyle w:val="FirstParagraph"/>
      </w:pPr>
      <w:r>
        <w:t xml:space="preserve">The evaluation (§4) describes the program as</w:t>
      </w:r>
      <w:r>
        <w:t xml:space="preserve"> </w:t>
      </w:r>
      <w:r>
        <w:t xml:space="preserve">“</w:t>
      </w:r>
      <w:r>
        <w:t xml:space="preserve">approximately 160 credit hours,</w:t>
      </w:r>
      <w:r>
        <w:t xml:space="preserve">”</w:t>
      </w:r>
      <w:r>
        <w:t xml:space="preserve"> </w:t>
      </w:r>
      <w:r>
        <w:t xml:space="preserve">while the Transcript summary shows</w:t>
      </w:r>
      <w:r>
        <w:t xml:space="preserve"> </w:t>
      </w:r>
      <w:r>
        <w:rPr>
          <w:b/>
          <w:bCs/>
        </w:rPr>
        <w:t xml:space="preserve">184 total credits</w:t>
      </w:r>
      <w:r>
        <w:t xml:space="preserve"> </w:t>
      </w:r>
      <w:r>
        <w:t xml:space="preserve">(160 theory + laboratory).</w:t>
      </w:r>
      <w:r>
        <w:t xml:space="preserve"> </w:t>
      </w:r>
      <w:r>
        <w:rPr>
          <w:b/>
          <w:bCs/>
        </w:rPr>
        <w:t xml:space="preserve">Recommendation:</w:t>
      </w:r>
      <w:r>
        <w:t xml:space="preserve"> </w:t>
      </w:r>
      <w:r>
        <w:t xml:space="preserve">clarify whether the 7.5% CS figure is computed against theory or total credits; either way the CS content is minimal (~6.5–7.5%), reinforcing Issue 2.</w:t>
      </w:r>
    </w:p>
    <w:bookmarkEnd w:id="39"/>
    <w:bookmarkStart w:id="40" w:name="X692c7ca688bbee85b51c969a139c83f55f90b7a"/>
    <w:p>
      <w:pPr>
        <w:pStyle w:val="Heading4"/>
      </w:pPr>
      <w:r>
        <w:t xml:space="preserve">Issue 16 — Evaluator’s doctoral institution (</w:t>
      </w:r>
      <w:r>
        <w:t xml:space="preserve">“</w:t>
      </w:r>
      <w:r>
        <w:t xml:space="preserve">Halford University</w:t>
      </w:r>
      <w:r>
        <w:t xml:space="preserve">”</w:t>
      </w:r>
      <w:r>
        <w:t xml:space="preserve">) should be verified.</w:t>
      </w:r>
    </w:p>
    <w:p>
      <w:pPr>
        <w:pStyle w:val="FirstParagraph"/>
      </w:pPr>
      <w:r>
        <w:t xml:space="preserve">The evaluation is signed by</w:t>
      </w:r>
      <w:r>
        <w:t xml:space="preserve"> </w:t>
      </w:r>
      <w:r>
        <w:t xml:space="preserve">“</w:t>
      </w:r>
      <w:r>
        <w:t xml:space="preserve">Dr. Linda Farnsworth, Ph.D.,</w:t>
      </w:r>
      <w:r>
        <w:t xml:space="preserve">”</w:t>
      </w:r>
      <w:r>
        <w:t xml:space="preserve"> </w:t>
      </w:r>
      <w:r>
        <w:t xml:space="preserve">with</w:t>
      </w:r>
      <w:r>
        <w:t xml:space="preserve"> </w:t>
      </w:r>
      <w:r>
        <w:t xml:space="preserve">“</w:t>
      </w:r>
      <w:r>
        <w:t xml:space="preserve">Ph.D., Education — Halford University.</w:t>
      </w:r>
      <w:r>
        <w:t xml:space="preserve">”</w:t>
      </w:r>
      <w:r>
        <w:t xml:space="preserve"> </w:t>
      </w:r>
      <w:r>
        <w:rPr>
          <w:b/>
          <w:bCs/>
        </w:rPr>
        <w:t xml:space="preserve">Recommendation:</w:t>
      </w:r>
      <w:r>
        <w:t xml:space="preserve"> </w:t>
      </w:r>
      <w:r>
        <w:t xml:space="preserve">confirm this institution is a recognized, accredited entity, as the weight given to the evaluation depends on the evaluator’s credentials. (NACES membership of the agency lends credibility, but the individual evaluator’s doctoral institution should be verifiable.)</w:t>
      </w:r>
    </w:p>
    <w:bookmarkEnd w:id="40"/>
    <w:bookmarkStart w:id="41" w:name="X1a285433e6a19edee3295a4cdec4052b10ba4eb"/>
    <w:p>
      <w:pPr>
        <w:pStyle w:val="Heading4"/>
      </w:pPr>
      <w:r>
        <w:t xml:space="preserve">Issue 17 — Financial ability to pay supported only by gross revenue.</w:t>
      </w:r>
    </w:p>
    <w:p>
      <w:pPr>
        <w:pStyle w:val="FirstParagraph"/>
      </w:pPr>
      <w:r>
        <w:t xml:space="preserve">The Support Letter cites $41.2M gross revenue (FY2023) but provides no tax returns, net-income, or net-current-asset figures. For a single beneficiary at a company of this size, ability to pay is likely satisfied, but</w:t>
      </w:r>
      <w:r>
        <w:t xml:space="preserve"> </w:t>
      </w:r>
      <w:r>
        <w:rPr>
          <w:b/>
          <w:bCs/>
        </w:rPr>
        <w:t xml:space="preserve">Recommendation:</w:t>
      </w:r>
      <w:r>
        <w:t xml:space="preserve"> </w:t>
      </w:r>
      <w:r>
        <w:t xml:space="preserve">be prepared to submit tax returns/financials if an RFE issues, as gross revenue alone is not the measure of ability to pay under the governing framework.</w:t>
      </w:r>
    </w:p>
    <w:bookmarkEnd w:id="41"/>
    <w:bookmarkStart w:id="42" w:name="X72ce768d7a382f78455e81722ea8c36a152e96d"/>
    <w:p>
      <w:pPr>
        <w:pStyle w:val="Heading4"/>
      </w:pPr>
      <w:r>
        <w:t xml:space="preserve">Issue 18 — Beneficiary status and filing documents not in package.</w:t>
      </w:r>
    </w:p>
    <w:p>
      <w:pPr>
        <w:pStyle w:val="FirstParagraph"/>
      </w:pPr>
      <w:r>
        <w:t xml:space="preserve">The Support Letter states the Beneficiary is on F-1 OPT transitioning to H-1B on October 1, 2025. The package does not include the Form I-20, EAD, cap-gap documentation, the H-1B registration selection notice, or Form I-129.</w:t>
      </w:r>
      <w:r>
        <w:t xml:space="preserve"> </w:t>
      </w:r>
      <w:r>
        <w:rPr>
          <w:b/>
          <w:bCs/>
        </w:rPr>
        <w:t xml:space="preserve">Recommendation:</w:t>
      </w:r>
      <w:r>
        <w:t xml:space="preserve"> </w:t>
      </w:r>
      <w:r>
        <w:t xml:space="preserve">confirm these are assembled for filing and that OPT/cap-gap work authorization runs through September 30, 2025.</w:t>
      </w:r>
    </w:p>
    <w:bookmarkEnd w:id="42"/>
    <w:bookmarkStart w:id="43" w:name="X22c11736df72b8021930deef9d9a9c43d9e07aa"/>
    <w:p>
      <w:pPr>
        <w:pStyle w:val="Heading4"/>
      </w:pPr>
      <w:r>
        <w:t xml:space="preserve">Issue 19 — SOC 15-2051 (Data Scientists) vs. </w:t>
      </w:r>
      <w:r>
        <w:t xml:space="preserve">“</w:t>
      </w:r>
      <w:r>
        <w:t xml:space="preserve">Machine Learning Engineer</w:t>
      </w:r>
      <w:r>
        <w:t xml:space="preserve">”</w:t>
      </w:r>
      <w:r>
        <w:t xml:space="preserve"> </w:t>
      </w:r>
      <w:r>
        <w:t xml:space="preserve">title and engineering/infrastructure duties.</w:t>
      </w:r>
    </w:p>
    <w:p>
      <w:pPr>
        <w:pStyle w:val="FirstParagraph"/>
      </w:pPr>
      <w:r>
        <w:t xml:space="preserve">The position title and several duties (architecting/managing AWS infrastructure, production Python codebases, ML pipelines) have a software-engineering flavor. The PWD was issued on SOC 15-2051, so it is likely acceptable, but</w:t>
      </w:r>
      <w:r>
        <w:t xml:space="preserve"> </w:t>
      </w:r>
      <w:r>
        <w:rPr>
          <w:b/>
          <w:bCs/>
        </w:rPr>
        <w:t xml:space="preserve">Recommendation:</w:t>
      </w:r>
      <w:r>
        <w:t xml:space="preserve"> </w:t>
      </w:r>
      <w:r>
        <w:t xml:space="preserve">ensure the duties narrative is consistent with Data Scientist (15-2051) rather than Software Developer (15-1252) duties, and confirm 15-2051 is the most defensible SOC.</w:t>
      </w:r>
    </w:p>
    <w:bookmarkEnd w:id="43"/>
    <w:bookmarkStart w:id="44" w:name="X3d7531f5d9ce107519c41fc0fa98ed091348739"/>
    <w:p>
      <w:pPr>
        <w:pStyle w:val="Heading4"/>
      </w:pPr>
      <w:r>
        <w:t xml:space="preserve">Issue 20 — Org Chart</w:t>
      </w:r>
      <w:r>
        <w:t xml:space="preserve"> </w:t>
      </w:r>
      <w:r>
        <w:t xml:space="preserve">“</w:t>
      </w:r>
      <w:r>
        <w:t xml:space="preserve">Effective as of March 2025</w:t>
      </w:r>
      <w:r>
        <w:t xml:space="preserve">”</w:t>
      </w:r>
      <w:r>
        <w:t xml:space="preserve"> </w:t>
      </w:r>
      <w:r>
        <w:t xml:space="preserve">while the petitioned position starts October 1, 2025.</w:t>
      </w:r>
    </w:p>
    <w:p>
      <w:pPr>
        <w:pStyle w:val="FirstParagraph"/>
      </w:pPr>
      <w:r>
        <w:t xml:space="preserve">Minor temporal awkwardness.</w:t>
      </w:r>
      <w:r>
        <w:t xml:space="preserve"> </w:t>
      </w:r>
      <w:r>
        <w:rPr>
          <w:b/>
          <w:bCs/>
        </w:rPr>
        <w:t xml:space="preserve">Recommendation:</w:t>
      </w:r>
      <w:r>
        <w:t xml:space="preserve"> </w:t>
      </w:r>
      <w:r>
        <w:t xml:space="preserve">date the Org Chart to reflect the intended October 1, 2025 structure, or note that it depicts the prospective organization as of the H-1B start date.</w:t>
      </w:r>
    </w:p>
    <w:bookmarkEnd w:id="44"/>
    <w:bookmarkStart w:id="45" w:name="Xa8a362d8fdff5e4204c8bd900418af5c0f5f880"/>
    <w:p>
      <w:pPr>
        <w:pStyle w:val="Heading4"/>
      </w:pPr>
      <w:r>
        <w:t xml:space="preserve">Issue 21 — NovaStar experience letter appears unsigned; confirm original signatures.</w:t>
      </w:r>
    </w:p>
    <w:p>
      <w:pPr>
        <w:pStyle w:val="FirstParagraph"/>
      </w:pPr>
      <w:r>
        <w:t xml:space="preserve">The Kiran letter bears</w:t>
      </w:r>
      <w:r>
        <w:t xml:space="preserve"> </w:t>
      </w:r>
      <w:r>
        <w:t xml:space="preserve">“</w:t>
      </w:r>
      <w:r>
        <w:t xml:space="preserve">/s/ Suresh Raghavan</w:t>
      </w:r>
      <w:r>
        <w:t xml:space="preserve">”</w:t>
      </w:r>
      <w:r>
        <w:t xml:space="preserve">; the NovaStar letter shows a</w:t>
      </w:r>
      <w:r>
        <w:t xml:space="preserve"> </w:t>
      </w:r>
      <w:r>
        <w:rPr>
          <w:b/>
          <w:bCs/>
        </w:rPr>
        <w:t xml:space="preserve">blank signature line</w:t>
      </w:r>
      <w:r>
        <w:t xml:space="preserve"> </w:t>
      </w:r>
      <w:r>
        <w:t xml:space="preserve">above</w:t>
      </w:r>
      <w:r>
        <w:t xml:space="preserve"> </w:t>
      </w:r>
      <w:r>
        <w:t xml:space="preserve">“</w:t>
      </w:r>
      <w:r>
        <w:t xml:space="preserve">Carolyn Beech.</w:t>
      </w:r>
      <w:r>
        <w:t xml:space="preserve">”</w:t>
      </w:r>
      <w:r>
        <w:t xml:space="preserve"> </w:t>
      </w:r>
      <w:r>
        <w:t xml:space="preserve">The LCA (§L.2) and Support Letter also show blank employer signature lines.</w:t>
      </w:r>
      <w:r>
        <w:t xml:space="preserve"> </w:t>
      </w:r>
      <w:r>
        <w:rPr>
          <w:b/>
          <w:bCs/>
        </w:rPr>
        <w:t xml:space="preserve">Recommendation:</w:t>
      </w:r>
      <w:r>
        <w:t xml:space="preserve"> </w:t>
      </w:r>
      <w:r>
        <w:t xml:space="preserve">ensure the NovaStar letter, LCA, and Support Letter bear original (wet or compliant e-) signatures before filing.</w:t>
      </w:r>
    </w:p>
    <w:bookmarkEnd w:id="45"/>
    <w:bookmarkEnd w:id="46"/>
    <w:bookmarkEnd w:id="47"/>
    <w:bookmarkStart w:id="48" w:name="X9c94a9ecefa13b07c87973384ad99d0cf5d8c66"/>
    <w:p>
      <w:pPr>
        <w:pStyle w:val="Heading2"/>
      </w:pPr>
      <w:r>
        <w:t xml:space="preserve">V. Cross-Reference Consistency Check (Items Confirmed Consistent)</w:t>
      </w:r>
    </w:p>
    <w:p>
      <w:pPr>
        <w:pStyle w:val="FirstParagraph"/>
      </w:pPr>
      <w:r>
        <w:t xml:space="preserve">For completeness, the following were cross-checked and found</w:t>
      </w:r>
      <w:r>
        <w:t xml:space="preserve"> </w:t>
      </w:r>
      <w:r>
        <w:rPr>
          <w:b/>
          <w:bCs/>
        </w:rPr>
        <w:t xml:space="preserve">consistent</w:t>
      </w:r>
      <w:r>
        <w:t xml:space="preserve"> </w:t>
      </w:r>
      <w:r>
        <w:t xml:space="preserve">across documents and present no issue:</w:t>
      </w:r>
    </w:p>
    <w:p>
      <w:pPr>
        <w:pStyle w:val="Compact"/>
        <w:numPr>
          <w:ilvl w:val="0"/>
          <w:numId w:val="1003"/>
        </w:numPr>
      </w:pPr>
      <w:r>
        <w:t xml:space="preserve">Employer legal name and address (4200 Congress Avenue, Suite 1100, Austin, TX 78701)</w:t>
      </w:r>
    </w:p>
    <w:p>
      <w:pPr>
        <w:pStyle w:val="Compact"/>
        <w:numPr>
          <w:ilvl w:val="0"/>
          <w:numId w:val="1003"/>
        </w:numPr>
      </w:pPr>
      <w:r>
        <w:t xml:space="preserve">LCA case number (I-200-25031-543219) — LCA, Support Letter, Posting Notice</w:t>
      </w:r>
    </w:p>
    <w:p>
      <w:pPr>
        <w:pStyle w:val="Compact"/>
        <w:numPr>
          <w:ilvl w:val="0"/>
          <w:numId w:val="1003"/>
        </w:numPr>
      </w:pPr>
      <w:r>
        <w:t xml:space="preserve">PWD case number (P-300-25012-183456) — PWD, LCA</w:t>
      </w:r>
    </w:p>
    <w:p>
      <w:pPr>
        <w:pStyle w:val="Compact"/>
        <w:numPr>
          <w:ilvl w:val="0"/>
          <w:numId w:val="1003"/>
        </w:numPr>
      </w:pPr>
      <w:r>
        <w:t xml:space="preserve">SOC code (15-2051 / Data Scientists) — LCA, PWD, Support Letter</w:t>
      </w:r>
    </w:p>
    <w:p>
      <w:pPr>
        <w:pStyle w:val="Compact"/>
        <w:numPr>
          <w:ilvl w:val="0"/>
          <w:numId w:val="1003"/>
        </w:numPr>
      </w:pPr>
      <w:r>
        <w:t xml:space="preserve">Offered wage ($128,000) — LCA, Support Letter, Posting Notice</w:t>
      </w:r>
    </w:p>
    <w:p>
      <w:pPr>
        <w:pStyle w:val="Compact"/>
        <w:numPr>
          <w:ilvl w:val="0"/>
          <w:numId w:val="1003"/>
        </w:numPr>
      </w:pPr>
      <w:r>
        <w:t xml:space="preserve">Prevailing wage ($113,734, Level 2) — PWD, LCA, Support Letter, Posting Notice</w:t>
      </w:r>
    </w:p>
    <w:p>
      <w:pPr>
        <w:pStyle w:val="Compact"/>
        <w:numPr>
          <w:ilvl w:val="0"/>
          <w:numId w:val="1003"/>
        </w:numPr>
      </w:pPr>
      <w:r>
        <w:t xml:space="preserve">Employment period (Oct. 1, 2025 – Sept. 30, 2028) — LCA, Support Letter, Posting Notice</w:t>
      </w:r>
    </w:p>
    <w:p>
      <w:pPr>
        <w:pStyle w:val="Compact"/>
        <w:numPr>
          <w:ilvl w:val="0"/>
          <w:numId w:val="1003"/>
        </w:numPr>
      </w:pPr>
      <w:r>
        <w:t xml:space="preserve">Attorney of record (Daniel Okafor, Holloway Sterne LLP) — LCA, PWD, Support Letter, Credential Evaluation</w:t>
      </w:r>
    </w:p>
    <w:p>
      <w:pPr>
        <w:pStyle w:val="Compact"/>
        <w:numPr>
          <w:ilvl w:val="0"/>
          <w:numId w:val="1003"/>
        </w:numPr>
      </w:pPr>
      <w:r>
        <w:t xml:space="preserve">Employer FEIN (84-3291756) — LCA, PWD</w:t>
      </w:r>
    </w:p>
    <w:p>
      <w:pPr>
        <w:pStyle w:val="Compact"/>
        <w:numPr>
          <w:ilvl w:val="0"/>
          <w:numId w:val="1003"/>
        </w:numPr>
      </w:pPr>
      <w:r>
        <w:t xml:space="preserve">NAICS (541511) — LCA, PWD, Support Letter</w:t>
      </w:r>
    </w:p>
    <w:p>
      <w:pPr>
        <w:pStyle w:val="Compact"/>
        <w:numPr>
          <w:ilvl w:val="0"/>
          <w:numId w:val="1003"/>
        </w:numPr>
      </w:pPr>
      <w:r>
        <w:t xml:space="preserve">Employee count (187) and revenue ($41.2M) — LCA, Support Letter, Org Chart</w:t>
      </w:r>
    </w:p>
    <w:p>
      <w:pPr>
        <w:pStyle w:val="Compact"/>
        <w:numPr>
          <w:ilvl w:val="0"/>
          <w:numId w:val="1003"/>
        </w:numPr>
      </w:pPr>
      <w:r>
        <w:t xml:space="preserve">Beneficiary name and date of birth (March 14, 1992) — Resume, Credential Evaluation, Transcript, Support Letter</w:t>
      </w:r>
    </w:p>
    <w:p>
      <w:pPr>
        <w:pStyle w:val="Compact"/>
        <w:numPr>
          <w:ilvl w:val="0"/>
          <w:numId w:val="1003"/>
        </w:numPr>
      </w:pPr>
      <w:r>
        <w:t xml:space="preserve">Degree institution, field, and conferral date (JNTU Hyderabad, ECE, May 2014) — all education documents</w:t>
      </w:r>
    </w:p>
    <w:p>
      <w:pPr>
        <w:pStyle w:val="Compact"/>
        <w:numPr>
          <w:ilvl w:val="0"/>
          <w:numId w:val="1003"/>
        </w:numPr>
      </w:pPr>
      <w:r>
        <w:t xml:space="preserve">Duty-time percentages in the Support Letter (sum to 100%)</w:t>
      </w:r>
    </w:p>
    <w:p>
      <w:pPr>
        <w:pStyle w:val="Compact"/>
        <w:numPr>
          <w:ilvl w:val="0"/>
          <w:numId w:val="1003"/>
        </w:numPr>
      </w:pPr>
      <w:r>
        <w:t xml:space="preserve">LCA validity period (Oct. 1, 2025 – Sept. 30, 2028) within PWD validity at LCA filing (PWD valid Jan. 15, 2025 – Jan. 14, 2026; LCA certified Mar. 10, 2025)</w:t>
      </w:r>
    </w:p>
    <w:bookmarkEnd w:id="48"/>
    <w:bookmarkStart w:id="49" w:name="X5c0977b2a972303e6f5d2313da3b2622b1d3bc1"/>
    <w:p>
      <w:pPr>
        <w:pStyle w:val="Heading2"/>
      </w:pPr>
      <w:r>
        <w:t xml:space="preserve">VI. Recommended Action Plan (Priority Order)</w:t>
      </w:r>
    </w:p>
    <w:p>
      <w:pPr>
        <w:numPr>
          <w:ilvl w:val="0"/>
          <w:numId w:val="1004"/>
        </w:numPr>
      </w:pPr>
      <w:r>
        <w:rPr>
          <w:b/>
          <w:bCs/>
        </w:rPr>
        <w:t xml:space="preserve">Wage level (Issue 1):</w:t>
      </w:r>
      <w:r>
        <w:t xml:space="preserve"> </w:t>
      </w:r>
      <w:r>
        <w:t xml:space="preserve">Decide between raising the offered wage to ≥ $137,946 (Level 3) or revising duties to support Level 2; obtain a conforming PWD/LCA if needed.</w:t>
      </w:r>
      <w:r>
        <w:t xml:space="preserve"> </w:t>
      </w:r>
      <w:r>
        <w:rPr>
          <w:i/>
          <w:iCs/>
        </w:rPr>
        <w:t xml:space="preserve">[Highest priority — a wage deficiency is the most direct path to denial/revocation.]</w:t>
      </w:r>
    </w:p>
    <w:p>
      <w:pPr>
        <w:numPr>
          <w:ilvl w:val="0"/>
          <w:numId w:val="1004"/>
        </w:numPr>
      </w:pPr>
      <w:r>
        <w:rPr>
          <w:b/>
          <w:bCs/>
        </w:rPr>
        <w:t xml:space="preserve">Degree field (Issues 2–3):</w:t>
      </w:r>
      <w:r>
        <w:t xml:space="preserve"> </w:t>
      </w:r>
      <w:r>
        <w:t xml:space="preserve">Commission a supplemental expert evaluation opining on field-of-study relevance and/or a recognized combination equivalency; reframe the</w:t>
      </w:r>
      <w:r>
        <w:t xml:space="preserve"> </w:t>
      </w:r>
      <w:r>
        <w:t xml:space="preserve">“</w:t>
      </w:r>
      <w:r>
        <w:t xml:space="preserve">alternative qualification</w:t>
      </w:r>
      <w:r>
        <w:t xml:space="preserve">”</w:t>
      </w:r>
      <w:r>
        <w:t xml:space="preserve"> </w:t>
      </w:r>
      <w:r>
        <w:t xml:space="preserve">in USCIS-recognized terms.</w:t>
      </w:r>
    </w:p>
    <w:p>
      <w:pPr>
        <w:numPr>
          <w:ilvl w:val="0"/>
          <w:numId w:val="1004"/>
        </w:numPr>
      </w:pPr>
      <w:r>
        <w:rPr>
          <w:b/>
          <w:bCs/>
        </w:rPr>
        <w:t xml:space="preserve">Independent consulting experience (Issue 4):</w:t>
      </w:r>
      <w:r>
        <w:t xml:space="preserve"> </w:t>
      </w:r>
      <w:r>
        <w:t xml:space="preserve">Collect client letters and tax/contract documentation for Aug. 2020–Aug. 2023; recompute qualifying experience if any portion cannot be documented.</w:t>
      </w:r>
    </w:p>
    <w:p>
      <w:pPr>
        <w:numPr>
          <w:ilvl w:val="0"/>
          <w:numId w:val="1004"/>
        </w:numPr>
      </w:pPr>
      <w:r>
        <w:rPr>
          <w:b/>
          <w:bCs/>
        </w:rPr>
        <w:t xml:space="preserve">Date consistency (Issue 5):</w:t>
      </w:r>
      <w:r>
        <w:t xml:space="preserve"> </w:t>
      </w:r>
      <w:r>
        <w:t xml:space="preserve">Correct the Resume to match the experience letters; explain the Jan.–Mar. 2017 gap.</w:t>
      </w:r>
    </w:p>
    <w:p>
      <w:pPr>
        <w:numPr>
          <w:ilvl w:val="0"/>
          <w:numId w:val="1004"/>
        </w:numPr>
      </w:pPr>
      <w:r>
        <w:rPr>
          <w:b/>
          <w:bCs/>
        </w:rPr>
        <w:t xml:space="preserve">Posting compliance (Issues 6, 10):</w:t>
      </w:r>
      <w:r>
        <w:t xml:space="preserve"> </w:t>
      </w:r>
      <w:r>
        <w:t xml:space="preserve">Re-post for 10 consecutive business days in two documented locations; correct the employer contact number (Issue 8).</w:t>
      </w:r>
    </w:p>
    <w:p>
      <w:pPr>
        <w:numPr>
          <w:ilvl w:val="0"/>
          <w:numId w:val="1004"/>
        </w:numPr>
      </w:pPr>
      <w:r>
        <w:rPr>
          <w:b/>
          <w:bCs/>
        </w:rPr>
        <w:t xml:space="preserve">Org-chart / Support-Letter reconciliation (Issues 7, 9, 20):</w:t>
      </w:r>
      <w:r>
        <w:t xml:space="preserve"> </w:t>
      </w:r>
      <w:r>
        <w:t xml:space="preserve">Make the direct-report count, reporting line, and dating consistent.</w:t>
      </w:r>
    </w:p>
    <w:p>
      <w:pPr>
        <w:numPr>
          <w:ilvl w:val="0"/>
          <w:numId w:val="1004"/>
        </w:numPr>
      </w:pPr>
      <w:r>
        <w:rPr>
          <w:b/>
          <w:bCs/>
        </w:rPr>
        <w:t xml:space="preserve">Contact-number standardization (Issue 8):</w:t>
      </w:r>
      <w:r>
        <w:t xml:space="preserve"> </w:t>
      </w:r>
      <w:r>
        <w:t xml:space="preserve">Use one employer telephone number across all documents; remove the Beneficiary’s personal number from the Posting Notice.</w:t>
      </w:r>
    </w:p>
    <w:p>
      <w:pPr>
        <w:numPr>
          <w:ilvl w:val="0"/>
          <w:numId w:val="1004"/>
        </w:numPr>
      </w:pPr>
      <w:r>
        <w:rPr>
          <w:b/>
          <w:bCs/>
        </w:rPr>
        <w:t xml:space="preserve">Low-severity clean-up (Issues 11–21):</w:t>
      </w:r>
      <w:r>
        <w:t xml:space="preserve"> </w:t>
      </w:r>
      <w:r>
        <w:t xml:space="preserve">Address documentation gaps and minor inconsistencies (signatures, dates, SOC fit, ability-to-pay backup, status documents) before filing.</w:t>
      </w:r>
    </w:p>
    <w:p>
      <w:r>
        <w:pict>
          <v:rect style="width:0;height:1.5pt" o:hralign="center" o:hrstd="t" o:hr="t"/>
        </w:pict>
      </w:r>
    </w:p>
    <w:p>
      <w:pPr>
        <w:pStyle w:val="FirstParagraph"/>
      </w:pPr>
      <w:r>
        <w:rPr>
          <w:i/>
          <w:iCs/>
        </w:rPr>
        <w:t xml:space="preserve">Prepared on the basis of the ten documents listed in Section II. This memorandum identifies issues for counsel’s review and remediation; it does not constitute a final adjudicatory determination.</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2026-06-27T20:26:19Z</dcterms:created>
  <dcterms:modified xsi:type="dcterms:W3CDTF">2026-06-27T20:26:19Z</dcterms:modified>
</cp:coreProperties>
</file>

<file path=docProps/custom.xml><?xml version="1.0" encoding="utf-8"?>
<Properties xmlns="http://schemas.openxmlformats.org/officeDocument/2006/custom-properties" xmlns:vt="http://schemas.openxmlformats.org/officeDocument/2006/docPropsVTypes"/>
</file>