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memorandum"/>
    <w:p>
      <w:pPr>
        <w:pStyle w:val="Heading1"/>
      </w:pPr>
      <w:r>
        <w:t xml:space="preserve">MEMORANDUM</w:t>
      </w:r>
    </w:p>
    <w:p>
      <w:pPr>
        <w:pStyle w:val="FirstParagraph"/>
      </w:pPr>
      <w:r>
        <w:rPr>
          <w:b/>
          <w:bCs/>
        </w:rPr>
        <w:t xml:space="preserve">PRIVILEGED &amp; CONFIDENTIAL — ATTORNEY-CLIENT COMMUNICATION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Board of Directors, Whitmore Analytics Inc.</w:t>
            </w:r>
          </w:p>
        </w:tc>
      </w:tr>
      <w:tr>
        <w:tc>
          <w:tcPr/>
          <w:p>
            <w:pPr>
              <w:pStyle w:val="Compact"/>
              <w:jc w:val="left"/>
            </w:pPr>
            <w:r>
              <w:rPr>
                <w:b/>
                <w:bCs/>
              </w:rPr>
              <w:t xml:space="preserve">FROM:</w:t>
            </w:r>
          </w:p>
        </w:tc>
        <w:tc>
          <w:tcPr/>
          <w:p>
            <w:pPr>
              <w:pStyle w:val="Compact"/>
              <w:jc w:val="left"/>
            </w:pPr>
            <w:r>
              <w:t xml:space="preserve">Ferndale Hale &amp; Seward LLP — Daniel Cortez &amp; Priya Venkatesh</w:t>
            </w:r>
          </w:p>
        </w:tc>
      </w:tr>
      <w:tr>
        <w:tc>
          <w:tcPr/>
          <w:p>
            <w:pPr>
              <w:pStyle w:val="Compact"/>
              <w:jc w:val="left"/>
            </w:pPr>
            <w:r>
              <w:rPr>
                <w:b/>
                <w:bCs/>
              </w:rPr>
              <w:t xml:space="preserve">DATE:</w:t>
            </w:r>
          </w:p>
        </w:tc>
        <w:tc>
          <w:tcPr/>
          <w:p>
            <w:pPr>
              <w:pStyle w:val="Compact"/>
              <w:jc w:val="left"/>
            </w:pPr>
            <w:r>
              <w:t xml:space="preserve">June 16, 2025</w:t>
            </w:r>
          </w:p>
        </w:tc>
      </w:tr>
      <w:tr>
        <w:tc>
          <w:tcPr/>
          <w:p>
            <w:pPr>
              <w:pStyle w:val="Compact"/>
              <w:jc w:val="left"/>
            </w:pPr>
            <w:r>
              <w:rPr>
                <w:b/>
                <w:bCs/>
              </w:rPr>
              <w:t xml:space="preserve">RE:</w:t>
            </w:r>
          </w:p>
        </w:tc>
        <w:tc>
          <w:tcPr/>
          <w:p>
            <w:pPr>
              <w:pStyle w:val="Compact"/>
              <w:jc w:val="left"/>
            </w:pPr>
            <w:r>
              <w:t xml:space="preserve">Key-Terms Extraction, Risk Assessment &amp; Negotiation Recommendations — Proposed PredictIQ Technology License Agreement with Kessler-Brandt Industrial GmbH (</w:t>
            </w:r>
            <w:r>
              <w:t xml:space="preserve">“</w:t>
            </w:r>
            <w:r>
              <w:t xml:space="preserve">KBI</w:t>
            </w:r>
            <w:r>
              <w:t xml:space="preserve">”</w:t>
            </w:r>
            <w:r>
              <w:t xml:space="preserve">)</w:t>
            </w:r>
          </w:p>
        </w:tc>
      </w:tr>
      <w:tr>
        <w:tc>
          <w:tcPr/>
          <w:p>
            <w:pPr>
              <w:pStyle w:val="Compact"/>
              <w:jc w:val="left"/>
            </w:pPr>
            <w:r>
              <w:rPr>
                <w:b/>
                <w:bCs/>
              </w:rPr>
              <w:t xml:space="preserve">PREPARED FOR:</w:t>
            </w:r>
          </w:p>
        </w:tc>
        <w:tc>
          <w:tcPr/>
          <w:p>
            <w:pPr>
              <w:pStyle w:val="Compact"/>
              <w:jc w:val="left"/>
            </w:pPr>
            <w:r>
              <w:t xml:space="preserve">Board meeting of June 18, 2025</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extracts and analyzes the principal terms of (i) the non-binding term sheet dated May 29, 2025 (the</w:t>
      </w:r>
      <w:r>
        <w:t xml:space="preserve"> </w:t>
      </w:r>
      <w:r>
        <w:t xml:space="preserve">“</w:t>
      </w:r>
      <w:r>
        <w:t xml:space="preserve">Term Sheet</w:t>
      </w:r>
      <w:r>
        <w:t xml:space="preserve">”</w:t>
      </w:r>
      <w:r>
        <w:t xml:space="preserve">), prepared by KBI’s counsel (Bergström Hecht Rechtsanwälte, Dr. Luisa Trautmann), proposing a perpetual technology license of Whitmore’s PredictIQ platform to KBI; and (ii) the accompanying most-favored-customer (</w:t>
      </w:r>
      <w:r>
        <w:t xml:space="preserve">“</w:t>
      </w:r>
      <w:r>
        <w:t xml:space="preserve">MFC</w:t>
      </w:r>
      <w:r>
        <w:t xml:space="preserve">”</w:t>
      </w:r>
      <w:r>
        <w:t xml:space="preserve">) side letter of even date (the</w:t>
      </w:r>
      <w:r>
        <w:t xml:space="preserve"> </w:t>
      </w:r>
      <w:r>
        <w:t xml:space="preserve">“</w:t>
      </w:r>
      <w:r>
        <w:t xml:space="preserve">Side Letter</w:t>
      </w:r>
      <w:r>
        <w:t xml:space="preserve">”</w:t>
      </w:r>
      <w:r>
        <w:t xml:space="preserve">). It also reflects and builds upon the preliminary concerns raised by Whitmore’s internal team (Rajesh Malhotra, CEO; Sarah Yin, General Counsel; Tom Kendrick, VP, Sales) in their email exchange of June 3, 2025.</w:t>
      </w:r>
    </w:p>
    <w:p>
      <w:pPr>
        <w:pStyle w:val="BodyText"/>
      </w:pPr>
      <w:r>
        <w:rPr>
          <w:b/>
          <w:bCs/>
        </w:rPr>
        <w:t xml:space="preserve">Commercial significance.</w:t>
      </w:r>
      <w:r>
        <w:t xml:space="preserve"> </w:t>
      </w:r>
      <w:r>
        <w:t xml:space="preserve">The proposed transaction would generate approximately</w:t>
      </w:r>
      <w:r>
        <w:t xml:space="preserve"> </w:t>
      </w:r>
      <w:r>
        <w:rPr>
          <w:b/>
          <w:bCs/>
        </w:rPr>
        <w:t xml:space="preserve">$9.56 million in first-year revenue</w:t>
      </w:r>
      <w:r>
        <w:t xml:space="preserve"> </w:t>
      </w:r>
      <w:r>
        <w:t xml:space="preserve">to Whitmore — roughly</w:t>
      </w:r>
      <w:r>
        <w:t xml:space="preserve"> </w:t>
      </w:r>
      <w:r>
        <w:rPr>
          <w:b/>
          <w:bCs/>
        </w:rPr>
        <w:t xml:space="preserve">20% of FY 2024 revenue ($47.3M)</w:t>
      </w:r>
      <w:r>
        <w:t xml:space="preserve"> </w:t>
      </w:r>
      <w:r>
        <w:t xml:space="preserve">— including a recurring SaaS component of</w:t>
      </w:r>
      <w:r>
        <w:t xml:space="preserve"> </w:t>
      </w:r>
      <w:r>
        <w:rPr>
          <w:b/>
          <w:bCs/>
        </w:rPr>
        <w:t xml:space="preserve">$2.85M/year</w:t>
      </w:r>
      <w:r>
        <w:t xml:space="preserve">, which would be Whitmore’s largest single SaaS contract by a factor of three. Over a five-year horizon, total contract value is approximately</w:t>
      </w:r>
      <w:r>
        <w:t xml:space="preserve"> </w:t>
      </w:r>
      <w:r>
        <w:rPr>
          <w:b/>
          <w:bCs/>
        </w:rPr>
        <w:t xml:space="preserve">$24.5M</w:t>
      </w:r>
      <w:r>
        <w:t xml:space="preserve">. The deal would be the centerpiece of any Series C narrative to Hollcroft Ventures and would establish a flagship reference account in European heavy manufacturing. We agree with management that this is the most significant commercial opportunity in the company’s history.</w:t>
      </w:r>
    </w:p>
    <w:p>
      <w:pPr>
        <w:pStyle w:val="BodyText"/>
      </w:pPr>
      <w:r>
        <w:rPr>
          <w:b/>
          <w:bCs/>
        </w:rPr>
        <w:t xml:space="preserve">Bottom line.</w:t>
      </w:r>
      <w:r>
        <w:t xml:space="preserve"> </w:t>
      </w:r>
      <w:r>
        <w:t xml:space="preserve">The deal is strategically compelling and should be pursued aggressively. However,</w:t>
      </w:r>
      <w:r>
        <w:t xml:space="preserve"> </w:t>
      </w:r>
      <w:r>
        <w:rPr>
          <w:b/>
          <w:bCs/>
        </w:rPr>
        <w:t xml:space="preserve">the Term Sheet and Side Letter, as drafted, contain several provisions that would materially impair Whitmore’s core intellectual property, business model, and growth trajectory if accepted as-is.</w:t>
      </w:r>
      <w:r>
        <w:t xml:space="preserve"> </w:t>
      </w:r>
      <w:r>
        <w:t xml:space="preserve">Three provisions rise to the level of dealbreakers; a larger group requires substantial renegotiation. None of the issues identified are, in our view, reasons to walk away — but several are reasons to insist on structural change before execution of a definitive agreement.</w:t>
      </w:r>
    </w:p>
    <w:p>
      <w:pPr>
        <w:pStyle w:val="BodyText"/>
      </w:pPr>
      <w:r>
        <w:rPr>
          <w:b/>
          <w:bCs/>
        </w:rPr>
        <w:t xml:space="preserve">The three critical (dealbreaker-level) issues:</w:t>
      </w:r>
    </w:p>
    <w:p>
      <w:pPr>
        <w:numPr>
          <w:ilvl w:val="0"/>
          <w:numId w:val="1001"/>
        </w:numPr>
      </w:pPr>
      <w:r>
        <w:rPr>
          <w:b/>
          <w:bCs/>
        </w:rPr>
        <w:t xml:space="preserve">Exclusivity / Non-Compete (Term Sheet §12).</w:t>
      </w:r>
      <w:r>
        <w:t xml:space="preserve"> </w:t>
      </w:r>
      <w:r>
        <w:t xml:space="preserve">A three-year exclusivity backed by an open-ended</w:t>
      </w:r>
      <w:r>
        <w:t xml:space="preserve"> </w:t>
      </w:r>
      <w:r>
        <w:t xml:space="preserve">“</w:t>
      </w:r>
      <w:r>
        <w:t xml:space="preserve">30% revenue</w:t>
      </w:r>
      <w:r>
        <w:t xml:space="preserve">”</w:t>
      </w:r>
      <w:r>
        <w:t xml:space="preserve"> </w:t>
      </w:r>
      <w:r>
        <w:t xml:space="preserve">definition that could sweep in 25–30 additional European manufacturers beyond the 12 named in Exhibit B — including three active prospects representing $4–5M in potential recurring SaaS revenue — and that imposes an unworkable affirmative monitoring obligation on Whitmore. The asymmetry is compounded by KBI’s separate five-year expansion right.</w:t>
      </w:r>
    </w:p>
    <w:p>
      <w:pPr>
        <w:numPr>
          <w:ilvl w:val="0"/>
          <w:numId w:val="1001"/>
        </w:numPr>
      </w:pPr>
      <w:r>
        <w:rPr>
          <w:b/>
          <w:bCs/>
        </w:rPr>
        <w:t xml:space="preserve">Data Rights — Training Prohibition &amp; Output Data Ownership (Term Sheet §§4.2–4.3).</w:t>
      </w:r>
      <w:r>
        <w:t xml:space="preserve"> </w:t>
      </w:r>
      <w:r>
        <w:t xml:space="preserve">A blanket prohibition on Whitmore’s use of KBI data — even anonymized and aggregated — to improve PredictIQ’s general ML models (consent withholdable in KBI’s sole discretion), combined with an Output Data definition that claims KBI ownership of model weights, parameters, and training artifacts generated in the ordinary course of service. Together these provisions threaten the single mechanism by which PredictIQ’s value compounds over time.</w:t>
      </w:r>
    </w:p>
    <w:p>
      <w:pPr>
        <w:numPr>
          <w:ilvl w:val="0"/>
          <w:numId w:val="1001"/>
        </w:numPr>
      </w:pPr>
      <w:r>
        <w:rPr>
          <w:b/>
          <w:bCs/>
        </w:rPr>
        <w:t xml:space="preserve">MFC Side Letter.</w:t>
      </w:r>
      <w:r>
        <w:t xml:space="preserve"> </w:t>
      </w:r>
      <w:r>
        <w:t xml:space="preserve">The most aggressive most-favored-customer provision we have encountered: no sunset, no carve-outs, retroactive application, and extension beyond the term for so long as KBI retains any license rights (including the post-termination wind-down license). KBI conditions the entire transaction on its acceptance.</w:t>
      </w:r>
    </w:p>
    <w:p>
      <w:pPr>
        <w:pStyle w:val="FirstParagraph"/>
      </w:pPr>
      <w:r>
        <w:rPr>
          <w:b/>
          <w:bCs/>
        </w:rPr>
        <w:t xml:space="preserve">Recommended posture.</w:t>
      </w:r>
      <w:r>
        <w:t xml:space="preserve"> </w:t>
      </w:r>
      <w:r>
        <w:t xml:space="preserve">Proceed to negotiate, with a clear set of red lines (Section VII). The board’s approval of the negotiation framework set out herein will allow management to deliver a substantive response to KBI by the June 23, 2025 deadline while preserving Whitmore’s core IP and go-to-market freedom.</w:t>
      </w:r>
    </w:p>
    <w:bookmarkStart w:id="20" w:name="risk-severity-summary"/>
    <w:p>
      <w:pPr>
        <w:pStyle w:val="Heading3"/>
      </w:pPr>
      <w:r>
        <w:t xml:space="preserve">Risk Severity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Section</w:t>
            </w:r>
          </w:p>
        </w:tc>
      </w:tr>
      <w:tr>
        <w:tc>
          <w:tcPr/>
          <w:p>
            <w:pPr>
              <w:pStyle w:val="Compact"/>
              <w:jc w:val="left"/>
            </w:pPr>
            <w:r>
              <w:rPr>
                <w:b/>
                <w:bCs/>
              </w:rPr>
              <w:t xml:space="preserve">Critical</w:t>
            </w:r>
          </w:p>
        </w:tc>
        <w:tc>
          <w:tcPr/>
          <w:p>
            <w:pPr>
              <w:pStyle w:val="Compact"/>
              <w:jc w:val="left"/>
            </w:pPr>
            <w:r>
              <w:t xml:space="preserve">Exclusivity / Non-Compete (open-ended 30% definition; 3-yr term)</w:t>
            </w:r>
          </w:p>
        </w:tc>
        <w:tc>
          <w:tcPr/>
          <w:p>
            <w:pPr>
              <w:pStyle w:val="Compact"/>
              <w:jc w:val="left"/>
            </w:pPr>
            <w:r>
              <w:t xml:space="preserve">TS §12</w:t>
            </w:r>
          </w:p>
        </w:tc>
      </w:tr>
      <w:tr>
        <w:tc>
          <w:tcPr/>
          <w:p>
            <w:pPr>
              <w:pStyle w:val="Compact"/>
              <w:jc w:val="left"/>
            </w:pPr>
            <w:r>
              <w:rPr>
                <w:b/>
                <w:bCs/>
              </w:rPr>
              <w:t xml:space="preserve">Critical</w:t>
            </w:r>
          </w:p>
        </w:tc>
        <w:tc>
          <w:tcPr/>
          <w:p>
            <w:pPr>
              <w:pStyle w:val="Compact"/>
              <w:jc w:val="left"/>
            </w:pPr>
            <w:r>
              <w:t xml:space="preserve">Data training prohibition + Output Data ownership of model weights</w:t>
            </w:r>
          </w:p>
        </w:tc>
        <w:tc>
          <w:tcPr/>
          <w:p>
            <w:pPr>
              <w:pStyle w:val="Compact"/>
              <w:jc w:val="left"/>
            </w:pPr>
            <w:r>
              <w:t xml:space="preserve">TS §§4.2–4.3</w:t>
            </w:r>
          </w:p>
        </w:tc>
      </w:tr>
      <w:tr>
        <w:tc>
          <w:tcPr/>
          <w:p>
            <w:pPr>
              <w:pStyle w:val="Compact"/>
              <w:jc w:val="left"/>
            </w:pPr>
            <w:r>
              <w:rPr>
                <w:b/>
                <w:bCs/>
              </w:rPr>
              <w:t xml:space="preserve">Critical</w:t>
            </w:r>
          </w:p>
        </w:tc>
        <w:tc>
          <w:tcPr/>
          <w:p>
            <w:pPr>
              <w:pStyle w:val="Compact"/>
              <w:jc w:val="left"/>
            </w:pPr>
            <w:r>
              <w:t xml:space="preserve">MFC side letter (no sunset, no carve-outs, retroactive, post-term)</w:t>
            </w:r>
          </w:p>
        </w:tc>
        <w:tc>
          <w:tcPr/>
          <w:p>
            <w:pPr>
              <w:pStyle w:val="Compact"/>
              <w:jc w:val="left"/>
            </w:pPr>
            <w:r>
              <w:t xml:space="preserve">Side Letter §2</w:t>
            </w:r>
          </w:p>
        </w:tc>
      </w:tr>
      <w:tr>
        <w:tc>
          <w:tcPr/>
          <w:p>
            <w:pPr>
              <w:pStyle w:val="Compact"/>
              <w:jc w:val="left"/>
            </w:pPr>
            <w:r>
              <w:rPr>
                <w:b/>
                <w:bCs/>
              </w:rPr>
              <w:t xml:space="preserve">High</w:t>
            </w:r>
          </w:p>
        </w:tc>
        <w:tc>
          <w:tcPr/>
          <w:p>
            <w:pPr>
              <w:pStyle w:val="Compact"/>
              <w:jc w:val="left"/>
            </w:pPr>
            <w:r>
              <w:t xml:space="preserve">Uncapped IP indemnification</w:t>
            </w:r>
          </w:p>
        </w:tc>
        <w:tc>
          <w:tcPr/>
          <w:p>
            <w:pPr>
              <w:pStyle w:val="Compact"/>
              <w:jc w:val="left"/>
            </w:pPr>
            <w:r>
              <w:t xml:space="preserve">TS §9.1</w:t>
            </w:r>
          </w:p>
        </w:tc>
      </w:tr>
      <w:tr>
        <w:tc>
          <w:tcPr/>
          <w:p>
            <w:pPr>
              <w:pStyle w:val="Compact"/>
              <w:jc w:val="left"/>
            </w:pPr>
            <w:r>
              <w:rPr>
                <w:b/>
                <w:bCs/>
              </w:rPr>
              <w:t xml:space="preserve">High</w:t>
            </w:r>
          </w:p>
        </w:tc>
        <w:tc>
          <w:tcPr/>
          <w:p>
            <w:pPr>
              <w:pStyle w:val="Compact"/>
              <w:jc w:val="left"/>
            </w:pPr>
            <w:r>
              <w:t xml:space="preserve">Derivative works joint ownership; internal contradiction with feedback clause</w:t>
            </w:r>
          </w:p>
        </w:tc>
        <w:tc>
          <w:tcPr/>
          <w:p>
            <w:pPr>
              <w:pStyle w:val="Compact"/>
              <w:jc w:val="left"/>
            </w:pPr>
            <w:r>
              <w:t xml:space="preserve">TS §§2, 3.3–3.4</w:t>
            </w:r>
          </w:p>
        </w:tc>
      </w:tr>
      <w:tr>
        <w:tc>
          <w:tcPr/>
          <w:p>
            <w:pPr>
              <w:pStyle w:val="Compact"/>
              <w:jc w:val="left"/>
            </w:pPr>
            <w:r>
              <w:rPr>
                <w:b/>
                <w:bCs/>
              </w:rPr>
              <w:t xml:space="preserve">High</w:t>
            </w:r>
          </w:p>
        </w:tc>
        <w:tc>
          <w:tcPr/>
          <w:p>
            <w:pPr>
              <w:pStyle w:val="Compact"/>
              <w:jc w:val="left"/>
            </w:pPr>
            <w:r>
              <w:t xml:space="preserve">Performance warranty (92% accuracy) with financial penalties + termination trigger</w:t>
            </w:r>
          </w:p>
        </w:tc>
        <w:tc>
          <w:tcPr/>
          <w:p>
            <w:pPr>
              <w:pStyle w:val="Compact"/>
              <w:jc w:val="left"/>
            </w:pPr>
            <w:r>
              <w:t xml:space="preserve">TS §8.2–8.3</w:t>
            </w:r>
          </w:p>
        </w:tc>
      </w:tr>
      <w:tr>
        <w:tc>
          <w:tcPr/>
          <w:p>
            <w:pPr>
              <w:pStyle w:val="Compact"/>
              <w:jc w:val="left"/>
            </w:pPr>
            <w:r>
              <w:rPr>
                <w:b/>
                <w:bCs/>
              </w:rPr>
              <w:t xml:space="preserve">High</w:t>
            </w:r>
          </w:p>
        </w:tc>
        <w:tc>
          <w:tcPr/>
          <w:p>
            <w:pPr>
              <w:pStyle w:val="Compact"/>
              <w:jc w:val="left"/>
            </w:pPr>
            <w:r>
              <w:t xml:space="preserve">Implementation cash-flow mismatch (30/40/30; linear impl. fees)</w:t>
            </w:r>
          </w:p>
        </w:tc>
        <w:tc>
          <w:tcPr/>
          <w:p>
            <w:pPr>
              <w:pStyle w:val="Compact"/>
              <w:jc w:val="left"/>
            </w:pPr>
            <w:r>
              <w:t xml:space="preserve">TS §§5.1, 5.3</w:t>
            </w:r>
          </w:p>
        </w:tc>
      </w:tr>
      <w:tr>
        <w:tc>
          <w:tcPr/>
          <w:p>
            <w:pPr>
              <w:pStyle w:val="Compact"/>
              <w:jc w:val="left"/>
            </w:pPr>
            <w:r>
              <w:rPr>
                <w:b/>
                <w:bCs/>
              </w:rPr>
              <w:t xml:space="preserve">High</w:t>
            </w:r>
          </w:p>
        </w:tc>
        <w:tc>
          <w:tcPr/>
          <w:p>
            <w:pPr>
              <w:pStyle w:val="Compact"/>
              <w:jc w:val="left"/>
            </w:pPr>
            <w:r>
              <w:t xml:space="preserve">German governing law (uncapped indemnity + penalty exposure)</w:t>
            </w:r>
          </w:p>
        </w:tc>
        <w:tc>
          <w:tcPr/>
          <w:p>
            <w:pPr>
              <w:pStyle w:val="Compact"/>
              <w:jc w:val="left"/>
            </w:pPr>
            <w:r>
              <w:t xml:space="preserve">TS §14.1</w:t>
            </w:r>
          </w:p>
        </w:tc>
      </w:tr>
      <w:tr>
        <w:tc>
          <w:tcPr/>
          <w:p>
            <w:pPr>
              <w:pStyle w:val="Compact"/>
              <w:jc w:val="left"/>
            </w:pPr>
            <w:r>
              <w:rPr>
                <w:b/>
                <w:bCs/>
              </w:rPr>
              <w:t xml:space="preserve">High/Med</w:t>
            </w:r>
          </w:p>
        </w:tc>
        <w:tc>
          <w:tcPr/>
          <w:p>
            <w:pPr>
              <w:pStyle w:val="Compact"/>
              <w:jc w:val="left"/>
            </w:pPr>
            <w:r>
              <w:t xml:space="preserve">Perpetual, irrevocable wind-down license on any termination</w:t>
            </w:r>
          </w:p>
        </w:tc>
        <w:tc>
          <w:tcPr/>
          <w:p>
            <w:pPr>
              <w:pStyle w:val="Compact"/>
              <w:jc w:val="left"/>
            </w:pPr>
            <w:r>
              <w:t xml:space="preserve">TS §13.5</w:t>
            </w:r>
          </w:p>
        </w:tc>
      </w:tr>
      <w:tr>
        <w:tc>
          <w:tcPr/>
          <w:p>
            <w:pPr>
              <w:pStyle w:val="Compact"/>
              <w:jc w:val="left"/>
            </w:pPr>
            <w:r>
              <w:rPr>
                <w:b/>
                <w:bCs/>
              </w:rPr>
              <w:t xml:space="preserve">High/Med</w:t>
            </w:r>
          </w:p>
        </w:tc>
        <w:tc>
          <w:tcPr/>
          <w:p>
            <w:pPr>
              <w:pStyle w:val="Compact"/>
              <w:jc w:val="left"/>
            </w:pPr>
            <w:r>
              <w:t xml:space="preserve">Source code escrow release triggers + post-release source license</w:t>
            </w:r>
          </w:p>
        </w:tc>
        <w:tc>
          <w:tcPr/>
          <w:p>
            <w:pPr>
              <w:pStyle w:val="Compact"/>
              <w:jc w:val="left"/>
            </w:pPr>
            <w:r>
              <w:t xml:space="preserve">TS §11</w:t>
            </w:r>
          </w:p>
        </w:tc>
      </w:tr>
      <w:tr>
        <w:tc>
          <w:tcPr/>
          <w:p>
            <w:pPr>
              <w:pStyle w:val="Compact"/>
              <w:jc w:val="left"/>
            </w:pPr>
            <w:r>
              <w:rPr>
                <w:b/>
                <w:bCs/>
              </w:rPr>
              <w:t xml:space="preserve">Medium</w:t>
            </w:r>
          </w:p>
        </w:tc>
        <w:tc>
          <w:tcPr/>
          <w:p>
            <w:pPr>
              <w:pStyle w:val="Compact"/>
              <w:jc w:val="left"/>
            </w:pPr>
            <w:r>
              <w:t xml:space="preserve">KBI-Inspired Improvements license (overbroad)</w:t>
            </w:r>
          </w:p>
        </w:tc>
        <w:tc>
          <w:tcPr/>
          <w:p>
            <w:pPr>
              <w:pStyle w:val="Compact"/>
              <w:jc w:val="left"/>
            </w:pPr>
            <w:r>
              <w:t xml:space="preserve">TS §3.5</w:t>
            </w:r>
          </w:p>
        </w:tc>
      </w:tr>
      <w:tr>
        <w:tc>
          <w:tcPr/>
          <w:p>
            <w:pPr>
              <w:pStyle w:val="Compact"/>
              <w:jc w:val="left"/>
            </w:pPr>
            <w:r>
              <w:rPr>
                <w:b/>
                <w:bCs/>
              </w:rPr>
              <w:t xml:space="preserve">Medium</w:t>
            </w:r>
          </w:p>
        </w:tc>
        <w:tc>
          <w:tcPr/>
          <w:p>
            <w:pPr>
              <w:pStyle w:val="Compact"/>
              <w:jc w:val="left"/>
            </w:pPr>
            <w:r>
              <w:t xml:space="preserve">Termination-for-convenience and assignment asymmetries</w:t>
            </w:r>
          </w:p>
        </w:tc>
        <w:tc>
          <w:tcPr/>
          <w:p>
            <w:pPr>
              <w:pStyle w:val="Compact"/>
              <w:jc w:val="left"/>
            </w:pPr>
            <w:r>
              <w:t xml:space="preserve">TS §§13.3, 16.6</w:t>
            </w:r>
          </w:p>
        </w:tc>
      </w:tr>
      <w:tr>
        <w:tc>
          <w:tcPr/>
          <w:p>
            <w:pPr>
              <w:pStyle w:val="Compact"/>
              <w:jc w:val="left"/>
            </w:pPr>
            <w:r>
              <w:rPr>
                <w:b/>
                <w:bCs/>
              </w:rPr>
              <w:t xml:space="preserve">Medium</w:t>
            </w:r>
          </w:p>
        </w:tc>
        <w:tc>
          <w:tcPr/>
          <w:p>
            <w:pPr>
              <w:pStyle w:val="Compact"/>
              <w:jc w:val="left"/>
            </w:pPr>
            <w:r>
              <w:t xml:space="preserve">LoL cap level ($15M / 2× trailing fees) with uncapped IP indemnity carve-out</w:t>
            </w:r>
          </w:p>
        </w:tc>
        <w:tc>
          <w:tcPr/>
          <w:p>
            <w:pPr>
              <w:pStyle w:val="Compact"/>
              <w:jc w:val="left"/>
            </w:pPr>
            <w:r>
              <w:t xml:space="preserve">TS §10</w:t>
            </w:r>
          </w:p>
        </w:tc>
      </w:tr>
      <w:tr>
        <w:tc>
          <w:tcPr/>
          <w:p>
            <w:pPr>
              <w:pStyle w:val="Compact"/>
              <w:jc w:val="left"/>
            </w:pPr>
            <w:r>
              <w:rPr>
                <w:b/>
                <w:bCs/>
              </w:rPr>
              <w:t xml:space="preserve">Medium</w:t>
            </w:r>
          </w:p>
        </w:tc>
        <w:tc>
          <w:tcPr/>
          <w:p>
            <w:pPr>
              <w:pStyle w:val="Compact"/>
              <w:jc w:val="left"/>
            </w:pPr>
            <w:r>
              <w:t xml:space="preserve">Deemed acceptance; subjective</w:t>
            </w:r>
            <w:r>
              <w:t xml:space="preserve"> </w:t>
            </w:r>
            <w:r>
              <w:t xml:space="preserve">“</w:t>
            </w:r>
            <w:r>
              <w:t xml:space="preserve">material non-conformance</w:t>
            </w:r>
            <w:r>
              <w:t xml:space="preserve">”</w:t>
            </w:r>
          </w:p>
        </w:tc>
        <w:tc>
          <w:tcPr/>
          <w:p>
            <w:pPr>
              <w:pStyle w:val="Compact"/>
              <w:jc w:val="left"/>
            </w:pPr>
            <w:r>
              <w:t xml:space="preserve">TS §6.5</w:t>
            </w:r>
          </w:p>
        </w:tc>
      </w:tr>
      <w:tr>
        <w:tc>
          <w:tcPr/>
          <w:p>
            <w:pPr>
              <w:pStyle w:val="Compact"/>
              <w:jc w:val="left"/>
            </w:pPr>
            <w:r>
              <w:rPr>
                <w:b/>
                <w:bCs/>
              </w:rPr>
              <w:t xml:space="preserve">Medium</w:t>
            </w:r>
          </w:p>
        </w:tc>
        <w:tc>
          <w:tcPr/>
          <w:p>
            <w:pPr>
              <w:pStyle w:val="Compact"/>
              <w:jc w:val="left"/>
            </w:pPr>
            <w:r>
              <w:t xml:space="preserve">Expansion right (5-yr locked pricing; interacts with MFC)</w:t>
            </w:r>
          </w:p>
        </w:tc>
        <w:tc>
          <w:tcPr/>
          <w:p>
            <w:pPr>
              <w:pStyle w:val="Compact"/>
              <w:jc w:val="left"/>
            </w:pPr>
            <w:r>
              <w:t xml:space="preserve">TS §§2, 5.7</w:t>
            </w:r>
          </w:p>
        </w:tc>
      </w:tr>
      <w:tr>
        <w:tc>
          <w:tcPr/>
          <w:p>
            <w:pPr>
              <w:pStyle w:val="Compact"/>
              <w:jc w:val="left"/>
            </w:pPr>
            <w:r>
              <w:rPr>
                <w:b/>
                <w:bCs/>
              </w:rPr>
              <w:t xml:space="preserve">Lower</w:t>
            </w:r>
          </w:p>
        </w:tc>
        <w:tc>
          <w:tcPr/>
          <w:p>
            <w:pPr>
              <w:pStyle w:val="Compact"/>
              <w:jc w:val="left"/>
            </w:pPr>
            <w:r>
              <w:t xml:space="preserve">SLA</w:t>
            </w:r>
            <w:r>
              <w:t xml:space="preserve"> </w:t>
            </w:r>
            <w:r>
              <w:t xml:space="preserve">“</w:t>
            </w:r>
            <w:r>
              <w:t xml:space="preserve">commercially reasonable efforts</w:t>
            </w:r>
            <w:r>
              <w:t xml:space="preserve">”</w:t>
            </w:r>
            <w:r>
              <w:t xml:space="preserve"> </w:t>
            </w:r>
            <w:r>
              <w:t xml:space="preserve">(favorable to Whitmore)</w:t>
            </w:r>
          </w:p>
        </w:tc>
        <w:tc>
          <w:tcPr/>
          <w:p>
            <w:pPr>
              <w:pStyle w:val="Compact"/>
              <w:jc w:val="left"/>
            </w:pPr>
            <w:r>
              <w:t xml:space="preserve">TS §7.2</w:t>
            </w:r>
          </w:p>
        </w:tc>
      </w:tr>
      <w:tr>
        <w:tc>
          <w:tcPr/>
          <w:p>
            <w:pPr>
              <w:pStyle w:val="Compact"/>
              <w:jc w:val="left"/>
            </w:pPr>
            <w:r>
              <w:rPr>
                <w:b/>
                <w:bCs/>
              </w:rPr>
              <w:t xml:space="preserve">Lower</w:t>
            </w:r>
          </w:p>
        </w:tc>
        <w:tc>
          <w:tcPr/>
          <w:p>
            <w:pPr>
              <w:pStyle w:val="Compact"/>
              <w:jc w:val="left"/>
            </w:pPr>
            <w:r>
              <w:t xml:space="preserve">Late-payment interest (18% APR — possible penalty/unenforceability)</w:t>
            </w:r>
          </w:p>
        </w:tc>
        <w:tc>
          <w:tcPr/>
          <w:p>
            <w:pPr>
              <w:pStyle w:val="Compact"/>
              <w:jc w:val="left"/>
            </w:pPr>
            <w:r>
              <w:t xml:space="preserve">TS §5.5</w:t>
            </w:r>
          </w:p>
        </w:tc>
      </w:tr>
    </w:tbl>
    <w:p>
      <w:r>
        <w:pict>
          <v:rect style="width:0;height:1.5pt" o:hralign="center" o:hrstd="t" o:hr="t"/>
        </w:pict>
      </w:r>
    </w:p>
    <w:bookmarkEnd w:id="20"/>
    <w:bookmarkEnd w:id="21"/>
    <w:bookmarkStart w:id="22"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Licensor</w:t>
            </w:r>
          </w:p>
        </w:tc>
        <w:tc>
          <w:tcPr/>
          <w:p>
            <w:pPr>
              <w:pStyle w:val="Compact"/>
              <w:jc w:val="left"/>
            </w:pPr>
            <w:r>
              <w:t xml:space="preserve">Whitmore Analytics Inc. (Delaware; Seattle, WA). CEO: Rajesh Malhotra; GC: Sarah Yin</w:t>
            </w:r>
          </w:p>
        </w:tc>
      </w:tr>
      <w:tr>
        <w:tc>
          <w:tcPr/>
          <w:p>
            <w:pPr>
              <w:pStyle w:val="Compact"/>
              <w:jc w:val="left"/>
            </w:pPr>
            <w:r>
              <w:rPr>
                <w:b/>
                <w:bCs/>
              </w:rPr>
              <w:t xml:space="preserve">Licensee</w:t>
            </w:r>
          </w:p>
        </w:tc>
        <w:tc>
          <w:tcPr/>
          <w:p>
            <w:pPr>
              <w:pStyle w:val="Compact"/>
              <w:jc w:val="left"/>
            </w:pPr>
            <w:r>
              <w:t xml:space="preserve">Kessler-Brandt Industrial GmbH (German GmbH; Munich; HRB 247891). CTO: Dr. Markus Fiedler; VP Digital Transformation: Annika Solberg. €8.2B annual revenue; 43 facilities / 12 European countries</w:t>
            </w:r>
          </w:p>
        </w:tc>
      </w:tr>
      <w:tr>
        <w:tc>
          <w:tcPr/>
          <w:p>
            <w:pPr>
              <w:pStyle w:val="Compact"/>
              <w:jc w:val="left"/>
            </w:pPr>
            <w:r>
              <w:rPr>
                <w:b/>
                <w:bCs/>
              </w:rPr>
              <w:t xml:space="preserve">Licensed Technology</w:t>
            </w:r>
          </w:p>
        </w:tc>
        <w:tc>
          <w:tcPr/>
          <w:p>
            <w:pPr>
              <w:pStyle w:val="Compact"/>
              <w:jc w:val="left"/>
            </w:pPr>
            <w:r>
              <w:t xml:space="preserve">PredictIQ — cloud-native SaaS + on-premises edge-computing modules for predictive maintenance in heavy manufacturing. 14 issued U.S. utility patents; 3 pending PCT applications</w:t>
            </w:r>
          </w:p>
        </w:tc>
      </w:tr>
      <w:tr>
        <w:tc>
          <w:tcPr/>
          <w:p>
            <w:pPr>
              <w:pStyle w:val="Compact"/>
              <w:jc w:val="left"/>
            </w:pPr>
            <w:r>
              <w:rPr>
                <w:b/>
                <w:bCs/>
              </w:rPr>
              <w:t xml:space="preserve">Purpose</w:t>
            </w:r>
          </w:p>
        </w:tc>
        <w:tc>
          <w:tcPr/>
          <w:p>
            <w:pPr>
              <w:pStyle w:val="Compact"/>
              <w:jc w:val="left"/>
            </w:pPr>
            <w:r>
              <w:t xml:space="preserve">Integration into KBI’s</w:t>
            </w:r>
            <w:r>
              <w:t xml:space="preserve"> </w:t>
            </w:r>
            <w:r>
              <w:t xml:space="preserve">“</w:t>
            </w:r>
            <w:r>
              <w:t xml:space="preserve">SmartFactory 2030</w:t>
            </w:r>
            <w:r>
              <w:t xml:space="preserve">”</w:t>
            </w:r>
            <w:r>
              <w:t xml:space="preserve"> </w:t>
            </w:r>
            <w:r>
              <w:t xml:space="preserve">initiative; target 40% reduction in unplanned downtime across European operations</w:t>
            </w:r>
          </w:p>
        </w:tc>
      </w:tr>
      <w:tr>
        <w:tc>
          <w:tcPr/>
          <w:p>
            <w:pPr>
              <w:pStyle w:val="Compact"/>
              <w:jc w:val="left"/>
            </w:pPr>
            <w:r>
              <w:rPr>
                <w:b/>
                <w:bCs/>
              </w:rPr>
              <w:t xml:space="preserve">Structure</w:t>
            </w:r>
          </w:p>
        </w:tc>
        <w:tc>
          <w:tcPr/>
          <w:p>
            <w:pPr>
              <w:pStyle w:val="Compact"/>
              <w:jc w:val="left"/>
            </w:pPr>
            <w:r>
              <w:t xml:space="preserve">(i) Perpetual, non-exclusive license; (ii) 18-month implementation + ongoing production; (iii) SaaS subscription (cloud analytics); (iv) on-premises edge deployment license</w:t>
            </w:r>
          </w:p>
        </w:tc>
      </w:tr>
      <w:tr>
        <w:tc>
          <w:tcPr/>
          <w:p>
            <w:pPr>
              <w:pStyle w:val="Compact"/>
              <w:jc w:val="left"/>
            </w:pPr>
            <w:r>
              <w:rPr>
                <w:b/>
                <w:bCs/>
              </w:rPr>
              <w:t xml:space="preserve">Deployment scope</w:t>
            </w:r>
          </w:p>
        </w:tc>
        <w:tc>
          <w:tcPr/>
          <w:p>
            <w:pPr>
              <w:pStyle w:val="Compact"/>
              <w:jc w:val="left"/>
            </w:pPr>
            <w:r>
              <w:t xml:space="preserve">Up to 43 facilities across 12 European countries; 5-year expansion right to newly acquired facilities at same per-facility terms</w:t>
            </w:r>
          </w:p>
        </w:tc>
      </w:tr>
      <w:tr>
        <w:tc>
          <w:tcPr/>
          <w:p>
            <w:pPr>
              <w:pStyle w:val="Compact"/>
              <w:jc w:val="left"/>
            </w:pPr>
            <w:r>
              <w:rPr>
                <w:b/>
                <w:bCs/>
              </w:rPr>
              <w:t xml:space="preserve">Targeted definitive execution</w:t>
            </w:r>
          </w:p>
        </w:tc>
        <w:tc>
          <w:tcPr/>
          <w:p>
            <w:pPr>
              <w:pStyle w:val="Compact"/>
              <w:jc w:val="left"/>
            </w:pPr>
            <w:r>
              <w:t xml:space="preserve">August 15, 2025</w:t>
            </w:r>
          </w:p>
        </w:tc>
      </w:tr>
      <w:tr>
        <w:tc>
          <w:tcPr/>
          <w:p>
            <w:pPr>
              <w:pStyle w:val="Compact"/>
              <w:jc w:val="left"/>
            </w:pPr>
            <w:r>
              <w:rPr>
                <w:b/>
                <w:bCs/>
              </w:rPr>
              <w:t xml:space="preserve">KBI response deadline requested</w:t>
            </w:r>
          </w:p>
        </w:tc>
        <w:tc>
          <w:tcPr/>
          <w:p>
            <w:pPr>
              <w:pStyle w:val="Compact"/>
              <w:jc w:val="left"/>
            </w:pPr>
            <w:r>
              <w:t xml:space="preserve">June 23, 2025</w:t>
            </w:r>
          </w:p>
        </w:tc>
      </w:tr>
      <w:tr>
        <w:tc>
          <w:tcPr/>
          <w:p>
            <w:pPr>
              <w:pStyle w:val="Compact"/>
              <w:jc w:val="left"/>
            </w:pPr>
            <w:r>
              <w:rPr>
                <w:b/>
                <w:bCs/>
              </w:rPr>
              <w:t xml:space="preserve">Negotiation no-shop</w:t>
            </w:r>
          </w:p>
        </w:tc>
        <w:tc>
          <w:tcPr/>
          <w:p>
            <w:pPr>
              <w:pStyle w:val="Compact"/>
              <w:jc w:val="left"/>
            </w:pPr>
            <w:r>
              <w:t xml:space="preserve">60 days (through July 28, 2025) — binding (TS §16.2)</w:t>
            </w:r>
          </w:p>
        </w:tc>
      </w:tr>
      <w:tr>
        <w:tc>
          <w:tcPr/>
          <w:p>
            <w:pPr>
              <w:pStyle w:val="Compact"/>
              <w:jc w:val="left"/>
            </w:pPr>
            <w:r>
              <w:rPr>
                <w:b/>
                <w:bCs/>
              </w:rPr>
              <w:t xml:space="preserve">Binding portions of Term Sheet</w:t>
            </w:r>
          </w:p>
        </w:tc>
        <w:tc>
          <w:tcPr/>
          <w:p>
            <w:pPr>
              <w:pStyle w:val="Compact"/>
              <w:jc w:val="left"/>
            </w:pPr>
            <w:r>
              <w:t xml:space="preserve">Confidentiality (§15) and Miscellaneous (§16) only (TS §16.1)</w:t>
            </w:r>
          </w:p>
        </w:tc>
      </w:tr>
    </w:tbl>
    <w:p>
      <w:pPr>
        <w:pStyle w:val="BodyText"/>
      </w:pPr>
      <w:r>
        <w:rPr>
          <w:b/>
          <w:bCs/>
        </w:rPr>
        <w:t xml:space="preserve">Key milestones.</w:t>
      </w:r>
      <w:r>
        <w:t xml:space="preserve"> </w:t>
      </w:r>
      <w:r>
        <w:t xml:space="preserve">Phase 1 implementation start: September 15, 2025; Phase 1 completion (10 pilot facilities): March 15, 2026; Phase 2 go-live (remaining 33 facilities): March 15, 2027.</w:t>
      </w:r>
    </w:p>
    <w:p>
      <w:pPr>
        <w:pStyle w:val="BodyText"/>
      </w:pPr>
      <w:r>
        <w:rPr>
          <w:b/>
          <w:bCs/>
        </w:rPr>
        <w:t xml:space="preserve">Commercial significance (per management).</w:t>
      </w:r>
      <w:r>
        <w:t xml:space="preserve"> </w:t>
      </w:r>
      <w:r>
        <w:t xml:space="preserve">~$9.56M first-year revenue (~20% of FY 2024 revenue); largest SaaS contract by 3×; flagship European reference account; material to Series C process with Hollcroft Ventures.</w:t>
      </w:r>
    </w:p>
    <w:p>
      <w:r>
        <w:pict>
          <v:rect style="width:0;height:1.5pt" o:hralign="center" o:hrstd="t" o:hr="t"/>
        </w:pict>
      </w:r>
    </w:p>
    <w:bookmarkEnd w:id="22"/>
    <w:bookmarkStart w:id="23" w:name="iii.-summary-of-key-commercial-terms"/>
    <w:p>
      <w:pPr>
        <w:pStyle w:val="Heading2"/>
      </w:pPr>
      <w:r>
        <w:t xml:space="preserve">III. Summary of Key Commercial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As Proposed by KBI</w:t>
            </w:r>
          </w:p>
        </w:tc>
      </w:tr>
      <w:tr>
        <w:tc>
          <w:tcPr/>
          <w:p>
            <w:pPr>
              <w:pStyle w:val="Compact"/>
              <w:jc w:val="left"/>
            </w:pPr>
            <w:r>
              <w:t xml:space="preserve">License term</w:t>
            </w:r>
          </w:p>
        </w:tc>
        <w:tc>
          <w:tcPr/>
          <w:p>
            <w:pPr>
              <w:pStyle w:val="Compact"/>
              <w:jc w:val="left"/>
            </w:pPr>
            <w:r>
              <w:t xml:space="preserve">Perpetual, non-exclusive, worldwide</w:t>
            </w:r>
          </w:p>
        </w:tc>
      </w:tr>
      <w:tr>
        <w:tc>
          <w:tcPr/>
          <w:p>
            <w:pPr>
              <w:pStyle w:val="Compact"/>
              <w:jc w:val="left"/>
            </w:pPr>
            <w:r>
              <w:t xml:space="preserve">Initial license fee</w:t>
            </w:r>
          </w:p>
        </w:tc>
        <w:tc>
          <w:tcPr/>
          <w:p>
            <w:pPr>
              <w:pStyle w:val="Compact"/>
              <w:jc w:val="left"/>
            </w:pPr>
            <w:r>
              <w:t xml:space="preserve">$4,200,000 — 30% at signing / 40% at Phase 1 completion / 30% at Phase 2 go-live</w:t>
            </w:r>
          </w:p>
        </w:tc>
      </w:tr>
      <w:tr>
        <w:tc>
          <w:tcPr/>
          <w:p>
            <w:pPr>
              <w:pStyle w:val="Compact"/>
              <w:jc w:val="left"/>
            </w:pPr>
            <w:r>
              <w:t xml:space="preserve">Annual SaaS subscription</w:t>
            </w:r>
          </w:p>
        </w:tc>
        <w:tc>
          <w:tcPr/>
          <w:p>
            <w:pPr>
              <w:pStyle w:val="Compact"/>
              <w:jc w:val="left"/>
            </w:pPr>
            <w:r>
              <w:t xml:space="preserve">$2,850,000/yr (Yrs 1–3); +3%/yr from Yr 4</w:t>
            </w:r>
          </w:p>
        </w:tc>
      </w:tr>
      <w:tr>
        <w:tc>
          <w:tcPr/>
          <w:p>
            <w:pPr>
              <w:pStyle w:val="Compact"/>
              <w:jc w:val="left"/>
            </w:pPr>
            <w:r>
              <w:t xml:space="preserve">Implementation services fee</w:t>
            </w:r>
          </w:p>
        </w:tc>
        <w:tc>
          <w:tcPr/>
          <w:p>
            <w:pPr>
              <w:pStyle w:val="Compact"/>
              <w:jc w:val="left"/>
            </w:pPr>
            <w:r>
              <w:t xml:space="preserve">$1,750,000 — linear monthly over 18 months (~$97,222/mo)</w:t>
            </w:r>
          </w:p>
        </w:tc>
      </w:tr>
      <w:tr>
        <w:tc>
          <w:tcPr/>
          <w:p>
            <w:pPr>
              <w:pStyle w:val="Compact"/>
              <w:jc w:val="left"/>
            </w:pPr>
            <w:r>
              <w:t xml:space="preserve">Annual maintenance &amp; support</w:t>
            </w:r>
          </w:p>
        </w:tc>
        <w:tc>
          <w:tcPr/>
          <w:p>
            <w:pPr>
              <w:pStyle w:val="Compact"/>
              <w:jc w:val="left"/>
            </w:pPr>
            <w:r>
              <w:t xml:space="preserve">$756,000/yr (Yr 1 = 18% of license fee); +4%/yr from Yr 2</w:t>
            </w:r>
          </w:p>
        </w:tc>
      </w:tr>
      <w:tr>
        <w:tc>
          <w:tcPr/>
          <w:p>
            <w:pPr>
              <w:pStyle w:val="Compact"/>
              <w:jc w:val="left"/>
            </w:pPr>
            <w:r>
              <w:t xml:space="preserve">Year 1 total</w:t>
            </w:r>
          </w:p>
        </w:tc>
        <w:tc>
          <w:tcPr/>
          <w:p>
            <w:pPr>
              <w:pStyle w:val="Compact"/>
              <w:jc w:val="left"/>
            </w:pPr>
            <w:r>
              <w:t xml:space="preserve">~$9,556,000</w:t>
            </w:r>
          </w:p>
        </w:tc>
      </w:tr>
      <w:tr>
        <w:tc>
          <w:tcPr/>
          <w:p>
            <w:pPr>
              <w:pStyle w:val="Compact"/>
              <w:jc w:val="left"/>
            </w:pPr>
            <w:r>
              <w:t xml:space="preserve">5-year total (estimated)</w:t>
            </w:r>
          </w:p>
        </w:tc>
        <w:tc>
          <w:tcPr/>
          <w:p>
            <w:pPr>
              <w:pStyle w:val="Compact"/>
              <w:jc w:val="left"/>
            </w:pPr>
            <w:r>
              <w:t xml:space="preserve">~$24.5M (see Appendix A)</w:t>
            </w:r>
          </w:p>
        </w:tc>
      </w:tr>
      <w:tr>
        <w:tc>
          <w:tcPr/>
          <w:p>
            <w:pPr>
              <w:pStyle w:val="Compact"/>
              <w:jc w:val="left"/>
            </w:pPr>
            <w:r>
              <w:t xml:space="preserve">Currency / terms</w:t>
            </w:r>
          </w:p>
        </w:tc>
        <w:tc>
          <w:tcPr/>
          <w:p>
            <w:pPr>
              <w:pStyle w:val="Compact"/>
              <w:jc w:val="left"/>
            </w:pPr>
            <w:r>
              <w:t xml:space="preserve">USD; net 30; late interest 1.5%/mo</w:t>
            </w:r>
          </w:p>
        </w:tc>
      </w:tr>
      <w:tr>
        <w:tc>
          <w:tcPr/>
          <w:p>
            <w:pPr>
              <w:pStyle w:val="Compact"/>
              <w:jc w:val="left"/>
            </w:pPr>
            <w:r>
              <w:t xml:space="preserve">Performance warranty</w:t>
            </w:r>
          </w:p>
        </w:tc>
        <w:tc>
          <w:tcPr/>
          <w:p>
            <w:pPr>
              <w:pStyle w:val="Compact"/>
              <w:jc w:val="left"/>
            </w:pPr>
            <w:r>
              <w:t xml:space="preserve">92% prediction accuracy (rolling 90-day); service credits + termination trigger</w:t>
            </w:r>
          </w:p>
        </w:tc>
      </w:tr>
      <w:tr>
        <w:tc>
          <w:tcPr/>
          <w:p>
            <w:pPr>
              <w:pStyle w:val="Compact"/>
              <w:jc w:val="left"/>
            </w:pPr>
            <w:r>
              <w:t xml:space="preserve">Exclusivity</w:t>
            </w:r>
          </w:p>
        </w:tc>
        <w:tc>
          <w:tcPr/>
          <w:p>
            <w:pPr>
              <w:pStyle w:val="Compact"/>
              <w:jc w:val="left"/>
            </w:pPr>
            <w:r>
              <w:t xml:space="preserve">3-yr non-compete vs. </w:t>
            </w:r>
            <w:r>
              <w:t xml:space="preserve">“</w:t>
            </w:r>
            <w:r>
              <w:t xml:space="preserve">Direct Competitors</w:t>
            </w:r>
            <w:r>
              <w:t xml:space="preserve">”</w:t>
            </w:r>
            <w:r>
              <w:t xml:space="preserve"> </w:t>
            </w:r>
            <w:r>
              <w:t xml:space="preserve">(12 named + open-ended 30% revenue test)</w:t>
            </w:r>
          </w:p>
        </w:tc>
      </w:tr>
      <w:tr>
        <w:tc>
          <w:tcPr/>
          <w:p>
            <w:pPr>
              <w:pStyle w:val="Compact"/>
              <w:jc w:val="left"/>
            </w:pPr>
            <w:r>
              <w:t xml:space="preserve">Source code escrow</w:t>
            </w:r>
          </w:p>
        </w:tc>
        <w:tc>
          <w:tcPr/>
          <w:p>
            <w:pPr>
              <w:pStyle w:val="Compact"/>
              <w:jc w:val="left"/>
            </w:pPr>
            <w:r>
              <w:t xml:space="preserve">Complete source code + build tools; release on insolvency, uncured breach (60 days), cessation, 90-day support failure</w:t>
            </w:r>
          </w:p>
        </w:tc>
      </w:tr>
      <w:tr>
        <w:tc>
          <w:tcPr/>
          <w:p>
            <w:pPr>
              <w:pStyle w:val="Compact"/>
              <w:jc w:val="left"/>
            </w:pPr>
            <w:r>
              <w:t xml:space="preserve">Governing law / disputes</w:t>
            </w:r>
          </w:p>
        </w:tc>
        <w:tc>
          <w:tcPr/>
          <w:p>
            <w:pPr>
              <w:pStyle w:val="Compact"/>
              <w:jc w:val="left"/>
            </w:pPr>
            <w:r>
              <w:t xml:space="preserve">German law; ICC arbitration, 3 arbitrators, Zurich seat, English</w:t>
            </w:r>
          </w:p>
        </w:tc>
      </w:tr>
      <w:tr>
        <w:tc>
          <w:tcPr/>
          <w:p>
            <w:pPr>
              <w:pStyle w:val="Compact"/>
              <w:jc w:val="left"/>
            </w:pPr>
            <w:r>
              <w:t xml:space="preserve">MFC pricing</w:t>
            </w:r>
          </w:p>
        </w:tc>
        <w:tc>
          <w:tcPr/>
          <w:p>
            <w:pPr>
              <w:pStyle w:val="Compact"/>
              <w:jc w:val="left"/>
            </w:pPr>
            <w:r>
              <w:t xml:space="preserve">Side Letter — perpetual, retroactive, no sunset/carve-outs, post-term</w:t>
            </w:r>
          </w:p>
        </w:tc>
      </w:tr>
    </w:tbl>
    <w:p>
      <w:r>
        <w:pict>
          <v:rect style="width:0;height:1.5pt" o:hralign="center" o:hrstd="t" o:hr="t"/>
        </w:pict>
      </w:r>
    </w:p>
    <w:bookmarkEnd w:id="23"/>
    <w:bookmarkStart w:id="39" w:name="iv.-key-terms-extraction"/>
    <w:p>
      <w:pPr>
        <w:pStyle w:val="Heading2"/>
      </w:pPr>
      <w:r>
        <w:t xml:space="preserve">IV. Key Terms Extraction</w:t>
      </w:r>
    </w:p>
    <w:bookmarkStart w:id="24" w:name="a.-license-grant-scope-term-sheet-2"/>
    <w:p>
      <w:pPr>
        <w:pStyle w:val="Heading3"/>
      </w:pPr>
      <w:r>
        <w:t xml:space="preserve">A. License Grant &amp; Scope (Term Sheet §2)</w:t>
      </w:r>
    </w:p>
    <w:p>
      <w:pPr>
        <w:pStyle w:val="Compact"/>
        <w:numPr>
          <w:ilvl w:val="0"/>
          <w:numId w:val="1002"/>
        </w:numPr>
      </w:pPr>
      <w:r>
        <w:rPr>
          <w:b/>
          <w:bCs/>
        </w:rPr>
        <w:t xml:space="preserve">Grant.</w:t>
      </w:r>
      <w:r>
        <w:t xml:space="preserve"> </w:t>
      </w:r>
      <w:r>
        <w:t xml:space="preserve">Perpetual, non-exclusive, worldwide license to use, execute, display, and operate PredictIQ (software, algorithms, documentation, APIs, edge modules) in connection with KBI’s manufacturing operations.</w:t>
      </w:r>
    </w:p>
    <w:p>
      <w:pPr>
        <w:pStyle w:val="Compact"/>
        <w:numPr>
          <w:ilvl w:val="0"/>
          <w:numId w:val="1002"/>
        </w:numPr>
      </w:pPr>
      <w:r>
        <w:rPr>
          <w:b/>
          <w:bCs/>
        </w:rPr>
        <w:t xml:space="preserve">Scope.</w:t>
      </w:r>
      <w:r>
        <w:t xml:space="preserve"> </w:t>
      </w:r>
      <w:r>
        <w:t xml:space="preserve">Covers both the cloud-hosted SaaS analytics engine and on-premises edge modules.</w:t>
      </w:r>
    </w:p>
    <w:p>
      <w:pPr>
        <w:pStyle w:val="Compact"/>
        <w:numPr>
          <w:ilvl w:val="0"/>
          <w:numId w:val="1002"/>
        </w:numPr>
      </w:pPr>
      <w:r>
        <w:rPr>
          <w:b/>
          <w:bCs/>
        </w:rPr>
        <w:t xml:space="preserve">Authorized users.</w:t>
      </w:r>
      <w:r>
        <w:t xml:space="preserve"> </w:t>
      </w:r>
      <w:r>
        <w:t xml:space="preserve">KBI employees, contractors, and agents performing work at/for KBI facilities, subject to confidentiality obligations.</w:t>
      </w:r>
    </w:p>
    <w:p>
      <w:pPr>
        <w:pStyle w:val="Compact"/>
        <w:numPr>
          <w:ilvl w:val="0"/>
          <w:numId w:val="1002"/>
        </w:numPr>
      </w:pPr>
      <w:r>
        <w:rPr>
          <w:b/>
          <w:bCs/>
        </w:rPr>
        <w:t xml:space="preserve">Sublicensing.</w:t>
      </w:r>
      <w:r>
        <w:t xml:space="preserve"> </w:t>
      </w:r>
      <w:r>
        <w:t xml:space="preserve">Prohibited to third parties, except KBI may permit controlled affiliates and subcontractors performing services at KBI facilities to access PredictIQ in support of KBI’s operations.</w:t>
      </w:r>
    </w:p>
    <w:p>
      <w:pPr>
        <w:pStyle w:val="Compact"/>
        <w:numPr>
          <w:ilvl w:val="0"/>
          <w:numId w:val="1002"/>
        </w:numPr>
      </w:pPr>
      <w:r>
        <w:rPr>
          <w:b/>
          <w:bCs/>
        </w:rPr>
        <w:t xml:space="preserve">Derivative works.</w:t>
      </w:r>
      <w:r>
        <w:t xml:space="preserve"> </w:t>
      </w:r>
      <w:r>
        <w:t xml:space="preserve">KBI may create derivative works from the PredictIQ API layer solely to integrate with KBI’s MES/SCADA/internal systems.</w:t>
      </w:r>
      <w:r>
        <w:t xml:space="preserve"> </w:t>
      </w:r>
      <w:r>
        <w:rPr>
          <w:b/>
          <w:bCs/>
        </w:rPr>
        <w:t xml:space="preserve">Any such derivative works are jointly owned by KBI and Whitmore</w:t>
      </w:r>
      <w:r>
        <w:t xml:space="preserve">, each with the unrestricted right to use, modify, sublicense, and otherwise exploit without the other’s consent or any obligation to account.</w:t>
      </w:r>
    </w:p>
    <w:p>
      <w:pPr>
        <w:pStyle w:val="Compact"/>
        <w:numPr>
          <w:ilvl w:val="0"/>
          <w:numId w:val="1002"/>
        </w:numPr>
      </w:pPr>
      <w:r>
        <w:rPr>
          <w:b/>
          <w:bCs/>
        </w:rPr>
        <w:t xml:space="preserve">Expansion right.</w:t>
      </w:r>
      <w:r>
        <w:t xml:space="preserve"> </w:t>
      </w:r>
      <w:r>
        <w:t xml:space="preserve">For 5 years post-execution, KBI may deploy PredictIQ at any newly acquired facility at the same per-facility commercial terms, with no additional license fee (pro rata to 43 facilities).</w:t>
      </w:r>
    </w:p>
    <w:p>
      <w:pPr>
        <w:pStyle w:val="Compact"/>
        <w:numPr>
          <w:ilvl w:val="0"/>
          <w:numId w:val="1002"/>
        </w:numPr>
      </w:pPr>
      <w:r>
        <w:rPr>
          <w:b/>
          <w:bCs/>
        </w:rPr>
        <w:t xml:space="preserve">Restrictions.</w:t>
      </w:r>
      <w:r>
        <w:t xml:space="preserve"> </w:t>
      </w:r>
      <w:r>
        <w:t xml:space="preserve">No reverse engineering/decompiling (except as permitted by law); no use for third-party benefit; no removal of proprietary notices.</w:t>
      </w:r>
    </w:p>
    <w:bookmarkEnd w:id="24"/>
    <w:bookmarkStart w:id="25" w:name="X214f6fcf6f89f8e3f58777e76a3d28043fb2643"/>
    <w:p>
      <w:pPr>
        <w:pStyle w:val="Heading3"/>
      </w:pPr>
      <w:r>
        <w:t xml:space="preserve">B. Intellectual Property Ownership (Term Sheet §3)</w:t>
      </w:r>
    </w:p>
    <w:p>
      <w:pPr>
        <w:pStyle w:val="Compact"/>
        <w:numPr>
          <w:ilvl w:val="0"/>
          <w:numId w:val="1003"/>
        </w:numPr>
      </w:pPr>
      <w:r>
        <w:rPr>
          <w:b/>
          <w:bCs/>
        </w:rPr>
        <w:t xml:space="preserve">3.1 Whitmore IP.</w:t>
      </w:r>
      <w:r>
        <w:t xml:space="preserve"> </w:t>
      </w:r>
      <w:r>
        <w:t xml:space="preserve">Whitmore retains all right, title, and interest in PredictIQ (software, algorithms, ML models, source/object code, documentation, patents, trade secrets). No transfer except as expressly stated.</w:t>
      </w:r>
    </w:p>
    <w:p>
      <w:pPr>
        <w:pStyle w:val="Compact"/>
        <w:numPr>
          <w:ilvl w:val="0"/>
          <w:numId w:val="1003"/>
        </w:numPr>
      </w:pPr>
      <w:r>
        <w:rPr>
          <w:b/>
          <w:bCs/>
        </w:rPr>
        <w:t xml:space="preserve">3.2 KBI IP.</w:t>
      </w:r>
      <w:r>
        <w:t xml:space="preserve"> </w:t>
      </w:r>
      <w:r>
        <w:t xml:space="preserve">KBI retains IP in its proprietary systems, data, processes, and know-how (MES, SCADA, operational data).</w:t>
      </w:r>
    </w:p>
    <w:p>
      <w:pPr>
        <w:pStyle w:val="Compact"/>
        <w:numPr>
          <w:ilvl w:val="0"/>
          <w:numId w:val="1003"/>
        </w:numPr>
      </w:pPr>
      <w:r>
        <w:rPr>
          <w:b/>
          <w:bCs/>
        </w:rPr>
        <w:t xml:space="preserve">3.3 Derivative works.</w:t>
      </w:r>
      <w:r>
        <w:t xml:space="preserve"> </w:t>
      </w:r>
      <w:r>
        <w:t xml:space="preserve">Reiterates joint ownership of API-layer derivative works (cross-references §2).</w:t>
      </w:r>
    </w:p>
    <w:p>
      <w:pPr>
        <w:pStyle w:val="Compact"/>
        <w:numPr>
          <w:ilvl w:val="0"/>
          <w:numId w:val="1003"/>
        </w:numPr>
      </w:pPr>
      <w:r>
        <w:rPr>
          <w:b/>
          <w:bCs/>
        </w:rPr>
        <w:t xml:space="preserve">3.4 Feedback.</w:t>
      </w:r>
      <w:r>
        <w:t xml:space="preserve"> </w:t>
      </w:r>
      <w:r>
        <w:t xml:space="preserve">All feedback (suggestions, ideas, enhancement requests, recommendations, improvements) communicated by KBI/personnel becomes the</w:t>
      </w:r>
      <w:r>
        <w:t xml:space="preserve"> </w:t>
      </w:r>
      <w:r>
        <w:rPr>
          <w:b/>
          <w:bCs/>
        </w:rPr>
        <w:t xml:space="preserve">sole and exclusive property of Whitmore</w:t>
      </w:r>
      <w:r>
        <w:t xml:space="preserve">; KBI assigns all rights; Whitmore may use/incorporate/exploit without restriction or obligation.</w:t>
      </w:r>
    </w:p>
    <w:p>
      <w:pPr>
        <w:pStyle w:val="Compact"/>
        <w:numPr>
          <w:ilvl w:val="0"/>
          <w:numId w:val="1003"/>
        </w:numPr>
      </w:pPr>
      <w:r>
        <w:rPr>
          <w:b/>
          <w:bCs/>
        </w:rPr>
        <w:t xml:space="preserve">3.5 KBI-Inspired Improvements.</w:t>
      </w:r>
      <w:r>
        <w:t xml:space="preserve"> </w:t>
      </w:r>
      <w:r>
        <w:t xml:space="preserve">Notwithstanding §3.4, any Whitmore improvements/enhancements/modifications</w:t>
      </w:r>
      <w:r>
        <w:t xml:space="preserve"> </w:t>
      </w:r>
      <w:r>
        <w:t xml:space="preserve">“</w:t>
      </w:r>
      <w:r>
        <w:t xml:space="preserve">derived from or inspired by</w:t>
      </w:r>
      <w:r>
        <w:t xml:space="preserve">”</w:t>
      </w:r>
      <w:r>
        <w:t xml:space="preserve"> </w:t>
      </w:r>
      <w:r>
        <w:t xml:space="preserve">KBI’s operational data, manufacturing processes, or use of PredictIQ (</w:t>
      </w:r>
      <w:r>
        <w:t xml:space="preserve">“</w:t>
      </w:r>
      <w:r>
        <w:t xml:space="preserve">KBI-Inspired Improvements</w:t>
      </w:r>
      <w:r>
        <w:t xml:space="preserve">”</w:t>
      </w:r>
      <w:r>
        <w:t xml:space="preserve">) are licensed back to KBI on a</w:t>
      </w:r>
      <w:r>
        <w:t xml:space="preserve"> </w:t>
      </w:r>
      <w:r>
        <w:rPr>
          <w:b/>
          <w:bCs/>
        </w:rPr>
        <w:t xml:space="preserve">perpetual, irrevocable, royalty-free, non-exclusive</w:t>
      </w:r>
      <w:r>
        <w:t xml:space="preserve"> </w:t>
      </w:r>
      <w:r>
        <w:t xml:space="preserve">basis for use within its manufacturing operations — regardless of whether developed in response to KBI Feedback.</w:t>
      </w:r>
    </w:p>
    <w:bookmarkEnd w:id="25"/>
    <w:bookmarkStart w:id="26" w:name="c.-data-rights-term-sheet-4"/>
    <w:p>
      <w:pPr>
        <w:pStyle w:val="Heading3"/>
      </w:pPr>
      <w:r>
        <w:t xml:space="preserve">C. Data Rights (Term Sheet §4)</w:t>
      </w:r>
    </w:p>
    <w:p>
      <w:pPr>
        <w:pStyle w:val="Compact"/>
        <w:numPr>
          <w:ilvl w:val="0"/>
          <w:numId w:val="1004"/>
        </w:numPr>
      </w:pPr>
      <w:r>
        <w:rPr>
          <w:b/>
          <w:bCs/>
        </w:rPr>
        <w:t xml:space="preserve">4.1 KBI Data.</w:t>
      </w:r>
      <w:r>
        <w:t xml:space="preserve"> </w:t>
      </w:r>
      <w:r>
        <w:t xml:space="preserve">All data/information provided by or generated by KBI’s systems/equipment/sensors input into or processed by PredictIQ (operational data, sensor readings, telemetry, maintenance records, production schedules, environmental data). KBI retains all rights.</w:t>
      </w:r>
    </w:p>
    <w:p>
      <w:pPr>
        <w:pStyle w:val="Compact"/>
        <w:numPr>
          <w:ilvl w:val="0"/>
          <w:numId w:val="1004"/>
        </w:numPr>
      </w:pPr>
      <w:r>
        <w:rPr>
          <w:b/>
          <w:bCs/>
        </w:rPr>
        <w:t xml:space="preserve">4.2 Output Data.</w:t>
      </w:r>
      <w:r>
        <w:t xml:space="preserve"> </w:t>
      </w:r>
      <w:r>
        <w:t xml:space="preserve">All data/analytics/results/reports/predictions/alerts/outputs generated by PredictIQ when processing KBI Data —</w:t>
      </w:r>
      <w:r>
        <w:t xml:space="preserve"> </w:t>
      </w:r>
      <w:r>
        <w:rPr>
          <w:b/>
          <w:bCs/>
        </w:rPr>
        <w:t xml:space="preserve">expressly including model weights, parameters, training artifacts, feature-importance rankings, and model configuration data derived from KBI Data</w:t>
      </w:r>
      <w:r>
        <w:t xml:space="preserve"> </w:t>
      </w:r>
      <w:r>
        <w:t xml:space="preserve">— is the</w:t>
      </w:r>
      <w:r>
        <w:t xml:space="preserve"> </w:t>
      </w:r>
      <w:r>
        <w:rPr>
          <w:b/>
          <w:bCs/>
        </w:rPr>
        <w:t xml:space="preserve">sole and exclusive property of KBI</w:t>
      </w:r>
      <w:r>
        <w:t xml:space="preserve">.</w:t>
      </w:r>
    </w:p>
    <w:p>
      <w:pPr>
        <w:pStyle w:val="Compact"/>
        <w:numPr>
          <w:ilvl w:val="0"/>
          <w:numId w:val="1004"/>
        </w:numPr>
      </w:pPr>
      <w:r>
        <w:rPr>
          <w:b/>
          <w:bCs/>
        </w:rPr>
        <w:t xml:space="preserve">4.3 Restrictions on use of KBI Data.</w:t>
      </w:r>
      <w:r>
        <w:t xml:space="preserve"> </w:t>
      </w:r>
      <w:r>
        <w:t xml:space="preserve">Whitmore shall not use KBI Data (or data derived therefrom) for: (a) training/tuning/improving PredictIQ’s general-purpose ML models; (b) developing/improving products or services for any third party; or (c) creating anonymized, aggregated, or de-identified datasets.</w:t>
      </w:r>
      <w:r>
        <w:t xml:space="preserve"> </w:t>
      </w:r>
      <w:r>
        <w:rPr>
          <w:b/>
          <w:bCs/>
        </w:rPr>
        <w:t xml:space="preserve">No anonymized/aggregated use without KBI’s prior written consent, which may be withheld in KBI’s sole discretion.</w:t>
      </w:r>
    </w:p>
    <w:p>
      <w:pPr>
        <w:pStyle w:val="Compact"/>
        <w:numPr>
          <w:ilvl w:val="0"/>
          <w:numId w:val="1004"/>
        </w:numPr>
      </w:pPr>
      <w:r>
        <w:rPr>
          <w:b/>
          <w:bCs/>
        </w:rPr>
        <w:t xml:space="preserve">4.4 Return/deletion.</w:t>
      </w:r>
      <w:r>
        <w:t xml:space="preserve"> </w:t>
      </w:r>
      <w:r>
        <w:t xml:space="preserve">Upon termination/expiration, Whitmore shall, at KBI’s election, return or securely delete all KBI Data and Output Data and certify in writing.</w:t>
      </w:r>
    </w:p>
    <w:p>
      <w:pPr>
        <w:pStyle w:val="Compact"/>
        <w:numPr>
          <w:ilvl w:val="0"/>
          <w:numId w:val="1004"/>
        </w:numPr>
      </w:pPr>
      <w:r>
        <w:rPr>
          <w:b/>
          <w:bCs/>
        </w:rPr>
        <w:t xml:space="preserve">4.5 Compliance.</w:t>
      </w:r>
      <w:r>
        <w:t xml:space="preserve"> </w:t>
      </w:r>
      <w:r>
        <w:t xml:space="preserve">Both parties to comply with GDPR and applicable German federal/state data-protection laws.</w:t>
      </w:r>
    </w:p>
    <w:bookmarkEnd w:id="26"/>
    <w:bookmarkStart w:id="27" w:name="d.-fees-payment-term-sheet-5"/>
    <w:p>
      <w:pPr>
        <w:pStyle w:val="Heading3"/>
      </w:pPr>
      <w:r>
        <w:t xml:space="preserve">D. Fees &amp; Payment (Term Sheet §5)</w:t>
      </w:r>
    </w:p>
    <w:p>
      <w:pPr>
        <w:pStyle w:val="Compact"/>
        <w:numPr>
          <w:ilvl w:val="0"/>
          <w:numId w:val="1005"/>
        </w:numPr>
      </w:pPr>
      <w:r>
        <w:rPr>
          <w:b/>
          <w:bCs/>
        </w:rPr>
        <w:t xml:space="preserve">5.1 Initial license fee — $4,200,000</w:t>
      </w:r>
      <w:r>
        <w:t xml:space="preserve"> </w:t>
      </w:r>
      <w:r>
        <w:t xml:space="preserve">in three installments: (a) $1,260,000 (30%) at execution; (b) $1,680,000 (40%) at Phase 1 completion (target March 15, 2026); (c) $1,260,000 (30%) at Phase 2 go-live (target March 15, 2027).</w:t>
      </w:r>
    </w:p>
    <w:p>
      <w:pPr>
        <w:pStyle w:val="Compact"/>
        <w:numPr>
          <w:ilvl w:val="0"/>
          <w:numId w:val="1005"/>
        </w:numPr>
      </w:pPr>
      <w:r>
        <w:rPr>
          <w:b/>
          <w:bCs/>
        </w:rPr>
        <w:t xml:space="preserve">5.2 Annual SaaS subscription — $2,850,000/yr</w:t>
      </w:r>
      <w:r>
        <w:t xml:space="preserve"> </w:t>
      </w:r>
      <w:r>
        <w:t xml:space="preserve">(Yrs 1–3), quarterly in advance ($712,500/qtr). +3%/yr from Yr 4 (Yr 4: $2,935,500; Yr 5: $3,023,565).</w:t>
      </w:r>
    </w:p>
    <w:p>
      <w:pPr>
        <w:pStyle w:val="Compact"/>
        <w:numPr>
          <w:ilvl w:val="0"/>
          <w:numId w:val="1005"/>
        </w:numPr>
      </w:pPr>
      <w:r>
        <w:rPr>
          <w:b/>
          <w:bCs/>
        </w:rPr>
        <w:t xml:space="preserve">5.3 Implementation services fee — $1,750,000</w:t>
      </w:r>
      <w:r>
        <w:t xml:space="preserve">, equal monthly installments over 18 months (~$97,222.22/mo).</w:t>
      </w:r>
    </w:p>
    <w:p>
      <w:pPr>
        <w:pStyle w:val="Compact"/>
        <w:numPr>
          <w:ilvl w:val="0"/>
          <w:numId w:val="1005"/>
        </w:numPr>
      </w:pPr>
      <w:r>
        <w:rPr>
          <w:b/>
          <w:bCs/>
        </w:rPr>
        <w:t xml:space="preserve">5.4 Annual maintenance &amp; support — 18% of initial license fee = $756,000/yr</w:t>
      </w:r>
      <w:r>
        <w:t xml:space="preserve"> </w:t>
      </w:r>
      <w:r>
        <w:t xml:space="preserve">(Yr 1). +4%/yr from Yr 2 (Yr 2: $786,240; Yr 3: $817,689.60). Payable annually in advance.</w:t>
      </w:r>
    </w:p>
    <w:p>
      <w:pPr>
        <w:pStyle w:val="Compact"/>
        <w:numPr>
          <w:ilvl w:val="0"/>
          <w:numId w:val="1005"/>
        </w:numPr>
      </w:pPr>
      <w:r>
        <w:rPr>
          <w:b/>
          <w:bCs/>
        </w:rPr>
        <w:t xml:space="preserve">5.5 Currency/terms.</w:t>
      </w:r>
      <w:r>
        <w:t xml:space="preserve"> </w:t>
      </w:r>
      <w:r>
        <w:t xml:space="preserve">USD; net 30; late interest 1.5%/month (≈18% APR) or maximum legal, whichever is less.</w:t>
      </w:r>
    </w:p>
    <w:p>
      <w:pPr>
        <w:pStyle w:val="Compact"/>
        <w:numPr>
          <w:ilvl w:val="0"/>
          <w:numId w:val="1005"/>
        </w:numPr>
      </w:pPr>
      <w:r>
        <w:rPr>
          <w:b/>
          <w:bCs/>
        </w:rPr>
        <w:t xml:space="preserve">5.6 Taxes.</w:t>
      </w:r>
      <w:r>
        <w:t xml:space="preserve"> </w:t>
      </w:r>
      <w:r>
        <w:t xml:space="preserve">Exclusive of taxes; KBI bears all sales/use/VAT/similar taxes (excluding Whitmore’s income taxes).</w:t>
      </w:r>
    </w:p>
    <w:p>
      <w:pPr>
        <w:pStyle w:val="Compact"/>
        <w:numPr>
          <w:ilvl w:val="0"/>
          <w:numId w:val="1005"/>
        </w:numPr>
      </w:pPr>
      <w:r>
        <w:rPr>
          <w:b/>
          <w:bCs/>
        </w:rPr>
        <w:t xml:space="preserve">5.7 Expansion pricing.</w:t>
      </w:r>
      <w:r>
        <w:t xml:space="preserve"> </w:t>
      </w:r>
      <w:r>
        <w:t xml:space="preserve">Newly acquired facilities during the 5-year expansion period at same per-facility terms, no additional license fee, pro rata to 43 facilities.</w:t>
      </w:r>
    </w:p>
    <w:bookmarkEnd w:id="27"/>
    <w:bookmarkStart w:id="28" w:name="e.-implementation-services-term-sheet-6"/>
    <w:p>
      <w:pPr>
        <w:pStyle w:val="Heading3"/>
      </w:pPr>
      <w:r>
        <w:t xml:space="preserve">E. Implementation Services (Term Sheet §6)</w:t>
      </w:r>
    </w:p>
    <w:p>
      <w:pPr>
        <w:pStyle w:val="Compact"/>
        <w:numPr>
          <w:ilvl w:val="0"/>
          <w:numId w:val="1006"/>
        </w:numPr>
      </w:pPr>
      <w:r>
        <w:rPr>
          <w:b/>
          <w:bCs/>
        </w:rPr>
        <w:t xml:space="preserve">6.1 Scope.</w:t>
      </w:r>
      <w:r>
        <w:t xml:space="preserve"> </w:t>
      </w:r>
      <w:r>
        <w:t xml:space="preserve">On-site edge deployment; SCADA/MES integration; data-ingestion pipeline configuration; model calibration/initial training on KBI historical data; end-user training; UAT at each facility.</w:t>
      </w:r>
    </w:p>
    <w:p>
      <w:pPr>
        <w:pStyle w:val="Compact"/>
        <w:numPr>
          <w:ilvl w:val="0"/>
          <w:numId w:val="1006"/>
        </w:numPr>
      </w:pPr>
      <w:r>
        <w:rPr>
          <w:b/>
          <w:bCs/>
        </w:rPr>
        <w:t xml:space="preserve">6.2 Phases.</w:t>
      </w:r>
      <w:r>
        <w:t xml:space="preserve"> </w:t>
      </w:r>
      <w:r>
        <w:t xml:space="preserve">Phase 1 (months 1–6): 10 pilot facilities (start Sept 15, 2025; complete March 15, 2026). Phase 2 (months 7–18): remaining 33 facilities (complete March 15, 2027).</w:t>
      </w:r>
    </w:p>
    <w:p>
      <w:pPr>
        <w:pStyle w:val="Compact"/>
        <w:numPr>
          <w:ilvl w:val="0"/>
          <w:numId w:val="1006"/>
        </w:numPr>
      </w:pPr>
      <w:r>
        <w:rPr>
          <w:b/>
          <w:bCs/>
        </w:rPr>
        <w:t xml:space="preserve">6.3 KBI responsibilities.</w:t>
      </w:r>
      <w:r>
        <w:t xml:space="preserve"> </w:t>
      </w:r>
      <w:r>
        <w:t xml:space="preserve">Reasonable access to facilities/systems/data/personnel; designated project manager; SCADA/MES operational and meeting Whitmore’s published minimum system requirements.</w:t>
      </w:r>
    </w:p>
    <w:p>
      <w:pPr>
        <w:pStyle w:val="Compact"/>
        <w:numPr>
          <w:ilvl w:val="0"/>
          <w:numId w:val="1006"/>
        </w:numPr>
      </w:pPr>
      <w:r>
        <w:rPr>
          <w:b/>
          <w:bCs/>
        </w:rPr>
        <w:t xml:space="preserve">6.4 Change orders.</w:t>
      </w:r>
      <w:r>
        <w:t xml:space="preserve"> </w:t>
      </w:r>
      <w:r>
        <w:t xml:space="preserve">Written, signed by both parties, fees agreed before work commences.</w:t>
      </w:r>
    </w:p>
    <w:p>
      <w:pPr>
        <w:pStyle w:val="Compact"/>
        <w:numPr>
          <w:ilvl w:val="0"/>
          <w:numId w:val="1006"/>
        </w:numPr>
      </w:pPr>
      <w:r>
        <w:rPr>
          <w:b/>
          <w:bCs/>
        </w:rPr>
        <w:t xml:space="preserve">6.5 Acceptance.</w:t>
      </w:r>
      <w:r>
        <w:t xml:space="preserve"> </w:t>
      </w:r>
      <w:r>
        <w:t xml:space="preserve">30-day UAT per facility;</w:t>
      </w:r>
      <w:r>
        <w:t xml:space="preserve"> </w:t>
      </w:r>
      <w:r>
        <w:rPr>
          <w:b/>
          <w:bCs/>
        </w:rPr>
        <w:t xml:space="preserve">deemed accepted</w:t>
      </w:r>
      <w:r>
        <w:t xml:space="preserve"> </w:t>
      </w:r>
      <w:r>
        <w:t xml:space="preserve">if KBI does not provide written notice of</w:t>
      </w:r>
      <w:r>
        <w:t xml:space="preserve"> </w:t>
      </w:r>
      <w:r>
        <w:t xml:space="preserve">“</w:t>
      </w:r>
      <w:r>
        <w:t xml:space="preserve">material non-conformance</w:t>
      </w:r>
      <w:r>
        <w:t xml:space="preserve">”</w:t>
      </w:r>
      <w:r>
        <w:t xml:space="preserve"> </w:t>
      </w:r>
      <w:r>
        <w:t xml:space="preserve">within the UAT period.</w:t>
      </w:r>
    </w:p>
    <w:bookmarkEnd w:id="28"/>
    <w:bookmarkStart w:id="29" w:name="f.-maintenance-support-slas-term-sheet-7"/>
    <w:p>
      <w:pPr>
        <w:pStyle w:val="Heading3"/>
      </w:pPr>
      <w:r>
        <w:t xml:space="preserve">F. Maintenance &amp; Support / SLAs (Term Sheet §7)</w:t>
      </w:r>
    </w:p>
    <w:p>
      <w:pPr>
        <w:pStyle w:val="Compact"/>
        <w:numPr>
          <w:ilvl w:val="0"/>
          <w:numId w:val="1007"/>
        </w:numPr>
      </w:pPr>
      <w:r>
        <w:rPr>
          <w:b/>
          <w:bCs/>
        </w:rPr>
        <w:t xml:space="preserve">7.1 Scope.</w:t>
      </w:r>
      <w:r>
        <w:t xml:space="preserve"> </w:t>
      </w:r>
      <w:r>
        <w:t xml:space="preserve">Bug fixes; updates/patches; 24/7 support (phone/email/portal); annual major-release upgrades.</w:t>
      </w:r>
    </w:p>
    <w:p>
      <w:pPr>
        <w:pStyle w:val="Compact"/>
        <w:numPr>
          <w:ilvl w:val="0"/>
          <w:numId w:val="1007"/>
        </w:numPr>
      </w:pPr>
      <w:r>
        <w:rPr>
          <w:b/>
          <w:bCs/>
        </w:rPr>
        <w:t xml:space="preserve">7.2 Service levels —</w:t>
      </w:r>
      <w:r>
        <w:rPr>
          <w:b/>
          <w:bCs/>
        </w:rPr>
        <w:t xml:space="preserve"> </w:t>
      </w:r>
      <w:r>
        <w:rPr>
          <w:b/>
          <w:bCs/>
        </w:rPr>
        <w:t xml:space="preserve">“</w:t>
      </w:r>
      <w:r>
        <w:rPr>
          <w:b/>
          <w:bCs/>
        </w:rPr>
        <w:t xml:space="preserve">commercially reasonable efforts</w:t>
      </w:r>
      <w:r>
        <w:rPr>
          <w:b/>
          <w:bCs/>
        </w:rPr>
        <w:t xml:space="preserve">”</w:t>
      </w:r>
      <w:r>
        <w:t xml:space="preserve"> </w:t>
      </w:r>
      <w:r>
        <w:t xml:space="preserve">(not commitments): Critical (system down) — 4 hr response / 24 hr resolution; High — 8 hr / 72 hr; Medium/Low — 2 business days / as reasonably practicable.</w:t>
      </w:r>
    </w:p>
    <w:p>
      <w:pPr>
        <w:pStyle w:val="Compact"/>
        <w:numPr>
          <w:ilvl w:val="0"/>
          <w:numId w:val="1007"/>
        </w:numPr>
      </w:pPr>
      <w:r>
        <w:rPr>
          <w:b/>
          <w:bCs/>
        </w:rPr>
        <w:t xml:space="preserve">7.3 Fee.</w:t>
      </w:r>
      <w:r>
        <w:t xml:space="preserve"> </w:t>
      </w:r>
      <w:r>
        <w:t xml:space="preserve">$756,000/yr, +4%/yr.</w:t>
      </w:r>
    </w:p>
    <w:p>
      <w:pPr>
        <w:pStyle w:val="Compact"/>
        <w:numPr>
          <w:ilvl w:val="0"/>
          <w:numId w:val="1007"/>
        </w:numPr>
      </w:pPr>
      <w:r>
        <w:rPr>
          <w:b/>
          <w:bCs/>
        </w:rPr>
        <w:t xml:space="preserve">7.4 Term.</w:t>
      </w:r>
      <w:r>
        <w:t xml:space="preserve"> </w:t>
      </w:r>
      <w:r>
        <w:t xml:space="preserve">Commences at Phase 1 go-live; continues for duration of license unless terminated.</w:t>
      </w:r>
    </w:p>
    <w:p>
      <w:pPr>
        <w:pStyle w:val="Compact"/>
        <w:numPr>
          <w:ilvl w:val="0"/>
          <w:numId w:val="1007"/>
        </w:numPr>
      </w:pPr>
      <w:r>
        <w:rPr>
          <w:b/>
          <w:bCs/>
        </w:rPr>
        <w:t xml:space="preserve">7.5 Suspension.</w:t>
      </w:r>
      <w:r>
        <w:t xml:space="preserve"> </w:t>
      </w:r>
      <w:r>
        <w:t xml:space="preserve">Whitmore may suspend maintenance/support for non-payment on 30 days’ written notice.</w:t>
      </w:r>
    </w:p>
    <w:bookmarkEnd w:id="29"/>
    <w:bookmarkStart w:id="30" w:name="g.-warranties-performance-term-sheet-8"/>
    <w:p>
      <w:pPr>
        <w:pStyle w:val="Heading3"/>
      </w:pPr>
      <w:r>
        <w:t xml:space="preserve">G. Warranties &amp; Performance (Term Sheet §8)</w:t>
      </w:r>
    </w:p>
    <w:p>
      <w:pPr>
        <w:pStyle w:val="Compact"/>
        <w:numPr>
          <w:ilvl w:val="0"/>
          <w:numId w:val="1008"/>
        </w:numPr>
      </w:pPr>
      <w:r>
        <w:rPr>
          <w:b/>
          <w:bCs/>
        </w:rPr>
        <w:t xml:space="preserve">8.1 Conformance warranty.</w:t>
      </w:r>
      <w:r>
        <w:t xml:space="preserve"> </w:t>
      </w:r>
      <w:r>
        <w:t xml:space="preserve">PredictIQ performs materially in accordance with Documentation for 24 months from each facility’s go-live.</w:t>
      </w:r>
    </w:p>
    <w:p>
      <w:pPr>
        <w:pStyle w:val="Compact"/>
        <w:numPr>
          <w:ilvl w:val="0"/>
          <w:numId w:val="1008"/>
        </w:numPr>
      </w:pPr>
      <w:r>
        <w:rPr>
          <w:b/>
          <w:bCs/>
        </w:rPr>
        <w:t xml:space="preserve">8.2 Performance warranty.</w:t>
      </w:r>
      <w:r>
        <w:t xml:space="preserve"> </w:t>
      </w:r>
      <w:r>
        <w:t xml:space="preserve">PredictIQ achieves ≥92% prediction accuracy, rolling 90-day basis, across all deployed facilities.</w:t>
      </w:r>
      <w:r>
        <w:t xml:space="preserve"> </w:t>
      </w:r>
      <w:r>
        <w:t xml:space="preserve">“</w:t>
      </w:r>
      <w:r>
        <w:t xml:space="preserve">Prediction accuracy</w:t>
      </w:r>
      <w:r>
        <w:t xml:space="preserve">”</w:t>
      </w:r>
      <w:r>
        <w:t xml:space="preserve"> </w:t>
      </w:r>
      <w:r>
        <w:t xml:space="preserve">= percentage of equipment-failure events correctly predicted at least 48 hours in advance, measured against actual failures recorded in KBI’s maintenance logs.</w:t>
      </w:r>
    </w:p>
    <w:p>
      <w:pPr>
        <w:pStyle w:val="Compact"/>
        <w:numPr>
          <w:ilvl w:val="0"/>
          <w:numId w:val="1008"/>
        </w:numPr>
      </w:pPr>
      <w:r>
        <w:rPr>
          <w:b/>
          <w:bCs/>
        </w:rPr>
        <w:t xml:space="preserve">8.3 Performance remedies.</w:t>
      </w:r>
      <w:r>
        <w:t xml:space="preserve"> </w:t>
      </w:r>
      <w:r>
        <w:t xml:space="preserve">(a) For each percentage point below 92%, KBI receives a credit = 5% of the quarterly SaaS fee ($35,625/point below 92%); (b) if accuracy falls below 85% for two consecutive calendar quarters, KBI may terminate for cause (§13).</w:t>
      </w:r>
    </w:p>
    <w:p>
      <w:pPr>
        <w:pStyle w:val="Compact"/>
        <w:numPr>
          <w:ilvl w:val="0"/>
          <w:numId w:val="1008"/>
        </w:numPr>
      </w:pPr>
      <w:r>
        <w:rPr>
          <w:b/>
          <w:bCs/>
        </w:rPr>
        <w:t xml:space="preserve">8.4 IP warranty.</w:t>
      </w:r>
      <w:r>
        <w:t xml:space="preserve"> </w:t>
      </w:r>
      <w:r>
        <w:t xml:space="preserve">Whitmore owns/is authorized licensee of all IP; no third-party infringement to Whitmore’s knowledge; full right/authority to grant the licenses.</w:t>
      </w:r>
    </w:p>
    <w:p>
      <w:pPr>
        <w:pStyle w:val="Compact"/>
        <w:numPr>
          <w:ilvl w:val="0"/>
          <w:numId w:val="1008"/>
        </w:numPr>
      </w:pPr>
      <w:r>
        <w:rPr>
          <w:b/>
          <w:bCs/>
        </w:rPr>
        <w:t xml:space="preserve">8.5 Disclaimer.</w:t>
      </w:r>
      <w:r>
        <w:t xml:space="preserve"> </w:t>
      </w:r>
      <w:r>
        <w:t xml:space="preserve">All other warranties disclaimed (merchantability, fitness, non-infringement).</w:t>
      </w:r>
    </w:p>
    <w:bookmarkEnd w:id="30"/>
    <w:bookmarkStart w:id="31" w:name="h.-indemnification-term-sheet-9"/>
    <w:p>
      <w:pPr>
        <w:pStyle w:val="Heading3"/>
      </w:pPr>
      <w:r>
        <w:t xml:space="preserve">H. Indemnification (Term Sheet §9)</w:t>
      </w:r>
    </w:p>
    <w:p>
      <w:pPr>
        <w:pStyle w:val="Compact"/>
        <w:numPr>
          <w:ilvl w:val="0"/>
          <w:numId w:val="1009"/>
        </w:numPr>
      </w:pPr>
      <w:r>
        <w:rPr>
          <w:b/>
          <w:bCs/>
        </w:rPr>
        <w:t xml:space="preserve">9.1 IP indemnification by Whitmore.</w:t>
      </w:r>
      <w:r>
        <w:t xml:space="preserve"> </w:t>
      </w:r>
      <w:r>
        <w:t xml:space="preserve">Defend/indemnify KBI and its affiliates/officers/directors/employees/agents against third-party claims that KBI’s authorized use of PredictIQ infringes/misappropriates IP.</w:t>
      </w:r>
      <w:r>
        <w:t xml:space="preserve"> </w:t>
      </w:r>
      <w:r>
        <w:rPr>
          <w:b/>
          <w:bCs/>
        </w:rPr>
        <w:t xml:space="preserve">Not subject to any limitation of liability or cap on damages.</w:t>
      </w:r>
    </w:p>
    <w:p>
      <w:pPr>
        <w:pStyle w:val="Compact"/>
        <w:numPr>
          <w:ilvl w:val="0"/>
          <w:numId w:val="1009"/>
        </w:numPr>
      </w:pPr>
      <w:r>
        <w:rPr>
          <w:b/>
          <w:bCs/>
        </w:rPr>
        <w:t xml:space="preserve">9.2 Infringement remedies.</w:t>
      </w:r>
      <w:r>
        <w:t xml:space="preserve"> </w:t>
      </w:r>
      <w:r>
        <w:t xml:space="preserve">At Whitmore’s sole option/expense: (a) procure right to continue use; (b) modify to be non-infringing with substantially equivalent functionality; or (c) replace with non-infringing alternative.</w:t>
      </w:r>
    </w:p>
    <w:p>
      <w:pPr>
        <w:pStyle w:val="Compact"/>
        <w:numPr>
          <w:ilvl w:val="0"/>
          <w:numId w:val="1009"/>
        </w:numPr>
      </w:pPr>
      <w:r>
        <w:rPr>
          <w:b/>
          <w:bCs/>
        </w:rPr>
        <w:t xml:space="preserve">9.3 KBI indemnification.</w:t>
      </w:r>
      <w:r>
        <w:t xml:space="preserve"> </w:t>
      </w:r>
      <w:r>
        <w:t xml:space="preserve">KBI indemnifies Whitmore for claims arising from (a) KBI’s unauthorized use, or (b) KBI Data/proprietary systems (to extent not arising from PredictIQ itself).</w:t>
      </w:r>
    </w:p>
    <w:p>
      <w:pPr>
        <w:pStyle w:val="Compact"/>
        <w:numPr>
          <w:ilvl w:val="0"/>
          <w:numId w:val="1009"/>
        </w:numPr>
      </w:pPr>
      <w:r>
        <w:rPr>
          <w:b/>
          <w:bCs/>
        </w:rPr>
        <w:t xml:space="preserve">9.4 Procedures.</w:t>
      </w:r>
      <w:r>
        <w:t xml:space="preserve"> </w:t>
      </w:r>
      <w:r>
        <w:t xml:space="preserve">Prompt notice; indemnifying party has sole control of defense/settlement; reasonable cooperation at indemnifying party’s expense.</w:t>
      </w:r>
    </w:p>
    <w:bookmarkEnd w:id="31"/>
    <w:bookmarkStart w:id="32" w:name="i.-limitation-of-liability-term-sheet-10"/>
    <w:p>
      <w:pPr>
        <w:pStyle w:val="Heading3"/>
      </w:pPr>
      <w:r>
        <w:t xml:space="preserve">I. Limitation of Liability (Term Sheet §10)</w:t>
      </w:r>
    </w:p>
    <w:p>
      <w:pPr>
        <w:pStyle w:val="Compact"/>
        <w:numPr>
          <w:ilvl w:val="0"/>
          <w:numId w:val="1010"/>
        </w:numPr>
      </w:pPr>
      <w:r>
        <w:rPr>
          <w:b/>
          <w:bCs/>
        </w:rPr>
        <w:t xml:space="preserve">10.1 General cap.</w:t>
      </w:r>
      <w:r>
        <w:t xml:space="preserve"> </w:t>
      </w:r>
      <w:r>
        <w:t xml:space="preserve">Greater of (I) 2× total fees paid/payable by KBI in the 12 months preceding the event, or (II) $15,000,000.</w:t>
      </w:r>
    </w:p>
    <w:p>
      <w:pPr>
        <w:pStyle w:val="Compact"/>
        <w:numPr>
          <w:ilvl w:val="0"/>
          <w:numId w:val="1010"/>
        </w:numPr>
      </w:pPr>
      <w:r>
        <w:rPr>
          <w:b/>
          <w:bCs/>
        </w:rPr>
        <w:t xml:space="preserve">10.2 Consequential damages excluded.</w:t>
      </w:r>
      <w:r>
        <w:t xml:space="preserve"> </w:t>
      </w:r>
      <w:r>
        <w:t xml:space="preserve">No indirect/incidental/special/consequential/punitive damages, lost profits, loss of data/goodwill, business interruption.</w:t>
      </w:r>
    </w:p>
    <w:p>
      <w:pPr>
        <w:pStyle w:val="Compact"/>
        <w:numPr>
          <w:ilvl w:val="0"/>
          <w:numId w:val="1010"/>
        </w:numPr>
      </w:pPr>
      <w:r>
        <w:rPr>
          <w:b/>
          <w:bCs/>
        </w:rPr>
        <w:t xml:space="preserve">10.3 Exceptions (caps do not apply).</w:t>
      </w:r>
      <w:r>
        <w:t xml:space="preserve"> </w:t>
      </w:r>
      <w:r>
        <w:t xml:space="preserve">(A) Whitmore’s IP indemnification (§9.1); (B) either party’s confidentiality breach (§15); (C) willful misconduct or fraud.</w:t>
      </w:r>
    </w:p>
    <w:bookmarkEnd w:id="32"/>
    <w:bookmarkStart w:id="33" w:name="j.-source-code-escrow-term-sheet-11"/>
    <w:p>
      <w:pPr>
        <w:pStyle w:val="Heading3"/>
      </w:pPr>
      <w:r>
        <w:t xml:space="preserve">J. Source Code Escrow (Term Sheet §11)</w:t>
      </w:r>
    </w:p>
    <w:p>
      <w:pPr>
        <w:pStyle w:val="Compact"/>
        <w:numPr>
          <w:ilvl w:val="0"/>
          <w:numId w:val="1011"/>
        </w:numPr>
      </w:pPr>
      <w:r>
        <w:rPr>
          <w:b/>
          <w:bCs/>
        </w:rPr>
        <w:t xml:space="preserve">11.1 Deposit.</w:t>
      </w:r>
      <w:r>
        <w:t xml:space="preserve"> </w:t>
      </w:r>
      <w:r>
        <w:t xml:space="preserve">Within 60 days of execution, Whitmore deposits with Meridian Escrow Services LLC (San Jose, CA): complete source code (modules, libraries, dependencies); all build tools/compilers/scripts; complete technical documentation (architecture, DB schemas, API specs); updated materials annually and on each major release.</w:t>
      </w:r>
    </w:p>
    <w:p>
      <w:pPr>
        <w:pStyle w:val="Compact"/>
        <w:numPr>
          <w:ilvl w:val="0"/>
          <w:numId w:val="1011"/>
        </w:numPr>
      </w:pPr>
      <w:r>
        <w:rPr>
          <w:b/>
          <w:bCs/>
        </w:rPr>
        <w:t xml:space="preserve">11.2 Release conditions.</w:t>
      </w:r>
      <w:r>
        <w:t xml:space="preserve"> </w:t>
      </w:r>
      <w:r>
        <w:t xml:space="preserve">Escrow Agent releases to KBI upon: (a) Whitmore’s insolvency/bankruptcy; (b) Whitmore’s material breach uncured for 60 days following written notice; (c) cessation of business operations; (d) failure to provide maintenance/support for 90 consecutive days.</w:t>
      </w:r>
    </w:p>
    <w:p>
      <w:pPr>
        <w:pStyle w:val="Compact"/>
        <w:numPr>
          <w:ilvl w:val="0"/>
          <w:numId w:val="1011"/>
        </w:numPr>
      </w:pPr>
      <w:r>
        <w:rPr>
          <w:b/>
          <w:bCs/>
        </w:rPr>
        <w:t xml:space="preserve">11.3 Post-release license.</w:t>
      </w:r>
      <w:r>
        <w:t xml:space="preserve"> </w:t>
      </w:r>
      <w:r>
        <w:t xml:space="preserve">Upon release, KBI gets a perpetual, irrevocable, fully paid-up, royalty-free license to use, modify, compile, and deploy the source code and materials solely for KBI’s internal manufacturing operations.</w:t>
      </w:r>
    </w:p>
    <w:p>
      <w:pPr>
        <w:pStyle w:val="Compact"/>
        <w:numPr>
          <w:ilvl w:val="0"/>
          <w:numId w:val="1011"/>
        </w:numPr>
      </w:pPr>
      <w:r>
        <w:rPr>
          <w:b/>
          <w:bCs/>
        </w:rPr>
        <w:t xml:space="preserve">11.4 Escrow fees.</w:t>
      </w:r>
      <w:r>
        <w:t xml:space="preserve"> </w:t>
      </w:r>
      <w:r>
        <w:t xml:space="preserve">Borne equally.</w:t>
      </w:r>
    </w:p>
    <w:p>
      <w:pPr>
        <w:pStyle w:val="Compact"/>
        <w:numPr>
          <w:ilvl w:val="0"/>
          <w:numId w:val="1011"/>
        </w:numPr>
      </w:pPr>
      <w:r>
        <w:rPr>
          <w:b/>
          <w:bCs/>
        </w:rPr>
        <w:t xml:space="preserve">11.5 Verification.</w:t>
      </w:r>
      <w:r>
        <w:t xml:space="preserve"> </w:t>
      </w:r>
      <w:r>
        <w:t xml:space="preserve">KBI may request verification of completeness/usability no more than once per calendar year.</w:t>
      </w:r>
    </w:p>
    <w:bookmarkEnd w:id="33"/>
    <w:bookmarkStart w:id="34" w:name="k.-exclusivity-non-compete-term-sheet-12"/>
    <w:p>
      <w:pPr>
        <w:pStyle w:val="Heading3"/>
      </w:pPr>
      <w:r>
        <w:t xml:space="preserve">K. Exclusivity / Non-Compete (Term Sheet §12)</w:t>
      </w:r>
    </w:p>
    <w:p>
      <w:pPr>
        <w:pStyle w:val="Compact"/>
        <w:numPr>
          <w:ilvl w:val="0"/>
          <w:numId w:val="1012"/>
        </w:numPr>
      </w:pPr>
      <w:r>
        <w:rPr>
          <w:b/>
          <w:bCs/>
        </w:rPr>
        <w:t xml:space="preserve">12.1 Exclusivity period.</w:t>
      </w:r>
      <w:r>
        <w:t xml:space="preserve"> </w:t>
      </w:r>
      <w:r>
        <w:t xml:space="preserve">For 3 years from the effective date, Whitmore shall not license/sublicense/sell/make available PredictIQ (or any substantially similar predictive-maintenance technology) to any</w:t>
      </w:r>
      <w:r>
        <w:t xml:space="preserve"> </w:t>
      </w:r>
      <w:r>
        <w:t xml:space="preserve">“</w:t>
      </w:r>
      <w:r>
        <w:t xml:space="preserve">Direct Competitor</w:t>
      </w:r>
      <w:r>
        <w:t xml:space="preserve">”</w:t>
      </w:r>
      <w:r>
        <w:t xml:space="preserve"> </w:t>
      </w:r>
      <w:r>
        <w:t xml:space="preserve">of KBI in the European automotive and heavy-machinery manufacturing sectors.</w:t>
      </w:r>
    </w:p>
    <w:p>
      <w:pPr>
        <w:pStyle w:val="Compact"/>
        <w:numPr>
          <w:ilvl w:val="0"/>
          <w:numId w:val="1012"/>
        </w:numPr>
      </w:pPr>
      <w:r>
        <w:rPr>
          <w:b/>
          <w:bCs/>
        </w:rPr>
        <w:t xml:space="preserve">12.2 Direct Competitor.</w:t>
      </w:r>
      <w:r>
        <w:t xml:space="preserve"> </w:t>
      </w:r>
      <w:r>
        <w:t xml:space="preserve">(a) The 12 entities listed in Exhibit B; and (b)</w:t>
      </w:r>
      <w:r>
        <w:t xml:space="preserve"> </w:t>
      </w:r>
      <w:r>
        <w:rPr>
          <w:b/>
          <w:bCs/>
        </w:rPr>
        <w:t xml:space="preserve">any entity deriving more than 30% of annual revenue</w:t>
      </w:r>
      <w:r>
        <w:t xml:space="preserve"> </w:t>
      </w:r>
      <w:r>
        <w:t xml:space="preserve">from manufacture of automotive vehicles/components, heavy machinery, or heavy industrial equipment in Europe (EEA + UK + Switzerland).</w:t>
      </w:r>
    </w:p>
    <w:p>
      <w:pPr>
        <w:pStyle w:val="Compact"/>
        <w:numPr>
          <w:ilvl w:val="0"/>
          <w:numId w:val="1012"/>
        </w:numPr>
      </w:pPr>
      <w:r>
        <w:rPr>
          <w:b/>
          <w:bCs/>
        </w:rPr>
        <w:t xml:space="preserve">12.3 Scope.</w:t>
      </w:r>
      <w:r>
        <w:t xml:space="preserve"> </w:t>
      </w:r>
      <w:r>
        <w:t xml:space="preserve">Applies to PredictIQ and any successor/replacement product with substantially similar predictive-maintenance functionality.</w:t>
      </w:r>
    </w:p>
    <w:p>
      <w:pPr>
        <w:pStyle w:val="Compact"/>
        <w:numPr>
          <w:ilvl w:val="0"/>
          <w:numId w:val="1012"/>
        </w:numPr>
      </w:pPr>
      <w:r>
        <w:rPr>
          <w:b/>
          <w:bCs/>
        </w:rPr>
        <w:t xml:space="preserve">12.4 Survival.</w:t>
      </w:r>
      <w:r>
        <w:t xml:space="preserve"> </w:t>
      </w:r>
      <w:r>
        <w:t xml:space="preserve">Survives termination for any reason; continues for the remainder of the Exclusivity Period.</w:t>
      </w:r>
    </w:p>
    <w:p>
      <w:pPr>
        <w:pStyle w:val="Compact"/>
        <w:numPr>
          <w:ilvl w:val="0"/>
          <w:numId w:val="1012"/>
        </w:numPr>
      </w:pPr>
      <w:r>
        <w:rPr>
          <w:b/>
          <w:bCs/>
        </w:rPr>
        <w:t xml:space="preserve">12.5 Remedies.</w:t>
      </w:r>
      <w:r>
        <w:t xml:space="preserve"> </w:t>
      </w:r>
      <w:r>
        <w:t xml:space="preserve">Injunctive relief available; KBI not required to demonstrate irreparable harm or post a bond.</w:t>
      </w:r>
    </w:p>
    <w:bookmarkEnd w:id="34"/>
    <w:bookmarkStart w:id="35" w:name="X8daa8c8b9fd454e76f59f5435e491b2529f3a53"/>
    <w:p>
      <w:pPr>
        <w:pStyle w:val="Heading3"/>
      </w:pPr>
      <w:r>
        <w:t xml:space="preserve">L. Term &amp; Termination / Wind-Down (Term Sheet §13)</w:t>
      </w:r>
    </w:p>
    <w:p>
      <w:pPr>
        <w:pStyle w:val="Compact"/>
        <w:numPr>
          <w:ilvl w:val="0"/>
          <w:numId w:val="1013"/>
        </w:numPr>
      </w:pPr>
      <w:r>
        <w:rPr>
          <w:b/>
          <w:bCs/>
        </w:rPr>
        <w:t xml:space="preserve">13.1 Term.</w:t>
      </w:r>
      <w:r>
        <w:t xml:space="preserve"> </w:t>
      </w:r>
      <w:r>
        <w:t xml:space="preserve">Perpetual, subject to termination.</w:t>
      </w:r>
    </w:p>
    <w:p>
      <w:pPr>
        <w:pStyle w:val="Compact"/>
        <w:numPr>
          <w:ilvl w:val="0"/>
          <w:numId w:val="1013"/>
        </w:numPr>
      </w:pPr>
      <w:r>
        <w:rPr>
          <w:b/>
          <w:bCs/>
        </w:rPr>
        <w:t xml:space="preserve">13.2 Termination for cause.</w:t>
      </w:r>
      <w:r>
        <w:t xml:space="preserve"> </w:t>
      </w:r>
      <w:r>
        <w:t xml:space="preserve">90 days’ notice; 60-day cure.</w:t>
      </w:r>
    </w:p>
    <w:p>
      <w:pPr>
        <w:pStyle w:val="Compact"/>
        <w:numPr>
          <w:ilvl w:val="0"/>
          <w:numId w:val="1013"/>
        </w:numPr>
      </w:pPr>
      <w:r>
        <w:rPr>
          <w:b/>
          <w:bCs/>
        </w:rPr>
        <w:t xml:space="preserve">13.3 Termination for convenience — KBI only.</w:t>
      </w:r>
      <w:r>
        <w:t xml:space="preserve"> </w:t>
      </w:r>
      <w:r>
        <w:t xml:space="preserve">12 months’ prior notice, no earlier than the 3rd anniversary. (No equivalent right for Whitmore.)</w:t>
      </w:r>
    </w:p>
    <w:p>
      <w:pPr>
        <w:pStyle w:val="Compact"/>
        <w:numPr>
          <w:ilvl w:val="0"/>
          <w:numId w:val="1013"/>
        </w:numPr>
      </w:pPr>
      <w:r>
        <w:rPr>
          <w:b/>
          <w:bCs/>
        </w:rPr>
        <w:t xml:space="preserve">13.4 Termination for performance failure.</w:t>
      </w:r>
      <w:r>
        <w:t xml:space="preserve"> </w:t>
      </w:r>
      <w:r>
        <w:t xml:space="preserve">KBI may terminate for cause if accuracy &lt;85% for two consecutive quarters, on 30 days’ notice.</w:t>
      </w:r>
    </w:p>
    <w:p>
      <w:pPr>
        <w:pStyle w:val="Compact"/>
        <w:numPr>
          <w:ilvl w:val="0"/>
          <w:numId w:val="1013"/>
        </w:numPr>
      </w:pPr>
      <w:r>
        <w:rPr>
          <w:b/>
          <w:bCs/>
        </w:rPr>
        <w:t xml:space="preserve">13.5 Wind-Down License.</w:t>
      </w:r>
      <w:r>
        <w:t xml:space="preserve"> </w:t>
      </w:r>
      <w:r>
        <w:t xml:space="preserve">Upon termination/expiration</w:t>
      </w:r>
      <w:r>
        <w:t xml:space="preserve"> </w:t>
      </w:r>
      <w:r>
        <w:rPr>
          <w:b/>
          <w:bCs/>
        </w:rPr>
        <w:t xml:space="preserve">for any reason (including KBI’s termination for convenience)</w:t>
      </w:r>
      <w:r>
        <w:t xml:space="preserve">, KBI retains a</w:t>
      </w:r>
      <w:r>
        <w:t xml:space="preserve"> </w:t>
      </w:r>
      <w:r>
        <w:rPr>
          <w:b/>
          <w:bCs/>
        </w:rPr>
        <w:t xml:space="preserve">perpetual, non-exclusive, irrevocable license</w:t>
      </w:r>
      <w:r>
        <w:t xml:space="preserve"> </w:t>
      </w:r>
      <w:r>
        <w:t xml:space="preserve">to continue using the version of PredictIQ deployed as of the termination date, subject to KBI’s continued payment of the Annual Maintenance &amp; Support Fee (§5.4).</w:t>
      </w:r>
    </w:p>
    <w:p>
      <w:pPr>
        <w:pStyle w:val="Compact"/>
        <w:numPr>
          <w:ilvl w:val="0"/>
          <w:numId w:val="1013"/>
        </w:numPr>
      </w:pPr>
      <w:r>
        <w:rPr>
          <w:b/>
          <w:bCs/>
        </w:rPr>
        <w:t xml:space="preserve">13.6 Effects.</w:t>
      </w:r>
      <w:r>
        <w:t xml:space="preserve"> </w:t>
      </w:r>
      <w:r>
        <w:t xml:space="preserve">New SaaS features/updates/deployments cease; accrued fees immediately due; confidential information returned/destroyed (subject to Wind-Down License); §§3, 4, 9, 10, 11, 12, 15, 16 survive.</w:t>
      </w:r>
    </w:p>
    <w:p>
      <w:pPr>
        <w:pStyle w:val="Compact"/>
        <w:numPr>
          <w:ilvl w:val="0"/>
          <w:numId w:val="1013"/>
        </w:numPr>
      </w:pPr>
      <w:r>
        <w:rPr>
          <w:b/>
          <w:bCs/>
        </w:rPr>
        <w:t xml:space="preserve">13.7 No refunds.</w:t>
      </w:r>
      <w:r>
        <w:t xml:space="preserve"> </w:t>
      </w:r>
      <w:r>
        <w:t xml:space="preserve">Fees paid are non-refundable.</w:t>
      </w:r>
    </w:p>
    <w:bookmarkEnd w:id="35"/>
    <w:bookmarkStart w:id="36" w:name="X8dee6d30c3dc5dee3b7c7d2a8d13e70bd5ba116"/>
    <w:p>
      <w:pPr>
        <w:pStyle w:val="Heading3"/>
      </w:pPr>
      <w:r>
        <w:t xml:space="preserve">M. Governing Law &amp; Dispute Resolution (Term Sheet §14)</w:t>
      </w:r>
    </w:p>
    <w:p>
      <w:pPr>
        <w:pStyle w:val="Compact"/>
        <w:numPr>
          <w:ilvl w:val="0"/>
          <w:numId w:val="1014"/>
        </w:numPr>
      </w:pPr>
      <w:r>
        <w:rPr>
          <w:b/>
          <w:bCs/>
        </w:rPr>
        <w:t xml:space="preserve">14.1 Governing law.</w:t>
      </w:r>
      <w:r>
        <w:t xml:space="preserve"> </w:t>
      </w:r>
      <w:r>
        <w:t xml:space="preserve">Germany, without regard to conflicts of law.</w:t>
      </w:r>
    </w:p>
    <w:p>
      <w:pPr>
        <w:pStyle w:val="Compact"/>
        <w:numPr>
          <w:ilvl w:val="0"/>
          <w:numId w:val="1014"/>
        </w:numPr>
      </w:pPr>
      <w:r>
        <w:rPr>
          <w:b/>
          <w:bCs/>
        </w:rPr>
        <w:t xml:space="preserve">14.2 Arbitration.</w:t>
      </w:r>
      <w:r>
        <w:t xml:space="preserve"> </w:t>
      </w:r>
      <w:r>
        <w:t xml:space="preserve">ICC Rules; 3 arbitrators; seat Zurich; English language.</w:t>
      </w:r>
    </w:p>
    <w:p>
      <w:pPr>
        <w:pStyle w:val="Compact"/>
        <w:numPr>
          <w:ilvl w:val="0"/>
          <w:numId w:val="1014"/>
        </w:numPr>
      </w:pPr>
      <w:r>
        <w:rPr>
          <w:b/>
          <w:bCs/>
        </w:rPr>
        <w:t xml:space="preserve">14.3 Interim measures.</w:t>
      </w:r>
      <w:r>
        <w:t xml:space="preserve"> </w:t>
      </w:r>
      <w:r>
        <w:t xml:space="preserve">Either party may seek interim/injunctive relief from a court for IP, confidentiality, or status-quo preservation pending arbitration.</w:t>
      </w:r>
    </w:p>
    <w:p>
      <w:pPr>
        <w:pStyle w:val="Compact"/>
        <w:numPr>
          <w:ilvl w:val="0"/>
          <w:numId w:val="1014"/>
        </w:numPr>
      </w:pPr>
      <w:r>
        <w:rPr>
          <w:b/>
          <w:bCs/>
        </w:rPr>
        <w:t xml:space="preserve">14.4 Costs.</w:t>
      </w:r>
      <w:r>
        <w:t xml:space="preserve"> </w:t>
      </w:r>
      <w:r>
        <w:t xml:space="preserve">Each party bears its own costs/fees; arbitration costs allocated by the tribunal.</w:t>
      </w:r>
    </w:p>
    <w:bookmarkEnd w:id="36"/>
    <w:bookmarkStart w:id="37" w:name="X12ec68c7cf6e2d5c7f71cb88ffecfb63bf5e7e4"/>
    <w:p>
      <w:pPr>
        <w:pStyle w:val="Heading3"/>
      </w:pPr>
      <w:r>
        <w:t xml:space="preserve">N. Confidentiality &amp; Miscellaneous (Term Sheet §§15–16)</w:t>
      </w:r>
    </w:p>
    <w:p>
      <w:pPr>
        <w:pStyle w:val="Compact"/>
        <w:numPr>
          <w:ilvl w:val="0"/>
          <w:numId w:val="1015"/>
        </w:numPr>
      </w:pPr>
      <w:r>
        <w:rPr>
          <w:b/>
          <w:bCs/>
        </w:rPr>
        <w:t xml:space="preserve">15.</w:t>
      </w:r>
      <w:r>
        <w:t xml:space="preserve"> </w:t>
      </w:r>
      <w:r>
        <w:t xml:space="preserve">Mutual confidentiality; 5-year survival; standard exceptions; permitted disclosures to advisors and as required by law; return/destroy on termination (subject to archival and Wind-Down License).</w:t>
      </w:r>
    </w:p>
    <w:p>
      <w:pPr>
        <w:pStyle w:val="Compact"/>
        <w:numPr>
          <w:ilvl w:val="0"/>
          <w:numId w:val="1015"/>
        </w:numPr>
      </w:pPr>
      <w:r>
        <w:rPr>
          <w:b/>
          <w:bCs/>
        </w:rPr>
        <w:t xml:space="preserve">16.1</w:t>
      </w:r>
      <w:r>
        <w:t xml:space="preserve"> </w:t>
      </w:r>
      <w:r>
        <w:t xml:space="preserve">Non-binding except §§15 and 16 (binding).</w:t>
      </w:r>
    </w:p>
    <w:p>
      <w:pPr>
        <w:pStyle w:val="Compact"/>
        <w:numPr>
          <w:ilvl w:val="0"/>
          <w:numId w:val="1015"/>
        </w:numPr>
      </w:pPr>
      <w:r>
        <w:rPr>
          <w:b/>
          <w:bCs/>
        </w:rPr>
        <w:t xml:space="preserve">16.2</w:t>
      </w:r>
      <w:r>
        <w:t xml:space="preserve"> </w:t>
      </w:r>
      <w:r>
        <w:t xml:space="preserve">60-day no-shop (through July 28, 2025) — Whitmore negotiates exclusively with KBI; no solicitation/entertainment/acceptance of third-party proposals for a comparable European industrial licensing transaction.</w:t>
      </w:r>
    </w:p>
    <w:p>
      <w:pPr>
        <w:pStyle w:val="Compact"/>
        <w:numPr>
          <w:ilvl w:val="0"/>
          <w:numId w:val="1015"/>
        </w:numPr>
      </w:pPr>
      <w:r>
        <w:rPr>
          <w:b/>
          <w:bCs/>
        </w:rPr>
        <w:t xml:space="preserve">16.3</w:t>
      </w:r>
      <w:r>
        <w:t xml:space="preserve"> </w:t>
      </w:r>
      <w:r>
        <w:t xml:space="preserve">Entire understanding includes the MFC Side Letter.</w:t>
      </w:r>
    </w:p>
    <w:p>
      <w:pPr>
        <w:pStyle w:val="Compact"/>
        <w:numPr>
          <w:ilvl w:val="0"/>
          <w:numId w:val="1015"/>
        </w:numPr>
      </w:pPr>
      <w:r>
        <w:rPr>
          <w:b/>
          <w:bCs/>
        </w:rPr>
        <w:t xml:space="preserve">16.6 Assignment.</w:t>
      </w:r>
      <w:r>
        <w:t xml:space="preserve"> </w:t>
      </w:r>
      <w:r>
        <w:t xml:space="preserve">No assignment without consent, except</w:t>
      </w:r>
      <w:r>
        <w:t xml:space="preserve"> </w:t>
      </w:r>
      <w:r>
        <w:rPr>
          <w:b/>
          <w:bCs/>
        </w:rPr>
        <w:t xml:space="preserve">KBI</w:t>
      </w:r>
      <w:r>
        <w:t xml:space="preserve"> </w:t>
      </w:r>
      <w:r>
        <w:t xml:space="preserve">may assign to any affiliate or in connection with a merger, acquisition, or sale of all/substantially all assets. (No equivalent right for Whitmore.)</w:t>
      </w:r>
    </w:p>
    <w:p>
      <w:pPr>
        <w:pStyle w:val="Compact"/>
        <w:numPr>
          <w:ilvl w:val="0"/>
          <w:numId w:val="1015"/>
        </w:numPr>
      </w:pPr>
      <w:r>
        <w:rPr>
          <w:b/>
          <w:bCs/>
        </w:rPr>
        <w:t xml:space="preserve">16.7</w:t>
      </w:r>
      <w:r>
        <w:t xml:space="preserve"> </w:t>
      </w:r>
      <w:r>
        <w:t xml:space="preserve">Response deadline June 23, 2025.</w:t>
      </w:r>
    </w:p>
    <w:bookmarkEnd w:id="37"/>
    <w:bookmarkStart w:id="38" w:name="o.-mfc-side-letter"/>
    <w:p>
      <w:pPr>
        <w:pStyle w:val="Heading3"/>
      </w:pPr>
      <w:r>
        <w:t xml:space="preserve">O. MFC Side Letter</w:t>
      </w:r>
    </w:p>
    <w:p>
      <w:pPr>
        <w:pStyle w:val="Compact"/>
        <w:numPr>
          <w:ilvl w:val="0"/>
          <w:numId w:val="1016"/>
        </w:numPr>
      </w:pPr>
      <w:r>
        <w:rPr>
          <w:b/>
          <w:bCs/>
        </w:rPr>
        <w:t xml:space="preserve">Condition precedent.</w:t>
      </w:r>
      <w:r>
        <w:t xml:space="preserve"> </w:t>
      </w:r>
      <w:r>
        <w:t xml:space="preserve">KBI’s willingness to proceed is</w:t>
      </w:r>
      <w:r>
        <w:t xml:space="preserve"> </w:t>
      </w:r>
      <w:r>
        <w:t xml:space="preserve">“</w:t>
      </w:r>
      <w:r>
        <w:t xml:space="preserve">expressly conditioned</w:t>
      </w:r>
      <w:r>
        <w:t xml:space="preserve">”</w:t>
      </w:r>
      <w:r>
        <w:t xml:space="preserve"> </w:t>
      </w:r>
      <w:r>
        <w:t xml:space="preserve">on Whitmore’s acceptance of the MFC provision; KBI’s adherence to the timeline (including the September 15, 2025 Phase 1 start) is contingent on acceptance by June 23, 2025.</w:t>
      </w:r>
    </w:p>
    <w:p>
      <w:pPr>
        <w:pStyle w:val="Compact"/>
        <w:numPr>
          <w:ilvl w:val="0"/>
          <w:numId w:val="1016"/>
        </w:numPr>
      </w:pPr>
      <w:r>
        <w:rPr>
          <w:b/>
          <w:bCs/>
        </w:rPr>
        <w:t xml:space="preserve">MFC commitment (§2(a)).</w:t>
      </w:r>
      <w:r>
        <w:t xml:space="preserve"> </w:t>
      </w:r>
      <w:r>
        <w:t xml:space="preserve">If, at any time during the term</w:t>
      </w:r>
      <w:r>
        <w:t xml:space="preserve"> </w:t>
      </w:r>
      <w:r>
        <w:rPr>
          <w:b/>
          <w:bCs/>
        </w:rPr>
        <w:t xml:space="preserve">or thereafter</w:t>
      </w:r>
      <w:r>
        <w:t xml:space="preserve"> </w:t>
      </w:r>
      <w:r>
        <w:t xml:space="preserve">(for so long as KBI retains any license rights, including the post-termination wind-down license), Whitmore enters any agreement/amendment/arrangement with any third party (</w:t>
      </w:r>
      <w:r>
        <w:t xml:space="preserve">“</w:t>
      </w:r>
      <w:r>
        <w:t xml:space="preserve">Subsequent Licensee</w:t>
      </w:r>
      <w:r>
        <w:t xml:space="preserve">”</w:t>
      </w:r>
      <w:r>
        <w:t xml:space="preserve">) for the license/subscription/use of PredictIQ</w:t>
      </w:r>
      <w:r>
        <w:t xml:space="preserve"> </w:t>
      </w:r>
      <w:r>
        <w:rPr>
          <w:b/>
          <w:bCs/>
        </w:rPr>
        <w:t xml:space="preserve">or any successor, derivative, or substantially similar technology</w:t>
      </w:r>
      <w:r>
        <w:t xml:space="preserve"> </w:t>
      </w:r>
      <w:r>
        <w:t xml:space="preserve">on terms resulting in a lower effective per-facility price, Whitmore must notify KBI within 30 days and retroactively adjust KBI’s pricing to match, effective as of the date the more favorable terms were first offered.</w:t>
      </w:r>
    </w:p>
    <w:p>
      <w:pPr>
        <w:pStyle w:val="Compact"/>
        <w:numPr>
          <w:ilvl w:val="0"/>
          <w:numId w:val="1016"/>
        </w:numPr>
      </w:pPr>
      <w:r>
        <w:rPr>
          <w:b/>
          <w:bCs/>
        </w:rPr>
        <w:t xml:space="preserve">Effective per-facility price (§2(b)).</w:t>
      </w:r>
      <w:r>
        <w:t xml:space="preserve"> </w:t>
      </w:r>
      <w:r>
        <w:t xml:space="preserve">Total annual fees (license, subscription, maintenance/support, implementation/professional services — one-time or recurring) ÷ number of facilities deployed/authorized.</w:t>
      </w:r>
    </w:p>
    <w:p>
      <w:pPr>
        <w:pStyle w:val="Compact"/>
        <w:numPr>
          <w:ilvl w:val="0"/>
          <w:numId w:val="1016"/>
        </w:numPr>
      </w:pPr>
      <w:r>
        <w:rPr>
          <w:b/>
          <w:bCs/>
        </w:rPr>
        <w:t xml:space="preserve">Retroactive adjustment &amp; credit (§2(c)).</w:t>
      </w:r>
      <w:r>
        <w:t xml:space="preserve"> </w:t>
      </w:r>
      <w:r>
        <w:t xml:space="preserve">Reduction applied retroactively to the date Whitmore first offered the more favorable terms; credit for aggregate overpayment applied against future payments.</w:t>
      </w:r>
    </w:p>
    <w:p>
      <w:pPr>
        <w:pStyle w:val="Compact"/>
        <w:numPr>
          <w:ilvl w:val="0"/>
          <w:numId w:val="1016"/>
        </w:numPr>
      </w:pPr>
      <w:r>
        <w:rPr>
          <w:b/>
          <w:bCs/>
        </w:rPr>
        <w:t xml:space="preserve">Audit right (§2(d)).</w:t>
      </w:r>
      <w:r>
        <w:t xml:space="preserve"> </w:t>
      </w:r>
      <w:r>
        <w:t xml:space="preserve">Once per calendar year, independent auditor at KBI’s expense — unless the audit reveals a ≥5% discrepancy, in which case at Whitmore’s expense. Whitmore must maintain complete records of all PredictIQ licensing arrangements.</w:t>
      </w:r>
    </w:p>
    <w:p>
      <w:pPr>
        <w:pStyle w:val="Compact"/>
        <w:numPr>
          <w:ilvl w:val="0"/>
          <w:numId w:val="1016"/>
        </w:numPr>
      </w:pPr>
      <w:r>
        <w:rPr>
          <w:b/>
          <w:bCs/>
        </w:rPr>
        <w:t xml:space="preserve">No sunset; no carve-outs.</w:t>
      </w:r>
      <w:r>
        <w:t xml:space="preserve"> </w:t>
      </w:r>
      <w:r>
        <w:t xml:space="preserve">The Side Letter contains no expiration, no product-tier carve-outs, no bundled-deal carve-out, no distressed-customer carve-out, and no geographic carve-out. (Note: internal email characterizes the provision as reaching pricing concessions offered to other customers since January 1, 2024; the Side Letter text as provided applies during the term and thereafter. The retroactive reach should be confirmed and narrowed in any event.)</w:t>
      </w:r>
    </w:p>
    <w:p>
      <w:pPr>
        <w:pStyle w:val="Compact"/>
        <w:numPr>
          <w:ilvl w:val="0"/>
          <w:numId w:val="1016"/>
        </w:numPr>
      </w:pPr>
      <w:r>
        <w:rPr>
          <w:b/>
          <w:bCs/>
        </w:rPr>
        <w:t xml:space="preserve">Governing law.</w:t>
      </w:r>
      <w:r>
        <w:t xml:space="preserve"> </w:t>
      </w:r>
      <w:r>
        <w:t xml:space="preserve">Germany (consistent with Term Sheet).</w:t>
      </w:r>
    </w:p>
    <w:p>
      <w:r>
        <w:pict>
          <v:rect style="width:0;height:1.5pt" o:hralign="center" o:hrstd="t" o:hr="t"/>
        </w:pict>
      </w:r>
    </w:p>
    <w:bookmarkEnd w:id="38"/>
    <w:bookmarkEnd w:id="39"/>
    <w:bookmarkStart w:id="44" w:name="v.-risk-flags"/>
    <w:p>
      <w:pPr>
        <w:pStyle w:val="Heading2"/>
      </w:pPr>
      <w:r>
        <w:t xml:space="preserve">V. Risk Flags</w:t>
      </w:r>
    </w:p>
    <w:bookmarkStart w:id="40" w:name="critical-risks"/>
    <w:p>
      <w:pPr>
        <w:pStyle w:val="Heading3"/>
      </w:pPr>
      <w:r>
        <w:t xml:space="preserve">Critical Risks</w:t>
      </w:r>
    </w:p>
    <w:p>
      <w:pPr>
        <w:pStyle w:val="FirstParagraph"/>
      </w:pPr>
      <w:r>
        <w:rPr>
          <w:b/>
          <w:bCs/>
        </w:rPr>
        <w:t xml:space="preserve">C1. Exclusivity / Non-Compete — open-ended scope and unworkable monitoring (TS §12).</w:t>
      </w:r>
      <w:r>
        <w:t xml:space="preserve"> </w:t>
      </w:r>
      <w:r>
        <w:t xml:space="preserve">The 3-year exclusivity is the single most dangerous term in the Term Sheet. The 12 named competitors in Exhibit B are themselves meaningful prospects, but the open-ended</w:t>
      </w:r>
      <w:r>
        <w:t xml:space="preserve"> </w:t>
      </w:r>
      <w:r>
        <w:t xml:space="preserve">“</w:t>
      </w:r>
      <w:r>
        <w:t xml:space="preserve">30% revenue</w:t>
      </w:r>
      <w:r>
        <w:t xml:space="preserve">”</w:t>
      </w:r>
      <w:r>
        <w:t xml:space="preserve"> </w:t>
      </w:r>
      <w:r>
        <w:t xml:space="preserve">definition (§12.2(b)) is the core problem: management estimates it could capture 25–30 additional European manufacturers, including three active prospects representing $4–5M in potential recurring SaaS revenue. Equally serious, the definition creates an</w:t>
      </w:r>
      <w:r>
        <w:t xml:space="preserve"> </w:t>
      </w:r>
      <w:r>
        <w:rPr>
          <w:b/>
          <w:bCs/>
        </w:rPr>
        <w:t xml:space="preserve">affirmative monitoring obligation</w:t>
      </w:r>
      <w:r>
        <w:t xml:space="preserve"> </w:t>
      </w:r>
      <w:r>
        <w:t xml:space="preserve">— Whitmore would need to determine, before engaging any prospective European customer, whether that entity derives ≥30% of revenue from automotive/heavy-machinery manufacturing. There is no reliable way to make that determination for privately held companies, subsidiaries of diversified conglomerates, or entities that do not publicly disaggregate revenue. The result is a perpetual risk of inadvertent breach, with remedies including injunctive relief (no bond, no showing of irreparable harm) and termination for cause. The provision</w:t>
      </w:r>
      <w:r>
        <w:t xml:space="preserve"> </w:t>
      </w:r>
      <w:r>
        <w:rPr>
          <w:b/>
          <w:bCs/>
        </w:rPr>
        <w:t xml:space="preserve">survives termination</w:t>
      </w:r>
      <w:r>
        <w:t xml:space="preserve"> </w:t>
      </w:r>
      <w:r>
        <w:t xml:space="preserve">and applies to successor/replacement products. The asymmetry is stark: KBI locks in favorable economics for up to 5 years (expansion right) while Whitmore is locked out of a major market segment for 3 years.</w:t>
      </w:r>
    </w:p>
    <w:p>
      <w:pPr>
        <w:pStyle w:val="BodyText"/>
      </w:pPr>
      <w:r>
        <w:rPr>
          <w:b/>
          <w:bCs/>
        </w:rPr>
        <w:t xml:space="preserve">C2. Data training prohibition + Output Data ownership of model weights (TS §§4.2–4.3).</w:t>
      </w:r>
      <w:r>
        <w:t xml:space="preserve"> </w:t>
      </w:r>
      <w:r>
        <w:t xml:space="preserve">Two interlocking provisions threaten PredictIQ’s core value proposition. First, §4.3 prohibits Whitmore from using KBI Data — even in anonymized or aggregated form — to train or improve PredictIQ’s general ML models without KBI’s prior written consent, which may be withheld in KBI’s sole discretion. KBI’s 43 facilities across 12 countries would generate uniquely valuable, geographically and operationally diverse training data; foreclosing its use (even anonymized) would deprive PredictIQ of the single most important input to model improvement — degrading the product for all customers. Second, §4.2 defines</w:t>
      </w:r>
      <w:r>
        <w:t xml:space="preserve"> </w:t>
      </w:r>
      <w:r>
        <w:t xml:space="preserve">“</w:t>
      </w:r>
      <w:r>
        <w:t xml:space="preserve">Output Data</w:t>
      </w:r>
      <w:r>
        <w:t xml:space="preserve">”</w:t>
      </w:r>
      <w:r>
        <w:t xml:space="preserve"> </w:t>
      </w:r>
      <w:r>
        <w:t xml:space="preserve">to include</w:t>
      </w:r>
      <w:r>
        <w:t xml:space="preserve"> </w:t>
      </w:r>
      <w:r>
        <w:rPr>
          <w:b/>
          <w:bCs/>
        </w:rPr>
        <w:t xml:space="preserve">model weights, parameters, training artifacts, feature-importance rankings, and model configuration data</w:t>
      </w:r>
      <w:r>
        <w:t xml:space="preserve"> </w:t>
      </w:r>
      <w:r>
        <w:t xml:space="preserve">and assigns all Output Data to KBI as its sole and exclusive property. Read together, these provisions suggest that model state shaped by KBI data in the ordinary course of providing services generates IP belonging to KBI — i.e., every customer interaction could make PredictIQ</w:t>
      </w:r>
      <w:r>
        <w:t xml:space="preserve"> </w:t>
      </w:r>
      <w:r>
        <w:t xml:space="preserve">“</w:t>
      </w:r>
      <w:r>
        <w:t xml:space="preserve">less ours.</w:t>
      </w:r>
      <w:r>
        <w:t xml:space="preserve">”</w:t>
      </w:r>
      <w:r>
        <w:t xml:space="preserve"> </w:t>
      </w:r>
      <w:r>
        <w:t xml:space="preserve">This is an outlier position; industry-standard terms treat anonymized, aggregated data usage as a standard license right.</w:t>
      </w:r>
    </w:p>
    <w:p>
      <w:pPr>
        <w:pStyle w:val="BodyText"/>
      </w:pPr>
      <w:r>
        <w:rPr>
          <w:b/>
          <w:bCs/>
        </w:rPr>
        <w:t xml:space="preserve">C3. MFC Side Letter — overbroad, perpetual, retroactive, post-term (Side Letter §2).</w:t>
      </w:r>
      <w:r>
        <w:t xml:space="preserve"> </w:t>
      </w:r>
      <w:r>
        <w:t xml:space="preserve">The MFC provision is the most aggressive we have encountered. It (i) has</w:t>
      </w:r>
      <w:r>
        <w:t xml:space="preserve"> </w:t>
      </w:r>
      <w:r>
        <w:rPr>
          <w:b/>
          <w:bCs/>
        </w:rPr>
        <w:t xml:space="preserve">no sunset</w:t>
      </w:r>
      <w:r>
        <w:t xml:space="preserve"> </w:t>
      </w:r>
      <w:r>
        <w:t xml:space="preserve">and extends beyond the term for so long as KBI retains any license rights (including the perpetual wind-down license — meaning potentially forever); (ii) contains</w:t>
      </w:r>
      <w:r>
        <w:t xml:space="preserve"> </w:t>
      </w:r>
      <w:r>
        <w:rPr>
          <w:b/>
          <w:bCs/>
        </w:rPr>
        <w:t xml:space="preserve">no carve-outs</w:t>
      </w:r>
      <w:r>
        <w:t xml:space="preserve"> </w:t>
      </w:r>
      <w:r>
        <w:t xml:space="preserve">(no product-tier, bundled-deal, distressed-customer, government, geographic, or promotional/introductory-pricing carve-outs); (iii) applies</w:t>
      </w:r>
      <w:r>
        <w:t xml:space="preserve"> </w:t>
      </w:r>
      <w:r>
        <w:rPr>
          <w:b/>
          <w:bCs/>
        </w:rPr>
        <w:t xml:space="preserve">retroactively</w:t>
      </w:r>
      <w:r>
        <w:t xml:space="preserve"> </w:t>
      </w:r>
      <w:r>
        <w:t xml:space="preserve">to the date any more favorable terms were first offered to a Subsequent Licensee, with credits for overpayment; (iv) sweeps in</w:t>
      </w:r>
      <w:r>
        <w:t xml:space="preserve"> </w:t>
      </w:r>
      <w:r>
        <w:t xml:space="preserve">“</w:t>
      </w:r>
      <w:r>
        <w:t xml:space="preserve">any successor, derivative, or substantially similar technology,</w:t>
      </w:r>
      <w:r>
        <w:t xml:space="preserve">”</w:t>
      </w:r>
      <w:r>
        <w:t xml:space="preserve"> </w:t>
      </w:r>
      <w:r>
        <w:t xml:space="preserve">not just PredictIQ as deployed for KBI; and (v) is backed by an annual audit right (at Whitmore’s expense if a ≥5% discrepancy is found). The</w:t>
      </w:r>
      <w:r>
        <w:t xml:space="preserve"> </w:t>
      </w:r>
      <w:r>
        <w:t xml:space="preserve">“</w:t>
      </w:r>
      <w:r>
        <w:t xml:space="preserve">effective per-facility price</w:t>
      </w:r>
      <w:r>
        <w:t xml:space="preserve">”</w:t>
      </w:r>
      <w:r>
        <w:t xml:space="preserve"> </w:t>
      </w:r>
      <w:r>
        <w:t xml:space="preserve">metric (total annual fees ÷ facility count) is crude and will generate false positives — e.g., a smaller, simpler deployment legitimately priced lower per facility would trigger an adjustment. KBI conditions the entire transaction on acceptance. Left as-is, this provision would make Whitmore’s pricing to every other customer a function of KBI’s terms, materially constraining commercial flexibility and the ability to price strategically for market entry.</w:t>
      </w:r>
    </w:p>
    <w:bookmarkEnd w:id="40"/>
    <w:bookmarkStart w:id="41" w:name="high-risks"/>
    <w:p>
      <w:pPr>
        <w:pStyle w:val="Heading3"/>
      </w:pPr>
      <w:r>
        <w:t xml:space="preserve">High Risks</w:t>
      </w:r>
    </w:p>
    <w:p>
      <w:pPr>
        <w:pStyle w:val="FirstParagraph"/>
      </w:pPr>
      <w:r>
        <w:rPr>
          <w:b/>
          <w:bCs/>
        </w:rPr>
        <w:t xml:space="preserve">H1. Uncapped IP indemnification (TS §9.1).</w:t>
      </w:r>
      <w:r>
        <w:t xml:space="preserve"> </w:t>
      </w:r>
      <w:r>
        <w:t xml:space="preserve">Whitmore’s IP indemnification is expressly carved out of the limitation of liability (§10.3(A)) and is</w:t>
      </w:r>
      <w:r>
        <w:t xml:space="preserve"> </w:t>
      </w:r>
      <w:r>
        <w:rPr>
          <w:b/>
          <w:bCs/>
        </w:rPr>
        <w:t xml:space="preserve">not subject to any cap</w:t>
      </w:r>
      <w:r>
        <w:t xml:space="preserve">. Given the complexity and volatility of the ML/AI patent landscape, uncapped infringement exposure is a significant balance-sheet risk. The indemnity also runs to KBI’s affiliates, officers, directors, employees, and agents — a broad indemnified class. The infringement remedies (§9.2) are otherwise standard (procure/modify/replace at Whitmore’s option).</w:t>
      </w:r>
    </w:p>
    <w:p>
      <w:pPr>
        <w:pStyle w:val="BodyText"/>
      </w:pPr>
      <w:r>
        <w:rPr>
          <w:b/>
          <w:bCs/>
        </w:rPr>
        <w:t xml:space="preserve">H2. Derivative works joint ownership; internal contradiction with feedback clause (TS §§2, 3.3–3.4).</w:t>
      </w:r>
      <w:r>
        <w:t xml:space="preserve"> </w:t>
      </w:r>
      <w:r>
        <w:t xml:space="preserve">Joint ownership of API-layer derivative works — with each party free to use, modify, sublicense, and exploit without consent or accounting — is unusually broad. It could be read to permit KBI to commercialize integration code that embeds or reveals PredictIQ functionality, and it sits in tension with §3.4 (which makes all KBI feedback Whitmore’s sole property) and §3.5 (which licenses KBI-Inspired Improvements back to KBI). The three provisions are not fully reconciled and create interpretive risk as to who owns what at the boundary between</w:t>
      </w:r>
      <w:r>
        <w:t xml:space="preserve"> </w:t>
      </w:r>
      <w:r>
        <w:t xml:space="preserve">“</w:t>
      </w:r>
      <w:r>
        <w:t xml:space="preserve">feedback,</w:t>
      </w:r>
      <w:r>
        <w:t xml:space="preserve">”</w:t>
      </w:r>
      <w:r>
        <w:t xml:space="preserve"> </w:t>
      </w:r>
      <w:r>
        <w:t xml:space="preserve">“</w:t>
      </w:r>
      <w:r>
        <w:t xml:space="preserve">derivative works,</w:t>
      </w:r>
      <w:r>
        <w:t xml:space="preserve">”</w:t>
      </w:r>
      <w:r>
        <w:t xml:space="preserve"> </w:t>
      </w:r>
      <w:r>
        <w:t xml:space="preserve">and</w:t>
      </w:r>
      <w:r>
        <w:t xml:space="preserve"> </w:t>
      </w:r>
      <w:r>
        <w:t xml:space="preserve">“</w:t>
      </w:r>
      <w:r>
        <w:t xml:space="preserve">KBI-Inspired Improvements.</w:t>
      </w:r>
      <w:r>
        <w:t xml:space="preserve">”</w:t>
      </w:r>
    </w:p>
    <w:p>
      <w:pPr>
        <w:pStyle w:val="BodyText"/>
      </w:pPr>
      <w:r>
        <w:rPr>
          <w:b/>
          <w:bCs/>
        </w:rPr>
        <w:t xml:space="preserve">H3. Performance warranty with financial penalties and termination trigger (TS §§8.2–8.3).</w:t>
      </w:r>
      <w:r>
        <w:t xml:space="preserve"> </w:t>
      </w:r>
      <w:r>
        <w:t xml:space="preserve">The 92% prediction-accuracy warranty is measured on a rolling 90-day basis across all deployed facilities, with service credits of 5% of the quarterly SaaS fee per percentage point below 92% (uncapped as to the number of points), and a termination-for-cause right if accuracy falls below 85% for two consecutive quarters. Prediction accuracy in predictive maintenance is highly sensitive to factors largely outside Whitmore’s control: sensor calibration and health, data quality and completeness, KBI’s maintenance-log discipline (which is the very measuring stick), equipment-mix changes, and environmental variables. As drafted, Whitmore bears the full risk of these external dependencies, with no conditions precedent tying the warranty to KBI’s performance of its own obligations (e.g., maintaining sensors, providing accurate logs).</w:t>
      </w:r>
    </w:p>
    <w:p>
      <w:pPr>
        <w:pStyle w:val="BodyText"/>
      </w:pPr>
      <w:r>
        <w:rPr>
          <w:b/>
          <w:bCs/>
        </w:rPr>
        <w:t xml:space="preserve">H4. Implementation cash-flow mismatch (TS §§5.1, 5.3).</w:t>
      </w:r>
      <w:r>
        <w:t xml:space="preserve"> </w:t>
      </w:r>
      <w:r>
        <w:t xml:space="preserve">The 30/40/30 license-fee split and linear implementation-fee schedule produce a first-six-month cash shortfall. Management’s estimate: ~$1.84M inflows (signing payment $1.26M + 6 months implementation ~$0.58M) against ~$2.5–3.0M in implementation costs (8–12 engineers/consultants, international travel, on-site integration across 12 countries) — a shortfall of ~$0.7–1.2M before the Phase 1 milestone payment. The structure also raises ASC 606 revenue-recognition questions (linear billing vs. milestone-based delivery) that should be flagged to Whitmore’s auditors (Lakeshore Accounting Group LLP) early.</w:t>
      </w:r>
    </w:p>
    <w:p>
      <w:pPr>
        <w:pStyle w:val="BodyText"/>
      </w:pPr>
      <w:r>
        <w:rPr>
          <w:b/>
          <w:bCs/>
        </w:rPr>
        <w:t xml:space="preserve">H5. German governing law (TS §14.1).</w:t>
      </w:r>
      <w:r>
        <w:t xml:space="preserve"> </w:t>
      </w:r>
      <w:r>
        <w:t xml:space="preserve">German substantive law, combined with the uncapped IP indemnity (§9.1) and the performance-warranty penalty structure (§8.3), creates exposure that warrants specialist review. German law treats certain penalty/liquidated-damages clauses and limitation-of-liability exclusions differently than U.S. law, and the interaction with the uncapped indemnity and the 18% late-payment interest (§5.5) should be examined. Management has asked specifically whether to push for Washington state law or a neutral jurisdiction (England or Switzerland).</w:t>
      </w:r>
    </w:p>
    <w:p>
      <w:pPr>
        <w:pStyle w:val="BodyText"/>
      </w:pPr>
      <w:r>
        <w:rPr>
          <w:b/>
          <w:bCs/>
        </w:rPr>
        <w:t xml:space="preserve">H6. Perpetual, irrevocable wind-down license on any termination (TS §13.5).</w:t>
      </w:r>
      <w:r>
        <w:t xml:space="preserve"> </w:t>
      </w:r>
      <w:r>
        <w:t xml:space="preserve">Upon termination or expiration</w:t>
      </w:r>
      <w:r>
        <w:t xml:space="preserve"> </w:t>
      </w:r>
      <w:r>
        <w:rPr>
          <w:b/>
          <w:bCs/>
        </w:rPr>
        <w:t xml:space="preserve">for any reason — including KBI’s termination for convenience and including termination for KBI’s own breach</w:t>
      </w:r>
      <w:r>
        <w:t xml:space="preserve"> </w:t>
      </w:r>
      <w:r>
        <w:t xml:space="preserve">— KBI retains a perpetual, non-exclusive, irrevocable license to continue using the deployed version of PredictIQ, conditioned only on continued payment of the maintenance fee. (Note: internal email referenced a</w:t>
      </w:r>
      <w:r>
        <w:t xml:space="preserve"> </w:t>
      </w:r>
      <w:r>
        <w:t xml:space="preserve">“</w:t>
      </w:r>
      <w:r>
        <w:t xml:space="preserve">24-month</w:t>
      </w:r>
      <w:r>
        <w:t xml:space="preserve">”</w:t>
      </w:r>
      <w:r>
        <w:t xml:space="preserve"> </w:t>
      </w:r>
      <w:r>
        <w:t xml:space="preserve">wind-down license; the Term Sheet as drafted provides a</w:t>
      </w:r>
      <w:r>
        <w:t xml:space="preserve"> </w:t>
      </w:r>
      <w:r>
        <w:rPr>
          <w:b/>
          <w:bCs/>
        </w:rPr>
        <w:t xml:space="preserve">perpetual</w:t>
      </w:r>
      <w:r>
        <w:t xml:space="preserve"> </w:t>
      </w:r>
      <w:r>
        <w:t xml:space="preserve">wind-down license, which is more favorable to KBI and more concerning for Whitmore.) This substantially dilutes the value of Whitmore’s termination rights and, combined with the perpetual license grant and the perpetual MFC, means KBI effectively retains PredictIQ in some form forever regardless of how the relationship ends.</w:t>
      </w:r>
    </w:p>
    <w:p>
      <w:pPr>
        <w:pStyle w:val="BodyText"/>
      </w:pPr>
      <w:r>
        <w:rPr>
          <w:b/>
          <w:bCs/>
        </w:rPr>
        <w:t xml:space="preserve">H7. Source code escrow release triggers and post-release source license (TS §11).</w:t>
      </w:r>
      <w:r>
        <w:t xml:space="preserve"> </w:t>
      </w:r>
      <w:r>
        <w:t xml:space="preserve">Whitmore must deposit complete source code, build tools, and documentation within 60 days, updated annually and on each major release. Release triggers include</w:t>
      </w:r>
      <w:r>
        <w:t xml:space="preserve"> </w:t>
      </w:r>
      <w:r>
        <w:t xml:space="preserve">“</w:t>
      </w:r>
      <w:r>
        <w:t xml:space="preserve">material breach uncured for 60 days</w:t>
      </w:r>
      <w:r>
        <w:t xml:space="preserve">”</w:t>
      </w:r>
      <w:r>
        <w:t xml:space="preserve"> </w:t>
      </w:r>
      <w:r>
        <w:t xml:space="preserve">— a relatively low threshold that, combined with the 60-day cure period in §13.2, could put source code in KBI’s hands on a curable breach. Upon release, KBI obtains a perpetual, irrevocable, royalty-free license to use, modify, compile, and deploy the source code (limited to internal manufacturing operations). The escrow is a reasonable business-protection request, but the triggers and post-release rights should be tightened.</w:t>
      </w:r>
    </w:p>
    <w:bookmarkEnd w:id="41"/>
    <w:bookmarkStart w:id="42" w:name="medium-risks"/>
    <w:p>
      <w:pPr>
        <w:pStyle w:val="Heading3"/>
      </w:pPr>
      <w:r>
        <w:t xml:space="preserve">Medium Risks</w:t>
      </w:r>
    </w:p>
    <w:p>
      <w:pPr>
        <w:pStyle w:val="FirstParagraph"/>
      </w:pPr>
      <w:r>
        <w:rPr>
          <w:b/>
          <w:bCs/>
        </w:rPr>
        <w:t xml:space="preserve">M1. KBI-Inspired Improvements license — overbroad (TS §3.5).</w:t>
      </w:r>
      <w:r>
        <w:t xml:space="preserve"> </w:t>
      </w:r>
      <w:r>
        <w:t xml:space="preserve">The grant-back to KBI of a perpetual, irrevocable, royalty-free license to any Whitmore improvement</w:t>
      </w:r>
      <w:r>
        <w:t xml:space="preserve"> </w:t>
      </w:r>
      <w:r>
        <w:t xml:space="preserve">“</w:t>
      </w:r>
      <w:r>
        <w:t xml:space="preserve">derived from or inspired by</w:t>
      </w:r>
      <w:r>
        <w:t xml:space="preserve">”</w:t>
      </w:r>
      <w:r>
        <w:t xml:space="preserve"> </w:t>
      </w:r>
      <w:r>
        <w:t xml:space="preserve">KBI’s data, processes, or use is broadly worded.</w:t>
      </w:r>
      <w:r>
        <w:t xml:space="preserve"> </w:t>
      </w:r>
      <w:r>
        <w:t xml:space="preserve">“</w:t>
      </w:r>
      <w:r>
        <w:t xml:space="preserve">Inspired by</w:t>
      </w:r>
      <w:r>
        <w:t xml:space="preserve">”</w:t>
      </w:r>
      <w:r>
        <w:t xml:space="preserve"> </w:t>
      </w:r>
      <w:r>
        <w:t xml:space="preserve">in particular could be read to capture general product improvements that touch areas KBI uses, effectively giving KBI a free ride on a broad swath of Whitmore’s roadmap.</w:t>
      </w:r>
    </w:p>
    <w:p>
      <w:pPr>
        <w:pStyle w:val="BodyText"/>
      </w:pPr>
      <w:r>
        <w:rPr>
          <w:b/>
          <w:bCs/>
        </w:rPr>
        <w:t xml:space="preserve">M2. Termination-for-convenience and assignment asymmetries (TS §§13.3, 16.6).</w:t>
      </w:r>
      <w:r>
        <w:t xml:space="preserve"> </w:t>
      </w:r>
      <w:r>
        <w:t xml:space="preserve">Only KBI has a termination-for-convenience right (12 months’ notice, not before the 3rd anniversary); Whitmore has none. Similarly, only KBI may assign without consent (to affiliates or in a merger/acquisition/asset sale); Whitmore has no equivalent. These asymmetries should be made mutual or conditioned.</w:t>
      </w:r>
    </w:p>
    <w:p>
      <w:pPr>
        <w:pStyle w:val="BodyText"/>
      </w:pPr>
      <w:r>
        <w:rPr>
          <w:b/>
          <w:bCs/>
        </w:rPr>
        <w:t xml:space="preserve">M3. Limitation-of-liability cap level with uncapped IP indemnity (TS §10).</w:t>
      </w:r>
      <w:r>
        <w:t xml:space="preserve"> </w:t>
      </w:r>
      <w:r>
        <w:t xml:space="preserve">The general cap (greater of 2× trailing-12-month fees or $15M) is high relative to the deal’s annual run-rate, and the IP indemnity is carved out entirely (uncapped). The $15M floor is roughly 1.6× first-year revenue and ~5× annual recurring SaaS — a meaningful exposure for a company of Whitmore’s size.</w:t>
      </w:r>
    </w:p>
    <w:p>
      <w:pPr>
        <w:pStyle w:val="BodyText"/>
      </w:pPr>
      <w:r>
        <w:rPr>
          <w:b/>
          <w:bCs/>
        </w:rPr>
        <w:t xml:space="preserve">M4. Deemed acceptance; subjective</w:t>
      </w:r>
      <w:r>
        <w:rPr>
          <w:b/>
          <w:bCs/>
        </w:rPr>
        <w:t xml:space="preserve"> </w:t>
      </w:r>
      <w:r>
        <w:rPr>
          <w:b/>
          <w:bCs/>
        </w:rPr>
        <w:t xml:space="preserve">“</w:t>
      </w:r>
      <w:r>
        <w:rPr>
          <w:b/>
          <w:bCs/>
        </w:rPr>
        <w:t xml:space="preserve">material non-conformance</w:t>
      </w:r>
      <w:r>
        <w:rPr>
          <w:b/>
          <w:bCs/>
        </w:rPr>
        <w:t xml:space="preserve">”</w:t>
      </w:r>
      <w:r>
        <w:rPr>
          <w:b/>
          <w:bCs/>
        </w:rPr>
        <w:t xml:space="preserve"> </w:t>
      </w:r>
      <w:r>
        <w:rPr>
          <w:b/>
          <w:bCs/>
        </w:rPr>
        <w:t xml:space="preserve">(TS §6.5).</w:t>
      </w:r>
      <w:r>
        <w:t xml:space="preserve"> </w:t>
      </w:r>
      <w:r>
        <w:t xml:space="preserve">Deemed acceptance on a 30-day UAT is acceptable in principle, but the standard is</w:t>
      </w:r>
      <w:r>
        <w:t xml:space="preserve"> </w:t>
      </w:r>
      <w:r>
        <w:t xml:space="preserve">“</w:t>
      </w:r>
      <w:r>
        <w:t xml:space="preserve">material non-conformance,</w:t>
      </w:r>
      <w:r>
        <w:t xml:space="preserve">”</w:t>
      </w:r>
      <w:r>
        <w:t xml:space="preserve"> </w:t>
      </w:r>
      <w:r>
        <w:t xml:space="preserve">which is undefined and subjective. Without objective acceptance criteria, KBI retains discretion to accept or reject, while the deemed-acceptance clock runs against Whitmore.</w:t>
      </w:r>
    </w:p>
    <w:p>
      <w:pPr>
        <w:pStyle w:val="BodyText"/>
      </w:pPr>
      <w:r>
        <w:rPr>
          <w:b/>
          <w:bCs/>
        </w:rPr>
        <w:t xml:space="preserve">M5. Expansion right — 5-year locked pricing; interacts with MFC (TS §§2, 5.7).</w:t>
      </w:r>
      <w:r>
        <w:t xml:space="preserve"> </w:t>
      </w:r>
      <w:r>
        <w:t xml:space="preserve">The 5-year expansion right at fixed per-facility terms (no additional license fee) locks Whitmore’s pricing for newly acquired facilities and compounds the MFC problem: any lower per-facility price offered elsewhere triggers an MFC adjustment, while KBI’s own expansion pricing is frozen.</w:t>
      </w:r>
    </w:p>
    <w:p>
      <w:pPr>
        <w:pStyle w:val="BodyText"/>
      </w:pPr>
      <w:r>
        <w:rPr>
          <w:b/>
          <w:bCs/>
        </w:rPr>
        <w:t xml:space="preserve">M6. Feedback/derivative-works/Improvements contradiction (TS §§3.3–3.5).</w:t>
      </w:r>
      <w:r>
        <w:t xml:space="preserve"> </w:t>
      </w:r>
      <w:r>
        <w:t xml:space="preserve">As noted in H2, the interaction among joint ownership of derivative works, sole-Whitmore ownership of feedback, and the KBI-Inspired Improvements grant-back is not fully reconciled and should be clarified.</w:t>
      </w:r>
    </w:p>
    <w:bookmarkEnd w:id="42"/>
    <w:bookmarkStart w:id="43" w:name="X53300d5f07cbd6ae9bd3bcee4c0aab0f38d1ba4"/>
    <w:p>
      <w:pPr>
        <w:pStyle w:val="Heading3"/>
      </w:pPr>
      <w:r>
        <w:t xml:space="preserve">Lower Risks (noting favorable or minor items)</w:t>
      </w:r>
    </w:p>
    <w:p>
      <w:pPr>
        <w:pStyle w:val="Compact"/>
        <w:numPr>
          <w:ilvl w:val="0"/>
          <w:numId w:val="1017"/>
        </w:numPr>
      </w:pPr>
      <w:r>
        <w:rPr>
          <w:b/>
          <w:bCs/>
        </w:rPr>
        <w:t xml:space="preserve">SLA</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(TS §7.2).</w:t>
      </w:r>
      <w:r>
        <w:t xml:space="preserve"> </w:t>
      </w:r>
      <w:r>
        <w:t xml:space="preserve">Best-efforts (not commitment) language with no service credits for SLA misses is favorable to Whitmore; expect KBI to push for hard commitments and credits.</w:t>
      </w:r>
    </w:p>
    <w:p>
      <w:pPr>
        <w:pStyle w:val="Compact"/>
        <w:numPr>
          <w:ilvl w:val="0"/>
          <w:numId w:val="1017"/>
        </w:numPr>
      </w:pPr>
      <w:r>
        <w:rPr>
          <w:b/>
          <w:bCs/>
        </w:rPr>
        <w:t xml:space="preserve">Late-payment interest (TS §5.5).</w:t>
      </w:r>
      <w:r>
        <w:t xml:space="preserve"> </w:t>
      </w:r>
      <w:r>
        <w:t xml:space="preserve">1.5%/month (≈18% APR) is high and may be challenged as an unenforceable penalty under German law; consider a lower, defensible rate.</w:t>
      </w:r>
    </w:p>
    <w:p>
      <w:pPr>
        <w:pStyle w:val="Compact"/>
        <w:numPr>
          <w:ilvl w:val="0"/>
          <w:numId w:val="1017"/>
        </w:numPr>
      </w:pPr>
      <w:r>
        <w:rPr>
          <w:b/>
          <w:bCs/>
        </w:rPr>
        <w:t xml:space="preserve">No refunds (TS §13.7).</w:t>
      </w:r>
      <w:r>
        <w:t xml:space="preserve"> </w:t>
      </w:r>
      <w:r>
        <w:t xml:space="preserve">Favorable to Whitmore.</w:t>
      </w:r>
    </w:p>
    <w:p>
      <w:pPr>
        <w:pStyle w:val="Compact"/>
        <w:numPr>
          <w:ilvl w:val="0"/>
          <w:numId w:val="1017"/>
        </w:numPr>
      </w:pPr>
      <w:r>
        <w:rPr>
          <w:b/>
          <w:bCs/>
        </w:rPr>
        <w:t xml:space="preserve">Taxes (TS §5.6).</w:t>
      </w:r>
      <w:r>
        <w:t xml:space="preserve"> </w:t>
      </w:r>
      <w:r>
        <w:t xml:space="preserve">KBI bears sales/use/VAT — favorable to Whitmore.</w:t>
      </w:r>
    </w:p>
    <w:p>
      <w:pPr>
        <w:pStyle w:val="Compact"/>
        <w:numPr>
          <w:ilvl w:val="0"/>
          <w:numId w:val="1017"/>
        </w:numPr>
      </w:pPr>
      <w:r>
        <w:rPr>
          <w:b/>
          <w:bCs/>
        </w:rPr>
        <w:t xml:space="preserve">Currency (TS §5.5).</w:t>
      </w:r>
      <w:r>
        <w:t xml:space="preserve"> </w:t>
      </w:r>
      <w:r>
        <w:t xml:space="preserve">USD billing is favorable to Whitmore; KBI bears EUR/USD FX risk.</w:t>
      </w:r>
    </w:p>
    <w:p>
      <w:pPr>
        <w:pStyle w:val="Compact"/>
        <w:numPr>
          <w:ilvl w:val="0"/>
          <w:numId w:val="1017"/>
        </w:numPr>
      </w:pPr>
      <w:r>
        <w:rPr>
          <w:b/>
          <w:bCs/>
        </w:rPr>
        <w:t xml:space="preserve">No-shop scope (TS §16.2).</w:t>
      </w:r>
      <w:r>
        <w:t xml:space="preserve"> </w:t>
      </w:r>
      <w:r>
        <w:t xml:space="preserve">60 days is reasonable; ensure scope is limited to comparable European industrial transactions (not all PredictIQ deals globally).</w:t>
      </w:r>
    </w:p>
    <w:p>
      <w:r>
        <w:pict>
          <v:rect style="width:0;height:1.5pt" o:hralign="center" o:hrstd="t" o:hr="t"/>
        </w:pict>
      </w:r>
    </w:p>
    <w:bookmarkEnd w:id="43"/>
    <w:bookmarkEnd w:id="44"/>
    <w:bookmarkStart w:id="49" w:name="vi.-negotiation-recommendations"/>
    <w:p>
      <w:pPr>
        <w:pStyle w:val="Heading2"/>
      </w:pPr>
      <w:r>
        <w:t xml:space="preserve">VI. Negotiation Recommendations</w:t>
      </w:r>
    </w:p>
    <w:p>
      <w:pPr>
        <w:pStyle w:val="FirstParagraph"/>
      </w:pPr>
      <w:r>
        <w:t xml:space="preserve">The following are specific, actionable counter-proposals, mapped to the risk flags above. They are calibrated to preserve the deal while protecting Whitmore’s core IP and go-to-market freedom.</w:t>
      </w:r>
    </w:p>
    <w:bookmarkStart w:id="45" w:name="critical-issues"/>
    <w:p>
      <w:pPr>
        <w:pStyle w:val="Heading3"/>
      </w:pPr>
      <w:r>
        <w:t xml:space="preserve">Critical Issues</w:t>
      </w:r>
    </w:p>
    <w:p>
      <w:pPr>
        <w:pStyle w:val="FirstParagraph"/>
      </w:pPr>
      <w:r>
        <w:rPr>
          <w:b/>
          <w:bCs/>
        </w:rPr>
        <w:t xml:space="preserve">R-C1 (Exclusivity).</w:t>
      </w:r>
      <w:r>
        <w:t xml:space="preserve"> </w:t>
      </w:r>
      <w:r>
        <w:t xml:space="preserve">Accept a</w:t>
      </w:r>
      <w:r>
        <w:t xml:space="preserve"> </w:t>
      </w:r>
      <w:r>
        <w:rPr>
          <w:b/>
          <w:bCs/>
        </w:rPr>
        <w:t xml:space="preserve">narrow, named-company-only exclusivity</w:t>
      </w:r>
      <w:r>
        <w:t xml:space="preserve"> </w:t>
      </w:r>
      <w:r>
        <w:t xml:space="preserve">limited to the 12 entities in Exhibit B (subject to negotiation of the list), for a</w:t>
      </w:r>
      <w:r>
        <w:t xml:space="preserve"> </w:t>
      </w:r>
      <w:r>
        <w:rPr>
          <w:b/>
          <w:bCs/>
        </w:rPr>
        <w:t xml:space="preserve">shorter period of 18 months</w:t>
      </w:r>
      <w:r>
        <w:t xml:space="preserve"> </w:t>
      </w:r>
      <w:r>
        <w:t xml:space="preserve">rather than 3 years.</w:t>
      </w:r>
      <w:r>
        <w:t xml:space="preserve"> </w:t>
      </w:r>
      <w:r>
        <w:rPr>
          <w:b/>
          <w:bCs/>
        </w:rPr>
        <w:t xml:space="preserve">Eliminate the open-ended 30% revenue definition (§12.2(b)) entirely.</w:t>
      </w:r>
      <w:r>
        <w:t xml:space="preserve"> </w:t>
      </w:r>
      <w:r>
        <w:t xml:space="preserve">Add a reciprocal or sunset mechanism and a clear, objective compliance standard that does not require Whitmore to investigate prospective customers’ revenue mix. Cap remedies at liquidated damages (a defined, reasonable amount) rather than uncapped injunctive relief with no bond. Consider narrowing</w:t>
      </w:r>
      <w:r>
        <w:t xml:space="preserve"> </w:t>
      </w:r>
      <w:r>
        <w:t xml:space="preserve">“</w:t>
      </w:r>
      <w:r>
        <w:t xml:space="preserve">substantially similar predictive-maintenance technology</w:t>
      </w:r>
      <w:r>
        <w:t xml:space="preserve">”</w:t>
      </w:r>
      <w:r>
        <w:t xml:space="preserve"> </w:t>
      </w:r>
      <w:r>
        <w:t xml:space="preserve">to</w:t>
      </w:r>
      <w:r>
        <w:t xml:space="preserve"> </w:t>
      </w:r>
      <w:r>
        <w:t xml:space="preserve">“</w:t>
      </w:r>
      <w:r>
        <w:t xml:space="preserve">the PredictIQ platform as configured for KBI.</w:t>
      </w:r>
      <w:r>
        <w:t xml:space="preserve">”</w:t>
      </w:r>
      <w:r>
        <w:t xml:space="preserve"> </w:t>
      </w:r>
      <w:r>
        <w:t xml:space="preserve">This aligns with management’s stated red line.</w:t>
      </w:r>
    </w:p>
    <w:p>
      <w:pPr>
        <w:pStyle w:val="BodyText"/>
      </w:pPr>
      <w:r>
        <w:rPr>
          <w:b/>
          <w:bCs/>
        </w:rPr>
        <w:t xml:space="preserve">R-C2 (Data Rights).</w:t>
      </w:r>
      <w:r>
        <w:t xml:space="preserve"> </w:t>
      </w:r>
      <w:r>
        <w:t xml:space="preserve">Whitmore must retain the</w:t>
      </w:r>
      <w:r>
        <w:t xml:space="preserve"> </w:t>
      </w:r>
      <w:r>
        <w:rPr>
          <w:b/>
          <w:bCs/>
        </w:rPr>
        <w:t xml:space="preserve">unrestricted right to use anonymized and aggregated KBI Data to train and improve PredictIQ’s general ML models.</w:t>
      </w:r>
      <w:r>
        <w:t xml:space="preserve"> </w:t>
      </w:r>
      <w:r>
        <w:t xml:space="preserve">Offer strong, verifiable safeguards to address KBI’s legitimate GDPR/data-protection concerns: (i) industry-standard anonymization/pseudonymization techniques; (ii) a minimum aggregation pool-size requirement so individual KBI data cannot be reverse-identified; (iii) contractual commitments that anonymized/aggregated data will not be re-identified or shared in identifiable form; and (iv) optional third-party verification of the anonymization process.</w:t>
      </w:r>
      <w:r>
        <w:t xml:space="preserve"> </w:t>
      </w:r>
      <w:r>
        <w:rPr>
          <w:b/>
          <w:bCs/>
        </w:rPr>
        <w:t xml:space="preserve">Strike or fundamentally restructure the Output Data ownership claim (§4.2)</w:t>
      </w:r>
      <w:r>
        <w:t xml:space="preserve"> </w:t>
      </w:r>
      <w:r>
        <w:t xml:space="preserve">as it relates to model weights, parameters, training artifacts, and model configuration data: these are Whitmore’s IP and must remain Whitmore’s property. KBI should own its raw data and its business outputs (reports, alerts, predictions delivered to KBI), but not the model state generated in the ordinary course of providing services. This aligns with management’s stated red line.</w:t>
      </w:r>
    </w:p>
    <w:p>
      <w:pPr>
        <w:pStyle w:val="BodyText"/>
      </w:pPr>
      <w:r>
        <w:rPr>
          <w:b/>
          <w:bCs/>
        </w:rPr>
        <w:t xml:space="preserve">R-C3 (MFC Side Letter).</w:t>
      </w:r>
      <w:r>
        <w:t xml:space="preserve"> </w:t>
      </w:r>
      <w:r>
        <w:t xml:space="preserve">Restructure to a</w:t>
      </w:r>
      <w:r>
        <w:t xml:space="preserve"> </w:t>
      </w:r>
      <w:r>
        <w:rPr>
          <w:b/>
          <w:bCs/>
        </w:rPr>
        <w:t xml:space="preserve">bounded, industry-standard MFC</w:t>
      </w:r>
      <w:r>
        <w:t xml:space="preserve"> </w:t>
      </w:r>
      <w:r>
        <w:t xml:space="preserve">with: (i) a</w:t>
      </w:r>
      <w:r>
        <w:t xml:space="preserve"> </w:t>
      </w:r>
      <w:r>
        <w:rPr>
          <w:b/>
          <w:bCs/>
        </w:rPr>
        <w:t xml:space="preserve">sunset</w:t>
      </w:r>
      <w:r>
        <w:t xml:space="preserve"> </w:t>
      </w:r>
      <w:r>
        <w:t xml:space="preserve">(e.g., 3 years from execution, or co-terminous with the initial SaaS term); (ii)</w:t>
      </w:r>
      <w:r>
        <w:t xml:space="preserve"> </w:t>
      </w:r>
      <w:r>
        <w:rPr>
          <w:b/>
          <w:bCs/>
        </w:rPr>
        <w:t xml:space="preserve">carve-outs</w:t>
      </w:r>
      <w:r>
        <w:t xml:space="preserve"> </w:t>
      </w:r>
      <w:r>
        <w:t xml:space="preserve">for different product tiers/editions, bundled/multi-product deals, distressed or insolvent customers, government/academic pricing, different geographies, and time-limited promotional/introductory pricing; (iii)</w:t>
      </w:r>
      <w:r>
        <w:t xml:space="preserve"> </w:t>
      </w:r>
      <w:r>
        <w:rPr>
          <w:b/>
          <w:bCs/>
        </w:rPr>
        <w:t xml:space="preserve">no retroactive application</w:t>
      </w:r>
      <w:r>
        <w:t xml:space="preserve"> </w:t>
      </w:r>
      <w:r>
        <w:t xml:space="preserve">before the effective date (and certainly not back to January 1, 2024); (iv) narrowing of</w:t>
      </w:r>
      <w:r>
        <w:t xml:space="preserve"> </w:t>
      </w:r>
      <w:r>
        <w:t xml:space="preserve">“</w:t>
      </w:r>
      <w:r>
        <w:t xml:space="preserve">successor, derivative, or substantially similar technology</w:t>
      </w:r>
      <w:r>
        <w:t xml:space="preserve">”</w:t>
      </w:r>
      <w:r>
        <w:t xml:space="preserve"> </w:t>
      </w:r>
      <w:r>
        <w:t xml:space="preserve">to the PredictIQ platform and equivalent tier; (v) a more robust</w:t>
      </w:r>
      <w:r>
        <w:t xml:space="preserve"> </w:t>
      </w:r>
      <w:r>
        <w:t xml:space="preserve">“</w:t>
      </w:r>
      <w:r>
        <w:t xml:space="preserve">effective price</w:t>
      </w:r>
      <w:r>
        <w:t xml:space="preserve">”</w:t>
      </w:r>
      <w:r>
        <w:t xml:space="preserve"> </w:t>
      </w:r>
      <w:r>
        <w:t xml:space="preserve">comparison methodology that accounts for scope, volume, term, and service-level differences (not a crude per-facility metric); (vi) a cap on audit frequency and a clear scope, with confidentiality protections for Whitmore’s other customer pricing; and (vii) elimination of post-term application (the MFC should not outlive the agreement via the wind-down license). If KBI insists on a condition precedent, frame acceptance as subject to these modifications.</w:t>
      </w:r>
    </w:p>
    <w:bookmarkEnd w:id="45"/>
    <w:bookmarkStart w:id="46" w:name="high-issues"/>
    <w:p>
      <w:pPr>
        <w:pStyle w:val="Heading3"/>
      </w:pPr>
      <w:r>
        <w:t xml:space="preserve">High Issues</w:t>
      </w:r>
    </w:p>
    <w:p>
      <w:pPr>
        <w:pStyle w:val="FirstParagraph"/>
      </w:pPr>
      <w:r>
        <w:rPr>
          <w:b/>
          <w:bCs/>
        </w:rPr>
        <w:t xml:space="preserve">R-H1 (Uncapped IP indemnification).</w:t>
      </w:r>
      <w:r>
        <w:t xml:space="preserve"> </w:t>
      </w:r>
      <w:r>
        <w:t xml:space="preserve">Move to a</w:t>
      </w:r>
      <w:r>
        <w:t xml:space="preserve"> </w:t>
      </w:r>
      <w:r>
        <w:rPr>
          <w:b/>
          <w:bCs/>
        </w:rPr>
        <w:t xml:space="preserve">capped IP indemnity</w:t>
      </w:r>
      <w:r>
        <w:t xml:space="preserve"> </w:t>
      </w:r>
      <w:r>
        <w:t xml:space="preserve">— either at the general LoL cap or at a defined</w:t>
      </w:r>
      <w:r>
        <w:t xml:space="preserve"> </w:t>
      </w:r>
      <w:r>
        <w:t xml:space="preserve">“</w:t>
      </w:r>
      <w:r>
        <w:t xml:space="preserve">super-cap</w:t>
      </w:r>
      <w:r>
        <w:t xml:space="preserve">”</w:t>
      </w:r>
      <w:r>
        <w:t xml:space="preserve"> </w:t>
      </w:r>
      <w:r>
        <w:t xml:space="preserve">(e.g., 2–3× the general cap or a fixed multiple of total contract value). Add standard</w:t>
      </w:r>
      <w:r>
        <w:t xml:space="preserve"> </w:t>
      </w:r>
      <w:r>
        <w:rPr>
          <w:b/>
          <w:bCs/>
        </w:rPr>
        <w:t xml:space="preserve">infringement carve-outs</w:t>
      </w:r>
      <w:r>
        <w:t xml:space="preserve">: claims arising from (i) open-source components combined or used by KBI; (ii) KBI’s modifications, derivative works, or combinations with non-Whitmore products; (iii) KBI Data or KBI’s manufacturing processes; (iv) Whitmore’s compliance with KBI’s specifications/designs; and (v) continued use after notice to stop. Require Whitmore’s sole control of defense and settlement (with consent not unreasonably withheld for settlements that impose non-monetary obligations). Consider a</w:t>
      </w:r>
      <w:r>
        <w:t xml:space="preserve"> </w:t>
      </w:r>
      <w:r>
        <w:t xml:space="preserve">“</w:t>
      </w:r>
      <w:r>
        <w:t xml:space="preserve">first dollar</w:t>
      </w:r>
      <w:r>
        <w:t xml:space="preserve">”</w:t>
      </w:r>
      <w:r>
        <w:t xml:space="preserve"> </w:t>
      </w:r>
      <w:r>
        <w:t xml:space="preserve">deductible or a threshold.</w:t>
      </w:r>
    </w:p>
    <w:p>
      <w:pPr>
        <w:pStyle w:val="BodyText"/>
      </w:pPr>
      <w:r>
        <w:rPr>
          <w:b/>
          <w:bCs/>
        </w:rPr>
        <w:t xml:space="preserve">R-H2 (Derivative works / IP boundary).</w:t>
      </w:r>
      <w:r>
        <w:t xml:space="preserve"> </w:t>
      </w:r>
      <w:r>
        <w:t xml:space="preserve">Replace joint ownership with a</w:t>
      </w:r>
      <w:r>
        <w:t xml:space="preserve"> </w:t>
      </w:r>
      <w:r>
        <w:rPr>
          <w:b/>
          <w:bCs/>
        </w:rPr>
        <w:t xml:space="preserve">Whitmore-owns, KBI-gets-license</w:t>
      </w:r>
      <w:r>
        <w:t xml:space="preserve"> </w:t>
      </w:r>
      <w:r>
        <w:t xml:space="preserve">structure: Whitmore retains ownership of all derivative works (including API-layer integrations); KBI receives a non-exclusive, non-transferable, internal-use-only license to the specific integration code it creates, solely for use with its MES/SCADA systems in its manufacturing operations. KBI may not sublicense, sell, or commercialize derivative works. Reconcile §§3.3, 3.4, and 3.5 into a single, coherent IP-allocation section that eliminates the feedback/derivative-works/Improvements contradiction.</w:t>
      </w:r>
    </w:p>
    <w:p>
      <w:pPr>
        <w:pStyle w:val="BodyText"/>
      </w:pPr>
      <w:r>
        <w:rPr>
          <w:b/>
          <w:bCs/>
        </w:rPr>
        <w:t xml:space="preserve">R-H3 (Performance warranty).</w:t>
      </w:r>
      <w:r>
        <w:t xml:space="preserve"> </w:t>
      </w:r>
      <w:r>
        <w:t xml:space="preserve">Convert the 92% accuracy warranty from an absolute commitment to a</w:t>
      </w:r>
      <w:r>
        <w:t xml:space="preserve"> </w:t>
      </w:r>
      <w:r>
        <w:rPr>
          <w:b/>
          <w:bCs/>
        </w:rPr>
        <w:t xml:space="preserve">conditional commitment</w:t>
      </w:r>
      <w:r>
        <w:t xml:space="preserve"> </w:t>
      </w:r>
      <w:r>
        <w:t xml:space="preserve">with clear conditions precedent: (i) KBI must maintain sensors and data infrastructure in accordance with Whitmore’s specifications; (ii) KBI must provide accurate, complete maintenance logs (the measuring stick); (iii) accuracy is measured only against equipment and operating conditions within agreed parameters; and (iv) factors outside Whitmore’s control (sensor failure, data gaps, equipment-mix changes, environmental events) are excluded. Add a</w:t>
      </w:r>
      <w:r>
        <w:t xml:space="preserve"> </w:t>
      </w:r>
      <w:r>
        <w:rPr>
          <w:b/>
          <w:bCs/>
        </w:rPr>
        <w:t xml:space="preserve">root-cause analysis / cure period</w:t>
      </w:r>
      <w:r>
        <w:t xml:space="preserve"> </w:t>
      </w:r>
      <w:r>
        <w:t xml:space="preserve">before credits accrue,</w:t>
      </w:r>
      <w:r>
        <w:t xml:space="preserve"> </w:t>
      </w:r>
      <w:r>
        <w:rPr>
          <w:b/>
          <w:bCs/>
        </w:rPr>
        <w:t xml:space="preserve">cap total service credits</w:t>
      </w:r>
      <w:r>
        <w:t xml:space="preserve"> </w:t>
      </w:r>
      <w:r>
        <w:t xml:space="preserve">(e.g., at 25–50% of annual SaaS fees), and require the termination trigger (§13.4) to be conditioned on Whitmore’s failure to cure after a defined remediation period. Consider a</w:t>
      </w:r>
      <w:r>
        <w:t xml:space="preserve"> </w:t>
      </w:r>
      <w:r>
        <w:t xml:space="preserve">“</w:t>
      </w:r>
      <w:r>
        <w:t xml:space="preserve">commercially reasonable efforts</w:t>
      </w:r>
      <w:r>
        <w:t xml:space="preserve">”</w:t>
      </w:r>
      <w:r>
        <w:t xml:space="preserve"> </w:t>
      </w:r>
      <w:r>
        <w:t xml:space="preserve">or</w:t>
      </w:r>
      <w:r>
        <w:t xml:space="preserve"> </w:t>
      </w:r>
      <w:r>
        <w:t xml:space="preserve">“</w:t>
      </w:r>
      <w:r>
        <w:t xml:space="preserve">target</w:t>
      </w:r>
      <w:r>
        <w:t xml:space="preserve">”</w:t>
      </w:r>
      <w:r>
        <w:t xml:space="preserve"> </w:t>
      </w:r>
      <w:r>
        <w:t xml:space="preserve">formulation rather than a hard warranty.</w:t>
      </w:r>
    </w:p>
    <w:p>
      <w:pPr>
        <w:pStyle w:val="BodyText"/>
      </w:pPr>
      <w:r>
        <w:rPr>
          <w:b/>
          <w:bCs/>
        </w:rPr>
        <w:t xml:space="preserve">R-H4 (Implementation cash flow).</w:t>
      </w:r>
      <w:r>
        <w:t xml:space="preserve"> </w:t>
      </w:r>
      <w:r>
        <w:t xml:space="preserve">Restructure the license-fee split to</w:t>
      </w:r>
      <w:r>
        <w:t xml:space="preserve"> </w:t>
      </w:r>
      <w:r>
        <w:rPr>
          <w:b/>
          <w:bCs/>
        </w:rPr>
        <w:t xml:space="preserve">40/30/30</w:t>
      </w:r>
      <w:r>
        <w:t xml:space="preserve"> </w:t>
      </w:r>
      <w:r>
        <w:t xml:space="preserve">(40% at signing = $1.68M; 30% at Phase 1 completion = $1.26M; 30% at Phase 2 go-live = $1.26M), per management’s direction.</w:t>
      </w:r>
      <w:r>
        <w:t xml:space="preserve"> </w:t>
      </w:r>
      <w:r>
        <w:rPr>
          <w:b/>
          <w:bCs/>
        </w:rPr>
        <w:t xml:space="preserve">Front-load implementation fees</w:t>
      </w:r>
      <w:r>
        <w:t xml:space="preserve"> </w:t>
      </w:r>
      <w:r>
        <w:t xml:space="preserve">(e.g., 40% of the implementation fee in the first 6 months rather than linear monthly). Consider breaking implementation services into a</w:t>
      </w:r>
      <w:r>
        <w:t xml:space="preserve"> </w:t>
      </w:r>
      <w:r>
        <w:rPr>
          <w:b/>
          <w:bCs/>
        </w:rPr>
        <w:t xml:space="preserve">separate Statement of Work with milestone-based payments</w:t>
      </w:r>
      <w:r>
        <w:t xml:space="preserve"> </w:t>
      </w:r>
      <w:r>
        <w:t xml:space="preserve">that match cash inflows to resource expenditure — this also yields cleaner ASC 606 treatment. Flag the revenue-recognition analysis to Lakeshore Accounting Group LLP early.</w:t>
      </w:r>
    </w:p>
    <w:p>
      <w:pPr>
        <w:pStyle w:val="BodyText"/>
      </w:pPr>
      <w:r>
        <w:rPr>
          <w:b/>
          <w:bCs/>
        </w:rPr>
        <w:t xml:space="preserve">R-H5 (Governing law).</w:t>
      </w:r>
      <w:r>
        <w:t xml:space="preserve"> </w:t>
      </w:r>
      <w:r>
        <w:t xml:space="preserve">Obtain specialist German-law advice on the interaction of German law with the uncapped indemnity, the performance-penalty structure, and the 18% late-interest rate.</w:t>
      </w:r>
      <w:r>
        <w:t xml:space="preserve"> </w:t>
      </w:r>
      <w:r>
        <w:rPr>
          <w:b/>
          <w:bCs/>
        </w:rPr>
        <w:t xml:space="preserve">Push for Washington state law</w:t>
      </w:r>
      <w:r>
        <w:t xml:space="preserve"> </w:t>
      </w:r>
      <w:r>
        <w:t xml:space="preserve">(Whitmore’s home jurisdiction) or, failing that, a</w:t>
      </w:r>
      <w:r>
        <w:t xml:space="preserve"> </w:t>
      </w:r>
      <w:r>
        <w:rPr>
          <w:b/>
          <w:bCs/>
        </w:rPr>
        <w:t xml:space="preserve">neutral jurisdiction</w:t>
      </w:r>
      <w:r>
        <w:t xml:space="preserve"> </w:t>
      </w:r>
      <w:r>
        <w:t xml:space="preserve">(England or Switzerland). If German law is retained, ensure the indemnity cap, penalty clauses, and interest rate are structured to be enforceable under German law.</w:t>
      </w:r>
    </w:p>
    <w:p>
      <w:pPr>
        <w:pStyle w:val="BodyText"/>
      </w:pPr>
      <w:r>
        <w:rPr>
          <w:b/>
          <w:bCs/>
        </w:rPr>
        <w:t xml:space="preserve">R-H6 (Wind-down license).</w:t>
      </w:r>
      <w:r>
        <w:t xml:space="preserve"> </w:t>
      </w:r>
      <w:r>
        <w:t xml:space="preserve">Limit the wind-down license to a</w:t>
      </w:r>
      <w:r>
        <w:t xml:space="preserve"> </w:t>
      </w:r>
      <w:r>
        <w:rPr>
          <w:b/>
          <w:bCs/>
        </w:rPr>
        <w:t xml:space="preserve">defined transition period (e.g., 12–24 months)</w:t>
      </w:r>
      <w:r>
        <w:t xml:space="preserve"> </w:t>
      </w:r>
      <w:r>
        <w:t xml:space="preserve">rather than perpetual, and make it available</w:t>
      </w:r>
      <w:r>
        <w:t xml:space="preserve"> </w:t>
      </w:r>
      <w:r>
        <w:rPr>
          <w:b/>
          <w:bCs/>
        </w:rPr>
        <w:t xml:space="preserve">only upon termination by Whitmore for KBI’s breach, or by Whitmore for convenience</w:t>
      </w:r>
      <w:r>
        <w:t xml:space="preserve"> </w:t>
      </w:r>
      <w:r>
        <w:t xml:space="preserve">— not where KBI terminates for convenience or where KBI is in breach. Require payment of the</w:t>
      </w:r>
      <w:r>
        <w:t xml:space="preserve"> </w:t>
      </w:r>
      <w:r>
        <w:rPr>
          <w:b/>
          <w:bCs/>
        </w:rPr>
        <w:t xml:space="preserve">full SaaS fee</w:t>
      </w:r>
      <w:r>
        <w:t xml:space="preserve"> </w:t>
      </w:r>
      <w:r>
        <w:t xml:space="preserve">(not merely the maintenance fee) during the wind-down period, and prohibit new deployments, new features, and use beyond continued operation of the then-deployed version.</w:t>
      </w:r>
    </w:p>
    <w:p>
      <w:pPr>
        <w:pStyle w:val="BodyText"/>
      </w:pPr>
      <w:r>
        <w:rPr>
          <w:b/>
          <w:bCs/>
        </w:rPr>
        <w:t xml:space="preserve">R-H7 (Source code escrow).</w:t>
      </w:r>
      <w:r>
        <w:t xml:space="preserve"> </w:t>
      </w:r>
      <w:r>
        <w:t xml:space="preserve">Tighten release triggers: (i) require a</w:t>
      </w:r>
      <w:r>
        <w:t xml:space="preserve"> </w:t>
      </w:r>
      <w:r>
        <w:rPr>
          <w:b/>
          <w:bCs/>
        </w:rPr>
        <w:t xml:space="preserve">longer cure period</w:t>
      </w:r>
      <w:r>
        <w:t xml:space="preserve"> </w:t>
      </w:r>
      <w:r>
        <w:t xml:space="preserve">(e.g., 90–120 days) for material breach before escrow release; (ii) narrow</w:t>
      </w:r>
      <w:r>
        <w:t xml:space="preserve"> </w:t>
      </w:r>
      <w:r>
        <w:t xml:space="preserve">“</w:t>
      </w:r>
      <w:r>
        <w:t xml:space="preserve">cessation of business</w:t>
      </w:r>
      <w:r>
        <w:t xml:space="preserve">”</w:t>
      </w:r>
      <w:r>
        <w:t xml:space="preserve"> </w:t>
      </w:r>
      <w:r>
        <w:t xml:space="preserve">and</w:t>
      </w:r>
      <w:r>
        <w:t xml:space="preserve"> </w:t>
      </w:r>
      <w:r>
        <w:t xml:space="preserve">“</w:t>
      </w:r>
      <w:r>
        <w:t xml:space="preserve">failure to provide support</w:t>
      </w:r>
      <w:r>
        <w:t xml:space="preserve">”</w:t>
      </w:r>
      <w:r>
        <w:t xml:space="preserve"> </w:t>
      </w:r>
      <w:r>
        <w:t xml:space="preserve">triggers with objective criteria and cure periods; (iii) limit the post-release license to</w:t>
      </w:r>
      <w:r>
        <w:t xml:space="preserve"> </w:t>
      </w:r>
      <w:r>
        <w:rPr>
          <w:b/>
          <w:bCs/>
        </w:rPr>
        <w:t xml:space="preserve">internal-use, non-competing</w:t>
      </w:r>
      <w:r>
        <w:t xml:space="preserve"> </w:t>
      </w:r>
      <w:r>
        <w:t xml:space="preserve">purposes and add confidentiality/non-use obligations on KBI; (iv) ensure escrow materials are scoped to the version deployed for KBI; and (v) require KBI to demonstrate the release condition has occurred before the Escrow Agent releases.</w:t>
      </w:r>
    </w:p>
    <w:bookmarkEnd w:id="46"/>
    <w:bookmarkStart w:id="47" w:name="medium-issues"/>
    <w:p>
      <w:pPr>
        <w:pStyle w:val="Heading3"/>
      </w:pPr>
      <w:r>
        <w:t xml:space="preserve">Medium Issues</w:t>
      </w:r>
    </w:p>
    <w:p>
      <w:pPr>
        <w:pStyle w:val="FirstParagraph"/>
      </w:pPr>
      <w:r>
        <w:rPr>
          <w:b/>
          <w:bCs/>
        </w:rPr>
        <w:t xml:space="preserve">R-M1 (KBI-Inspired Improvements).</w:t>
      </w:r>
      <w:r>
        <w:t xml:space="preserve"> </w:t>
      </w:r>
      <w:r>
        <w:t xml:space="preserve">Narrow the definition to improvements</w:t>
      </w:r>
      <w:r>
        <w:t xml:space="preserve"> </w:t>
      </w:r>
      <w:r>
        <w:rPr>
          <w:b/>
          <w:bCs/>
        </w:rPr>
        <w:t xml:space="preserve">specific to KBI’s environment or manufacturing processes</w:t>
      </w:r>
      <w:r>
        <w:t xml:space="preserve"> </w:t>
      </w:r>
      <w:r>
        <w:t xml:space="preserve">that are not generally applicable to PredictIQ’s standard product; exclude general product improvements and roadmap features. Make the grant-back non-exclusive (already) but add a</w:t>
      </w:r>
      <w:r>
        <w:t xml:space="preserve"> </w:t>
      </w:r>
      <w:r>
        <w:t xml:space="preserve">“</w:t>
      </w:r>
      <w:r>
        <w:t xml:space="preserve">Whitmore may incorporate into its general product</w:t>
      </w:r>
      <w:r>
        <w:t xml:space="preserve">”</w:t>
      </w:r>
      <w:r>
        <w:t xml:space="preserve"> </w:t>
      </w:r>
      <w:r>
        <w:t xml:space="preserve">clarification.</w:t>
      </w:r>
    </w:p>
    <w:p>
      <w:pPr>
        <w:pStyle w:val="BodyText"/>
      </w:pPr>
      <w:r>
        <w:rPr>
          <w:b/>
          <w:bCs/>
        </w:rPr>
        <w:t xml:space="preserve">R-M2 (Termination/assignment asymmetries).</w:t>
      </w:r>
      <w:r>
        <w:t xml:space="preserve"> </w:t>
      </w:r>
      <w:r>
        <w:t xml:space="preserve">Add a</w:t>
      </w:r>
      <w:r>
        <w:t xml:space="preserve"> </w:t>
      </w:r>
      <w:r>
        <w:rPr>
          <w:b/>
          <w:bCs/>
        </w:rPr>
        <w:t xml:space="preserve">mutual</w:t>
      </w:r>
      <w:r>
        <w:t xml:space="preserve"> </w:t>
      </w:r>
      <w:r>
        <w:t xml:space="preserve">termination-for-convenience right (or at least Whitmore’s right to terminate for convenience on notice after an initial term), and make assignment rights mutual or condition KBI’s assignment on the assignee assuming all obligations and not being a Whitmore competitor.</w:t>
      </w:r>
    </w:p>
    <w:p>
      <w:pPr>
        <w:pStyle w:val="BodyText"/>
      </w:pPr>
      <w:r>
        <w:rPr>
          <w:b/>
          <w:bCs/>
        </w:rPr>
        <w:t xml:space="preserve">R-M3 (LoL cap).</w:t>
      </w:r>
      <w:r>
        <w:t xml:space="preserve"> </w:t>
      </w:r>
      <w:r>
        <w:t xml:space="preserve">Reduce the $15M floor and/or tie the cap more tightly to the deal; ensure the IP indemnity is capped (per R-H1) rather than carved out entirely; review the confidentiality-breach and willful-misconduct exceptions for proportionality.</w:t>
      </w:r>
    </w:p>
    <w:p>
      <w:pPr>
        <w:pStyle w:val="BodyText"/>
      </w:pPr>
      <w:r>
        <w:rPr>
          <w:b/>
          <w:bCs/>
        </w:rPr>
        <w:t xml:space="preserve">R-M4 (Acceptance).</w:t>
      </w:r>
      <w:r>
        <w:t xml:space="preserve"> </w:t>
      </w:r>
      <w:r>
        <w:t xml:space="preserve">Define</w:t>
      </w:r>
      <w:r>
        <w:t xml:space="preserve"> </w:t>
      </w:r>
      <w:r>
        <w:rPr>
          <w:b/>
          <w:bCs/>
        </w:rPr>
        <w:t xml:space="preserve">objective acceptance criteria</w:t>
      </w:r>
      <w:r>
        <w:t xml:space="preserve"> </w:t>
      </w:r>
      <w:r>
        <w:t xml:space="preserve">(performance against agreed test cases, integration completeness) and replace</w:t>
      </w:r>
      <w:r>
        <w:t xml:space="preserve"> </w:t>
      </w:r>
      <w:r>
        <w:t xml:space="preserve">“</w:t>
      </w:r>
      <w:r>
        <w:t xml:space="preserve">material non-conformance</w:t>
      </w:r>
      <w:r>
        <w:t xml:space="preserve">”</w:t>
      </w:r>
      <w:r>
        <w:t xml:space="preserve"> </w:t>
      </w:r>
      <w:r>
        <w:t xml:space="preserve">with a defined, measurable standard; add a cure-and-retest cycle.</w:t>
      </w:r>
    </w:p>
    <w:p>
      <w:pPr>
        <w:pStyle w:val="BodyText"/>
      </w:pPr>
      <w:r>
        <w:rPr>
          <w:b/>
          <w:bCs/>
        </w:rPr>
        <w:t xml:space="preserve">R-M5 (Expansion right).</w:t>
      </w:r>
      <w:r>
        <w:t xml:space="preserve"> </w:t>
      </w:r>
      <w:r>
        <w:t xml:space="preserve">Limit the expansion period (e.g., 3 years), permit</w:t>
      </w:r>
      <w:r>
        <w:t xml:space="preserve"> </w:t>
      </w:r>
      <w:r>
        <w:rPr>
          <w:b/>
          <w:bCs/>
        </w:rPr>
        <w:t xml:space="preserve">pricing adjustment</w:t>
      </w:r>
      <w:r>
        <w:t xml:space="preserve"> </w:t>
      </w:r>
      <w:r>
        <w:t xml:space="preserve">for materially different facility types or geographies, and exclude facilities that would require materially different deployment.</w:t>
      </w:r>
    </w:p>
    <w:p>
      <w:pPr>
        <w:pStyle w:val="BodyText"/>
      </w:pPr>
      <w:r>
        <w:rPr>
          <w:b/>
          <w:bCs/>
        </w:rPr>
        <w:t xml:space="preserve">R-M6 (IP contradiction).</w:t>
      </w:r>
      <w:r>
        <w:t xml:space="preserve"> </w:t>
      </w:r>
      <w:r>
        <w:t xml:space="preserve">Resolve per R-H2 — consolidate into a single coherent IP section.</w:t>
      </w:r>
    </w:p>
    <w:bookmarkEnd w:id="47"/>
    <w:bookmarkStart w:id="48" w:name="lower-issues"/>
    <w:p>
      <w:pPr>
        <w:pStyle w:val="Heading3"/>
      </w:pPr>
      <w:r>
        <w:t xml:space="preserve">Lower Issues</w:t>
      </w:r>
    </w:p>
    <w:p>
      <w:pPr>
        <w:pStyle w:val="Compact"/>
        <w:numPr>
          <w:ilvl w:val="0"/>
          <w:numId w:val="1018"/>
        </w:numPr>
      </w:pPr>
      <w:r>
        <w:rPr>
          <w:b/>
          <w:bCs/>
        </w:rPr>
        <w:t xml:space="preserve">SLAs:</w:t>
      </w:r>
      <w:r>
        <w:t xml:space="preserve"> </w:t>
      </w:r>
      <w:r>
        <w:t xml:space="preserve">Maintain</w:t>
      </w:r>
      <w:r>
        <w:t xml:space="preserve"> </w:t>
      </w:r>
      <w:r>
        <w:t xml:space="preserve">“</w:t>
      </w:r>
      <w:r>
        <w:t xml:space="preserve">commercially reasonable efforts</w:t>
      </w:r>
      <w:r>
        <w:t xml:space="preserve">”</w:t>
      </w:r>
      <w:r>
        <w:t xml:space="preserve"> </w:t>
      </w:r>
      <w:r>
        <w:t xml:space="preserve">framing; if KBI demands hard SLAs, add service credits capped at a modest percentage of monthly fees and exclude force majeure / KBI-caused issues.</w:t>
      </w:r>
    </w:p>
    <w:p>
      <w:pPr>
        <w:pStyle w:val="Compact"/>
        <w:numPr>
          <w:ilvl w:val="0"/>
          <w:numId w:val="1018"/>
        </w:numPr>
      </w:pPr>
      <w:r>
        <w:rPr>
          <w:b/>
          <w:bCs/>
        </w:rPr>
        <w:t xml:space="preserve">Late interest:</w:t>
      </w:r>
      <w:r>
        <w:t xml:space="preserve"> </w:t>
      </w:r>
      <w:r>
        <w:t xml:space="preserve">Reduce to a defensible rate (e.g., the ECB main refinancing rate + a margin, or 9–12% APR) to avoid penalty/unenforceability challenges under German law.</w:t>
      </w:r>
    </w:p>
    <w:p>
      <w:pPr>
        <w:pStyle w:val="Compact"/>
        <w:numPr>
          <w:ilvl w:val="0"/>
          <w:numId w:val="1018"/>
        </w:numPr>
      </w:pPr>
      <w:r>
        <w:rPr>
          <w:b/>
          <w:bCs/>
        </w:rPr>
        <w:t xml:space="preserve">No-shop:</w:t>
      </w:r>
      <w:r>
        <w:t xml:space="preserve"> </w:t>
      </w:r>
      <w:r>
        <w:t xml:space="preserve">Confirm scope is limited to comparable European industrial transactions, not all global PredictIQ deals.</w:t>
      </w:r>
    </w:p>
    <w:p>
      <w:r>
        <w:pict>
          <v:rect style="width:0;height:1.5pt" o:hralign="center" o:hrstd="t" o:hr="t"/>
        </w:pict>
      </w:r>
    </w:p>
    <w:bookmarkEnd w:id="48"/>
    <w:bookmarkEnd w:id="49"/>
    <w:bookmarkStart w:id="50" w:name="X93cda107b7bb7933dd23760f39fbcde6372feb3"/>
    <w:p>
      <w:pPr>
        <w:pStyle w:val="Heading2"/>
      </w:pPr>
      <w:r>
        <w:t xml:space="preserve">VII. Recommended Negotiation Posture &amp; Red Lines</w:t>
      </w:r>
    </w:p>
    <w:p>
      <w:pPr>
        <w:pStyle w:val="FirstParagraph"/>
      </w:pPr>
      <w:r>
        <w:t xml:space="preserve">Consistent with management’s framing, we recommend the board approve a negotiation framework that</w:t>
      </w:r>
      <w:r>
        <w:t xml:space="preserve"> </w:t>
      </w:r>
      <w:r>
        <w:rPr>
          <w:b/>
          <w:bCs/>
        </w:rPr>
        <w:t xml:space="preserve">pursues the deal aggressively but protects two non-negotiable pillars</w:t>
      </w:r>
      <w:r>
        <w:t xml:space="preserve">: (1) Whitmore’s algorithms and IP ownership; and (2) the continuous improvement of PredictIQ’s ML models through data exposure.</w:t>
      </w:r>
    </w:p>
    <w:p>
      <w:pPr>
        <w:pStyle w:val="BodyText"/>
      </w:pPr>
      <w:r>
        <w:rPr>
          <w:b/>
          <w:bCs/>
        </w:rPr>
        <w:t xml:space="preserve">Red lines (dealbreakers if not resolved):</w:t>
      </w:r>
    </w:p>
    <w:p>
      <w:pPr>
        <w:pStyle w:val="Compact"/>
        <w:numPr>
          <w:ilvl w:val="0"/>
          <w:numId w:val="1019"/>
        </w:numPr>
      </w:pPr>
      <w:r>
        <w:rPr>
          <w:b/>
          <w:bCs/>
        </w:rPr>
        <w:t xml:space="preserve">Exclusivity must be narrowed to named companies only, for ≤18 months, with the 30% revenue definition eliminated.</w:t>
      </w:r>
      <w:r>
        <w:t xml:space="preserve"> </w:t>
      </w:r>
      <w:r>
        <w:t xml:space="preserve">(R-C1)</w:t>
      </w:r>
    </w:p>
    <w:p>
      <w:pPr>
        <w:pStyle w:val="Compact"/>
        <w:numPr>
          <w:ilvl w:val="0"/>
          <w:numId w:val="1019"/>
        </w:numPr>
      </w:pPr>
      <w:r>
        <w:rPr>
          <w:b/>
          <w:bCs/>
        </w:rPr>
        <w:t xml:space="preserve">Whitmore must retain the right to use anonymized/aggregated KBI Data for model improvement</w:t>
      </w:r>
      <w:r>
        <w:t xml:space="preserve">, with strong safeguards; and</w:t>
      </w:r>
      <w:r>
        <w:t xml:space="preserve"> </w:t>
      </w:r>
      <w:r>
        <w:rPr>
          <w:b/>
          <w:bCs/>
        </w:rPr>
        <w:t xml:space="preserve">Output Data ownership of model weights/parameters/training artifacts must be struck or restructured to Whitmore.</w:t>
      </w:r>
      <w:r>
        <w:t xml:space="preserve"> </w:t>
      </w:r>
      <w:r>
        <w:t xml:space="preserve">(R-C2)</w:t>
      </w:r>
    </w:p>
    <w:p>
      <w:pPr>
        <w:pStyle w:val="Compact"/>
        <w:numPr>
          <w:ilvl w:val="0"/>
          <w:numId w:val="1019"/>
        </w:numPr>
      </w:pPr>
      <w:r>
        <w:rPr>
          <w:b/>
          <w:bCs/>
        </w:rPr>
        <w:t xml:space="preserve">The MFC must be bounded</w:t>
      </w:r>
      <w:r>
        <w:t xml:space="preserve"> </w:t>
      </w:r>
      <w:r>
        <w:t xml:space="preserve">— sunset, carve-outs, no retroactivity, no post-term application, and a robust comparison methodology. (R-C3)</w:t>
      </w:r>
    </w:p>
    <w:p>
      <w:pPr>
        <w:pStyle w:val="FirstParagraph"/>
      </w:pPr>
      <w:r>
        <w:rPr>
          <w:b/>
          <w:bCs/>
        </w:rPr>
        <w:t xml:space="preserve">High-priority concessions to seek (not absolute dealbreakers, but material):</w:t>
      </w:r>
    </w:p>
    <w:p>
      <w:pPr>
        <w:pStyle w:val="Compact"/>
        <w:numPr>
          <w:ilvl w:val="0"/>
          <w:numId w:val="1020"/>
        </w:numPr>
      </w:pPr>
      <w:r>
        <w:t xml:space="preserve">Cap the IP indemnification with standard carve-outs. (R-H1)</w:t>
      </w:r>
    </w:p>
    <w:p>
      <w:pPr>
        <w:pStyle w:val="Compact"/>
        <w:numPr>
          <w:ilvl w:val="0"/>
          <w:numId w:val="1020"/>
        </w:numPr>
      </w:pPr>
      <w:r>
        <w:t xml:space="preserve">Replace joint ownership of derivative works with Whitmore-owns/KBI-licenses. (R-H2)</w:t>
      </w:r>
    </w:p>
    <w:p>
      <w:pPr>
        <w:pStyle w:val="Compact"/>
        <w:numPr>
          <w:ilvl w:val="0"/>
          <w:numId w:val="1020"/>
        </w:numPr>
      </w:pPr>
      <w:r>
        <w:t xml:space="preserve">Condition the performance warranty on KBI’s obligations and cap service credits. (R-H3)</w:t>
      </w:r>
    </w:p>
    <w:p>
      <w:pPr>
        <w:pStyle w:val="Compact"/>
        <w:numPr>
          <w:ilvl w:val="0"/>
          <w:numId w:val="1020"/>
        </w:numPr>
      </w:pPr>
      <w:r>
        <w:t xml:space="preserve">Restructure payment timing (40/30/30; front-loaded implementation; separate SOW). (R-H4)</w:t>
      </w:r>
    </w:p>
    <w:p>
      <w:pPr>
        <w:pStyle w:val="Compact"/>
        <w:numPr>
          <w:ilvl w:val="0"/>
          <w:numId w:val="1020"/>
        </w:numPr>
      </w:pPr>
      <w:r>
        <w:t xml:space="preserve">Address governing law (Washington or neutral) or obtain German-law specialist sign-off. (R-H5)</w:t>
      </w:r>
    </w:p>
    <w:p>
      <w:pPr>
        <w:pStyle w:val="Compact"/>
        <w:numPr>
          <w:ilvl w:val="0"/>
          <w:numId w:val="1020"/>
        </w:numPr>
      </w:pPr>
      <w:r>
        <w:t xml:space="preserve">Convert the wind-down license from perpetual to a time-limited transition right. (R-H6)</w:t>
      </w:r>
    </w:p>
    <w:p>
      <w:pPr>
        <w:pStyle w:val="Compact"/>
        <w:numPr>
          <w:ilvl w:val="0"/>
          <w:numId w:val="1020"/>
        </w:numPr>
      </w:pPr>
      <w:r>
        <w:t xml:space="preserve">Tighten escrow release triggers and post-release rights. (R-H7)</w:t>
      </w:r>
    </w:p>
    <w:p>
      <w:pPr>
        <w:pStyle w:val="FirstParagraph"/>
      </w:pPr>
      <w:r>
        <w:rPr>
          <w:b/>
          <w:bCs/>
        </w:rPr>
        <w:t xml:space="preserve">Items Whitmore can concede (leverage):</w:t>
      </w:r>
      <w:r>
        <w:t xml:space="preserve"> </w:t>
      </w:r>
      <w:r>
        <w:t xml:space="preserve">the 60-day no-shop (already reasonable); USD billing; tax pass-through; no-refunds; the general structure of the deal (perpetual non-exclusive license, SaaS + edge deployment); and the overall fee levels (which are commercially attractive).</w:t>
      </w:r>
    </w:p>
    <w:p>
      <w:pPr>
        <w:pStyle w:val="BodyText"/>
      </w:pPr>
      <w:r>
        <w:rPr>
          <w:b/>
          <w:bCs/>
        </w:rPr>
        <w:t xml:space="preserve">Negotiation tone.</w:t>
      </w:r>
      <w:r>
        <w:t xml:space="preserve"> </w:t>
      </w:r>
      <w:r>
        <w:t xml:space="preserve">KBI is a sophisticated counterparty with strong counsel. The Side Letter’s framing (</w:t>
      </w:r>
      <w:r>
        <w:t xml:space="preserve">“</w:t>
      </w:r>
      <w:r>
        <w:t xml:space="preserve">fundamental commercial term without which KBI would need to reassess the overall economics</w:t>
      </w:r>
      <w:r>
        <w:t xml:space="preserve">”</w:t>
      </w:r>
      <w:r>
        <w:t xml:space="preserve">) signals that KBI views the MFC as central to its anchor-customer narrative. We recommend acknowledging KBI’s commercial rationale (anchor-customer pricing parity) while offering a bounded MFC that meets the legitimate concern without the overreach — this positions Whitmore as collaborative rather than adversarial and preserves the partnership tone KBI’s letter seeks.</w:t>
      </w:r>
    </w:p>
    <w:p>
      <w:r>
        <w:pict>
          <v:rect style="width:0;height:1.5pt" o:hralign="center" o:hrstd="t" o:hr="t"/>
        </w:pict>
      </w:r>
    </w:p>
    <w:bookmarkEnd w:id="50"/>
    <w:bookmarkStart w:id="51" w:name="viii.-process-timeline-next-steps"/>
    <w:p>
      <w:pPr>
        <w:pStyle w:val="Heading2"/>
      </w:pPr>
      <w:r>
        <w:t xml:space="preserve">VIII. Process, Timeline &amp; Next Steps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June 16, 2025</w:t>
            </w:r>
          </w:p>
        </w:tc>
        <w:tc>
          <w:tcPr/>
          <w:p>
            <w:pPr>
              <w:pStyle w:val="Compact"/>
              <w:jc w:val="left"/>
            </w:pPr>
            <w:r>
              <w:t xml:space="preserve">This memo delivered (board-ready)</w:t>
            </w:r>
          </w:p>
        </w:tc>
      </w:tr>
      <w:tr>
        <w:tc>
          <w:tcPr/>
          <w:p>
            <w:pPr>
              <w:pStyle w:val="Compact"/>
              <w:jc w:val="left"/>
            </w:pPr>
            <w:r>
              <w:t xml:space="preserve">June 18, 2025</w:t>
            </w:r>
          </w:p>
        </w:tc>
        <w:tc>
          <w:tcPr/>
          <w:p>
            <w:pPr>
              <w:pStyle w:val="Compact"/>
              <w:jc w:val="left"/>
            </w:pPr>
            <w:r>
              <w:t xml:space="preserve">Board meeting — approve negotiation framework / red lines</w:t>
            </w:r>
          </w:p>
        </w:tc>
      </w:tr>
      <w:tr>
        <w:tc>
          <w:tcPr/>
          <w:p>
            <w:pPr>
              <w:pStyle w:val="Compact"/>
              <w:jc w:val="left"/>
            </w:pPr>
            <w:r>
              <w:t xml:space="preserve">June 16–17, 2025</w:t>
            </w:r>
          </w:p>
        </w:tc>
        <w:tc>
          <w:tcPr/>
          <w:p>
            <w:pPr>
              <w:pStyle w:val="Compact"/>
              <w:jc w:val="left"/>
            </w:pPr>
            <w:r>
              <w:t xml:space="preserve">Thursday alignment call (management + counsel) on red lines</w:t>
            </w:r>
          </w:p>
        </w:tc>
      </w:tr>
      <w:tr>
        <w:tc>
          <w:tcPr/>
          <w:p>
            <w:pPr>
              <w:pStyle w:val="Compact"/>
              <w:jc w:val="left"/>
            </w:pPr>
            <w:r>
              <w:t xml:space="preserve">By June 23, 2025</w:t>
            </w:r>
          </w:p>
        </w:tc>
        <w:tc>
          <w:tcPr/>
          <w:p>
            <w:pPr>
              <w:pStyle w:val="Compact"/>
              <w:jc w:val="left"/>
            </w:pPr>
            <w:r>
              <w:t xml:space="preserve">Whitmore’s substantive written response to KBI (Term Sheet + Side Letter)</w:t>
            </w:r>
          </w:p>
        </w:tc>
      </w:tr>
      <w:tr>
        <w:tc>
          <w:tcPr/>
          <w:p>
            <w:pPr>
              <w:pStyle w:val="Compact"/>
              <w:jc w:val="left"/>
            </w:pPr>
            <w:r>
              <w:t xml:space="preserve">Through July 28, 2025</w:t>
            </w:r>
          </w:p>
        </w:tc>
        <w:tc>
          <w:tcPr/>
          <w:p>
            <w:pPr>
              <w:pStyle w:val="Compact"/>
              <w:jc w:val="left"/>
            </w:pPr>
            <w:r>
              <w:t xml:space="preserve">60-day no-shop in effect (binding)</w:t>
            </w:r>
          </w:p>
        </w:tc>
      </w:tr>
      <w:tr>
        <w:tc>
          <w:tcPr/>
          <w:p>
            <w:pPr>
              <w:pStyle w:val="Compact"/>
              <w:jc w:val="left"/>
            </w:pPr>
            <w:r>
              <w:t xml:space="preserve">August 15, 2025</w:t>
            </w:r>
          </w:p>
        </w:tc>
        <w:tc>
          <w:tcPr/>
          <w:p>
            <w:pPr>
              <w:pStyle w:val="Compact"/>
              <w:jc w:val="left"/>
            </w:pPr>
            <w:r>
              <w:t xml:space="preserve">Targeted definitive agreement execution</w:t>
            </w:r>
          </w:p>
        </w:tc>
      </w:tr>
      <w:tr>
        <w:tc>
          <w:tcPr/>
          <w:p>
            <w:pPr>
              <w:pStyle w:val="Compact"/>
              <w:jc w:val="left"/>
            </w:pPr>
            <w:r>
              <w:t xml:space="preserve">September 15, 2025</w:t>
            </w:r>
          </w:p>
        </w:tc>
        <w:tc>
          <w:tcPr/>
          <w:p>
            <w:pPr>
              <w:pStyle w:val="Compact"/>
              <w:jc w:val="left"/>
            </w:pPr>
            <w:r>
              <w:t xml:space="preserve">Phase 1 implementation start (contingent on MFC acceptance)</w:t>
            </w:r>
          </w:p>
        </w:tc>
      </w:tr>
    </w:tbl>
    <w:p>
      <w:pPr>
        <w:pStyle w:val="BodyText"/>
      </w:pPr>
      <w:r>
        <w:rPr>
          <w:b/>
          <w:bCs/>
        </w:rPr>
        <w:t xml:space="preserve">Immediate actions:</w:t>
      </w:r>
    </w:p>
    <w:p>
      <w:pPr>
        <w:pStyle w:val="Compact"/>
        <w:numPr>
          <w:ilvl w:val="0"/>
          <w:numId w:val="1021"/>
        </w:numPr>
      </w:pPr>
      <w:r>
        <w:rPr>
          <w:b/>
          <w:bCs/>
        </w:rPr>
        <w:t xml:space="preserve">Board approval</w:t>
      </w:r>
      <w:r>
        <w:t xml:space="preserve"> </w:t>
      </w:r>
      <w:r>
        <w:t xml:space="preserve">of the red lines in Section VII at the June 18 meeting.</w:t>
      </w:r>
    </w:p>
    <w:p>
      <w:pPr>
        <w:pStyle w:val="Compact"/>
        <w:numPr>
          <w:ilvl w:val="0"/>
          <w:numId w:val="1021"/>
        </w:numPr>
      </w:pPr>
      <w:r>
        <w:rPr>
          <w:b/>
          <w:bCs/>
        </w:rPr>
        <w:t xml:space="preserve">Management alignment call</w:t>
      </w:r>
      <w:r>
        <w:t xml:space="preserve"> </w:t>
      </w:r>
      <w:r>
        <w:t xml:space="preserve">to confirm negotiation posture before responding to KBI.</w:t>
      </w:r>
    </w:p>
    <w:p>
      <w:pPr>
        <w:pStyle w:val="Compact"/>
        <w:numPr>
          <w:ilvl w:val="0"/>
          <w:numId w:val="1021"/>
        </w:numPr>
      </w:pPr>
      <w:r>
        <w:rPr>
          <w:b/>
          <w:bCs/>
        </w:rPr>
        <w:t xml:space="preserve">Specialist referrals:</w:t>
      </w:r>
      <w:r>
        <w:t xml:space="preserve"> </w:t>
      </w:r>
      <w:r>
        <w:t xml:space="preserve">(a) German-law specialist for governing-law/penalty/indemnity enforceability (R-H5); (b) Lakeshore Accounting Group LLP for ASC 606 revenue-recognition analysis on the payment structure (R-H4); (c) IP/ML specialist for the Output Data / model-weights analysis (R-C2).</w:t>
      </w:r>
    </w:p>
    <w:p>
      <w:pPr>
        <w:pStyle w:val="Compact"/>
        <w:numPr>
          <w:ilvl w:val="0"/>
          <w:numId w:val="1021"/>
        </w:numPr>
      </w:pPr>
      <w:r>
        <w:rPr>
          <w:b/>
          <w:bCs/>
        </w:rPr>
        <w:t xml:space="preserve">Drafting:</w:t>
      </w:r>
      <w:r>
        <w:t xml:space="preserve"> </w:t>
      </w:r>
      <w:r>
        <w:t xml:space="preserve">Prepare a marked-up Term Sheet and a revised MFC term sheet reflecting the recommendations above, ready to send to KBI’s counsel (Bergström Hecht / Dr. Trautmann) promptly after the June 23 response.</w:t>
      </w:r>
    </w:p>
    <w:p>
      <w:pPr>
        <w:pStyle w:val="Compact"/>
        <w:numPr>
          <w:ilvl w:val="0"/>
          <w:numId w:val="1021"/>
        </w:numPr>
      </w:pPr>
      <w:r>
        <w:rPr>
          <w:b/>
          <w:bCs/>
        </w:rPr>
        <w:t xml:space="preserve">Pipeline quantification (per CEO):</w:t>
      </w:r>
      <w:r>
        <w:t xml:space="preserve"> </w:t>
      </w:r>
      <w:r>
        <w:t xml:space="preserve">Tom Kendrick to prepare the one-page European pipeline impact summary (3 active prospects; $4–5M potential recurring SaaS; 25–30 additional companies within the 30% threshold) for the board deck.</w:t>
      </w:r>
    </w:p>
    <w:p>
      <w:r>
        <w:pict>
          <v:rect style="width:0;height:1.5pt" o:hralign="center" o:hrstd="t" o:hr="t"/>
        </w:pict>
      </w:r>
    </w:p>
    <w:bookmarkEnd w:id="51"/>
    <w:bookmarkStart w:id="52" w:name="X971884b8655450c5140bc0cdf85b1cd20f033d8"/>
    <w:p>
      <w:pPr>
        <w:pStyle w:val="Heading2"/>
      </w:pPr>
      <w:r>
        <w:t xml:space="preserve">IX. Items Requiring Further Specialist Review</w:t>
      </w:r>
    </w:p>
    <w:p>
      <w:pPr>
        <w:pStyle w:val="Compact"/>
        <w:numPr>
          <w:ilvl w:val="0"/>
          <w:numId w:val="1022"/>
        </w:numPr>
      </w:pPr>
      <w:r>
        <w:rPr>
          <w:b/>
          <w:bCs/>
        </w:rPr>
        <w:t xml:space="preserve">German law:</w:t>
      </w:r>
      <w:r>
        <w:t xml:space="preserve"> </w:t>
      </w:r>
      <w:r>
        <w:t xml:space="preserve">Enforceability of uncapped indemnity, performance-penalty/liquidated-damages structure, 18% late-interest rate, and LoL exclusions under German substantive law; comparative analysis of Washington/English/Swiss alternatives.</w:t>
      </w:r>
    </w:p>
    <w:p>
      <w:pPr>
        <w:pStyle w:val="Compact"/>
        <w:numPr>
          <w:ilvl w:val="0"/>
          <w:numId w:val="1022"/>
        </w:numPr>
      </w:pPr>
      <w:r>
        <w:rPr>
          <w:b/>
          <w:bCs/>
        </w:rPr>
        <w:t xml:space="preserve">ML/AI IP:</w:t>
      </w:r>
      <w:r>
        <w:t xml:space="preserve"> </w:t>
      </w:r>
      <w:r>
        <w:t xml:space="preserve">Precise treatment of model weights, parameters, and training artifacts as between licensor and licensee; structuring of the anonymization/aggregation framework to satisfy GDPR and German data-protection law while preserving model-improvement rights.</w:t>
      </w:r>
    </w:p>
    <w:p>
      <w:pPr>
        <w:pStyle w:val="Compact"/>
        <w:numPr>
          <w:ilvl w:val="0"/>
          <w:numId w:val="1022"/>
        </w:numPr>
      </w:pPr>
      <w:r>
        <w:rPr>
          <w:b/>
          <w:bCs/>
        </w:rPr>
        <w:t xml:space="preserve">Revenue recognition (ASC 606):</w:t>
      </w:r>
      <w:r>
        <w:t xml:space="preserve"> </w:t>
      </w:r>
      <w:r>
        <w:t xml:space="preserve">Treatment of the 30/40/30 license-fee milestones, linear implementation billing vs. milestone delivery, and the separate-SOW structure.</w:t>
      </w:r>
    </w:p>
    <w:p>
      <w:pPr>
        <w:pStyle w:val="Compact"/>
        <w:numPr>
          <w:ilvl w:val="0"/>
          <w:numId w:val="1022"/>
        </w:numPr>
      </w:pPr>
      <w:r>
        <w:rPr>
          <w:b/>
          <w:bCs/>
        </w:rPr>
        <w:t xml:space="preserve">Exhibit B review:</w:t>
      </w:r>
      <w:r>
        <w:t xml:space="preserve"> </w:t>
      </w:r>
      <w:r>
        <w:t xml:space="preserve">Validation of the 12 named competitors and assessment of the 30%-threshold population.</w:t>
      </w:r>
    </w:p>
    <w:p>
      <w:pPr>
        <w:pStyle w:val="Compact"/>
        <w:numPr>
          <w:ilvl w:val="0"/>
          <w:numId w:val="1022"/>
        </w:numPr>
      </w:pPr>
      <w:r>
        <w:rPr>
          <w:b/>
          <w:bCs/>
        </w:rPr>
        <w:t xml:space="preserve">Escrow agent terms:</w:t>
      </w:r>
      <w:r>
        <w:t xml:space="preserve"> </w:t>
      </w:r>
      <w:r>
        <w:t xml:space="preserve">Review of Meridian Escrow Services LLC’s standard agreement for consistency with the release triggers and verification rights.</w:t>
      </w:r>
    </w:p>
    <w:p>
      <w:r>
        <w:pict>
          <v:rect style="width:0;height:1.5pt" o:hralign="center" o:hrstd="t" o:hr="t"/>
        </w:pict>
      </w:r>
    </w:p>
    <w:bookmarkEnd w:id="52"/>
    <w:bookmarkStart w:id="53" w:name="Xbb9a6d21cf4ed11929ed77a0ecdd8b33d0c307e"/>
    <w:p>
      <w:pPr>
        <w:pStyle w:val="Heading2"/>
      </w:pPr>
      <w:r>
        <w:t xml:space="preserve">Appendix A: Five-Year Fee Projection (Estimated)</w:t>
      </w:r>
    </w:p>
    <w:p>
      <w:pPr>
        <w:pStyle w:val="FirstParagraph"/>
      </w:pPr>
      <w:r>
        <w:t xml:space="preserve">All figures in USD. License and implementation fees are one-time (Year 1). SaaS and maintenance are recurring.</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Component</w:t>
            </w:r>
          </w:p>
        </w:tc>
        <w:tc>
          <w:tcPr/>
          <w:p>
            <w:pPr>
              <w:pStyle w:val="Compact"/>
              <w:jc w:val="right"/>
            </w:pPr>
            <w:r>
              <w:t xml:space="preserve">Year 1</w:t>
            </w:r>
          </w:p>
        </w:tc>
        <w:tc>
          <w:tcPr/>
          <w:p>
            <w:pPr>
              <w:pStyle w:val="Compact"/>
              <w:jc w:val="right"/>
            </w:pPr>
            <w:r>
              <w:t xml:space="preserve">Year 2</w:t>
            </w:r>
          </w:p>
        </w:tc>
        <w:tc>
          <w:tcPr/>
          <w:p>
            <w:pPr>
              <w:pStyle w:val="Compact"/>
              <w:jc w:val="right"/>
            </w:pPr>
            <w:r>
              <w:t xml:space="preserve">Year 3</w:t>
            </w:r>
          </w:p>
        </w:tc>
        <w:tc>
          <w:tcPr/>
          <w:p>
            <w:pPr>
              <w:pStyle w:val="Compact"/>
              <w:jc w:val="right"/>
            </w:pPr>
            <w:r>
              <w:t xml:space="preserve">Year 4</w:t>
            </w:r>
          </w:p>
        </w:tc>
        <w:tc>
          <w:tcPr/>
          <w:p>
            <w:pPr>
              <w:pStyle w:val="Compact"/>
              <w:jc w:val="right"/>
            </w:pPr>
            <w:r>
              <w:t xml:space="preserve">Year 5</w:t>
            </w:r>
          </w:p>
        </w:tc>
        <w:tc>
          <w:tcPr/>
          <w:p>
            <w:pPr>
              <w:pStyle w:val="Compact"/>
              <w:jc w:val="right"/>
            </w:pPr>
            <w:r>
              <w:t xml:space="preserve">5-Yr Total</w:t>
            </w:r>
          </w:p>
        </w:tc>
      </w:tr>
      <w:tr>
        <w:tc>
          <w:tcPr/>
          <w:p>
            <w:pPr>
              <w:pStyle w:val="Compact"/>
              <w:jc w:val="left"/>
            </w:pPr>
            <w:r>
              <w:t xml:space="preserve">Initial license fee</w:t>
            </w:r>
          </w:p>
        </w:tc>
        <w:tc>
          <w:tcPr/>
          <w:p>
            <w:pPr>
              <w:pStyle w:val="Compact"/>
              <w:jc w:val="right"/>
            </w:pPr>
            <w:r>
              <w:t xml:space="preserve">4,200,000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4,200,000</w:t>
            </w:r>
          </w:p>
        </w:tc>
      </w:tr>
      <w:tr>
        <w:tc>
          <w:tcPr/>
          <w:p>
            <w:pPr>
              <w:pStyle w:val="Compact"/>
              <w:jc w:val="left"/>
            </w:pPr>
            <w:r>
              <w:t xml:space="preserve">Implementation services</w:t>
            </w:r>
          </w:p>
        </w:tc>
        <w:tc>
          <w:tcPr/>
          <w:p>
            <w:pPr>
              <w:pStyle w:val="Compact"/>
              <w:jc w:val="right"/>
            </w:pPr>
            <w:r>
              <w:t xml:space="preserve">1,750,000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1,750,000</w:t>
            </w:r>
          </w:p>
        </w:tc>
      </w:tr>
      <w:tr>
        <w:tc>
          <w:tcPr/>
          <w:p>
            <w:pPr>
              <w:pStyle w:val="Compact"/>
              <w:jc w:val="left"/>
            </w:pPr>
            <w:r>
              <w:t xml:space="preserve">SaaS subscription</w:t>
            </w:r>
          </w:p>
        </w:tc>
        <w:tc>
          <w:tcPr/>
          <w:p>
            <w:pPr>
              <w:pStyle w:val="Compact"/>
              <w:jc w:val="right"/>
            </w:pPr>
            <w:r>
              <w:t xml:space="preserve">2,850,000</w:t>
            </w:r>
          </w:p>
        </w:tc>
        <w:tc>
          <w:tcPr/>
          <w:p>
            <w:pPr>
              <w:pStyle w:val="Compact"/>
              <w:jc w:val="right"/>
            </w:pPr>
            <w:r>
              <w:t xml:space="preserve">2,850,000</w:t>
            </w:r>
          </w:p>
        </w:tc>
        <w:tc>
          <w:tcPr/>
          <w:p>
            <w:pPr>
              <w:pStyle w:val="Compact"/>
              <w:jc w:val="right"/>
            </w:pPr>
            <w:r>
              <w:t xml:space="preserve">2,850,000</w:t>
            </w:r>
          </w:p>
        </w:tc>
        <w:tc>
          <w:tcPr/>
          <w:p>
            <w:pPr>
              <w:pStyle w:val="Compact"/>
              <w:jc w:val="right"/>
            </w:pPr>
            <w:r>
              <w:t xml:space="preserve">2,935,500</w:t>
            </w:r>
          </w:p>
        </w:tc>
        <w:tc>
          <w:tcPr/>
          <w:p>
            <w:pPr>
              <w:pStyle w:val="Compact"/>
              <w:jc w:val="right"/>
            </w:pPr>
            <w:r>
              <w:t xml:space="preserve">3,023,565</w:t>
            </w:r>
          </w:p>
        </w:tc>
        <w:tc>
          <w:tcPr/>
          <w:p>
            <w:pPr>
              <w:pStyle w:val="Compact"/>
              <w:jc w:val="right"/>
            </w:pPr>
            <w:r>
              <w:t xml:space="preserve">14,509,065</w:t>
            </w:r>
          </w:p>
        </w:tc>
      </w:tr>
      <w:tr>
        <w:tc>
          <w:tcPr/>
          <w:p>
            <w:pPr>
              <w:pStyle w:val="Compact"/>
              <w:jc w:val="left"/>
            </w:pPr>
            <w:r>
              <w:t xml:space="preserve">Maintenance &amp; support</w:t>
            </w:r>
          </w:p>
        </w:tc>
        <w:tc>
          <w:tcPr/>
          <w:p>
            <w:pPr>
              <w:pStyle w:val="Compact"/>
              <w:jc w:val="right"/>
            </w:pPr>
            <w:r>
              <w:t xml:space="preserve">756,000</w:t>
            </w:r>
          </w:p>
        </w:tc>
        <w:tc>
          <w:tcPr/>
          <w:p>
            <w:pPr>
              <w:pStyle w:val="Compact"/>
              <w:jc w:val="right"/>
            </w:pPr>
            <w:r>
              <w:t xml:space="preserve">786,240</w:t>
            </w:r>
          </w:p>
        </w:tc>
        <w:tc>
          <w:tcPr/>
          <w:p>
            <w:pPr>
              <w:pStyle w:val="Compact"/>
              <w:jc w:val="right"/>
            </w:pPr>
            <w:r>
              <w:t xml:space="preserve">817,689.60</w:t>
            </w:r>
          </w:p>
        </w:tc>
        <w:tc>
          <w:tcPr/>
          <w:p>
            <w:pPr>
              <w:pStyle w:val="Compact"/>
              <w:jc w:val="right"/>
            </w:pPr>
            <w:r>
              <w:t xml:space="preserve">850,397.18</w:t>
            </w:r>
          </w:p>
        </w:tc>
        <w:tc>
          <w:tcPr/>
          <w:p>
            <w:pPr>
              <w:pStyle w:val="Compact"/>
              <w:jc w:val="right"/>
            </w:pPr>
            <w:r>
              <w:t xml:space="preserve">884,413.07</w:t>
            </w:r>
          </w:p>
        </w:tc>
        <w:tc>
          <w:tcPr/>
          <w:p>
            <w:pPr>
              <w:pStyle w:val="Compact"/>
              <w:jc w:val="right"/>
            </w:pPr>
            <w:r>
              <w:t xml:space="preserve">4,094,739.85</w:t>
            </w:r>
          </w:p>
        </w:tc>
      </w:tr>
      <w:tr>
        <w:tc>
          <w:tcPr/>
          <w:p>
            <w:pPr>
              <w:pStyle w:val="Compact"/>
              <w:jc w:val="left"/>
            </w:pPr>
            <w:r>
              <w:rPr>
                <w:b/>
                <w:bCs/>
              </w:rPr>
              <w:t xml:space="preserve">Annual total</w:t>
            </w:r>
          </w:p>
        </w:tc>
        <w:tc>
          <w:tcPr/>
          <w:p>
            <w:pPr>
              <w:pStyle w:val="Compact"/>
              <w:jc w:val="right"/>
            </w:pPr>
            <w:r>
              <w:rPr>
                <w:b/>
                <w:bCs/>
              </w:rPr>
              <w:t xml:space="preserve">9,556,000</w:t>
            </w:r>
          </w:p>
        </w:tc>
        <w:tc>
          <w:tcPr/>
          <w:p>
            <w:pPr>
              <w:pStyle w:val="Compact"/>
              <w:jc w:val="right"/>
            </w:pPr>
            <w:r>
              <w:rPr>
                <w:b/>
                <w:bCs/>
              </w:rPr>
              <w:t xml:space="preserve">3,636,240</w:t>
            </w:r>
          </w:p>
        </w:tc>
        <w:tc>
          <w:tcPr/>
          <w:p>
            <w:pPr>
              <w:pStyle w:val="Compact"/>
              <w:jc w:val="right"/>
            </w:pPr>
            <w:r>
              <w:rPr>
                <w:b/>
                <w:bCs/>
              </w:rPr>
              <w:t xml:space="preserve">3,667,689.60</w:t>
            </w:r>
          </w:p>
        </w:tc>
        <w:tc>
          <w:tcPr/>
          <w:p>
            <w:pPr>
              <w:pStyle w:val="Compact"/>
              <w:jc w:val="right"/>
            </w:pPr>
            <w:r>
              <w:rPr>
                <w:b/>
                <w:bCs/>
              </w:rPr>
              <w:t xml:space="preserve">3,785,897.18</w:t>
            </w:r>
          </w:p>
        </w:tc>
        <w:tc>
          <w:tcPr/>
          <w:p>
            <w:pPr>
              <w:pStyle w:val="Compact"/>
              <w:jc w:val="right"/>
            </w:pPr>
            <w:r>
              <w:rPr>
                <w:b/>
                <w:bCs/>
              </w:rPr>
              <w:t xml:space="preserve">3,907,978.07</w:t>
            </w:r>
          </w:p>
        </w:tc>
        <w:tc>
          <w:tcPr/>
          <w:p>
            <w:pPr>
              <w:pStyle w:val="Compact"/>
              <w:jc w:val="right"/>
            </w:pPr>
            <w:r>
              <w:rPr>
                <w:b/>
                <w:bCs/>
              </w:rPr>
              <w:t xml:space="preserve">24,553,804.85</w:t>
            </w:r>
          </w:p>
        </w:tc>
      </w:tr>
    </w:tbl>
    <w:p>
      <w:pPr>
        <w:pStyle w:val="BodyText"/>
      </w:pPr>
      <w:r>
        <w:t xml:space="preserve">Notes: SaaS escalates 3%/yr from Year 4 (per §5.2). Maintenance escalates 4%/yr from Year 2 (per §5.4). Figures exclude expansion-right deployments, taxes, and escrow fees. Year 1 total (~$9.56M) ≈ 20% of FY 2024 revenue ($47.3M).</w:t>
      </w:r>
    </w:p>
    <w:p>
      <w:r>
        <w:pict>
          <v:rect style="width:0;height:1.5pt" o:hralign="center" o:hrstd="t" o:hr="t"/>
        </w:pict>
      </w:r>
    </w:p>
    <w:bookmarkEnd w:id="53"/>
    <w:bookmarkStart w:id="54" w:name="appendix-b-document-index"/>
    <w:p>
      <w:pPr>
        <w:pStyle w:val="Heading2"/>
      </w:pPr>
      <w:r>
        <w:t xml:space="preserve">Appendix B: Document Index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c>
          <w:tcPr/>
          <w:p>
            <w:pPr>
              <w:pStyle w:val="Compact"/>
              <w:jc w:val="left"/>
            </w:pPr>
            <w:r>
              <w:t xml:space="preserve">Status</w:t>
            </w:r>
          </w:p>
        </w:tc>
      </w:tr>
      <w:tr>
        <w:tc>
          <w:tcPr/>
          <w:p>
            <w:pPr>
              <w:pStyle w:val="Compact"/>
              <w:jc w:val="left"/>
            </w:pPr>
            <w:r>
              <w:t xml:space="preserve">Term Sheet (PredictIQ License)</w:t>
            </w:r>
          </w:p>
        </w:tc>
        <w:tc>
          <w:tcPr/>
          <w:p>
            <w:pPr>
              <w:pStyle w:val="Compact"/>
              <w:jc w:val="left"/>
            </w:pPr>
            <w:r>
              <w:t xml:space="preserve">May 29, 2025</w:t>
            </w:r>
          </w:p>
        </w:tc>
        <w:tc>
          <w:tcPr/>
          <w:p>
            <w:pPr>
              <w:pStyle w:val="Compact"/>
              <w:jc w:val="left"/>
            </w:pPr>
            <w:r>
              <w:t xml:space="preserve">Bergström Hecht Rechtsanwälte (Dr. Luisa Trautmann) for KBI</w:t>
            </w:r>
          </w:p>
        </w:tc>
        <w:tc>
          <w:tcPr/>
          <w:p>
            <w:pPr>
              <w:pStyle w:val="Compact"/>
              <w:jc w:val="left"/>
            </w:pPr>
            <w:r>
              <w:t xml:space="preserve">Non-binding (except §§15, 16)</w:t>
            </w:r>
          </w:p>
        </w:tc>
      </w:tr>
      <w:tr>
        <w:tc>
          <w:tcPr/>
          <w:p>
            <w:pPr>
              <w:pStyle w:val="Compact"/>
              <w:jc w:val="left"/>
            </w:pPr>
            <w:r>
              <w:t xml:space="preserve">MFC Side Letter</w:t>
            </w:r>
          </w:p>
        </w:tc>
        <w:tc>
          <w:tcPr/>
          <w:p>
            <w:pPr>
              <w:pStyle w:val="Compact"/>
              <w:jc w:val="left"/>
            </w:pPr>
            <w:r>
              <w:t xml:space="preserve">May 29, 2025</w:t>
            </w:r>
          </w:p>
        </w:tc>
        <w:tc>
          <w:tcPr/>
          <w:p>
            <w:pPr>
              <w:pStyle w:val="Compact"/>
              <w:jc w:val="left"/>
            </w:pPr>
            <w:r>
              <w:t xml:space="preserve">Annika Solberg (KBI VP Digital Transformation)</w:t>
            </w:r>
          </w:p>
        </w:tc>
        <w:tc>
          <w:tcPr/>
          <w:p>
            <w:pPr>
              <w:pStyle w:val="Compact"/>
              <w:jc w:val="left"/>
            </w:pPr>
            <w:r>
              <w:t xml:space="preserve">Non-binding; condition precedent to deal</w:t>
            </w:r>
          </w:p>
        </w:tc>
      </w:tr>
      <w:tr>
        <w:tc>
          <w:tcPr/>
          <w:p>
            <w:pPr>
              <w:pStyle w:val="Compact"/>
              <w:jc w:val="left"/>
            </w:pPr>
            <w:r>
              <w:t xml:space="preserve">Internal email — Tom Kendrick (VP Sales)</w:t>
            </w:r>
          </w:p>
        </w:tc>
        <w:tc>
          <w:tcPr/>
          <w:p>
            <w:pPr>
              <w:pStyle w:val="Compact"/>
              <w:jc w:val="left"/>
            </w:pPr>
            <w:r>
              <w:t xml:space="preserve">June 3, 2025</w:t>
            </w:r>
          </w:p>
        </w:tc>
        <w:tc>
          <w:tcPr/>
          <w:p>
            <w:pPr>
              <w:pStyle w:val="Compact"/>
              <w:jc w:val="left"/>
            </w:pPr>
            <w:r>
              <w:t xml:space="preserve">Whitmore internal</w:t>
            </w:r>
          </w:p>
        </w:tc>
        <w:tc>
          <w:tcPr/>
          <w:p>
            <w:pPr>
              <w:pStyle w:val="Compact"/>
              <w:jc w:val="left"/>
            </w:pPr>
            <w:r>
              <w:t xml:space="preserve">Privileged</w:t>
            </w:r>
          </w:p>
        </w:tc>
      </w:tr>
      <w:tr>
        <w:tc>
          <w:tcPr/>
          <w:p>
            <w:pPr>
              <w:pStyle w:val="Compact"/>
              <w:jc w:val="left"/>
            </w:pPr>
            <w:r>
              <w:t xml:space="preserve">Internal email — Sarah Yin (GC)</w:t>
            </w:r>
          </w:p>
        </w:tc>
        <w:tc>
          <w:tcPr/>
          <w:p>
            <w:pPr>
              <w:pStyle w:val="Compact"/>
              <w:jc w:val="left"/>
            </w:pPr>
            <w:r>
              <w:t xml:space="preserve">June 3, 2025</w:t>
            </w:r>
          </w:p>
        </w:tc>
        <w:tc>
          <w:tcPr/>
          <w:p>
            <w:pPr>
              <w:pStyle w:val="Compact"/>
              <w:jc w:val="left"/>
            </w:pPr>
            <w:r>
              <w:t xml:space="preserve">Whitmore internal</w:t>
            </w:r>
          </w:p>
        </w:tc>
        <w:tc>
          <w:tcPr/>
          <w:p>
            <w:pPr>
              <w:pStyle w:val="Compact"/>
              <w:jc w:val="left"/>
            </w:pPr>
            <w:r>
              <w:t xml:space="preserve">Privileged</w:t>
            </w:r>
          </w:p>
        </w:tc>
      </w:tr>
      <w:tr>
        <w:tc>
          <w:tcPr/>
          <w:p>
            <w:pPr>
              <w:pStyle w:val="Compact"/>
              <w:jc w:val="left"/>
            </w:pPr>
            <w:r>
              <w:t xml:space="preserve">Internal email — Rajesh Malhotra (CEO)</w:t>
            </w:r>
          </w:p>
        </w:tc>
        <w:tc>
          <w:tcPr/>
          <w:p>
            <w:pPr>
              <w:pStyle w:val="Compact"/>
              <w:jc w:val="left"/>
            </w:pPr>
            <w:r>
              <w:t xml:space="preserve">June 3, 2025</w:t>
            </w:r>
          </w:p>
        </w:tc>
        <w:tc>
          <w:tcPr/>
          <w:p>
            <w:pPr>
              <w:pStyle w:val="Compact"/>
              <w:jc w:val="left"/>
            </w:pPr>
            <w:r>
              <w:t xml:space="preserve">Whitmore internal</w:t>
            </w:r>
          </w:p>
        </w:tc>
        <w:tc>
          <w:tcPr/>
          <w:p>
            <w:pPr>
              <w:pStyle w:val="Compact"/>
              <w:jc w:val="left"/>
            </w:pPr>
            <w:r>
              <w:t xml:space="preserve">Privileged</w:t>
            </w:r>
          </w:p>
        </w:tc>
      </w:tr>
    </w:tbl>
    <w:p>
      <w:r>
        <w:pict>
          <v:rect style="width:0;height:1.5pt" o:hralign="center" o:hrstd="t" o:hr="t"/>
        </w:pict>
      </w:r>
    </w:p>
    <w:p>
      <w:pPr>
        <w:pStyle w:val="FirstParagraph"/>
      </w:pPr>
      <w:r>
        <w:rPr>
          <w:i/>
          <w:iCs/>
        </w:rPr>
        <w:t xml:space="preserve">This memorandum is privileged and confidential, prepared at the request of Whitmore Analytics Inc. in anticipation of the June 18, 2025 board meeting, for the purpose of evaluating the proposed KBI transaction and formulating a negotiation framework. It reflects our preliminary analysis based on the documents provided and the internal team’s input; it is not a final legal opinion and should not be relied upon as such. Specialist reviews (Section IX) are recommended before execution of any definitive agreement.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2026-06-23T05:39:12Z</dcterms:created>
  <dcterms:modified xsi:type="dcterms:W3CDTF">2026-06-23T05:39:12Z</dcterms:modified>
</cp:coreProperties>
</file>

<file path=docProps/custom.xml><?xml version="1.0" encoding="utf-8"?>
<Properties xmlns="http://schemas.openxmlformats.org/officeDocument/2006/custom-properties" xmlns:vt="http://schemas.openxmlformats.org/officeDocument/2006/docPropsVTypes"/>
</file>