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b00a8ce9f01252ee933d31ffed2c10f1672bce1"/>
    <w:p>
      <w:pPr>
        <w:pStyle w:val="Heading1"/>
      </w:pPr>
      <w:r>
        <w:t xml:space="preserve">PRIVILEGED &amp; CONFIDENTIAL — ATTORNEY-CLIENT COMMUNICATION / ATTORNEY WORK PRODUCT</w:t>
      </w:r>
    </w:p>
    <w:p>
      <w:pPr>
        <w:pStyle w:val="FirstParagraph"/>
      </w:pPr>
      <w:r>
        <w:rPr>
          <w:b/>
          <w:bCs/>
        </w:rPr>
        <w:t xml:space="preserve">FERNDALE HALE &amp; SEWARD LLP</w:t>
      </w:r>
    </w:p>
    <w:p>
      <w:pPr>
        <w:pStyle w:val="BodyText"/>
      </w:pPr>
      <w:r>
        <w:rPr>
          <w:b/>
          <w:bCs/>
        </w:rPr>
        <w:t xml:space="preserve">MEMORANDUM</w:t>
      </w:r>
    </w:p>
    <w:p>
      <w:pPr>
        <w:pStyle w:val="BodyText"/>
      </w:pPr>
      <w:r>
        <w:rPr>
          <w:b/>
          <w:bCs/>
        </w:rPr>
        <w:t xml:space="preserve">TO:</w:t>
      </w:r>
      <w:r>
        <w:t xml:space="preserve"> </w:t>
      </w:r>
      <w:r>
        <w:t xml:space="preserve">Board of Directors, Whitmore Analytics Inc.</w:t>
      </w:r>
      <w:r>
        <w:t xml:space="preserve"> </w:t>
      </w:r>
      <w:r>
        <w:rPr>
          <w:b/>
          <w:bCs/>
        </w:rPr>
        <w:t xml:space="preserve">FROM:</w:t>
      </w:r>
      <w:r>
        <w:t xml:space="preserve"> </w:t>
      </w:r>
      <w:r>
        <w:t xml:space="preserve">Daniel Cortez &amp; Priya Venkatesh, Ferndale Hale &amp; Seward LLP — Outside Counsel to Whitmore Analytics Inc.</w:t>
      </w:r>
      <w:r>
        <w:t xml:space="preserve"> </w:t>
      </w:r>
      <w:r>
        <w:rPr>
          <w:b/>
          <w:bCs/>
        </w:rPr>
        <w:t xml:space="preserve">CC:</w:t>
      </w:r>
      <w:r>
        <w:t xml:space="preserve"> </w:t>
      </w:r>
      <w:r>
        <w:t xml:space="preserve">Rajesh Malhotra, Chief Executive Officer; Sarah Yin, General Counsel; Tom Kendrick, Vice President, Sales</w:t>
      </w:r>
      <w:r>
        <w:t xml:space="preserve"> </w:t>
      </w:r>
      <w:r>
        <w:rPr>
          <w:b/>
          <w:bCs/>
        </w:rPr>
        <w:t xml:space="preserve">DATE:</w:t>
      </w:r>
      <w:r>
        <w:t xml:space="preserve"> </w:t>
      </w:r>
      <w:r>
        <w:t xml:space="preserve">June 16, 2025</w:t>
      </w:r>
      <w:r>
        <w:t xml:space="preserve"> </w:t>
      </w:r>
      <w:r>
        <w:rPr>
          <w:b/>
          <w:bCs/>
        </w:rPr>
        <w:t xml:space="preserve">RE:</w:t>
      </w:r>
      <w:r>
        <w:t xml:space="preserve"> </w:t>
      </w:r>
      <w:r>
        <w:t xml:space="preserve">Key-Terms Extraction, Risk Analysis, and Negotiation Recommendations — Proposed PredictIQ Technology License Agreement with Kessler-Brandt Industrial GmbH (the</w:t>
      </w:r>
      <w:r>
        <w:t xml:space="preserve"> </w:t>
      </w:r>
      <w:r>
        <w:t xml:space="preserve">“</w:t>
      </w:r>
      <w:r>
        <w:t xml:space="preserve">KBI Transaction</w:t>
      </w:r>
      <w:r>
        <w:t xml:space="preserve">”</w:t>
      </w:r>
      <w:r>
        <w:t xml:space="preserv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has been prepared at the request of Whitmore’s General Counsel, Sarah Yin, to assist the Board of Directors in evaluating the non-binding term sheet dated May 29, 2025 (the</w:t>
      </w:r>
      <w:r>
        <w:t xml:space="preserve"> </w:t>
      </w:r>
      <w:r>
        <w:t xml:space="preserve">“</w:t>
      </w:r>
      <w:r>
        <w:t xml:space="preserve">Term Sheet</w:t>
      </w:r>
      <w:r>
        <w:t xml:space="preserve">”</w:t>
      </w:r>
      <w:r>
        <w:t xml:space="preserve">) and the accompanying most-favored-customer side letter dated May 29, 2025 (the</w:t>
      </w:r>
      <w:r>
        <w:t xml:space="preserve"> </w:t>
      </w:r>
      <w:r>
        <w:t xml:space="preserve">“</w:t>
      </w:r>
      <w:r>
        <w:t xml:space="preserve">Side Letter</w:t>
      </w:r>
      <w:r>
        <w:t xml:space="preserve">”</w:t>
      </w:r>
      <w:r>
        <w:t xml:space="preserve">), each delivered by Kessler-Brandt Industrial GmbH (</w:t>
      </w:r>
      <w:r>
        <w:t xml:space="preserve">“</w:t>
      </w:r>
      <w:r>
        <w:t xml:space="preserve">KBI</w:t>
      </w:r>
      <w:r>
        <w:t xml:space="preserve">”</w:t>
      </w:r>
      <w:r>
        <w:t xml:space="preserve">) and prepared by KBI’s outside counsel, Bergström Hecht Rechtsanwälte (Dr. Luisa Trautmann). Both documents contemplate a definitive Technology License Agreement (the</w:t>
      </w:r>
      <w:r>
        <w:t xml:space="preserve"> </w:t>
      </w:r>
      <w:r>
        <w:t xml:space="preserve">“</w:t>
      </w:r>
      <w:r>
        <w:t xml:space="preserve">Definitive Agreement</w:t>
      </w:r>
      <w:r>
        <w:t xml:space="preserve">”</w:t>
      </w:r>
      <w:r>
        <w:t xml:space="preserve">) under which Whitmore Analytics Inc. (</w:t>
      </w:r>
      <w:r>
        <w:t xml:space="preserve">“</w:t>
      </w:r>
      <w:r>
        <w:t xml:space="preserve">Whitmore</w:t>
      </w:r>
      <w:r>
        <w:t xml:space="preserve">”</w:t>
      </w:r>
      <w:r>
        <w:t xml:space="preserve">) would license its PredictIQ predictive-maintenance platform to KBI for deployment across 43 manufacturing facilities in 12 European countries.</w:t>
      </w:r>
    </w:p>
    <w:p>
      <w:pPr>
        <w:pStyle w:val="BodyText"/>
      </w:pPr>
      <w:r>
        <w:rPr>
          <w:b/>
          <w:bCs/>
        </w:rPr>
        <w:t xml:space="preserve">Commercial significance.</w:t>
      </w:r>
      <w:r>
        <w:t xml:space="preserve"> </w:t>
      </w:r>
      <w:r>
        <w:t xml:space="preserve">The Transaction would generate approximately</w:t>
      </w:r>
      <w:r>
        <w:t xml:space="preserve"> </w:t>
      </w:r>
      <w:r>
        <w:rPr>
          <w:b/>
          <w:bCs/>
        </w:rPr>
        <w:t xml:space="preserve">$9,556,000 in first-year revenue</w:t>
      </w:r>
      <w:r>
        <w:t xml:space="preserve"> </w:t>
      </w:r>
      <w:r>
        <w:t xml:space="preserve">to Whitmore (Initial License Fee $4,200,000; SaaS Subscription $2,850,000; Implementation Services $1,750,000; Maintenance &amp; Support $756,000) — roughly</w:t>
      </w:r>
      <w:r>
        <w:t xml:space="preserve"> </w:t>
      </w:r>
      <w:r>
        <w:rPr>
          <w:b/>
          <w:bCs/>
        </w:rPr>
        <w:t xml:space="preserve">20% of Whitmore’s FY 2024 revenue of $47.3 million</w:t>
      </w:r>
      <w:r>
        <w:t xml:space="preserve"> </w:t>
      </w:r>
      <w:r>
        <w:t xml:space="preserve">— and an illustrative five-year contract value of approximately</w:t>
      </w:r>
      <w:r>
        <w:t xml:space="preserve"> </w:t>
      </w:r>
      <w:r>
        <w:rPr>
          <w:b/>
          <w:bCs/>
        </w:rPr>
        <w:t xml:space="preserve">$24.5 million</w:t>
      </w:r>
      <w:r>
        <w:t xml:space="preserve">, with recurring SaaS and maintenance revenue continuing in perpetuity thereafter. The recurring SaaS component ($2.85M/year in Years 1–3) would be Whitmore’s largest single SaaS contract by a factor of three and is expected to anchor any Series C fundraising narrative. Management views the Transaction as strategically transformational, and we concur that it is well worth pursuing.</w:t>
      </w:r>
    </w:p>
    <w:p>
      <w:pPr>
        <w:pStyle w:val="BodyText"/>
      </w:pPr>
      <w:r>
        <w:rPr>
          <w:b/>
          <w:bCs/>
        </w:rPr>
        <w:t xml:space="preserve">However, the Term Sheet and Side Letter — both drafted by KBI’s counsel — contain a cluster of provisions that, if accepted as written, would materially compromise Whitmore’s core intellectual property, its machine-learning model-improvement pipeline, its commercial pricing freedom, and its go-to-market flexibility in Whitmore’s most important growth market.</w:t>
      </w:r>
      <w:r>
        <w:t xml:space="preserve"> </w:t>
      </w:r>
      <w:r>
        <w:t xml:space="preserve">Several of these provisions are, in our judgment and consistent with management’s assessment, dealbreakers in their current form rather than ordinary negotiation points.</w:t>
      </w:r>
    </w:p>
    <w:p>
      <w:pPr>
        <w:pStyle w:val="BodyText"/>
      </w:pPr>
      <w:r>
        <w:rPr>
          <w:b/>
          <w:bCs/>
        </w:rPr>
        <w:t xml:space="preserve">Bottom line.</w:t>
      </w:r>
      <w:r>
        <w:t xml:space="preserve"> </w:t>
      </w:r>
      <w:r>
        <w:t xml:space="preserve">We recommend that the Board authorize management to pursue the Transaction on a revised commercial and legal framework. The four issues below are, in our view,</w:t>
      </w:r>
      <w:r>
        <w:t xml:space="preserve"> </w:t>
      </w:r>
      <w:r>
        <w:rPr>
          <w:b/>
          <w:bCs/>
        </w:rPr>
        <w:t xml:space="preserve">red lines</w:t>
      </w:r>
      <w:r>
        <w:t xml:space="preserve"> </w:t>
      </w:r>
      <w:r>
        <w:t xml:space="preserve">— Whitmore should not execute a Definitive Agreement that does not satisfactorily resolve them:</w:t>
      </w:r>
    </w:p>
    <w:p>
      <w:pPr>
        <w:numPr>
          <w:ilvl w:val="0"/>
          <w:numId w:val="1001"/>
        </w:numPr>
      </w:pPr>
      <w:r>
        <w:rPr>
          <w:b/>
          <w:bCs/>
        </w:rPr>
        <w:t xml:space="preserve">Data-rights cluster (Term Sheet §§ 3.5, 4.2, 4.3).</w:t>
      </w:r>
      <w:r>
        <w:t xml:space="preserve"> </w:t>
      </w:r>
      <w:r>
        <w:t xml:space="preserve">KBI claims sole ownership of</w:t>
      </w:r>
      <w:r>
        <w:t xml:space="preserve"> </w:t>
      </w:r>
      <w:r>
        <w:t xml:space="preserve">“</w:t>
      </w:r>
      <w:r>
        <w:t xml:space="preserve">Output Data</w:t>
      </w:r>
      <w:r>
        <w:t xml:space="preserve">”</w:t>
      </w:r>
      <w:r>
        <w:t xml:space="preserve"> </w:t>
      </w:r>
      <w:r>
        <w:t xml:space="preserve">including model weights, parameters, and training artifacts derived from KBI Data, and imposes a blanket prohibition on Whitmore’s use of KBI Data — even anonymized or aggregated — to improve PredictIQ’s general models without KBI’s consent. Read together, these provisions could transfer ownership of model state shaped by KBI Data to KBI and would deprive PredictIQ of its most valuable training inputs. This strikes at the heart of Whitmore’s product and IP.</w:t>
      </w:r>
    </w:p>
    <w:p>
      <w:pPr>
        <w:numPr>
          <w:ilvl w:val="0"/>
          <w:numId w:val="1001"/>
        </w:numPr>
      </w:pPr>
      <w:r>
        <w:rPr>
          <w:b/>
          <w:bCs/>
        </w:rPr>
        <w:t xml:space="preserve">Exclusivity / non-compete (Term Sheet § 12).</w:t>
      </w:r>
      <w:r>
        <w:t xml:space="preserve"> </w:t>
      </w:r>
      <w:r>
        <w:t xml:space="preserve">A three-year exclusivity backed by an open-ended definition that sweeps in</w:t>
      </w:r>
      <w:r>
        <w:t xml:space="preserve"> </w:t>
      </w:r>
      <w:r>
        <w:rPr>
          <w:i/>
          <w:iCs/>
        </w:rPr>
        <w:t xml:space="preserve">any</w:t>
      </w:r>
      <w:r>
        <w:t xml:space="preserve"> </w:t>
      </w:r>
      <w:r>
        <w:t xml:space="preserve">entity deriving more than 30% of revenue from automotive or heavy-machinery manufacturing in Europe would lock Whitmore out of a market segment containing active late-stage prospects representing an estimated $4–5M in potential recurring revenue, plus 25–30 additional companies, while imposing an unworkable monitoring obligation.</w:t>
      </w:r>
    </w:p>
    <w:p>
      <w:pPr>
        <w:numPr>
          <w:ilvl w:val="0"/>
          <w:numId w:val="1001"/>
        </w:numPr>
      </w:pPr>
      <w:r>
        <w:rPr>
          <w:b/>
          <w:bCs/>
        </w:rPr>
        <w:t xml:space="preserve">Most-favored-customer pricing (Side Letter § 2).</w:t>
      </w:r>
      <w:r>
        <w:t xml:space="preserve"> </w:t>
      </w:r>
      <w:r>
        <w:t xml:space="preserve">The MFC provision has no sunset, no carve-outs, and retroactive effect, and — because the license term and wind-down license are perpetual — could constrain Whitmore’s pricing flexibility indefinitely. It is, in our experience, an unusually aggressive MFC clause.</w:t>
      </w:r>
    </w:p>
    <w:p>
      <w:pPr>
        <w:numPr>
          <w:ilvl w:val="0"/>
          <w:numId w:val="1001"/>
        </w:numPr>
      </w:pPr>
      <w:r>
        <w:rPr>
          <w:b/>
          <w:bCs/>
        </w:rPr>
        <w:t xml:space="preserve">Uncapped IP indemnification (Term Sheet § 9.1) under German governing law (§ 14.1).</w:t>
      </w:r>
      <w:r>
        <w:t xml:space="preserve"> </w:t>
      </w:r>
      <w:r>
        <w:t xml:space="preserve">Whitmore would bear uncapped liability for third-party IP-infringement claims in a complex and rapidly evolving ML/AI patent landscape, under a governing law (Germany) that may not fully honor certain liability limitations for gross negligence.</w:t>
      </w:r>
    </w:p>
    <w:p>
      <w:pPr>
        <w:pStyle w:val="FirstParagraph"/>
      </w:pPr>
      <w:r>
        <w:t xml:space="preserve">A further set of</w:t>
      </w:r>
      <w:r>
        <w:t xml:space="preserve"> </w:t>
      </w:r>
      <w:r>
        <w:rPr>
          <w:b/>
          <w:bCs/>
        </w:rPr>
        <w:t xml:space="preserve">high-priority</w:t>
      </w:r>
      <w:r>
        <w:t xml:space="preserve"> </w:t>
      </w:r>
      <w:r>
        <w:t xml:space="preserve">issues — including the perpetual post-termination wind-down license, joint ownership of derivative works, source-code escrow release triggers, the 92% performance warranty with financial penalties, and an implementation cash-flow mismatch — require material renegotiation but are not, in our view, absolute dealbreakers if appropriately restructured.</w:t>
      </w:r>
    </w:p>
    <w:p>
      <w:pPr>
        <w:pStyle w:val="BodyText"/>
      </w:pPr>
      <w:r>
        <w:t xml:space="preserve">The remainder of this memorandum (i) extracts the key commercial and legal terms; (ii) catalogs the risk flags by severity with citations to the source provisions; (iii) sets out a prioritized negotiation framework and counter-proposal; and (iv) addresses process and timeline. A response to KBI is due</w:t>
      </w:r>
      <w:r>
        <w:t xml:space="preserve"> </w:t>
      </w:r>
      <w:r>
        <w:rPr>
          <w:b/>
          <w:bCs/>
        </w:rPr>
        <w:t xml:space="preserve">June 23, 2025</w:t>
      </w:r>
      <w:r>
        <w:t xml:space="preserve">; the Definitive Agreement is targeted for execution</w:t>
      </w:r>
      <w:r>
        <w:t xml:space="preserve"> </w:t>
      </w:r>
      <w:r>
        <w:rPr>
          <w:b/>
          <w:bCs/>
        </w:rPr>
        <w:t xml:space="preserve">August 15, 2025</w:t>
      </w:r>
      <w:r>
        <w:t xml:space="preserve">, with Phase 1 implementation to begin</w:t>
      </w:r>
      <w:r>
        <w:t xml:space="preserve"> </w:t>
      </w:r>
      <w:r>
        <w:rPr>
          <w:b/>
          <w:bCs/>
        </w:rPr>
        <w:t xml:space="preserve">September 15, 2025</w:t>
      </w:r>
      <w:r>
        <w:t xml:space="preserve">.</w:t>
      </w:r>
    </w:p>
    <w:p>
      <w:r>
        <w:pict>
          <v:rect style="width:0;height:1.5pt" o:hralign="center" o:hrstd="t" o:hr="t"/>
        </w:pict>
      </w:r>
    </w:p>
    <w:bookmarkEnd w:id="20"/>
    <w:bookmarkStart w:id="21" w:name="Xf6f9e3d7c832fbbcb1f66be971c512003f106d1"/>
    <w:p>
      <w:pPr>
        <w:pStyle w:val="Heading2"/>
      </w:pPr>
      <w:r>
        <w:t xml:space="preserve">II. Transaction Overview &amp; Key Commercial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Provision</w:t>
            </w:r>
          </w:p>
        </w:tc>
        <w:tc>
          <w:tcPr/>
          <w:p>
            <w:pPr>
              <w:pStyle w:val="Compact"/>
              <w:jc w:val="left"/>
            </w:pPr>
            <w:r>
              <w:t xml:space="preserve">Term as Drafted</w:t>
            </w:r>
          </w:p>
        </w:tc>
      </w:tr>
      <w:tr>
        <w:tc>
          <w:tcPr/>
          <w:p>
            <w:pPr>
              <w:pStyle w:val="Compact"/>
              <w:jc w:val="left"/>
            </w:pPr>
            <w:r>
              <w:rPr>
                <w:b/>
                <w:bCs/>
              </w:rPr>
              <w:t xml:space="preserve">Licensor</w:t>
            </w:r>
          </w:p>
        </w:tc>
        <w:tc>
          <w:tcPr/>
          <w:p>
            <w:pPr>
              <w:pStyle w:val="Compact"/>
              <w:jc w:val="left"/>
            </w:pPr>
            <w:r>
              <w:t xml:space="preserve">§ 1</w:t>
            </w:r>
          </w:p>
        </w:tc>
        <w:tc>
          <w:tcPr/>
          <w:p>
            <w:pPr>
              <w:pStyle w:val="Compact"/>
              <w:jc w:val="left"/>
            </w:pPr>
            <w:r>
              <w:t xml:space="preserve">Whitmore Analytics Inc. (Delaware; Seattle, WA)</w:t>
            </w:r>
          </w:p>
        </w:tc>
      </w:tr>
      <w:tr>
        <w:tc>
          <w:tcPr/>
          <w:p>
            <w:pPr>
              <w:pStyle w:val="Compact"/>
              <w:jc w:val="left"/>
            </w:pPr>
            <w:r>
              <w:rPr>
                <w:b/>
                <w:bCs/>
              </w:rPr>
              <w:t xml:space="preserve">Licensee</w:t>
            </w:r>
          </w:p>
        </w:tc>
        <w:tc>
          <w:tcPr/>
          <w:p>
            <w:pPr>
              <w:pStyle w:val="Compact"/>
              <w:jc w:val="left"/>
            </w:pPr>
            <w:r>
              <w:t xml:space="preserve">§ 1</w:t>
            </w:r>
          </w:p>
        </w:tc>
        <w:tc>
          <w:tcPr/>
          <w:p>
            <w:pPr>
              <w:pStyle w:val="Compact"/>
              <w:jc w:val="left"/>
            </w:pPr>
            <w:r>
              <w:t xml:space="preserve">Kessler-Brandt Industrial GmbH (German GmbH; Munich; HRB 247891)</w:t>
            </w:r>
          </w:p>
        </w:tc>
      </w:tr>
      <w:tr>
        <w:tc>
          <w:tcPr/>
          <w:p>
            <w:pPr>
              <w:pStyle w:val="Compact"/>
              <w:jc w:val="left"/>
            </w:pPr>
            <w:r>
              <w:rPr>
                <w:b/>
                <w:bCs/>
              </w:rPr>
              <w:t xml:space="preserve">Licensed Technology</w:t>
            </w:r>
          </w:p>
        </w:tc>
        <w:tc>
          <w:tcPr/>
          <w:p>
            <w:pPr>
              <w:pStyle w:val="Compact"/>
              <w:jc w:val="left"/>
            </w:pPr>
            <w:r>
              <w:t xml:space="preserve">§ 1; Ex. A</w:t>
            </w:r>
          </w:p>
        </w:tc>
        <w:tc>
          <w:tcPr/>
          <w:p>
            <w:pPr>
              <w:pStyle w:val="Compact"/>
              <w:jc w:val="left"/>
            </w:pPr>
            <w:r>
              <w:t xml:space="preserve">PredictIQ platform — cloud SaaS analytics engine, on-premises edge-computing modules, RESTful API layer, IoT integration layer; 14 issued U.S. utility patents, 3 pending PCT applications</w:t>
            </w:r>
          </w:p>
        </w:tc>
      </w:tr>
      <w:tr>
        <w:tc>
          <w:tcPr/>
          <w:p>
            <w:pPr>
              <w:pStyle w:val="Compact"/>
              <w:jc w:val="left"/>
            </w:pPr>
            <w:r>
              <w:rPr>
                <w:b/>
                <w:bCs/>
              </w:rPr>
              <w:t xml:space="preserve">Purpose</w:t>
            </w:r>
          </w:p>
        </w:tc>
        <w:tc>
          <w:tcPr/>
          <w:p>
            <w:pPr>
              <w:pStyle w:val="Compact"/>
              <w:jc w:val="left"/>
            </w:pPr>
            <w:r>
              <w:t xml:space="preserve">§ 1</w:t>
            </w:r>
          </w:p>
        </w:tc>
        <w:tc>
          <w:tcPr/>
          <w:p>
            <w:pPr>
              <w:pStyle w:val="Compact"/>
              <w:jc w:val="left"/>
            </w:pPr>
            <w:r>
              <w:t xml:space="preserve">KBI</w:t>
            </w:r>
            <w:r>
              <w:t xml:space="preserve"> </w:t>
            </w:r>
            <w:r>
              <w:t xml:space="preserve">“</w:t>
            </w:r>
            <w:r>
              <w:t xml:space="preserve">SmartFactory 2030</w:t>
            </w:r>
            <w:r>
              <w:t xml:space="preserve">”</w:t>
            </w:r>
            <w:r>
              <w:t xml:space="preserve">; target 40% reduction in unplanned downtime across European operations</w:t>
            </w:r>
          </w:p>
        </w:tc>
      </w:tr>
      <w:tr>
        <w:tc>
          <w:tcPr/>
          <w:p>
            <w:pPr>
              <w:pStyle w:val="Compact"/>
              <w:jc w:val="left"/>
            </w:pPr>
            <w:r>
              <w:rPr>
                <w:b/>
                <w:bCs/>
              </w:rPr>
              <w:t xml:space="preserve">License Grant</w:t>
            </w:r>
          </w:p>
        </w:tc>
        <w:tc>
          <w:tcPr/>
          <w:p>
            <w:pPr>
              <w:pStyle w:val="Compact"/>
              <w:jc w:val="left"/>
            </w:pPr>
            <w:r>
              <w:t xml:space="preserve">§ 2</w:t>
            </w:r>
          </w:p>
        </w:tc>
        <w:tc>
          <w:tcPr/>
          <w:p>
            <w:pPr>
              <w:pStyle w:val="Compact"/>
              <w:jc w:val="left"/>
            </w:pPr>
            <w:r>
              <w:t xml:space="preserve">Perpetual, non-exclusive, worldwide; covers SaaS + edge modules; authorized users include employees, contractors, agents</w:t>
            </w:r>
          </w:p>
        </w:tc>
      </w:tr>
      <w:tr>
        <w:tc>
          <w:tcPr/>
          <w:p>
            <w:pPr>
              <w:pStyle w:val="Compact"/>
              <w:jc w:val="left"/>
            </w:pPr>
            <w:r>
              <w:rPr>
                <w:b/>
                <w:bCs/>
              </w:rPr>
              <w:t xml:space="preserve">Deployment Scope</w:t>
            </w:r>
          </w:p>
        </w:tc>
        <w:tc>
          <w:tcPr/>
          <w:p>
            <w:pPr>
              <w:pStyle w:val="Compact"/>
              <w:jc w:val="left"/>
            </w:pPr>
            <w:r>
              <w:t xml:space="preserve">§ 1; § 2</w:t>
            </w:r>
          </w:p>
        </w:tc>
        <w:tc>
          <w:tcPr/>
          <w:p>
            <w:pPr>
              <w:pStyle w:val="Compact"/>
              <w:jc w:val="left"/>
            </w:pPr>
            <w:r>
              <w:t xml:space="preserve">Up to 43 facilities across 12 European countries; 5-year expansion right to newly acquired facilities at same terms</w:t>
            </w:r>
          </w:p>
        </w:tc>
      </w:tr>
      <w:tr>
        <w:tc>
          <w:tcPr/>
          <w:p>
            <w:pPr>
              <w:pStyle w:val="Compact"/>
              <w:jc w:val="left"/>
            </w:pPr>
            <w:r>
              <w:rPr>
                <w:b/>
                <w:bCs/>
              </w:rPr>
              <w:t xml:space="preserve">Initial License Fee</w:t>
            </w:r>
          </w:p>
        </w:tc>
        <w:tc>
          <w:tcPr/>
          <w:p>
            <w:pPr>
              <w:pStyle w:val="Compact"/>
              <w:jc w:val="left"/>
            </w:pPr>
            <w:r>
              <w:t xml:space="preserve">§ 5.1</w:t>
            </w:r>
          </w:p>
        </w:tc>
        <w:tc>
          <w:tcPr/>
          <w:p>
            <w:pPr>
              <w:pStyle w:val="Compact"/>
              <w:jc w:val="left"/>
            </w:pPr>
            <w:r>
              <w:t xml:space="preserve">$4,200,000 — 30% at signing ($1,260,000); 40% at Phase 1 completion ($1,680,000); 30% at Phase 2 go-live ($1,260,000)</w:t>
            </w:r>
          </w:p>
        </w:tc>
      </w:tr>
      <w:tr>
        <w:tc>
          <w:tcPr/>
          <w:p>
            <w:pPr>
              <w:pStyle w:val="Compact"/>
              <w:jc w:val="left"/>
            </w:pPr>
            <w:r>
              <w:rPr>
                <w:b/>
                <w:bCs/>
              </w:rPr>
              <w:t xml:space="preserve">Annual SaaS Subscription</w:t>
            </w:r>
          </w:p>
        </w:tc>
        <w:tc>
          <w:tcPr/>
          <w:p>
            <w:pPr>
              <w:pStyle w:val="Compact"/>
              <w:jc w:val="left"/>
            </w:pPr>
            <w:r>
              <w:t xml:space="preserve">§ 5.2</w:t>
            </w:r>
          </w:p>
        </w:tc>
        <w:tc>
          <w:tcPr/>
          <w:p>
            <w:pPr>
              <w:pStyle w:val="Compact"/>
              <w:jc w:val="left"/>
            </w:pPr>
            <w:r>
              <w:t xml:space="preserve">$2,850,000/yr (Years 1–3), quarterly in advance ($712,500/qtr); +3%/yr from Year 4 (Y4 $2,935,500; Y5 $3,023,565)</w:t>
            </w:r>
          </w:p>
        </w:tc>
      </w:tr>
      <w:tr>
        <w:tc>
          <w:tcPr/>
          <w:p>
            <w:pPr>
              <w:pStyle w:val="Compact"/>
              <w:jc w:val="left"/>
            </w:pPr>
            <w:r>
              <w:rPr>
                <w:b/>
                <w:bCs/>
              </w:rPr>
              <w:t xml:space="preserve">Implementation Services Fee</w:t>
            </w:r>
          </w:p>
        </w:tc>
        <w:tc>
          <w:tcPr/>
          <w:p>
            <w:pPr>
              <w:pStyle w:val="Compact"/>
              <w:jc w:val="left"/>
            </w:pPr>
            <w:r>
              <w:t xml:space="preserve">§ 5.3</w:t>
            </w:r>
          </w:p>
        </w:tc>
        <w:tc>
          <w:tcPr/>
          <w:p>
            <w:pPr>
              <w:pStyle w:val="Compact"/>
              <w:jc w:val="left"/>
            </w:pPr>
            <w:r>
              <w:t xml:space="preserve">$1,750,000, equal monthly installments over 18 months (~$97,222.22/mo)</w:t>
            </w:r>
          </w:p>
        </w:tc>
      </w:tr>
      <w:tr>
        <w:tc>
          <w:tcPr/>
          <w:p>
            <w:pPr>
              <w:pStyle w:val="Compact"/>
              <w:jc w:val="left"/>
            </w:pPr>
            <w:r>
              <w:rPr>
                <w:b/>
                <w:bCs/>
              </w:rPr>
              <w:t xml:space="preserve">Maintenance &amp; Support Fee</w:t>
            </w:r>
          </w:p>
        </w:tc>
        <w:tc>
          <w:tcPr/>
          <w:p>
            <w:pPr>
              <w:pStyle w:val="Compact"/>
              <w:jc w:val="left"/>
            </w:pPr>
            <w:r>
              <w:t xml:space="preserve">§ 5.4; § 7</w:t>
            </w:r>
          </w:p>
        </w:tc>
        <w:tc>
          <w:tcPr/>
          <w:p>
            <w:pPr>
              <w:pStyle w:val="Compact"/>
              <w:jc w:val="left"/>
            </w:pPr>
            <w:r>
              <w:t xml:space="preserve">18% of Initial License Fee = $756,000/yr (Y1); +4%/yr from Y2 (Y2 $786,240; Y3 $817,689.60); annually in advance</w:t>
            </w:r>
          </w:p>
        </w:tc>
      </w:tr>
      <w:tr>
        <w:tc>
          <w:tcPr/>
          <w:p>
            <w:pPr>
              <w:pStyle w:val="Compact"/>
              <w:jc w:val="left"/>
            </w:pPr>
            <w:r>
              <w:rPr>
                <w:b/>
                <w:bCs/>
              </w:rPr>
              <w:t xml:space="preserve">Total Year 1 Revenue</w:t>
            </w:r>
          </w:p>
        </w:tc>
        <w:tc>
          <w:tcPr/>
          <w:p>
            <w:pPr>
              <w:pStyle w:val="Compact"/>
              <w:jc w:val="left"/>
            </w:pPr>
            <w:r>
              <w:t xml:space="preserve">§ 5</w:t>
            </w:r>
          </w:p>
        </w:tc>
        <w:tc>
          <w:tcPr/>
          <w:p>
            <w:pPr>
              <w:pStyle w:val="Compact"/>
              <w:jc w:val="left"/>
            </w:pPr>
            <w:r>
              <w:rPr>
                <w:b/>
                <w:bCs/>
              </w:rPr>
              <w:t xml:space="preserve">~$9,556,000</w:t>
            </w:r>
          </w:p>
        </w:tc>
      </w:tr>
      <w:tr>
        <w:tc>
          <w:tcPr/>
          <w:p>
            <w:pPr>
              <w:pStyle w:val="Compact"/>
              <w:jc w:val="left"/>
            </w:pPr>
            <w:r>
              <w:rPr>
                <w:b/>
                <w:bCs/>
              </w:rPr>
              <w:t xml:space="preserve">Illustrative 5-Year Contract Value</w:t>
            </w:r>
          </w:p>
        </w:tc>
        <w:tc>
          <w:tcPr/>
          <w:p>
            <w:pPr>
              <w:pStyle w:val="Compact"/>
              <w:jc w:val="left"/>
            </w:pPr>
            <w:r>
              <w:t xml:space="preserve">§ 5</w:t>
            </w:r>
          </w:p>
        </w:tc>
        <w:tc>
          <w:tcPr/>
          <w:p>
            <w:pPr>
              <w:pStyle w:val="Compact"/>
              <w:jc w:val="left"/>
            </w:pPr>
            <w:r>
              <w:rPr>
                <w:b/>
                <w:bCs/>
              </w:rPr>
              <w:t xml:space="preserve">~$24.5M</w:t>
            </w:r>
            <w:r>
              <w:t xml:space="preserve"> </w:t>
            </w:r>
            <w:r>
              <w:t xml:space="preserve">(license $4.2M + implementation $1.75M + SaaS ~$14.5M + maintenance ~$4.1M); SaaS/maintenance continue in perpetuity thereafter</w:t>
            </w:r>
          </w:p>
        </w:tc>
      </w:tr>
      <w:tr>
        <w:tc>
          <w:tcPr/>
          <w:p>
            <w:pPr>
              <w:pStyle w:val="Compact"/>
              <w:jc w:val="left"/>
            </w:pPr>
            <w:r>
              <w:rPr>
                <w:b/>
                <w:bCs/>
              </w:rPr>
              <w:t xml:space="preserve">Currency / Payment</w:t>
            </w:r>
          </w:p>
        </w:tc>
        <w:tc>
          <w:tcPr/>
          <w:p>
            <w:pPr>
              <w:pStyle w:val="Compact"/>
              <w:jc w:val="left"/>
            </w:pPr>
            <w:r>
              <w:t xml:space="preserve">§ 5.5</w:t>
            </w:r>
          </w:p>
        </w:tc>
        <w:tc>
          <w:tcPr/>
          <w:p>
            <w:pPr>
              <w:pStyle w:val="Compact"/>
              <w:jc w:val="left"/>
            </w:pPr>
            <w:r>
              <w:t xml:space="preserve">USD; net 30 days; late interest 1.5%/mo (18% annualized) or legal max, whichever is less</w:t>
            </w:r>
          </w:p>
        </w:tc>
      </w:tr>
      <w:tr>
        <w:tc>
          <w:tcPr/>
          <w:p>
            <w:pPr>
              <w:pStyle w:val="Compact"/>
              <w:jc w:val="left"/>
            </w:pPr>
            <w:r>
              <w:rPr>
                <w:b/>
                <w:bCs/>
              </w:rPr>
              <w:t xml:space="preserve">Taxes</w:t>
            </w:r>
          </w:p>
        </w:tc>
        <w:tc>
          <w:tcPr/>
          <w:p>
            <w:pPr>
              <w:pStyle w:val="Compact"/>
              <w:jc w:val="left"/>
            </w:pPr>
            <w:r>
              <w:t xml:space="preserve">§ 5.6</w:t>
            </w:r>
          </w:p>
        </w:tc>
        <w:tc>
          <w:tcPr/>
          <w:p>
            <w:pPr>
              <w:pStyle w:val="Compact"/>
              <w:jc w:val="left"/>
            </w:pPr>
            <w:r>
              <w:t xml:space="preserve">KBI bears sales/use/VAT/similar taxes (excl. Whitmore income taxes)</w:t>
            </w:r>
          </w:p>
        </w:tc>
      </w:tr>
      <w:tr>
        <w:tc>
          <w:tcPr/>
          <w:p>
            <w:pPr>
              <w:pStyle w:val="Compact"/>
              <w:jc w:val="left"/>
            </w:pPr>
            <w:r>
              <w:rPr>
                <w:b/>
                <w:bCs/>
              </w:rPr>
              <w:t xml:space="preserve">Implementation Phases</w:t>
            </w:r>
          </w:p>
        </w:tc>
        <w:tc>
          <w:tcPr/>
          <w:p>
            <w:pPr>
              <w:pStyle w:val="Compact"/>
              <w:jc w:val="left"/>
            </w:pPr>
            <w:r>
              <w:t xml:space="preserve">§ 6.2</w:t>
            </w:r>
          </w:p>
        </w:tc>
        <w:tc>
          <w:tcPr/>
          <w:p>
            <w:pPr>
              <w:pStyle w:val="Compact"/>
              <w:jc w:val="left"/>
            </w:pPr>
            <w:r>
              <w:t xml:space="preserve">Phase 1 (Mos. 1–6): 10 pilot facilities, start Sept. 15, 2025, complete target Mar. 15, 2026; Phase 2 (Mos. 7–18): remaining 33 facilities, go-live target Mar. 15, 2027</w:t>
            </w:r>
          </w:p>
        </w:tc>
      </w:tr>
      <w:tr>
        <w:tc>
          <w:tcPr/>
          <w:p>
            <w:pPr>
              <w:pStyle w:val="Compact"/>
              <w:jc w:val="left"/>
            </w:pPr>
            <w:r>
              <w:rPr>
                <w:b/>
                <w:bCs/>
              </w:rPr>
              <w:t xml:space="preserve">Service Levels</w:t>
            </w:r>
          </w:p>
        </w:tc>
        <w:tc>
          <w:tcPr/>
          <w:p>
            <w:pPr>
              <w:pStyle w:val="Compact"/>
              <w:jc w:val="left"/>
            </w:pPr>
            <w:r>
              <w:t xml:space="preserve">§ 7.2</w:t>
            </w:r>
          </w:p>
        </w:tc>
        <w:tc>
          <w:tcPr/>
          <w:p>
            <w:pPr>
              <w:pStyle w:val="Compact"/>
              <w:jc w:val="left"/>
            </w:pPr>
            <w:r>
              <w:t xml:space="preserve">“</w:t>
            </w:r>
            <w:r>
              <w:t xml:space="preserve">Commercially reasonable efforts</w:t>
            </w:r>
            <w:r>
              <w:t xml:space="preserve">”</w:t>
            </w:r>
            <w:r>
              <w:t xml:space="preserve">: Critical 4h response / 24h resolution; High 8h / 72h; Med-Low 2 business days / as practicable</w:t>
            </w:r>
          </w:p>
        </w:tc>
      </w:tr>
      <w:tr>
        <w:tc>
          <w:tcPr/>
          <w:p>
            <w:pPr>
              <w:pStyle w:val="Compact"/>
              <w:jc w:val="left"/>
            </w:pPr>
            <w:r>
              <w:rPr>
                <w:b/>
                <w:bCs/>
              </w:rPr>
              <w:t xml:space="preserve">Performance Warranty</w:t>
            </w:r>
          </w:p>
        </w:tc>
        <w:tc>
          <w:tcPr/>
          <w:p>
            <w:pPr>
              <w:pStyle w:val="Compact"/>
              <w:jc w:val="left"/>
            </w:pPr>
            <w:r>
              <w:t xml:space="preserve">§ 8.2</w:t>
            </w:r>
          </w:p>
        </w:tc>
        <w:tc>
          <w:tcPr/>
          <w:p>
            <w:pPr>
              <w:pStyle w:val="Compact"/>
              <w:jc w:val="left"/>
            </w:pPr>
            <w:r>
              <w:t xml:space="preserve">≥92% prediction accuracy (rolling 90-day, all facilities);</w:t>
            </w:r>
            <w:r>
              <w:t xml:space="preserve"> </w:t>
            </w:r>
            <w:r>
              <w:t xml:space="preserve">“</w:t>
            </w:r>
            <w:r>
              <w:t xml:space="preserve">accuracy</w:t>
            </w:r>
            <w:r>
              <w:t xml:space="preserve">”</w:t>
            </w:r>
            <w:r>
              <w:t xml:space="preserve"> </w:t>
            </w:r>
            <w:r>
              <w:t xml:space="preserve">= % of failure events predicted ≥48h in advance vs. KBI maintenance logs</w:t>
            </w:r>
          </w:p>
        </w:tc>
      </w:tr>
      <w:tr>
        <w:tc>
          <w:tcPr/>
          <w:p>
            <w:pPr>
              <w:pStyle w:val="Compact"/>
              <w:jc w:val="left"/>
            </w:pPr>
            <w:r>
              <w:rPr>
                <w:b/>
                <w:bCs/>
              </w:rPr>
              <w:t xml:space="preserve">Performance Remedies</w:t>
            </w:r>
          </w:p>
        </w:tc>
        <w:tc>
          <w:tcPr/>
          <w:p>
            <w:pPr>
              <w:pStyle w:val="Compact"/>
              <w:jc w:val="left"/>
            </w:pPr>
            <w:r>
              <w:t xml:space="preserve">§ 8.3</w:t>
            </w:r>
          </w:p>
        </w:tc>
        <w:tc>
          <w:tcPr/>
          <w:p>
            <w:pPr>
              <w:pStyle w:val="Compact"/>
              <w:jc w:val="left"/>
            </w:pPr>
            <w:r>
              <w:t xml:space="preserve">Credit of 5% of quarterly SaaS fee ($35,625) per percentage point below 92%; termination for cause if &lt;85% for 2 consecutive quarters</w:t>
            </w:r>
          </w:p>
        </w:tc>
      </w:tr>
      <w:tr>
        <w:tc>
          <w:tcPr/>
          <w:p>
            <w:pPr>
              <w:pStyle w:val="Compact"/>
              <w:jc w:val="left"/>
            </w:pPr>
            <w:r>
              <w:rPr>
                <w:b/>
                <w:bCs/>
              </w:rPr>
              <w:t xml:space="preserve">Warranties</w:t>
            </w:r>
          </w:p>
        </w:tc>
        <w:tc>
          <w:tcPr/>
          <w:p>
            <w:pPr>
              <w:pStyle w:val="Compact"/>
              <w:jc w:val="left"/>
            </w:pPr>
            <w:r>
              <w:t xml:space="preserve">§ 8.1, 8.4, 8.5</w:t>
            </w:r>
          </w:p>
        </w:tc>
        <w:tc>
          <w:tcPr/>
          <w:p>
            <w:pPr>
              <w:pStyle w:val="Compact"/>
              <w:jc w:val="left"/>
            </w:pPr>
            <w:r>
              <w:t xml:space="preserve">24-mo conformance warranty (per facility); IP warranty (knowledge-qualified non-infringement); all other warranties disclaimed</w:t>
            </w:r>
          </w:p>
        </w:tc>
      </w:tr>
      <w:tr>
        <w:tc>
          <w:tcPr/>
          <w:p>
            <w:pPr>
              <w:pStyle w:val="Compact"/>
              <w:jc w:val="left"/>
            </w:pPr>
            <w:r>
              <w:rPr>
                <w:b/>
                <w:bCs/>
              </w:rPr>
              <w:t xml:space="preserve">IP Indemnification</w:t>
            </w:r>
          </w:p>
        </w:tc>
        <w:tc>
          <w:tcPr/>
          <w:p>
            <w:pPr>
              <w:pStyle w:val="Compact"/>
              <w:jc w:val="left"/>
            </w:pPr>
            <w:r>
              <w:t xml:space="preserve">§ 9.1</w:t>
            </w:r>
          </w:p>
        </w:tc>
        <w:tc>
          <w:tcPr/>
          <w:p>
            <w:pPr>
              <w:pStyle w:val="Compact"/>
              <w:jc w:val="left"/>
            </w:pPr>
            <w:r>
              <w:t xml:space="preserve">Whitmore indemnifies KBI for third-party IP infringement claims —</w:t>
            </w:r>
            <w:r>
              <w:t xml:space="preserve"> </w:t>
            </w:r>
            <w:r>
              <w:rPr>
                <w:b/>
                <w:bCs/>
              </w:rPr>
              <w:t xml:space="preserve">uncapped</w:t>
            </w:r>
            <w:r>
              <w:t xml:space="preserve"> </w:t>
            </w:r>
            <w:r>
              <w:t xml:space="preserve">(excluded from liability cap)</w:t>
            </w:r>
          </w:p>
        </w:tc>
      </w:tr>
      <w:tr>
        <w:tc>
          <w:tcPr/>
          <w:p>
            <w:pPr>
              <w:pStyle w:val="Compact"/>
              <w:jc w:val="left"/>
            </w:pPr>
            <w:r>
              <w:rPr>
                <w:b/>
                <w:bCs/>
              </w:rPr>
              <w:t xml:space="preserve">Liability Cap</w:t>
            </w:r>
          </w:p>
        </w:tc>
        <w:tc>
          <w:tcPr/>
          <w:p>
            <w:pPr>
              <w:pStyle w:val="Compact"/>
              <w:jc w:val="left"/>
            </w:pPr>
            <w:r>
              <w:t xml:space="preserve">§ 10.1</w:t>
            </w:r>
          </w:p>
        </w:tc>
        <w:tc>
          <w:tcPr/>
          <w:p>
            <w:pPr>
              <w:pStyle w:val="Compact"/>
              <w:jc w:val="left"/>
            </w:pPr>
            <w:r>
              <w:t xml:space="preserve">Greater of 2× trailing-12-month fees or $15,000,000</w:t>
            </w:r>
          </w:p>
        </w:tc>
      </w:tr>
      <w:tr>
        <w:tc>
          <w:tcPr/>
          <w:p>
            <w:pPr>
              <w:pStyle w:val="Compact"/>
              <w:jc w:val="left"/>
            </w:pPr>
            <w:r>
              <w:rPr>
                <w:b/>
                <w:bCs/>
              </w:rPr>
              <w:t xml:space="preserve">Consequential Damages</w:t>
            </w:r>
          </w:p>
        </w:tc>
        <w:tc>
          <w:tcPr/>
          <w:p>
            <w:pPr>
              <w:pStyle w:val="Compact"/>
              <w:jc w:val="left"/>
            </w:pPr>
            <w:r>
              <w:t xml:space="preserve">§ 10.2</w:t>
            </w:r>
          </w:p>
        </w:tc>
        <w:tc>
          <w:tcPr/>
          <w:p>
            <w:pPr>
              <w:pStyle w:val="Compact"/>
              <w:jc w:val="left"/>
            </w:pPr>
            <w:r>
              <w:t xml:space="preserve">Excluded (mutual), subject to exceptions in § 10.3</w:t>
            </w:r>
          </w:p>
        </w:tc>
      </w:tr>
      <w:tr>
        <w:tc>
          <w:tcPr/>
          <w:p>
            <w:pPr>
              <w:pStyle w:val="Compact"/>
              <w:jc w:val="left"/>
            </w:pPr>
            <w:r>
              <w:rPr>
                <w:b/>
                <w:bCs/>
              </w:rPr>
              <w:t xml:space="preserve">Source-Code Escrow</w:t>
            </w:r>
          </w:p>
        </w:tc>
        <w:tc>
          <w:tcPr/>
          <w:p>
            <w:pPr>
              <w:pStyle w:val="Compact"/>
              <w:jc w:val="left"/>
            </w:pPr>
            <w:r>
              <w:t xml:space="preserve">§ 11</w:t>
            </w:r>
          </w:p>
        </w:tc>
        <w:tc>
          <w:tcPr/>
          <w:p>
            <w:pPr>
              <w:pStyle w:val="Compact"/>
              <w:jc w:val="left"/>
            </w:pPr>
            <w:r>
              <w:t xml:space="preserve">Deposit with Meridian Escrow Services LLC (San Jose, CA) within 60 days; release on insolvency, uncured material breach (60 days), cessation of business, or 90-day maintenance failure; post-release perpetual royalty-free license to KBI</w:t>
            </w:r>
          </w:p>
        </w:tc>
      </w:tr>
      <w:tr>
        <w:tc>
          <w:tcPr/>
          <w:p>
            <w:pPr>
              <w:pStyle w:val="Compact"/>
              <w:jc w:val="left"/>
            </w:pPr>
            <w:r>
              <w:rPr>
                <w:b/>
                <w:bCs/>
              </w:rPr>
              <w:t xml:space="preserve">Exclusivity / Non-Compete</w:t>
            </w:r>
          </w:p>
        </w:tc>
        <w:tc>
          <w:tcPr/>
          <w:p>
            <w:pPr>
              <w:pStyle w:val="Compact"/>
              <w:jc w:val="left"/>
            </w:pPr>
            <w:r>
              <w:t xml:space="preserve">§ 12</w:t>
            </w:r>
          </w:p>
        </w:tc>
        <w:tc>
          <w:tcPr/>
          <w:p>
            <w:pPr>
              <w:pStyle w:val="Compact"/>
              <w:jc w:val="left"/>
            </w:pPr>
            <w:r>
              <w:t xml:space="preserve">3-year exclusivity; Direct Competitor = 12 named entities (Ex. B) + any entity &gt;30% revenue from auto/heavy-machinery manufacturing in EEA/UK/Switzerland; survives termination; injunctive relief without bond</w:t>
            </w:r>
          </w:p>
        </w:tc>
      </w:tr>
      <w:tr>
        <w:tc>
          <w:tcPr/>
          <w:p>
            <w:pPr>
              <w:pStyle w:val="Compact"/>
              <w:jc w:val="left"/>
            </w:pPr>
            <w:r>
              <w:rPr>
                <w:b/>
                <w:bCs/>
              </w:rPr>
              <w:t xml:space="preserve">Term</w:t>
            </w:r>
          </w:p>
        </w:tc>
        <w:tc>
          <w:tcPr/>
          <w:p>
            <w:pPr>
              <w:pStyle w:val="Compact"/>
              <w:jc w:val="left"/>
            </w:pPr>
            <w:r>
              <w:t xml:space="preserve">§ 13.1</w:t>
            </w:r>
          </w:p>
        </w:tc>
        <w:tc>
          <w:tcPr/>
          <w:p>
            <w:pPr>
              <w:pStyle w:val="Compact"/>
              <w:jc w:val="left"/>
            </w:pPr>
            <w:r>
              <w:t xml:space="preserve">Perpetual</w:t>
            </w:r>
          </w:p>
        </w:tc>
      </w:tr>
      <w:tr>
        <w:tc>
          <w:tcPr/>
          <w:p>
            <w:pPr>
              <w:pStyle w:val="Compact"/>
              <w:jc w:val="left"/>
            </w:pPr>
            <w:r>
              <w:rPr>
                <w:b/>
                <w:bCs/>
              </w:rPr>
              <w:t xml:space="preserve">Termination</w:t>
            </w:r>
          </w:p>
        </w:tc>
        <w:tc>
          <w:tcPr/>
          <w:p>
            <w:pPr>
              <w:pStyle w:val="Compact"/>
              <w:jc w:val="left"/>
            </w:pPr>
            <w:r>
              <w:t xml:space="preserve">§ 13.2–13.4</w:t>
            </w:r>
          </w:p>
        </w:tc>
        <w:tc>
          <w:tcPr/>
          <w:p>
            <w:pPr>
              <w:pStyle w:val="Compact"/>
              <w:jc w:val="left"/>
            </w:pPr>
            <w:r>
              <w:t xml:space="preserve">Cause (90-day notice / 60-day cure); KBI convenience (12-mo notice, not before 3rd anniversary); performance failure (&lt;85% for 2 quarters, 30-day notice)</w:t>
            </w:r>
          </w:p>
        </w:tc>
      </w:tr>
      <w:tr>
        <w:tc>
          <w:tcPr/>
          <w:p>
            <w:pPr>
              <w:pStyle w:val="Compact"/>
              <w:jc w:val="left"/>
            </w:pPr>
            <w:r>
              <w:rPr>
                <w:b/>
                <w:bCs/>
              </w:rPr>
              <w:t xml:space="preserve">Wind-Down License</w:t>
            </w:r>
          </w:p>
        </w:tc>
        <w:tc>
          <w:tcPr/>
          <w:p>
            <w:pPr>
              <w:pStyle w:val="Compact"/>
              <w:jc w:val="left"/>
            </w:pPr>
            <w:r>
              <w:t xml:space="preserve">§ 13.5</w:t>
            </w:r>
          </w:p>
        </w:tc>
        <w:tc>
          <w:tcPr/>
          <w:p>
            <w:pPr>
              <w:pStyle w:val="Compact"/>
              <w:jc w:val="left"/>
            </w:pPr>
            <w:r>
              <w:t xml:space="preserve">On termination for</w:t>
            </w:r>
            <w:r>
              <w:t xml:space="preserve"> </w:t>
            </w:r>
            <w:r>
              <w:rPr>
                <w:b/>
                <w:bCs/>
              </w:rPr>
              <w:t xml:space="preserve">any</w:t>
            </w:r>
            <w:r>
              <w:t xml:space="preserve"> </w:t>
            </w:r>
            <w:r>
              <w:t xml:space="preserve">reason, KBI retains perpetual, irrevocable license to deployed version, subject to continued maintenance-fee payment</w:t>
            </w:r>
          </w:p>
        </w:tc>
      </w:tr>
      <w:tr>
        <w:tc>
          <w:tcPr/>
          <w:p>
            <w:pPr>
              <w:pStyle w:val="Compact"/>
              <w:jc w:val="left"/>
            </w:pPr>
            <w:r>
              <w:rPr>
                <w:b/>
                <w:bCs/>
              </w:rPr>
              <w:t xml:space="preserve">Governing Law</w:t>
            </w:r>
          </w:p>
        </w:tc>
        <w:tc>
          <w:tcPr/>
          <w:p>
            <w:pPr>
              <w:pStyle w:val="Compact"/>
              <w:jc w:val="left"/>
            </w:pPr>
            <w:r>
              <w:t xml:space="preserve">§ 14.1</w:t>
            </w:r>
          </w:p>
        </w:tc>
        <w:tc>
          <w:tcPr/>
          <w:p>
            <w:pPr>
              <w:pStyle w:val="Compact"/>
              <w:jc w:val="left"/>
            </w:pPr>
            <w:r>
              <w:t xml:space="preserve">Germany (no conflicts-of-law)</w:t>
            </w:r>
          </w:p>
        </w:tc>
      </w:tr>
      <w:tr>
        <w:tc>
          <w:tcPr/>
          <w:p>
            <w:pPr>
              <w:pStyle w:val="Compact"/>
              <w:jc w:val="left"/>
            </w:pPr>
            <w:r>
              <w:rPr>
                <w:b/>
                <w:bCs/>
              </w:rPr>
              <w:t xml:space="preserve">Dispute Resolution</w:t>
            </w:r>
          </w:p>
        </w:tc>
        <w:tc>
          <w:tcPr/>
          <w:p>
            <w:pPr>
              <w:pStyle w:val="Compact"/>
              <w:jc w:val="left"/>
            </w:pPr>
            <w:r>
              <w:t xml:space="preserve">§ 14.2</w:t>
            </w:r>
          </w:p>
        </w:tc>
        <w:tc>
          <w:tcPr/>
          <w:p>
            <w:pPr>
              <w:pStyle w:val="Compact"/>
              <w:jc w:val="left"/>
            </w:pPr>
            <w:r>
              <w:t xml:space="preserve">ICC arbitration, 3 arbitrators, seat Zurich, English; each party bears own costs</w:t>
            </w:r>
          </w:p>
        </w:tc>
      </w:tr>
      <w:tr>
        <w:tc>
          <w:tcPr/>
          <w:p>
            <w:pPr>
              <w:pStyle w:val="Compact"/>
              <w:jc w:val="left"/>
            </w:pPr>
            <w:r>
              <w:rPr>
                <w:b/>
                <w:bCs/>
              </w:rPr>
              <w:t xml:space="preserve">Confidentiality</w:t>
            </w:r>
          </w:p>
        </w:tc>
        <w:tc>
          <w:tcPr/>
          <w:p>
            <w:pPr>
              <w:pStyle w:val="Compact"/>
              <w:jc w:val="left"/>
            </w:pPr>
            <w:r>
              <w:t xml:space="preserve">§ 15</w:t>
            </w:r>
          </w:p>
        </w:tc>
        <w:tc>
          <w:tcPr/>
          <w:p>
            <w:pPr>
              <w:pStyle w:val="Compact"/>
              <w:jc w:val="left"/>
            </w:pPr>
            <w:r>
              <w:t xml:space="preserve">Mutual; survives 5 years; standard exceptions</w:t>
            </w:r>
          </w:p>
        </w:tc>
      </w:tr>
      <w:tr>
        <w:tc>
          <w:tcPr/>
          <w:p>
            <w:pPr>
              <w:pStyle w:val="Compact"/>
              <w:jc w:val="left"/>
            </w:pPr>
            <w:r>
              <w:rPr>
                <w:b/>
                <w:bCs/>
              </w:rPr>
              <w:t xml:space="preserve">MFC Pricing</w:t>
            </w:r>
          </w:p>
        </w:tc>
        <w:tc>
          <w:tcPr/>
          <w:p>
            <w:pPr>
              <w:pStyle w:val="Compact"/>
              <w:jc w:val="left"/>
            </w:pPr>
            <w:r>
              <w:t xml:space="preserve">Side Letter § 2</w:t>
            </w:r>
          </w:p>
        </w:tc>
        <w:tc>
          <w:tcPr/>
          <w:p>
            <w:pPr>
              <w:pStyle w:val="Compact"/>
              <w:jc w:val="left"/>
            </w:pPr>
            <w:r>
              <w:t xml:space="preserve">Best-price guarantee (effective per-facility price); no sunset; no carve-outs; retroactive adjustment + credit; annual audit right</w:t>
            </w:r>
          </w:p>
        </w:tc>
      </w:tr>
      <w:tr>
        <w:tc>
          <w:tcPr/>
          <w:p>
            <w:pPr>
              <w:pStyle w:val="Compact"/>
              <w:jc w:val="left"/>
            </w:pPr>
            <w:r>
              <w:rPr>
                <w:b/>
                <w:bCs/>
              </w:rPr>
              <w:t xml:space="preserve">No-Shop</w:t>
            </w:r>
          </w:p>
        </w:tc>
        <w:tc>
          <w:tcPr/>
          <w:p>
            <w:pPr>
              <w:pStyle w:val="Compact"/>
              <w:jc w:val="left"/>
            </w:pPr>
            <w:r>
              <w:t xml:space="preserve">§ 16.2</w:t>
            </w:r>
          </w:p>
        </w:tc>
        <w:tc>
          <w:tcPr/>
          <w:p>
            <w:pPr>
              <w:pStyle w:val="Compact"/>
              <w:jc w:val="left"/>
            </w:pPr>
            <w:r>
              <w:t xml:space="preserve">60-day exclusive negotiation (through July 28, 2025) —</w:t>
            </w:r>
            <w:r>
              <w:t xml:space="preserve"> </w:t>
            </w:r>
            <w:r>
              <w:rPr>
                <w:b/>
                <w:bCs/>
              </w:rPr>
              <w:t xml:space="preserve">binding</w:t>
            </w:r>
          </w:p>
        </w:tc>
      </w:tr>
      <w:tr>
        <w:tc>
          <w:tcPr/>
          <w:p>
            <w:pPr>
              <w:pStyle w:val="Compact"/>
              <w:jc w:val="left"/>
            </w:pPr>
            <w:r>
              <w:rPr>
                <w:b/>
                <w:bCs/>
              </w:rPr>
              <w:t xml:space="preserve">Assignment</w:t>
            </w:r>
          </w:p>
        </w:tc>
        <w:tc>
          <w:tcPr/>
          <w:p>
            <w:pPr>
              <w:pStyle w:val="Compact"/>
              <w:jc w:val="left"/>
            </w:pPr>
            <w:r>
              <w:t xml:space="preserve">§ 16.6</w:t>
            </w:r>
          </w:p>
        </w:tc>
        <w:tc>
          <w:tcPr/>
          <w:p>
            <w:pPr>
              <w:pStyle w:val="Compact"/>
              <w:jc w:val="left"/>
            </w:pPr>
            <w:r>
              <w:t xml:space="preserve">No assignment without consent;</w:t>
            </w:r>
            <w:r>
              <w:t xml:space="preserve"> </w:t>
            </w:r>
            <w:r>
              <w:rPr>
                <w:b/>
                <w:bCs/>
              </w:rPr>
              <w:t xml:space="preserve">except KBI</w:t>
            </w:r>
            <w:r>
              <w:t xml:space="preserve"> </w:t>
            </w:r>
            <w:r>
              <w:t xml:space="preserve">may assign to affiliates or in connection with M&amp;A</w:t>
            </w:r>
          </w:p>
        </w:tc>
      </w:tr>
      <w:tr>
        <w:tc>
          <w:tcPr/>
          <w:p>
            <w:pPr>
              <w:pStyle w:val="Compact"/>
              <w:jc w:val="left"/>
            </w:pPr>
            <w:r>
              <w:rPr>
                <w:b/>
                <w:bCs/>
              </w:rPr>
              <w:t xml:space="preserve">Binding Effect of Term Sheet</w:t>
            </w:r>
          </w:p>
        </w:tc>
        <w:tc>
          <w:tcPr/>
          <w:p>
            <w:pPr>
              <w:pStyle w:val="Compact"/>
              <w:jc w:val="left"/>
            </w:pPr>
            <w:r>
              <w:t xml:space="preserve">§ 16.1</w:t>
            </w:r>
          </w:p>
        </w:tc>
        <w:tc>
          <w:tcPr/>
          <w:p>
            <w:pPr>
              <w:pStyle w:val="Compact"/>
              <w:jc w:val="left"/>
            </w:pPr>
            <w:r>
              <w:t xml:space="preserve">Non-binding except §§ 15 (Confidentiality) and 16 (Miscellaneous), which are binding</w:t>
            </w:r>
          </w:p>
        </w:tc>
      </w:tr>
      <w:tr>
        <w:tc>
          <w:tcPr/>
          <w:p>
            <w:pPr>
              <w:pStyle w:val="Compact"/>
              <w:jc w:val="left"/>
            </w:pPr>
            <w:r>
              <w:rPr>
                <w:b/>
                <w:bCs/>
              </w:rPr>
              <w:t xml:space="preserve">Response Deadline</w:t>
            </w:r>
          </w:p>
        </w:tc>
        <w:tc>
          <w:tcPr/>
          <w:p>
            <w:pPr>
              <w:pStyle w:val="Compact"/>
              <w:jc w:val="left"/>
            </w:pPr>
            <w:r>
              <w:t xml:space="preserve">§ 16.7; Side Letter § 4</w:t>
            </w:r>
          </w:p>
        </w:tc>
        <w:tc>
          <w:tcPr/>
          <w:p>
            <w:pPr>
              <w:pStyle w:val="Compact"/>
              <w:jc w:val="left"/>
            </w:pPr>
            <w:r>
              <w:t xml:space="preserve">June 23, 2025</w:t>
            </w:r>
          </w:p>
        </w:tc>
      </w:tr>
      <w:tr>
        <w:tc>
          <w:tcPr/>
          <w:p>
            <w:pPr>
              <w:pStyle w:val="Compact"/>
              <w:jc w:val="left"/>
            </w:pPr>
            <w:r>
              <w:rPr>
                <w:b/>
                <w:bCs/>
              </w:rPr>
              <w:t xml:space="preserve">Targeted Execution</w:t>
            </w:r>
          </w:p>
        </w:tc>
        <w:tc>
          <w:tcPr/>
          <w:p>
            <w:pPr>
              <w:pStyle w:val="Compact"/>
              <w:jc w:val="left"/>
            </w:pPr>
            <w:r>
              <w:t xml:space="preserve">§ 1</w:t>
            </w:r>
          </w:p>
        </w:tc>
        <w:tc>
          <w:tcPr/>
          <w:p>
            <w:pPr>
              <w:pStyle w:val="Compact"/>
              <w:jc w:val="left"/>
            </w:pPr>
            <w:r>
              <w:t xml:space="preserve">August 15, 2025</w:t>
            </w:r>
          </w:p>
        </w:tc>
      </w:tr>
    </w:tbl>
    <w:p>
      <w:r>
        <w:pict>
          <v:rect style="width:0;height:1.5pt" o:hralign="center" o:hrstd="t" o:hr="t"/>
        </w:pict>
      </w:r>
    </w:p>
    <w:bookmarkEnd w:id="21"/>
    <w:bookmarkStart w:id="53" w:name="iii.-risk-flags"/>
    <w:p>
      <w:pPr>
        <w:pStyle w:val="Heading2"/>
      </w:pPr>
      <w:r>
        <w:t xml:space="preserve">III. Risk Flags</w:t>
      </w:r>
    </w:p>
    <w:p>
      <w:pPr>
        <w:pStyle w:val="FirstParagraph"/>
      </w:pPr>
      <w:r>
        <w:t xml:space="preserve">We have classified each risk flag by severity.</w:t>
      </w:r>
      <w:r>
        <w:t xml:space="preserve"> </w:t>
      </w:r>
      <w:r>
        <w:rPr>
          <w:b/>
          <w:bCs/>
        </w:rPr>
        <w:t xml:space="preserve">Critical (Red)</w:t>
      </w:r>
      <w:r>
        <w:t xml:space="preserve"> </w:t>
      </w:r>
      <w:r>
        <w:t xml:space="preserve">flags are, in our judgment, red lines that should be resolved before execution.</w:t>
      </w:r>
      <w:r>
        <w:t xml:space="preserve"> </w:t>
      </w:r>
      <w:r>
        <w:rPr>
          <w:b/>
          <w:bCs/>
        </w:rPr>
        <w:t xml:space="preserve">High (Orange)</w:t>
      </w:r>
      <w:r>
        <w:t xml:space="preserve"> </w:t>
      </w:r>
      <w:r>
        <w:t xml:space="preserve">flags require material renegotiation.</w:t>
      </w:r>
      <w:r>
        <w:t xml:space="preserve"> </w:t>
      </w:r>
      <w:r>
        <w:rPr>
          <w:b/>
          <w:bCs/>
        </w:rPr>
        <w:t xml:space="preserve">Medium (Yellow)</w:t>
      </w:r>
      <w:r>
        <w:t xml:space="preserve"> </w:t>
      </w:r>
      <w:r>
        <w:t xml:space="preserve">flags warrant attention and targeted negotiation.</w:t>
      </w:r>
      <w:r>
        <w:t xml:space="preserve"> </w:t>
      </w:r>
      <w:r>
        <w:rPr>
          <w:b/>
          <w:bCs/>
        </w:rPr>
        <w:t xml:space="preserve">Lower-priority / Favorable (Green)</w:t>
      </w:r>
      <w:r>
        <w:t xml:space="preserve"> </w:t>
      </w:r>
      <w:r>
        <w:t xml:space="preserve">items are noted for completeness and balance.</w:t>
      </w:r>
    </w:p>
    <w:bookmarkStart w:id="26" w:name="a.-critical-risks-red-red-lines"/>
    <w:p>
      <w:pPr>
        <w:pStyle w:val="Heading3"/>
      </w:pPr>
      <w:r>
        <w:t xml:space="preserve">A. Critical Risks (Red) — Red Lines</w:t>
      </w:r>
    </w:p>
    <w:bookmarkStart w:id="22" w:name="Xfc8dbb9cca4eae4dfcf2f5d7425a239bbcf9581"/>
    <w:p>
      <w:pPr>
        <w:pStyle w:val="Heading4"/>
      </w:pPr>
      <w:r>
        <w:t xml:space="preserve">CR-1. Data-Rights Cluster Threatens PredictIQ’s Core IP and Model-Improvement Pipeline</w:t>
      </w:r>
    </w:p>
    <w:p>
      <w:pPr>
        <w:pStyle w:val="FirstParagraph"/>
      </w:pPr>
      <w:r>
        <w:rPr>
          <w:b/>
          <w:bCs/>
        </w:rPr>
        <w:t xml:space="preserve">Citations:</w:t>
      </w:r>
      <w:r>
        <w:t xml:space="preserve"> </w:t>
      </w:r>
      <w:r>
        <w:t xml:space="preserve">Term Sheet §§ 3.5, 4.2, 4.3, 4.4.</w:t>
      </w:r>
    </w:p>
    <w:p>
      <w:pPr>
        <w:pStyle w:val="BodyText"/>
      </w:pPr>
      <w:r>
        <w:rPr>
          <w:b/>
          <w:bCs/>
        </w:rPr>
        <w:t xml:space="preserve">What the documents say.</w:t>
      </w:r>
      <w:r>
        <w:t xml:space="preserve"> </w:t>
      </w:r>
      <w:r>
        <w:t xml:space="preserve">Three interlocking provisions operate together:</w:t>
      </w:r>
      <w:r>
        <w:t xml:space="preserve"> </w:t>
      </w:r>
      <w:r>
        <w:t xml:space="preserve">-</w:t>
      </w:r>
      <w:r>
        <w:t xml:space="preserve"> </w:t>
      </w:r>
      <w:r>
        <w:rPr>
          <w:b/>
          <w:bCs/>
        </w:rPr>
        <w:t xml:space="preserve">§ 4.2 (Output Data ownership):</w:t>
      </w:r>
      <w:r>
        <w:t xml:space="preserve"> </w:t>
      </w:r>
      <w:r>
        <w:t xml:space="preserve">“</w:t>
      </w:r>
      <w:r>
        <w:t xml:space="preserve">Output Data</w:t>
      </w:r>
      <w:r>
        <w:t xml:space="preserve">”</w:t>
      </w:r>
      <w:r>
        <w:t xml:space="preserve"> </w:t>
      </w:r>
      <w:r>
        <w:t xml:space="preserve">is defined to include</w:t>
      </w:r>
      <w:r>
        <w:t xml:space="preserve"> </w:t>
      </w:r>
      <w:r>
        <w:t xml:space="preserve">“</w:t>
      </w:r>
      <w:r>
        <w:t xml:space="preserve">model weights, parameters, training artifacts, feature importance rankings, and model configuration data derived from KBI Data,</w:t>
      </w:r>
      <w:r>
        <w:t xml:space="preserve">”</w:t>
      </w:r>
      <w:r>
        <w:t xml:space="preserve"> </w:t>
      </w:r>
      <w:r>
        <w:t xml:space="preserve">and</w:t>
      </w:r>
      <w:r>
        <w:t xml:space="preserve"> </w:t>
      </w:r>
      <w:r>
        <w:t xml:space="preserve">“</w:t>
      </w:r>
      <w:r>
        <w:t xml:space="preserve">All Output Data shall be the sole and exclusive property of KBI.</w:t>
      </w:r>
      <w:r>
        <w:t xml:space="preserve">”</w:t>
      </w:r>
      <w:r>
        <w:t xml:space="preserve"> </w:t>
      </w:r>
      <w:r>
        <w:t xml:space="preserve">-</w:t>
      </w:r>
      <w:r>
        <w:t xml:space="preserve"> </w:t>
      </w:r>
      <w:r>
        <w:rPr>
          <w:b/>
          <w:bCs/>
        </w:rPr>
        <w:t xml:space="preserve">§ 4.3 (training restriction):</w:t>
      </w:r>
      <w:r>
        <w:t xml:space="preserve"> </w:t>
      </w:r>
      <w:r>
        <w:t xml:space="preserve">Whitmore</w:t>
      </w:r>
      <w:r>
        <w:t xml:space="preserve"> </w:t>
      </w:r>
      <w:r>
        <w:t xml:space="preserve">“</w:t>
      </w:r>
      <w:r>
        <w:t xml:space="preserve">shall not use KBI Data, or any data derived therefrom, for any purpose other than performing its obligations,</w:t>
      </w:r>
      <w:r>
        <w:t xml:space="preserve">”</w:t>
      </w:r>
      <w:r>
        <w:t xml:space="preserve"> </w:t>
      </w:r>
      <w:r>
        <w:t xml:space="preserve">expressly including training/tuning/improving PredictIQ’s general-purpose models, and —</w:t>
      </w:r>
      <w:r>
        <w:t xml:space="preserve"> </w:t>
      </w:r>
      <w:r>
        <w:t xml:space="preserve">“</w:t>
      </w:r>
      <w:r>
        <w:t xml:space="preserve">for the avoidance of doubt</w:t>
      </w:r>
      <w:r>
        <w:t xml:space="preserve">”</w:t>
      </w:r>
      <w:r>
        <w:t xml:space="preserve"> </w:t>
      </w:r>
      <w:r>
        <w:t xml:space="preserve">— shall not use KBI Data</w:t>
      </w:r>
      <w:r>
        <w:t xml:space="preserve"> </w:t>
      </w:r>
      <w:r>
        <w:t xml:space="preserve">“</w:t>
      </w:r>
      <w:r>
        <w:t xml:space="preserve">in anonymized or aggregated form to train or improve PredictIQ’s general models without KBI’s prior written consent, which may be withheld in KBI’s sole discretion.</w:t>
      </w:r>
      <w:r>
        <w:t xml:space="preserve">”</w:t>
      </w:r>
      <w:r>
        <w:t xml:space="preserve"> </w:t>
      </w:r>
      <w:r>
        <w:t xml:space="preserve">-</w:t>
      </w:r>
      <w:r>
        <w:t xml:space="preserve"> </w:t>
      </w:r>
      <w:r>
        <w:rPr>
          <w:b/>
          <w:bCs/>
        </w:rPr>
        <w:t xml:space="preserve">§ 3.5 (KBI-Inspired Improvements):</w:t>
      </w:r>
      <w:r>
        <w:t xml:space="preserve"> </w:t>
      </w:r>
      <w:r>
        <w:t xml:space="preserve">Any improvements Whitmore develops</w:t>
      </w:r>
      <w:r>
        <w:t xml:space="preserve"> </w:t>
      </w:r>
      <w:r>
        <w:t xml:space="preserve">“</w:t>
      </w:r>
      <w:r>
        <w:t xml:space="preserve">derived from or inspired by KBI’s operational data, manufacturing processes, or use of the PredictIQ platform</w:t>
      </w:r>
      <w:r>
        <w:t xml:space="preserve">”</w:t>
      </w:r>
      <w:r>
        <w:t xml:space="preserve"> </w:t>
      </w:r>
      <w:r>
        <w:t xml:space="preserve">are licensed back to KBI on a perpetual, irrevocable, royalty-free basis.</w:t>
      </w:r>
      <w:r>
        <w:t xml:space="preserve"> </w:t>
      </w:r>
      <w:r>
        <w:t xml:space="preserve">-</w:t>
      </w:r>
      <w:r>
        <w:t xml:space="preserve"> </w:t>
      </w:r>
      <w:r>
        <w:rPr>
          <w:b/>
          <w:bCs/>
        </w:rPr>
        <w:t xml:space="preserve">§ 4.4 (return/deletion):</w:t>
      </w:r>
      <w:r>
        <w:t xml:space="preserve"> </w:t>
      </w:r>
      <w:r>
        <w:t xml:space="preserve">On termination, Whitmore must return or securely delete all KBI Data</w:t>
      </w:r>
      <w:r>
        <w:t xml:space="preserve"> </w:t>
      </w:r>
      <w:r>
        <w:rPr>
          <w:i/>
          <w:iCs/>
        </w:rPr>
        <w:t xml:space="preserve">and Output Data</w:t>
      </w:r>
      <w:r>
        <w:t xml:space="preserve">.</w:t>
      </w:r>
    </w:p>
    <w:p>
      <w:pPr>
        <w:pStyle w:val="BodyText"/>
      </w:pPr>
      <w:r>
        <w:rPr>
          <w:b/>
          <w:bCs/>
        </w:rPr>
        <w:t xml:space="preserve">Why it matters.</w:t>
      </w:r>
      <w:r>
        <w:t xml:space="preserve"> </w:t>
      </w:r>
      <w:r>
        <w:t xml:space="preserve">PredictIQ’s competitive advantage rests on continuous model improvement through exposure to diverse, real-world operational data. KBI’s deployment — 43 facilities across 12 countries and diverse manufacturing environments — would be Whitmore’s largest and most operationally varied data source, and, per management,</w:t>
      </w:r>
      <w:r>
        <w:t xml:space="preserve"> </w:t>
      </w:r>
      <w:r>
        <w:t xml:space="preserve">“</w:t>
      </w:r>
      <w:r>
        <w:t xml:space="preserve">uniquely valuable</w:t>
      </w:r>
      <w:r>
        <w:t xml:space="preserve">”</w:t>
      </w:r>
      <w:r>
        <w:t xml:space="preserve"> </w:t>
      </w:r>
      <w:r>
        <w:t xml:space="preserve">with</w:t>
      </w:r>
      <w:r>
        <w:t xml:space="preserve"> </w:t>
      </w:r>
      <w:r>
        <w:t xml:space="preserve">“</w:t>
      </w:r>
      <w:r>
        <w:t xml:space="preserve">nothing else like it</w:t>
      </w:r>
      <w:r>
        <w:t xml:space="preserve">”</w:t>
      </w:r>
      <w:r>
        <w:t xml:space="preserve"> </w:t>
      </w:r>
      <w:r>
        <w:t xml:space="preserve">in the current customer base. The three provisions, read together, would (i) transfer ownership of model state (weights, parameters, artifacts) shaped by KBI Data to KBI; (ii) block Whitmore from using even anonymized, aggregated KBI Data to improve its general models absent KBI’s consent (which KBI may withhold in its sole discretion); and (iii) require Whitmore to license back to KBI, royalty-free, any improvement</w:t>
      </w:r>
      <w:r>
        <w:t xml:space="preserve"> </w:t>
      </w:r>
      <w:r>
        <w:t xml:space="preserve">“</w:t>
      </w:r>
      <w:r>
        <w:t xml:space="preserve">inspired by</w:t>
      </w:r>
      <w:r>
        <w:t xml:space="preserve">”</w:t>
      </w:r>
      <w:r>
        <w:t xml:space="preserve"> </w:t>
      </w:r>
      <w:r>
        <w:t xml:space="preserve">KBI’s data or use — a standard so broad it could capture general product improvements. The § 4.4 return/deletion obligation, applied to</w:t>
      </w:r>
      <w:r>
        <w:t xml:space="preserve"> </w:t>
      </w:r>
      <w:r>
        <w:t xml:space="preserve">“</w:t>
      </w:r>
      <w:r>
        <w:t xml:space="preserve">Output Data</w:t>
      </w:r>
      <w:r>
        <w:t xml:space="preserve">”</w:t>
      </w:r>
      <w:r>
        <w:t xml:space="preserve"> </w:t>
      </w:r>
      <w:r>
        <w:t xml:space="preserve">that includes model weights, is also technically infeasible: rolling back model improvements shaped by KBI Data would damage the product for all customers. This is an outlier position; industry-standard SaaS/ML terms treat anonymized, aggregated data use as a standard license right. Management (CEO and VP of Engineering) has confirmed data diversity is the single most important factor in model improvement.</w:t>
      </w:r>
    </w:p>
    <w:p>
      <w:pPr>
        <w:pStyle w:val="BodyText"/>
      </w:pPr>
      <w:r>
        <w:rPr>
          <w:b/>
          <w:bCs/>
        </w:rPr>
        <w:t xml:space="preserve">Recommendation (red line).</w:t>
      </w:r>
      <w:r>
        <w:t xml:space="preserve"> </w:t>
      </w:r>
      <w:r>
        <w:t xml:space="preserve">Whitmore should not execute a Definitive Agreement that does not resolve this cluster as follows:</w:t>
      </w:r>
      <w:r>
        <w:t xml:space="preserve"> </w:t>
      </w:r>
      <w:r>
        <w:t xml:space="preserve">-</w:t>
      </w:r>
      <w:r>
        <w:t xml:space="preserve"> </w:t>
      </w:r>
      <w:r>
        <w:rPr>
          <w:b/>
          <w:bCs/>
        </w:rPr>
        <w:t xml:space="preserve">Strike or fundamentally restructure § 4.2</w:t>
      </w:r>
      <w:r>
        <w:t xml:space="preserve"> </w:t>
      </w:r>
      <w:r>
        <w:t xml:space="preserve">so that KBI owns its raw input data and business-facing outputs (reports, alerts, predictions delivered to KBI), but</w:t>
      </w:r>
      <w:r>
        <w:t xml:space="preserve"> </w:t>
      </w:r>
      <w:r>
        <w:rPr>
          <w:b/>
          <w:bCs/>
        </w:rPr>
        <w:t xml:space="preserve">model weights, parameters, training artifacts, and model configuration data remain Whitmore’s exclusive property</w:t>
      </w:r>
      <w:r>
        <w:t xml:space="preserve">. Distinguish</w:t>
      </w:r>
      <w:r>
        <w:t xml:space="preserve"> </w:t>
      </w:r>
      <w:r>
        <w:t xml:space="preserve">“</w:t>
      </w:r>
      <w:r>
        <w:t xml:space="preserve">Customer-Facing Output</w:t>
      </w:r>
      <w:r>
        <w:t xml:space="preserve">”</w:t>
      </w:r>
      <w:r>
        <w:t xml:space="preserve"> </w:t>
      </w:r>
      <w:r>
        <w:t xml:space="preserve">(KBI-owned) from</w:t>
      </w:r>
      <w:r>
        <w:t xml:space="preserve"> </w:t>
      </w:r>
      <w:r>
        <w:t xml:space="preserve">“</w:t>
      </w:r>
      <w:r>
        <w:t xml:space="preserve">Model State / Derived Improvements</w:t>
      </w:r>
      <w:r>
        <w:t xml:space="preserve">”</w:t>
      </w:r>
      <w:r>
        <w:t xml:space="preserve"> </w:t>
      </w:r>
      <w:r>
        <w:t xml:space="preserve">(Whitmore-owned).</w:t>
      </w:r>
      <w:r>
        <w:t xml:space="preserve"> </w:t>
      </w:r>
      <w:r>
        <w:t xml:space="preserve">-</w:t>
      </w:r>
      <w:r>
        <w:t xml:space="preserve"> </w:t>
      </w:r>
      <w:r>
        <w:rPr>
          <w:b/>
          <w:bCs/>
        </w:rPr>
        <w:t xml:space="preserve">Replace the § 4.3 blanket prohibition</w:t>
      </w:r>
      <w:r>
        <w:t xml:space="preserve"> </w:t>
      </w:r>
      <w:r>
        <w:t xml:space="preserve">with a</w:t>
      </w:r>
      <w:r>
        <w:t xml:space="preserve"> </w:t>
      </w:r>
      <w:r>
        <w:rPr>
          <w:b/>
          <w:bCs/>
        </w:rPr>
        <w:t xml:space="preserve">permitted-use right for anonymized and aggregated data</w:t>
      </w:r>
      <w:r>
        <w:t xml:space="preserve"> </w:t>
      </w:r>
      <w:r>
        <w:t xml:space="preserve">for model improvement, subject to (a) industry-standard anonymization techniques (k-anonymity / differential privacy), (b) a minimum aggregation pool size so individual KBI data cannot be reverse-identified, and (c) optional third-party verification of the anonymization process. This is management’s stated non-negotiable position and we endorse it.</w:t>
      </w:r>
      <w:r>
        <w:t xml:space="preserve"> </w:t>
      </w:r>
      <w:r>
        <w:t xml:space="preserve">-</w:t>
      </w:r>
      <w:r>
        <w:t xml:space="preserve"> </w:t>
      </w:r>
      <w:r>
        <w:rPr>
          <w:b/>
          <w:bCs/>
        </w:rPr>
        <w:t xml:space="preserve">Narrow § 3.5</w:t>
      </w:r>
      <w:r>
        <w:t xml:space="preserve"> </w:t>
      </w:r>
      <w:r>
        <w:t xml:space="preserve">to improvements</w:t>
      </w:r>
      <w:r>
        <w:t xml:space="preserve"> </w:t>
      </w:r>
      <w:r>
        <w:rPr>
          <w:i/>
          <w:iCs/>
        </w:rPr>
        <w:t xml:space="preserve">specific to KBI’s proprietary processes</w:t>
      </w:r>
      <w:r>
        <w:t xml:space="preserve"> </w:t>
      </w:r>
      <w:r>
        <w:t xml:space="preserve">(not general product improvements), and remove the</w:t>
      </w:r>
      <w:r>
        <w:t xml:space="preserve"> </w:t>
      </w:r>
      <w:r>
        <w:t xml:space="preserve">“</w:t>
      </w:r>
      <w:r>
        <w:t xml:space="preserve">inspired by</w:t>
      </w:r>
      <w:r>
        <w:t xml:space="preserve">”</w:t>
      </w:r>
      <w:r>
        <w:t xml:space="preserve"> </w:t>
      </w:r>
      <w:r>
        <w:t xml:space="preserve">standard in favor of a tighter</w:t>
      </w:r>
      <w:r>
        <w:t xml:space="preserve"> </w:t>
      </w:r>
      <w:r>
        <w:t xml:space="preserve">“</w:t>
      </w:r>
      <w:r>
        <w:t xml:space="preserve">derived from and specific to</w:t>
      </w:r>
      <w:r>
        <w:t xml:space="preserve">”</w:t>
      </w:r>
      <w:r>
        <w:t xml:space="preserve"> </w:t>
      </w:r>
      <w:r>
        <w:t xml:space="preserve">standard.</w:t>
      </w:r>
      <w:r>
        <w:t xml:space="preserve"> </w:t>
      </w:r>
      <w:r>
        <w:t xml:space="preserve">-</w:t>
      </w:r>
      <w:r>
        <w:t xml:space="preserve"> </w:t>
      </w:r>
      <w:r>
        <w:rPr>
          <w:b/>
          <w:bCs/>
        </w:rPr>
        <w:t xml:space="preserve">Conform § 4.4</w:t>
      </w:r>
      <w:r>
        <w:t xml:space="preserve"> </w:t>
      </w:r>
      <w:r>
        <w:t xml:space="preserve">so the return/deletion obligation covers KBI’s raw data and Customer-Facing Output only — not model state, which cannot be feasibly</w:t>
      </w:r>
      <w:r>
        <w:t xml:space="preserve"> </w:t>
      </w:r>
      <w:r>
        <w:t xml:space="preserve">“</w:t>
      </w:r>
      <w:r>
        <w:t xml:space="preserve">deleted</w:t>
      </w:r>
      <w:r>
        <w:t xml:space="preserve">”</w:t>
      </w:r>
      <w:r>
        <w:t xml:space="preserve"> </w:t>
      </w:r>
      <w:r>
        <w:t xml:space="preserve">without degrading the general product.</w:t>
      </w:r>
    </w:p>
    <w:bookmarkEnd w:id="22"/>
    <w:bookmarkStart w:id="23" w:name="X88d2163cc3ad45c7bf8e5b4a9b00c402096f0c3"/>
    <w:p>
      <w:pPr>
        <w:pStyle w:val="Heading4"/>
      </w:pPr>
      <w:r>
        <w:t xml:space="preserve">CR-2. Exclusivity / Non-Compete Is Overbroad and Commercially Damaging</w:t>
      </w:r>
    </w:p>
    <w:p>
      <w:pPr>
        <w:pStyle w:val="FirstParagraph"/>
      </w:pPr>
      <w:r>
        <w:rPr>
          <w:b/>
          <w:bCs/>
        </w:rPr>
        <w:t xml:space="preserve">Citations:</w:t>
      </w:r>
      <w:r>
        <w:t xml:space="preserve"> </w:t>
      </w:r>
      <w:r>
        <w:t xml:space="preserve">Term Sheet §§ 12.1–12.5; Ex. B.</w:t>
      </w:r>
    </w:p>
    <w:p>
      <w:pPr>
        <w:pStyle w:val="BodyText"/>
      </w:pPr>
      <w:r>
        <w:rPr>
          <w:b/>
          <w:bCs/>
        </w:rPr>
        <w:t xml:space="preserve">What the documents say.</w:t>
      </w:r>
      <w:r>
        <w:t xml:space="preserve"> </w:t>
      </w:r>
      <w:r>
        <w:t xml:space="preserve">For three years from the effective date, Whitmore</w:t>
      </w:r>
      <w:r>
        <w:t xml:space="preserve"> </w:t>
      </w:r>
      <w:r>
        <w:t xml:space="preserve">“</w:t>
      </w:r>
      <w:r>
        <w:t xml:space="preserve">shall not license, sublicense, sell, or otherwise make available the PredictIQ platform (or any substantially similar predictive maintenance technology) to any Direct Competitor of KBI in the European automotive and heavy machinery manufacturing sectors</w:t>
      </w:r>
      <w:r>
        <w:t xml:space="preserve">”</w:t>
      </w:r>
      <w:r>
        <w:t xml:space="preserve"> </w:t>
      </w:r>
      <w:r>
        <w:t xml:space="preserve">(§ 12.1).</w:t>
      </w:r>
      <w:r>
        <w:t xml:space="preserve"> </w:t>
      </w:r>
      <w:r>
        <w:t xml:space="preserve">“</w:t>
      </w:r>
      <w:r>
        <w:t xml:space="preserve">Direct Competitor</w:t>
      </w:r>
      <w:r>
        <w:t xml:space="preserve">”</w:t>
      </w:r>
      <w:r>
        <w:t xml:space="preserve"> </w:t>
      </w:r>
      <w:r>
        <w:t xml:space="preserve">means the 12 named entities in Exhibit B</w:t>
      </w:r>
      <w:r>
        <w:t xml:space="preserve"> </w:t>
      </w:r>
      <w:r>
        <w:rPr>
          <w:b/>
          <w:bCs/>
        </w:rPr>
        <w:t xml:space="preserve">plus</w:t>
      </w:r>
      <w:r>
        <w:t xml:space="preserve"> </w:t>
      </w:r>
      <w:r>
        <w:t xml:space="preserve">“</w:t>
      </w:r>
      <w:r>
        <w:t xml:space="preserve">any entity that derives more than thirty percent (30%) of its annual revenue from the manufacture of automotive vehicles, automotive components, heavy machinery, or heavy industrial equipment in Europe</w:t>
      </w:r>
      <w:r>
        <w:t xml:space="preserve">”</w:t>
      </w:r>
      <w:r>
        <w:t xml:space="preserve"> </w:t>
      </w:r>
      <w:r>
        <w:t xml:space="preserve">(EEA + UK + Switzerland) (§ 12.2(b)). The restriction extends to</w:t>
      </w:r>
      <w:r>
        <w:t xml:space="preserve"> </w:t>
      </w:r>
      <w:r>
        <w:t xml:space="preserve">“</w:t>
      </w:r>
      <w:r>
        <w:t xml:space="preserve">any successor or replacement product offering substantially similar predictive maintenance functionality</w:t>
      </w:r>
      <w:r>
        <w:t xml:space="preserve">”</w:t>
      </w:r>
      <w:r>
        <w:t xml:space="preserve"> </w:t>
      </w:r>
      <w:r>
        <w:t xml:space="preserve">(§ 12.3),</w:t>
      </w:r>
      <w:r>
        <w:t xml:space="preserve"> </w:t>
      </w:r>
      <w:r>
        <w:rPr>
          <w:b/>
          <w:bCs/>
        </w:rPr>
        <w:t xml:space="preserve">survives termination</w:t>
      </w:r>
      <w:r>
        <w:t xml:space="preserve"> </w:t>
      </w:r>
      <w:r>
        <w:t xml:space="preserve">(§ 12.4), and is enforceable by injunctive relief without a requirement to show irreparable harm or post a bond (§ 12.5).</w:t>
      </w:r>
    </w:p>
    <w:p>
      <w:pPr>
        <w:pStyle w:val="BodyText"/>
      </w:pPr>
      <w:r>
        <w:rPr>
          <w:b/>
          <w:bCs/>
        </w:rPr>
        <w:t xml:space="preserve">Why it matters.</w:t>
      </w:r>
      <w:r>
        <w:t xml:space="preserve"> </w:t>
      </w:r>
      <w:r>
        <w:t xml:space="preserve">This is, in management’s assessment, the single most dangerous term in the Term Sheet, and we agree:</w:t>
      </w:r>
      <w:r>
        <w:t xml:space="preserve"> </w:t>
      </w:r>
      <w:r>
        <w:t xml:space="preserve">-</w:t>
      </w:r>
      <w:r>
        <w:t xml:space="preserve"> </w:t>
      </w:r>
      <w:r>
        <w:rPr>
          <w:b/>
          <w:bCs/>
        </w:rPr>
        <w:t xml:space="preserve">Commercial lockout.</w:t>
      </w:r>
      <w:r>
        <w:t xml:space="preserve"> </w:t>
      </w:r>
      <w:r>
        <w:t xml:space="preserve">The open-ended 30% revenue threshold is estimated to capture 25–30 additional companies beyond the 12 named, including active late-stage prospects. Whitmore currently has late-stage discussions with three European automotive/heavy-machinery manufacturers representing an estimated</w:t>
      </w:r>
      <w:r>
        <w:t xml:space="preserve"> </w:t>
      </w:r>
      <w:r>
        <w:rPr>
          <w:b/>
          <w:bCs/>
        </w:rPr>
        <w:t xml:space="preserve">$4–5M in potential recurring SaaS revenue</w:t>
      </w:r>
      <w:r>
        <w:t xml:space="preserve"> </w:t>
      </w:r>
      <w:r>
        <w:t xml:space="preserve">— against total FY 2024 revenue of $47.3M. A three-year lockout of this market segment would materially damage Whitmore’s growth trajectory and Series C valuation narrative.</w:t>
      </w:r>
      <w:r>
        <w:t xml:space="preserve"> </w:t>
      </w:r>
      <w:r>
        <w:t xml:space="preserve">-</w:t>
      </w:r>
      <w:r>
        <w:t xml:space="preserve"> </w:t>
      </w:r>
      <w:r>
        <w:rPr>
          <w:b/>
          <w:bCs/>
        </w:rPr>
        <w:t xml:space="preserve">Unworkable monitoring obligation.</w:t>
      </w:r>
      <w:r>
        <w:t xml:space="preserve"> </w:t>
      </w:r>
      <w:r>
        <w:t xml:space="preserve">The 30% threshold creates an affirmative duty to determine, before engaging any prospective European customer, whether that entity derives &gt;30% of revenue from the covered sectors. There is no reliable way to make this determination for privately held companies, subsidiaries of diversified conglomerates, or entities that do not publicly disaggregate revenue — creating a perpetual risk of inadvertent breach.</w:t>
      </w:r>
      <w:r>
        <w:t xml:space="preserve"> </w:t>
      </w:r>
      <w:r>
        <w:t xml:space="preserve">-</w:t>
      </w:r>
      <w:r>
        <w:t xml:space="preserve"> </w:t>
      </w:r>
      <w:r>
        <w:rPr>
          <w:b/>
          <w:bCs/>
        </w:rPr>
        <w:t xml:space="preserve">Asymmetry with KBI’s expansion right.</w:t>
      </w:r>
      <w:r>
        <w:t xml:space="preserve"> </w:t>
      </w:r>
      <w:r>
        <w:t xml:space="preserve">KBI locks in favorable economics for</w:t>
      </w:r>
      <w:r>
        <w:t xml:space="preserve"> </w:t>
      </w:r>
      <w:r>
        <w:rPr>
          <w:b/>
          <w:bCs/>
        </w:rPr>
        <w:t xml:space="preserve">5 years</w:t>
      </w:r>
      <w:r>
        <w:t xml:space="preserve"> </w:t>
      </w:r>
      <w:r>
        <w:t xml:space="preserve">(expansion right, § 2/§ 5.7) while Whitmore is locked</w:t>
      </w:r>
      <w:r>
        <w:t xml:space="preserve"> </w:t>
      </w:r>
      <w:r>
        <w:rPr>
          <w:b/>
          <w:bCs/>
        </w:rPr>
        <w:t xml:space="preserve">out</w:t>
      </w:r>
      <w:r>
        <w:t xml:space="preserve"> </w:t>
      </w:r>
      <w:r>
        <w:t xml:space="preserve">of a market segment for</w:t>
      </w:r>
      <w:r>
        <w:t xml:space="preserve"> </w:t>
      </w:r>
      <w:r>
        <w:rPr>
          <w:b/>
          <w:bCs/>
        </w:rPr>
        <w:t xml:space="preserve">3 years</w:t>
      </w:r>
      <w:r>
        <w:t xml:space="preserve"> </w:t>
      </w:r>
      <w:r>
        <w:t xml:space="preserve">— and the exclusivity</w:t>
      </w:r>
      <w:r>
        <w:t xml:space="preserve"> </w:t>
      </w:r>
      <w:r>
        <w:rPr>
          <w:i/>
          <w:iCs/>
        </w:rPr>
        <w:t xml:space="preserve">survives termination</w:t>
      </w:r>
      <w:r>
        <w:t xml:space="preserve">, so even a failed deal leaves Whitmore restricted for the balance of the period.</w:t>
      </w:r>
      <w:r>
        <w:t xml:space="preserve"> </w:t>
      </w:r>
      <w:r>
        <w:t xml:space="preserve">-</w:t>
      </w:r>
      <w:r>
        <w:t xml:space="preserve"> </w:t>
      </w:r>
      <w:r>
        <w:rPr>
          <w:b/>
          <w:bCs/>
        </w:rPr>
        <w:t xml:space="preserve">Scope creep to future products.</w:t>
      </w:r>
      <w:r>
        <w:t xml:space="preserve"> </w:t>
      </w:r>
      <w:r>
        <w:t xml:space="preserve">§ 12.3 extends the restriction to successor/replacement products, not just PredictIQ.</w:t>
      </w:r>
      <w:r>
        <w:t xml:space="preserve"> </w:t>
      </w:r>
      <w:r>
        <w:t xml:space="preserve">-</w:t>
      </w:r>
      <w:r>
        <w:t xml:space="preserve"> </w:t>
      </w:r>
      <w:r>
        <w:rPr>
          <w:b/>
          <w:bCs/>
        </w:rPr>
        <w:t xml:space="preserve">Enforcement tilt.</w:t>
      </w:r>
      <w:r>
        <w:t xml:space="preserve"> </w:t>
      </w:r>
      <w:r>
        <w:t xml:space="preserve">Waiver of the irreparable-harm showing and bond requirement (§ 12.5) makes injunctive relief unusually easy for KBI to obtain.</w:t>
      </w:r>
      <w:r>
        <w:t xml:space="preserve"> </w:t>
      </w:r>
      <w:r>
        <w:t xml:space="preserve">-</w:t>
      </w:r>
      <w:r>
        <w:t xml:space="preserve"> </w:t>
      </w:r>
      <w:r>
        <w:rPr>
          <w:b/>
          <w:bCs/>
        </w:rPr>
        <w:t xml:space="preserve">Competition-law exposure.</w:t>
      </w:r>
      <w:r>
        <w:t xml:space="preserve"> </w:t>
      </w:r>
      <w:r>
        <w:t xml:space="preserve">A three-year exclusivity restricting a licensor from dealing with competitors of the licensee in a defined market may raise issues under EU/German competition law (Art. 101 TFEU; the German Act Against Restraints of Competition (GWB); the EU Technology Transfer Block Exemption Regulation and Technology Transfer Guidelines), particularly if market-share thresholds are exceeded. Under German governing law (§ 14.1), this risk is directly engaged.</w:t>
      </w:r>
    </w:p>
    <w:p>
      <w:pPr>
        <w:pStyle w:val="BodyText"/>
      </w:pPr>
      <w:r>
        <w:rPr>
          <w:b/>
          <w:bCs/>
        </w:rPr>
        <w:t xml:space="preserve">Recommendation (red line).</w:t>
      </w:r>
      <w:r>
        <w:t xml:space="preserve"> </w:t>
      </w:r>
      <w:r>
        <w:t xml:space="preserve">-</w:t>
      </w:r>
      <w:r>
        <w:t xml:space="preserve"> </w:t>
      </w:r>
      <w:r>
        <w:rPr>
          <w:b/>
          <w:bCs/>
        </w:rPr>
        <w:t xml:space="preserve">Eliminate the open-ended 30% revenue definition (§ 12.2(b)) entirely.</w:t>
      </w:r>
      <w:r>
        <w:t xml:space="preserve"> </w:t>
      </w:r>
      <w:r>
        <w:t xml:space="preserve">This is management’s stated position and we endorse it.</w:t>
      </w:r>
      <w:r>
        <w:t xml:space="preserve"> </w:t>
      </w:r>
      <w:r>
        <w:t xml:space="preserve">-</w:t>
      </w:r>
      <w:r>
        <w:t xml:space="preserve"> </w:t>
      </w:r>
      <w:r>
        <w:rPr>
          <w:b/>
          <w:bCs/>
        </w:rPr>
        <w:t xml:space="preserve">Limit any exclusivity to a defined, negotiated list of named competitors</w:t>
      </w:r>
      <w:r>
        <w:t xml:space="preserve"> </w:t>
      </w:r>
      <w:r>
        <w:t xml:space="preserve">(a reduced Exhibit B), for a</w:t>
      </w:r>
      <w:r>
        <w:t xml:space="preserve"> </w:t>
      </w:r>
      <w:r>
        <w:rPr>
          <w:b/>
          <w:bCs/>
        </w:rPr>
        <w:t xml:space="preserve">shorter period — 18 months</w:t>
      </w:r>
      <w:r>
        <w:t xml:space="preserve"> </w:t>
      </w:r>
      <w:r>
        <w:t xml:space="preserve">rather than 3 years (management’s fallback position).</w:t>
      </w:r>
      <w:r>
        <w:t xml:space="preserve"> </w:t>
      </w:r>
      <w:r>
        <w:t xml:space="preserve">-</w:t>
      </w:r>
      <w:r>
        <w:t xml:space="preserve"> </w:t>
      </w:r>
      <w:r>
        <w:rPr>
          <w:b/>
          <w:bCs/>
        </w:rPr>
        <w:t xml:space="preserve">Remove the survival provision (§ 12.4)</w:t>
      </w:r>
      <w:r>
        <w:t xml:space="preserve"> </w:t>
      </w:r>
      <w:r>
        <w:t xml:space="preserve">so the exclusivity terminates with the agreement, or at minimum does not survive a KBI termination for convenience.</w:t>
      </w:r>
      <w:r>
        <w:t xml:space="preserve"> </w:t>
      </w:r>
      <w:r>
        <w:t xml:space="preserve">-</w:t>
      </w:r>
      <w:r>
        <w:t xml:space="preserve"> </w:t>
      </w:r>
      <w:r>
        <w:rPr>
          <w:b/>
          <w:bCs/>
        </w:rPr>
        <w:t xml:space="preserve">Narrow § 12.3</w:t>
      </w:r>
      <w:r>
        <w:t xml:space="preserve"> </w:t>
      </w:r>
      <w:r>
        <w:t xml:space="preserve">to the PredictIQ platform only, not successor/replacement products.</w:t>
      </w:r>
      <w:r>
        <w:t xml:space="preserve"> </w:t>
      </w:r>
      <w:r>
        <w:t xml:space="preserve">-</w:t>
      </w:r>
      <w:r>
        <w:t xml:space="preserve"> </w:t>
      </w:r>
      <w:r>
        <w:rPr>
          <w:b/>
          <w:bCs/>
        </w:rPr>
        <w:t xml:space="preserve">Restore standard injunctive-relief requirements</w:t>
      </w:r>
      <w:r>
        <w:t xml:space="preserve"> </w:t>
      </w:r>
      <w:r>
        <w:t xml:space="preserve">(irreparable harm; bond) in § 12.5, or accept them only for a narrowly defined, named-competitor exclusivity.</w:t>
      </w:r>
      <w:r>
        <w:t xml:space="preserve"> </w:t>
      </w:r>
      <w:r>
        <w:t xml:space="preserve">-</w:t>
      </w:r>
      <w:r>
        <w:t xml:space="preserve"> </w:t>
      </w:r>
      <w:r>
        <w:rPr>
          <w:b/>
          <w:bCs/>
        </w:rPr>
        <w:t xml:space="preserve">Obtain competition-law clearance</w:t>
      </w:r>
      <w:r>
        <w:t xml:space="preserve"> </w:t>
      </w:r>
      <w:r>
        <w:t xml:space="preserve">of any retained exclusivity under the TTBER/GWB before execution.</w:t>
      </w:r>
    </w:p>
    <w:bookmarkEnd w:id="23"/>
    <w:bookmarkStart w:id="24" w:name="Xfb00e0deb14534752fd41a07b7d16d80b3b171d"/>
    <w:p>
      <w:pPr>
        <w:pStyle w:val="Heading4"/>
      </w:pPr>
      <w:r>
        <w:t xml:space="preserve">CR-3. Most-Favored-Customer Pricing Is Open-Ended and One-Sided</w:t>
      </w:r>
    </w:p>
    <w:p>
      <w:pPr>
        <w:pStyle w:val="FirstParagraph"/>
      </w:pPr>
      <w:r>
        <w:rPr>
          <w:b/>
          <w:bCs/>
        </w:rPr>
        <w:t xml:space="preserve">Citations:</w:t>
      </w:r>
      <w:r>
        <w:t xml:space="preserve"> </w:t>
      </w:r>
      <w:r>
        <w:t xml:space="preserve">Side Letter §§ 2(a)–(d), 4; Term Sheet §§ 5.7, 13.1, 13.5, 16.3.</w:t>
      </w:r>
    </w:p>
    <w:p>
      <w:pPr>
        <w:pStyle w:val="BodyText"/>
      </w:pPr>
      <w:r>
        <w:rPr>
          <w:b/>
          <w:bCs/>
        </w:rPr>
        <w:t xml:space="preserve">What the documents say.</w:t>
      </w:r>
      <w:r>
        <w:t xml:space="preserve"> </w:t>
      </w:r>
      <w:r>
        <w:t xml:space="preserve">KBI’s willingness to proceed is</w:t>
      </w:r>
      <w:r>
        <w:t xml:space="preserve"> </w:t>
      </w:r>
      <w:r>
        <w:t xml:space="preserve">“</w:t>
      </w:r>
      <w:r>
        <w:t xml:space="preserve">expressly conditioned</w:t>
      </w:r>
      <w:r>
        <w:t xml:space="preserve">”</w:t>
      </w:r>
      <w:r>
        <w:t xml:space="preserve"> </w:t>
      </w:r>
      <w:r>
        <w:t xml:space="preserve">on Whitmore’s acceptance of the MFC provision (Side Letter § 1), which KBI expects incorporated</w:t>
      </w:r>
      <w:r>
        <w:t xml:space="preserve"> </w:t>
      </w:r>
      <w:r>
        <w:t xml:space="preserve">“</w:t>
      </w:r>
      <w:r>
        <w:t xml:space="preserve">verbatim</w:t>
      </w:r>
      <w:r>
        <w:t xml:space="preserve">”</w:t>
      </w:r>
      <w:r>
        <w:t xml:space="preserve"> </w:t>
      </w:r>
      <w:r>
        <w:t xml:space="preserve">into the Definitive Agreement (Side Letter § 4). If Whitmore enters any agreement with a third party (</w:t>
      </w:r>
      <w:r>
        <w:t xml:space="preserve">“</w:t>
      </w:r>
      <w:r>
        <w:t xml:space="preserve">Subsequent Licensee</w:t>
      </w:r>
      <w:r>
        <w:t xml:space="preserve">”</w:t>
      </w:r>
      <w:r>
        <w:t xml:space="preserve">) for PredictIQ</w:t>
      </w:r>
      <w:r>
        <w:t xml:space="preserve"> </w:t>
      </w:r>
      <w:r>
        <w:t xml:space="preserve">“</w:t>
      </w:r>
      <w:r>
        <w:t xml:space="preserve">or any successor, derivative, or substantially similar technology</w:t>
      </w:r>
      <w:r>
        <w:t xml:space="preserve">”</w:t>
      </w:r>
      <w:r>
        <w:t xml:space="preserve"> </w:t>
      </w:r>
      <w:r>
        <w:t xml:space="preserve">on terms resulting in a</w:t>
      </w:r>
      <w:r>
        <w:t xml:space="preserve"> </w:t>
      </w:r>
      <w:r>
        <w:rPr>
          <w:b/>
          <w:bCs/>
        </w:rPr>
        <w:t xml:space="preserve">lower effective per-facility price</w:t>
      </w:r>
      <w:r>
        <w:t xml:space="preserve"> </w:t>
      </w:r>
      <w:r>
        <w:t xml:space="preserve">than KBI’s, Whitmore must notify KBI within 30 days and</w:t>
      </w:r>
      <w:r>
        <w:t xml:space="preserve"> </w:t>
      </w:r>
      <w:r>
        <w:rPr>
          <w:b/>
          <w:bCs/>
        </w:rPr>
        <w:t xml:space="preserve">retroactively adjust</w:t>
      </w:r>
      <w:r>
        <w:t xml:space="preserve"> </w:t>
      </w:r>
      <w:r>
        <w:t xml:space="preserve">KBI’s pricing to match, effective as of the date the more favorable terms were first offered, with a credit for the overpayment (Side Letter §§ 2(a), (c)).</w:t>
      </w:r>
      <w:r>
        <w:t xml:space="preserve"> </w:t>
      </w:r>
      <w:r>
        <w:t xml:space="preserve">“</w:t>
      </w:r>
      <w:r>
        <w:t xml:space="preserve">Effective per-facility price</w:t>
      </w:r>
      <w:r>
        <w:t xml:space="preserve">”</w:t>
      </w:r>
      <w:r>
        <w:t xml:space="preserve"> </w:t>
      </w:r>
      <w:r>
        <w:t xml:space="preserve">= total annual fees (license, subscription, maintenance, implementation/professional services, one-time or recurring) ÷ number of facilities (§ 2(b)). KBI has an annual audit right (§ 2(d)). The Term Sheet’s entire-understanding clause expressly incorporates the Side Letter (§ 16.3).</w:t>
      </w:r>
    </w:p>
    <w:p>
      <w:pPr>
        <w:pStyle w:val="BodyText"/>
      </w:pPr>
      <w:r>
        <w:rPr>
          <w:b/>
          <w:bCs/>
        </w:rPr>
        <w:t xml:space="preserve">Why it matters.</w:t>
      </w:r>
      <w:r>
        <w:t xml:space="preserve"> </w:t>
      </w:r>
      <w:r>
        <w:t xml:space="preserve">In the General Counsel’s words, this is</w:t>
      </w:r>
      <w:r>
        <w:t xml:space="preserve"> </w:t>
      </w:r>
      <w:r>
        <w:t xml:space="preserve">“</w:t>
      </w:r>
      <w:r>
        <w:t xml:space="preserve">the most aggressive MFC clause</w:t>
      </w:r>
      <w:r>
        <w:t xml:space="preserve">”</w:t>
      </w:r>
      <w:r>
        <w:t xml:space="preserve"> </w:t>
      </w:r>
      <w:r>
        <w:t xml:space="preserve">she has seen, and we concur:</w:t>
      </w:r>
      <w:r>
        <w:t xml:space="preserve"> </w:t>
      </w:r>
      <w:r>
        <w:t xml:space="preserve">-</w:t>
      </w:r>
      <w:r>
        <w:t xml:space="preserve"> </w:t>
      </w:r>
      <w:r>
        <w:rPr>
          <w:b/>
          <w:bCs/>
        </w:rPr>
        <w:t xml:space="preserve">No sunset.</w:t>
      </w:r>
      <w:r>
        <w:t xml:space="preserve"> </w:t>
      </w:r>
      <w:r>
        <w:t xml:space="preserve">The MFC applies</w:t>
      </w:r>
      <w:r>
        <w:t xml:space="preserve"> </w:t>
      </w:r>
      <w:r>
        <w:t xml:space="preserve">“</w:t>
      </w:r>
      <w:r>
        <w:t xml:space="preserve">during the term of the Agreement (or thereafter, for so long as KBI retains any license rights … including any post-termination wind-down license).</w:t>
      </w:r>
      <w:r>
        <w:t xml:space="preserve">”</w:t>
      </w:r>
      <w:r>
        <w:t xml:space="preserve"> </w:t>
      </w:r>
      <w:r>
        <w:t xml:space="preserve">Because the license term is perpetual (§ 13.1) and the wind-down license is perpetual (§ 13.5), the MFC could constrain Whitmore’s pricing</w:t>
      </w:r>
      <w:r>
        <w:t xml:space="preserve"> </w:t>
      </w:r>
      <w:r>
        <w:rPr>
          <w:b/>
          <w:bCs/>
        </w:rPr>
        <w:t xml:space="preserve">indefinitely</w:t>
      </w:r>
      <w:r>
        <w:t xml:space="preserve">.</w:t>
      </w:r>
      <w:r>
        <w:t xml:space="preserve"> </w:t>
      </w:r>
      <w:r>
        <w:t xml:space="preserve">-</w:t>
      </w:r>
      <w:r>
        <w:t xml:space="preserve"> </w:t>
      </w:r>
      <w:r>
        <w:rPr>
          <w:b/>
          <w:bCs/>
        </w:rPr>
        <w:t xml:space="preserve">No carve-outs.</w:t>
      </w:r>
      <w:r>
        <w:t xml:space="preserve"> </w:t>
      </w:r>
      <w:r>
        <w:t xml:space="preserve">There are no exceptions for differences in deal size/volume, geography, product tier/edition, promotional or time-limited discounts, government/academic pricing, channel-partner or reseller deals, bundled offerings, or distressed/M&amp;A pricing. Any cheaper per-facility deal anywhere triggers an adjustment to KBI.</w:t>
      </w:r>
      <w:r>
        <w:t xml:space="preserve"> </w:t>
      </w:r>
      <w:r>
        <w:t xml:space="preserve">-</w:t>
      </w:r>
      <w:r>
        <w:t xml:space="preserve"> </w:t>
      </w:r>
      <w:r>
        <w:rPr>
          <w:b/>
          <w:bCs/>
        </w:rPr>
        <w:t xml:space="preserve">Retroactive effect.</w:t>
      </w:r>
      <w:r>
        <w:t xml:space="preserve"> </w:t>
      </w:r>
      <w:r>
        <w:t xml:space="preserve">Adjustments reach back to the date more favorable terms were first offered to a Subsequent Licensee, with credits — creating open-ended retrospective exposure. (We note the General Counsel’s internal email references a look-back to pricing concessions offered since January 1, 2024; that specific date does not appear in the Side Letter text, but the retroactive mechanism as written is broad and, combined with the perpetual term, could reach back significantly.)</w:t>
      </w:r>
      <w:r>
        <w:t xml:space="preserve"> </w:t>
      </w:r>
      <w:r>
        <w:t xml:space="preserve">-</w:t>
      </w:r>
      <w:r>
        <w:t xml:space="preserve"> </w:t>
      </w:r>
      <w:r>
        <w:rPr>
          <w:b/>
          <w:bCs/>
        </w:rPr>
        <w:t xml:space="preserve">Crude metric.</w:t>
      </w:r>
      <w:r>
        <w:t xml:space="preserve"> </w:t>
      </w:r>
      <w:r>
        <w:t xml:space="preserve">The</w:t>
      </w:r>
      <w:r>
        <w:t xml:space="preserve"> </w:t>
      </w:r>
      <w:r>
        <w:t xml:space="preserve">“</w:t>
      </w:r>
      <w:r>
        <w:t xml:space="preserve">effective per-facility price</w:t>
      </w:r>
      <w:r>
        <w:t xml:space="preserve">”</w:t>
      </w:r>
      <w:r>
        <w:t xml:space="preserve"> </w:t>
      </w:r>
      <w:r>
        <w:t xml:space="preserve">folds in implementation/professional-services fees, which vary with facility complexity. A customer with simpler facilities could have a lower per-facility implementation cost and trigger an MFC event even where the software pricing is comparable.</w:t>
      </w:r>
      <w:r>
        <w:t xml:space="preserve"> </w:t>
      </w:r>
      <w:r>
        <w:t xml:space="preserve">-</w:t>
      </w:r>
      <w:r>
        <w:t xml:space="preserve"> </w:t>
      </w:r>
      <w:r>
        <w:rPr>
          <w:b/>
          <w:bCs/>
        </w:rPr>
        <w:t xml:space="preserve">Scope creep.</w:t>
      </w:r>
      <w:r>
        <w:t xml:space="preserve"> </w:t>
      </w:r>
      <w:r>
        <w:t xml:space="preserve">The MFC reaches</w:t>
      </w:r>
      <w:r>
        <w:t xml:space="preserve"> </w:t>
      </w:r>
      <w:r>
        <w:t xml:space="preserve">“</w:t>
      </w:r>
      <w:r>
        <w:t xml:space="preserve">successor, derivative, or substantially similar technology</w:t>
      </w:r>
      <w:r>
        <w:t xml:space="preserve">”</w:t>
      </w:r>
      <w:r>
        <w:t xml:space="preserve"> </w:t>
      </w:r>
      <w:r>
        <w:t xml:space="preserve">— i.e., future Whitmore products.</w:t>
      </w:r>
      <w:r>
        <w:t xml:space="preserve"> </w:t>
      </w:r>
      <w:r>
        <w:t xml:space="preserve">-</w:t>
      </w:r>
      <w:r>
        <w:t xml:space="preserve"> </w:t>
      </w:r>
      <w:r>
        <w:rPr>
          <w:b/>
          <w:bCs/>
        </w:rPr>
        <w:t xml:space="preserve">Triple lock.</w:t>
      </w:r>
      <w:r>
        <w:t xml:space="preserve"> </w:t>
      </w:r>
      <w:r>
        <w:t xml:space="preserve">The MFC (best price, forever) compounds the exclusivity (cannot sell to competitors) and the expansion right (KBI gets the same terms for 5 years with no additional license fee, § 5.7). Together these three provisions severely constrain Whitmore’s commercial and pricing freedom.</w:t>
      </w:r>
      <w:r>
        <w:t xml:space="preserve"> </w:t>
      </w:r>
      <w:r>
        <w:t xml:space="preserve">-</w:t>
      </w:r>
      <w:r>
        <w:t xml:space="preserve"> </w:t>
      </w:r>
      <w:r>
        <w:rPr>
          <w:b/>
          <w:bCs/>
        </w:rPr>
        <w:t xml:space="preserve">One-sided.</w:t>
      </w:r>
      <w:r>
        <w:t xml:space="preserve"> </w:t>
      </w:r>
      <w:r>
        <w:t xml:space="preserve">There is no reciprocal commitment from KBI.</w:t>
      </w:r>
      <w:r>
        <w:t xml:space="preserve"> </w:t>
      </w:r>
      <w:r>
        <w:t xml:space="preserve">-</w:t>
      </w:r>
      <w:r>
        <w:t xml:space="preserve"> </w:t>
      </w:r>
      <w:r>
        <w:rPr>
          <w:b/>
          <w:bCs/>
        </w:rPr>
        <w:t xml:space="preserve">Audit exposure.</w:t>
      </w:r>
      <w:r>
        <w:t xml:space="preserve"> </w:t>
      </w:r>
      <w:r>
        <w:t xml:space="preserve">The annual audit right exposes Whitmore’s pricing and competitive positioning to KBI (even via an independent auditor) and imposes record-keeping burdens.</w:t>
      </w:r>
    </w:p>
    <w:p>
      <w:pPr>
        <w:pStyle w:val="BodyText"/>
      </w:pPr>
      <w:r>
        <w:rPr>
          <w:b/>
          <w:bCs/>
        </w:rPr>
        <w:t xml:space="preserve">Recommendation (red line).</w:t>
      </w:r>
      <w:r>
        <w:t xml:space="preserve"> </w:t>
      </w:r>
      <w:r>
        <w:t xml:space="preserve">Whitmore should not accept the MFC as drafted. If an MFC is to be offered at all as a commercial concession, it should be substantially narrowed:</w:t>
      </w:r>
      <w:r>
        <w:t xml:space="preserve"> </w:t>
      </w:r>
      <w:r>
        <w:t xml:space="preserve">-</w:t>
      </w:r>
      <w:r>
        <w:t xml:space="preserve"> </w:t>
      </w:r>
      <w:r>
        <w:rPr>
          <w:b/>
          <w:bCs/>
        </w:rPr>
        <w:t xml:space="preserve">Add a sunset</w:t>
      </w:r>
      <w:r>
        <w:t xml:space="preserve"> </w:t>
      </w:r>
      <w:r>
        <w:t xml:space="preserve">(e.g., 3 years from execution, or tied to the exclusivity period).</w:t>
      </w:r>
      <w:r>
        <w:t xml:space="preserve"> </w:t>
      </w:r>
      <w:r>
        <w:t xml:space="preserve">-</w:t>
      </w:r>
      <w:r>
        <w:t xml:space="preserve"> </w:t>
      </w:r>
      <w:r>
        <w:rPr>
          <w:b/>
          <w:bCs/>
        </w:rPr>
        <w:t xml:space="preserve">Add standard carve-outs:</w:t>
      </w:r>
      <w:r>
        <w:t xml:space="preserve"> </w:t>
      </w:r>
      <w:r>
        <w:t xml:space="preserve">volume/size differentials, different geographies, product tiers/editions, promotional and time-limited discounts, government/academic pricing, channel/reseller transactions, bundled offerings, and M&amp;A/distressed transactions.</w:t>
      </w:r>
      <w:r>
        <w:t xml:space="preserve"> </w:t>
      </w:r>
      <w:r>
        <w:t xml:space="preserve">-</w:t>
      </w:r>
      <w:r>
        <w:t xml:space="preserve"> </w:t>
      </w:r>
      <w:r>
        <w:rPr>
          <w:b/>
          <w:bCs/>
        </w:rPr>
        <w:t xml:space="preserve">Limit the metric</w:t>
      </w:r>
      <w:r>
        <w:t xml:space="preserve"> </w:t>
      </w:r>
      <w:r>
        <w:t xml:space="preserve">to comparable SaaS subscription pricing on a like-for-like basis (excluding one-time implementation/professional-services fees, which are not comparable across customers).</w:t>
      </w:r>
      <w:r>
        <w:t xml:space="preserve"> </w:t>
      </w:r>
      <w:r>
        <w:t xml:space="preserve">-</w:t>
      </w:r>
      <w:r>
        <w:t xml:space="preserve"> </w:t>
      </w:r>
      <w:r>
        <w:rPr>
          <w:b/>
          <w:bCs/>
        </w:rPr>
        <w:t xml:space="preserve">Remove</w:t>
      </w:r>
      <w:r>
        <w:rPr>
          <w:b/>
          <w:bCs/>
        </w:rPr>
        <w:t xml:space="preserve"> </w:t>
      </w:r>
      <w:r>
        <w:rPr>
          <w:b/>
          <w:bCs/>
        </w:rPr>
        <w:t xml:space="preserve">“</w:t>
      </w:r>
      <w:r>
        <w:rPr>
          <w:b/>
          <w:bCs/>
        </w:rPr>
        <w:t xml:space="preserve">successor, derivative, or substantially similar technology</w:t>
      </w:r>
      <w:r>
        <w:rPr>
          <w:b/>
          <w:bCs/>
        </w:rPr>
        <w:t xml:space="preserve">”</w:t>
      </w:r>
      <w:r>
        <w:t xml:space="preserve"> </w:t>
      </w:r>
      <w:r>
        <w:t xml:space="preserve">— limit to the PredictIQ platform as configured for KBI.</w:t>
      </w:r>
      <w:r>
        <w:t xml:space="preserve"> </w:t>
      </w:r>
      <w:r>
        <w:t xml:space="preserve">-</w:t>
      </w:r>
      <w:r>
        <w:t xml:space="preserve"> </w:t>
      </w:r>
      <w:r>
        <w:rPr>
          <w:b/>
          <w:bCs/>
        </w:rPr>
        <w:t xml:space="preserve">Cap retroactive exposure</w:t>
      </w:r>
      <w:r>
        <w:t xml:space="preserve"> </w:t>
      </w:r>
      <w:r>
        <w:t xml:space="preserve">(e.g., 12-month look-back) and require a materiality threshold before adjustment is triggered.</w:t>
      </w:r>
      <w:r>
        <w:t xml:space="preserve"> </w:t>
      </w:r>
      <w:r>
        <w:t xml:space="preserve">-</w:t>
      </w:r>
      <w:r>
        <w:t xml:space="preserve"> </w:t>
      </w:r>
      <w:r>
        <w:rPr>
          <w:b/>
          <w:bCs/>
        </w:rPr>
        <w:t xml:space="preserve">Narrow the audit right</w:t>
      </w:r>
      <w:r>
        <w:t xml:space="preserve"> </w:t>
      </w:r>
      <w:r>
        <w:t xml:space="preserve">(e.g., every 2 years, broader discrepancy threshold, confidentiality protections for Whitmore’s pricing data).</w:t>
      </w:r>
      <w:r>
        <w:t xml:space="preserve"> </w:t>
      </w:r>
      <w:r>
        <w:t xml:space="preserve">-</w:t>
      </w:r>
      <w:r>
        <w:t xml:space="preserve"> </w:t>
      </w:r>
      <w:r>
        <w:rPr>
          <w:b/>
          <w:bCs/>
        </w:rPr>
        <w:t xml:space="preserve">Make it mutual or remove the</w:t>
      </w:r>
      <w:r>
        <w:rPr>
          <w:b/>
          <w:bCs/>
        </w:rPr>
        <w:t xml:space="preserve"> </w:t>
      </w:r>
      <w:r>
        <w:rPr>
          <w:b/>
          <w:bCs/>
        </w:rPr>
        <w:t xml:space="preserve">“</w:t>
      </w:r>
      <w:r>
        <w:rPr>
          <w:b/>
          <w:bCs/>
        </w:rPr>
        <w:t xml:space="preserve">expressly conditioned</w:t>
      </w:r>
      <w:r>
        <w:rPr>
          <w:b/>
          <w:bCs/>
        </w:rPr>
        <w:t xml:space="preserve">”</w:t>
      </w:r>
      <w:r>
        <w:rPr>
          <w:b/>
          <w:bCs/>
        </w:rPr>
        <w:t xml:space="preserve"> </w:t>
      </w:r>
      <w:r>
        <w:rPr>
          <w:b/>
          <w:bCs/>
        </w:rPr>
        <w:t xml:space="preserve">ultimatum</w:t>
      </w:r>
      <w:r>
        <w:t xml:space="preserve"> </w:t>
      </w:r>
      <w:r>
        <w:t xml:space="preserve">so the MFC is a negotiated term rather than a take-it-or-leave-it condition. At minimum, do not accept incorporation</w:t>
      </w:r>
      <w:r>
        <w:t xml:space="preserve"> </w:t>
      </w:r>
      <w:r>
        <w:t xml:space="preserve">“</w:t>
      </w:r>
      <w:r>
        <w:t xml:space="preserve">verbatim.</w:t>
      </w:r>
      <w:r>
        <w:t xml:space="preserve">”</w:t>
      </w:r>
    </w:p>
    <w:bookmarkEnd w:id="24"/>
    <w:bookmarkStart w:id="25" w:name="X74382fd44e63949008814498813fb1f26cc8cf7"/>
    <w:p>
      <w:pPr>
        <w:pStyle w:val="Heading4"/>
      </w:pPr>
      <w:r>
        <w:t xml:space="preserve">CR-4. Uncapped IP Indemnification Under German Governing Law</w:t>
      </w:r>
    </w:p>
    <w:p>
      <w:pPr>
        <w:pStyle w:val="FirstParagraph"/>
      </w:pPr>
      <w:r>
        <w:rPr>
          <w:b/>
          <w:bCs/>
        </w:rPr>
        <w:t xml:space="preserve">Citations:</w:t>
      </w:r>
      <w:r>
        <w:t xml:space="preserve"> </w:t>
      </w:r>
      <w:r>
        <w:t xml:space="preserve">Term Sheet §§ 9.1, 10.3(A), 14.1.</w:t>
      </w:r>
    </w:p>
    <w:p>
      <w:pPr>
        <w:pStyle w:val="BodyText"/>
      </w:pPr>
      <w:r>
        <w:rPr>
          <w:b/>
          <w:bCs/>
        </w:rPr>
        <w:t xml:space="preserve">What the documents say.</w:t>
      </w:r>
      <w:r>
        <w:t xml:space="preserve"> </w:t>
      </w:r>
      <w:r>
        <w:t xml:space="preserve">Whitmore</w:t>
      </w:r>
      <w:r>
        <w:t xml:space="preserve"> </w:t>
      </w:r>
      <w:r>
        <w:t xml:space="preserve">“</w:t>
      </w:r>
      <w:r>
        <w:t xml:space="preserve">shall defend, indemnify, and hold harmless KBI … from and against any and all [third-party IP-infringement] claims,</w:t>
      </w:r>
      <w:r>
        <w:t xml:space="preserve">”</w:t>
      </w:r>
      <w:r>
        <w:t xml:space="preserve"> </w:t>
      </w:r>
      <w:r>
        <w:t xml:space="preserve">and</w:t>
      </w:r>
      <w:r>
        <w:t xml:space="preserve"> </w:t>
      </w:r>
      <w:r>
        <w:t xml:space="preserve">“</w:t>
      </w:r>
      <w:r>
        <w:t xml:space="preserve">Whitmore’s obligations under this Section 9.1 shall not be subject to any limitation of liability or cap on damages</w:t>
      </w:r>
      <w:r>
        <w:t xml:space="preserve">”</w:t>
      </w:r>
      <w:r>
        <w:t xml:space="preserve"> </w:t>
      </w:r>
      <w:r>
        <w:t xml:space="preserve">(§ 9.1). The IP indemnity is expressly carved out of the general liability cap and consequential-damages exclusion (§ 10.3(A)). The agreement is governed by German law (§ 14.1).</w:t>
      </w:r>
    </w:p>
    <w:p>
      <w:pPr>
        <w:pStyle w:val="BodyText"/>
      </w:pPr>
      <w:r>
        <w:rPr>
          <w:b/>
          <w:bCs/>
        </w:rPr>
        <w:t xml:space="preserve">Why it matters.</w:t>
      </w:r>
      <w:r>
        <w:t xml:space="preserve"> </w:t>
      </w:r>
      <w:r>
        <w:t xml:space="preserve">The ML/AI and IoT patent landscape is dense, rapidly evolving, and litigious; PredictIQ itself is protected by 14 issued U.S. patents and 3 pending PCT applications, signaling a crowded field. Uncapped indemnification exposes Whitmore to open-ended liability for third-party infringement claims — including defense costs and reasonable attorneys’ fees — with no financial ceiling. This exposure is amplified by German governing law: under German law, certain liability limitations may be unenforceable, particularly for gross negligence (</w:t>
      </w:r>
      <w:r>
        <w:rPr>
          <w:i/>
          <w:iCs/>
        </w:rPr>
        <w:t xml:space="preserve">grobe Fahrlässigkeit</w:t>
      </w:r>
      <w:r>
        <w:t xml:space="preserve">) and intentional harm, and — if the Definitive Agreement is treated as standard terms (</w:t>
      </w:r>
      <w:r>
        <w:rPr>
          <w:i/>
          <w:iCs/>
        </w:rPr>
        <w:t xml:space="preserve">Allgemeine Geschäftsbedingungen</w:t>
      </w:r>
      <w:r>
        <w:t xml:space="preserve">, §§ 305–310 BGB) — provisions disclaiming liability or shifting risk may be subject to content control and partial invalidity. The CEO has specifically flagged concern about liability exposure under German law for the uncapped indemnification and performance-warranty penalties and has requested specialist advice.</w:t>
      </w:r>
    </w:p>
    <w:p>
      <w:pPr>
        <w:pStyle w:val="BodyText"/>
      </w:pPr>
      <w:r>
        <w:rPr>
          <w:b/>
          <w:bCs/>
        </w:rPr>
        <w:t xml:space="preserve">Recommendation (red line).</w:t>
      </w:r>
      <w:r>
        <w:t xml:space="preserve"> </w:t>
      </w:r>
      <w:r>
        <w:t xml:space="preserve">-</w:t>
      </w:r>
      <w:r>
        <w:t xml:space="preserve"> </w:t>
      </w:r>
      <w:r>
        <w:rPr>
          <w:b/>
          <w:bCs/>
        </w:rPr>
        <w:t xml:space="preserve">Cap the IP indemnity</w:t>
      </w:r>
      <w:r>
        <w:t xml:space="preserve"> </w:t>
      </w:r>
      <w:r>
        <w:t xml:space="preserve">at a defined multiple of fees (e.g., 2×–3× the general cap) or a fixed aggregate amount, consistent with industry practice for enterprise SaaS.</w:t>
      </w:r>
      <w:r>
        <w:t xml:space="preserve"> </w:t>
      </w:r>
      <w:r>
        <w:t xml:space="preserve">-</w:t>
      </w:r>
      <w:r>
        <w:t xml:space="preserve"> </w:t>
      </w:r>
      <w:r>
        <w:rPr>
          <w:b/>
          <w:bCs/>
        </w:rPr>
        <w:t xml:space="preserve">Add a knowledge qualifier</w:t>
      </w:r>
      <w:r>
        <w:t xml:space="preserve"> </w:t>
      </w:r>
      <w:r>
        <w:t xml:space="preserve">consistent with the § 8.4 warranty and</w:t>
      </w:r>
      <w:r>
        <w:t xml:space="preserve"> </w:t>
      </w:r>
      <w:r>
        <w:rPr>
          <w:b/>
          <w:bCs/>
        </w:rPr>
        <w:t xml:space="preserve">mutualize</w:t>
      </w:r>
      <w:r>
        <w:t xml:space="preserve"> </w:t>
      </w:r>
      <w:r>
        <w:t xml:space="preserve">the indemnity so KBI’s indemnity to Whitmore (§ 9.3) is also uncapped or at least subject to a symmetric cap (currently KBI’s indemnity is subject to the general cap while Whitmore’s is not — an asymmetry to be corrected).</w:t>
      </w:r>
      <w:r>
        <w:t xml:space="preserve"> </w:t>
      </w:r>
      <w:r>
        <w:t xml:space="preserve">-</w:t>
      </w:r>
      <w:r>
        <w:t xml:space="preserve"> </w:t>
      </w:r>
      <w:r>
        <w:rPr>
          <w:b/>
          <w:bCs/>
        </w:rPr>
        <w:t xml:space="preserve">Add standard IP-indemnity mechanics:</w:t>
      </w:r>
      <w:r>
        <w:t xml:space="preserve"> </w:t>
      </w:r>
      <w:r>
        <w:t xml:space="preserve">a defense-control carve-out for settlements that admit liability or impose injunctive relief affecting KBI; a requirement that KBI mitigate; and the § 9.2 remedy ladder (procure / modify / replace) as the exclusive remedy.</w:t>
      </w:r>
      <w:r>
        <w:t xml:space="preserve"> </w:t>
      </w:r>
      <w:r>
        <w:t xml:space="preserve">-</w:t>
      </w:r>
      <w:r>
        <w:t xml:space="preserve"> </w:t>
      </w:r>
      <w:r>
        <w:rPr>
          <w:b/>
          <w:bCs/>
        </w:rPr>
        <w:t xml:space="preserve">Address German-law enforceability</w:t>
      </w:r>
      <w:r>
        <w:t xml:space="preserve"> </w:t>
      </w:r>
      <w:r>
        <w:t xml:space="preserve">with specialist counsel (see CR-4 cross-reference to H-11 below), including whether the Definitive Agreement should be structured to avoid AGB content-control issues and whether gross-negligence liability must be preserved.</w:t>
      </w:r>
      <w:r>
        <w:t xml:space="preserve"> </w:t>
      </w:r>
      <w:r>
        <w:t xml:space="preserve">-</w:t>
      </w:r>
      <w:r>
        <w:t xml:space="preserve"> </w:t>
      </w:r>
      <w:r>
        <w:rPr>
          <w:b/>
          <w:bCs/>
        </w:rPr>
        <w:t xml:space="preserve">Revisit governing law</w:t>
      </w:r>
      <w:r>
        <w:t xml:space="preserve"> </w:t>
      </w:r>
      <w:r>
        <w:t xml:space="preserve">(see H-11).</w:t>
      </w:r>
    </w:p>
    <w:p>
      <w:r>
        <w:pict>
          <v:rect style="width:0;height:1.5pt" o:hralign="center" o:hrstd="t" o:hr="t"/>
        </w:pict>
      </w:r>
    </w:p>
    <w:bookmarkEnd w:id="25"/>
    <w:bookmarkEnd w:id="26"/>
    <w:bookmarkStart w:id="38" w:name="X19c81219091c2a494c804dfdded20b68808edbe"/>
    <w:p>
      <w:pPr>
        <w:pStyle w:val="Heading3"/>
      </w:pPr>
      <w:r>
        <w:t xml:space="preserve">B. High Risks (Orange) — Material Renegotiation Required</w:t>
      </w:r>
    </w:p>
    <w:bookmarkStart w:id="27" w:name="Xfb1183fa2689b8c14a64399d03855e1a7337aa9"/>
    <w:p>
      <w:pPr>
        <w:pStyle w:val="Heading4"/>
      </w:pPr>
      <w:r>
        <w:t xml:space="preserve">H-1. Perpetual Post-Termination Wind-Down License</w:t>
      </w:r>
    </w:p>
    <w:p>
      <w:pPr>
        <w:pStyle w:val="FirstParagraph"/>
      </w:pPr>
      <w:r>
        <w:rPr>
          <w:b/>
          <w:bCs/>
        </w:rPr>
        <w:t xml:space="preserve">Citations:</w:t>
      </w:r>
      <w:r>
        <w:t xml:space="preserve"> </w:t>
      </w:r>
      <w:r>
        <w:t xml:space="preserve">Term Sheet §§ 13.5, 13.6, 13.7.</w:t>
      </w:r>
    </w:p>
    <w:p>
      <w:pPr>
        <w:pStyle w:val="BodyText"/>
      </w:pPr>
      <w:r>
        <w:rPr>
          <w:b/>
          <w:bCs/>
        </w:rPr>
        <w:t xml:space="preserve">What the documents say.</w:t>
      </w:r>
      <w:r>
        <w:t xml:space="preserve"> </w:t>
      </w:r>
      <w:r>
        <w:t xml:space="preserve">“</w:t>
      </w:r>
      <w:r>
        <w:t xml:space="preserve">Upon termination or expiration of the definitive agreement for any reason (including termination by KBI for convenience under Section 13.3), KBI shall retain a perpetual, non-exclusive, irrevocable license to continue using the version of the PredictIQ platform deployed at KBI’s facilities as of the effective date of termination</w:t>
      </w:r>
      <w:r>
        <w:t xml:space="preserve">”</w:t>
      </w:r>
      <w:r>
        <w:t xml:space="preserve"> </w:t>
      </w:r>
      <w:r>
        <w:t xml:space="preserve">(the</w:t>
      </w:r>
      <w:r>
        <w:t xml:space="preserve"> </w:t>
      </w:r>
      <w:r>
        <w:t xml:space="preserve">“</w:t>
      </w:r>
      <w:r>
        <w:t xml:space="preserve">Wind-Down License</w:t>
      </w:r>
      <w:r>
        <w:t xml:space="preserve">”</w:t>
      </w:r>
      <w:r>
        <w:t xml:space="preserve">), subject only to KBI’s</w:t>
      </w:r>
      <w:r>
        <w:t xml:space="preserve"> </w:t>
      </w:r>
      <w:r>
        <w:t xml:space="preserve">“</w:t>
      </w:r>
      <w:r>
        <w:t xml:space="preserve">continued payment of the Annual Maintenance and Support Fee</w:t>
      </w:r>
      <w:r>
        <w:t xml:space="preserve">”</w:t>
      </w:r>
      <w:r>
        <w:t xml:space="preserve"> </w:t>
      </w:r>
      <w:r>
        <w:t xml:space="preserve">(§ 13.5). Fees paid are non-refundable (§ 13.7).</w:t>
      </w:r>
    </w:p>
    <w:p>
      <w:pPr>
        <w:pStyle w:val="BodyText"/>
      </w:pPr>
      <w:r>
        <w:rPr>
          <w:b/>
          <w:bCs/>
        </w:rPr>
        <w:t xml:space="preserve">Why it matters.</w:t>
      </w:r>
      <w:r>
        <w:t xml:space="preserve"> </w:t>
      </w:r>
      <w:r>
        <w:t xml:space="preserve">The wind-down license is</w:t>
      </w:r>
      <w:r>
        <w:t xml:space="preserve"> </w:t>
      </w:r>
      <w:r>
        <w:rPr>
          <w:b/>
          <w:bCs/>
        </w:rPr>
        <w:t xml:space="preserve">perpetual and irrevocable</w:t>
      </w:r>
      <w:r>
        <w:t xml:space="preserve"> </w:t>
      </w:r>
      <w:r>
        <w:t xml:space="preserve">and applies on termination for</w:t>
      </w:r>
      <w:r>
        <w:t xml:space="preserve"> </w:t>
      </w:r>
      <w:r>
        <w:rPr>
          <w:b/>
          <w:bCs/>
        </w:rPr>
        <w:t xml:space="preserve">any</w:t>
      </w:r>
      <w:r>
        <w:t xml:space="preserve"> </w:t>
      </w:r>
      <w:r>
        <w:t xml:space="preserve">reason — including (i) KBI’s termination for convenience after the third anniversary, and (ii) KBI’s termination for cause based on Whitmore’s alleged performance failure (§ 13.4). The practical effect: even if Whitmore breaches the performance warranty and KBI terminates for cause, KBI retains perpetual use of PredictIQ for the cost of maintenance alone. This undermines the performance warranty’s deterrent value and converts Whitmore’s recurring-revenue model into a one-time license plus perpetual maintenance. Combined with § 13.7 (no refunds), a KBI convenience termination after Year 3 would leave KBI with perpetual software use for maintenance fees only. (We note the General Counsel’s internal email characterized the wind-down license as</w:t>
      </w:r>
      <w:r>
        <w:t xml:space="preserve"> </w:t>
      </w:r>
      <w:r>
        <w:t xml:space="preserve">“</w:t>
      </w:r>
      <w:r>
        <w:t xml:space="preserve">24-month … at reduced fees</w:t>
      </w:r>
      <w:r>
        <w:t xml:space="preserve">”</w:t>
      </w:r>
      <w:r>
        <w:t xml:space="preserve">; the Term Sheet as drafted is in fact</w:t>
      </w:r>
      <w:r>
        <w:t xml:space="preserve"> </w:t>
      </w:r>
      <w:r>
        <w:rPr>
          <w:b/>
          <w:bCs/>
        </w:rPr>
        <w:t xml:space="preserve">perpetual</w:t>
      </w:r>
      <w:r>
        <w:t xml:space="preserve">, not 24 months — broader than her initial impression and more concerning.)</w:t>
      </w:r>
    </w:p>
    <w:p>
      <w:pPr>
        <w:pStyle w:val="BodyText"/>
      </w:pPr>
      <w:r>
        <w:rPr>
          <w:b/>
          <w:bCs/>
        </w:rPr>
        <w:t xml:space="preserve">Recommendation.</w:t>
      </w:r>
      <w:r>
        <w:t xml:space="preserve"> </w:t>
      </w:r>
      <w:r>
        <w:t xml:space="preserve">-</w:t>
      </w:r>
      <w:r>
        <w:t xml:space="preserve"> </w:t>
      </w:r>
      <w:r>
        <w:rPr>
          <w:b/>
          <w:bCs/>
        </w:rPr>
        <w:t xml:space="preserve">Time-limit the wind-down license</w:t>
      </w:r>
      <w:r>
        <w:t xml:space="preserve"> </w:t>
      </w:r>
      <w:r>
        <w:t xml:space="preserve">to a defined transition period (e.g., 12–24 months) sufficient for KBI to migrate off the platform, rather than perpetual use.</w:t>
      </w:r>
      <w:r>
        <w:t xml:space="preserve"> </w:t>
      </w:r>
      <w:r>
        <w:t xml:space="preserve">-</w:t>
      </w:r>
      <w:r>
        <w:t xml:space="preserve"> </w:t>
      </w:r>
      <w:r>
        <w:rPr>
          <w:b/>
          <w:bCs/>
        </w:rPr>
        <w:t xml:space="preserve">Restrict the trigger</w:t>
      </w:r>
      <w:r>
        <w:t xml:space="preserve"> </w:t>
      </w:r>
      <w:r>
        <w:t xml:space="preserve">so the wind-down license applies only on termination by Whitmore for cause or for Whitmore’s insolvency/cessation —</w:t>
      </w:r>
      <w:r>
        <w:t xml:space="preserve"> </w:t>
      </w:r>
      <w:r>
        <w:rPr>
          <w:b/>
          <w:bCs/>
        </w:rPr>
        <w:t xml:space="preserve">not</w:t>
      </w:r>
      <w:r>
        <w:t xml:space="preserve"> </w:t>
      </w:r>
      <w:r>
        <w:t xml:space="preserve">on KBI’s termination for convenience or for alleged performance failure.</w:t>
      </w:r>
      <w:r>
        <w:t xml:space="preserve"> </w:t>
      </w:r>
      <w:r>
        <w:t xml:space="preserve">-</w:t>
      </w:r>
      <w:r>
        <w:t xml:space="preserve"> </w:t>
      </w:r>
      <w:r>
        <w:rPr>
          <w:b/>
          <w:bCs/>
        </w:rPr>
        <w:t xml:space="preserve">Clarify the maintenance obligation:</w:t>
      </w:r>
      <w:r>
        <w:t xml:space="preserve"> </w:t>
      </w:r>
      <w:r>
        <w:t xml:space="preserve">if Whitmore is not obligated to provide maintenance during wind-down, define what KBI is paying for; if Whitmore</w:t>
      </w:r>
      <w:r>
        <w:t xml:space="preserve"> </w:t>
      </w:r>
      <w:r>
        <w:rPr>
          <w:i/>
          <w:iCs/>
        </w:rPr>
        <w:t xml:space="preserve">is</w:t>
      </w:r>
      <w:r>
        <w:t xml:space="preserve"> </w:t>
      </w:r>
      <w:r>
        <w:t xml:space="preserve">obligated, cap the duration and scope.</w:t>
      </w:r>
      <w:r>
        <w:t xml:space="preserve"> </w:t>
      </w:r>
      <w:r>
        <w:t xml:space="preserve">-</w:t>
      </w:r>
      <w:r>
        <w:t xml:space="preserve"> </w:t>
      </w:r>
      <w:r>
        <w:rPr>
          <w:b/>
          <w:bCs/>
        </w:rPr>
        <w:t xml:space="preserve">Make the wind-down license non-irrevocable</w:t>
      </w:r>
      <w:r>
        <w:t xml:space="preserve"> </w:t>
      </w:r>
      <w:r>
        <w:t xml:space="preserve">and conditional on continued payment and compliance.</w:t>
      </w:r>
    </w:p>
    <w:bookmarkEnd w:id="27"/>
    <w:bookmarkStart w:id="28" w:name="Xb07ec76b603959e890a7ad84956650022ecb58c"/>
    <w:p>
      <w:pPr>
        <w:pStyle w:val="Heading4"/>
      </w:pPr>
      <w:r>
        <w:t xml:space="preserve">H-2. Joint Ownership of Derivative Works with Unrestricted Exploitation</w:t>
      </w:r>
    </w:p>
    <w:p>
      <w:pPr>
        <w:pStyle w:val="FirstParagraph"/>
      </w:pPr>
      <w:r>
        <w:rPr>
          <w:b/>
          <w:bCs/>
        </w:rPr>
        <w:t xml:space="preserve">Citations:</w:t>
      </w:r>
      <w:r>
        <w:t xml:space="preserve"> </w:t>
      </w:r>
      <w:r>
        <w:t xml:space="preserve">Term Sheet §§ 2 (Derivative Works), 3.3.</w:t>
      </w:r>
    </w:p>
    <w:p>
      <w:pPr>
        <w:pStyle w:val="BodyText"/>
      </w:pPr>
      <w:r>
        <w:rPr>
          <w:b/>
          <w:bCs/>
        </w:rPr>
        <w:t xml:space="preserve">What the documents say.</w:t>
      </w:r>
      <w:r>
        <w:t xml:space="preserve"> </w:t>
      </w:r>
      <w:r>
        <w:t xml:space="preserve">KBI may create derivative works based on PredictIQ’s API layer for integration with its MES/SCADA systems, and</w:t>
      </w:r>
      <w:r>
        <w:t xml:space="preserve"> </w:t>
      </w:r>
      <w:r>
        <w:t xml:space="preserve">“</w:t>
      </w:r>
      <w:r>
        <w:t xml:space="preserve">Any and all derivative works … shall be jointly owned by KBI and Whitmore, with each party having the unrestricted right to use, modify, sublicense, and otherwise exploit such derivative works without the consent of, or any obligation to account to, the other party</w:t>
      </w:r>
      <w:r>
        <w:t xml:space="preserve">”</w:t>
      </w:r>
      <w:r>
        <w:t xml:space="preserve"> </w:t>
      </w:r>
      <w:r>
        <w:t xml:space="preserve">(§ 2; repeated § 3.3).</w:t>
      </w:r>
    </w:p>
    <w:p>
      <w:pPr>
        <w:pStyle w:val="BodyText"/>
      </w:pPr>
      <w:r>
        <w:rPr>
          <w:b/>
          <w:bCs/>
        </w:rPr>
        <w:t xml:space="preserve">Why it matters.</w:t>
      </w:r>
      <w:r>
        <w:t xml:space="preserve"> </w:t>
      </w:r>
      <w:r>
        <w:t xml:space="preserve">Joint ownership with an</w:t>
      </w:r>
      <w:r>
        <w:t xml:space="preserve"> </w:t>
      </w:r>
      <w:r>
        <w:t xml:space="preserve">“</w:t>
      </w:r>
      <w:r>
        <w:t xml:space="preserve">unrestricted right to … sublicense and otherwise exploit … without consent</w:t>
      </w:r>
      <w:r>
        <w:t xml:space="preserve">”</w:t>
      </w:r>
      <w:r>
        <w:t xml:space="preserve"> </w:t>
      </w:r>
      <w:r>
        <w:t xml:space="preserve">is unusually broad and creates two problems. First, it could permit KBI to sublicense derivative works to third parties, potentially including competitors, diluting Whitmore’s control over its ecosystem. Second, under German governing law (§ 14.1), joint ownership of copyrightable works (</w:t>
      </w:r>
      <w:r>
        <w:rPr>
          <w:i/>
          <w:iCs/>
        </w:rPr>
        <w:t xml:space="preserve">Miturheberschaft</w:t>
      </w:r>
      <w:r>
        <w:t xml:space="preserve">, §§ 8, 9 UrhG) generally requires the co-owners’ mutual consent for exploitation and publication — which is in tension with the Term Sheet’s</w:t>
      </w:r>
      <w:r>
        <w:t xml:space="preserve"> </w:t>
      </w:r>
      <w:r>
        <w:t xml:space="preserve">“</w:t>
      </w:r>
      <w:r>
        <w:t xml:space="preserve">without consent</w:t>
      </w:r>
      <w:r>
        <w:t xml:space="preserve">”</w:t>
      </w:r>
      <w:r>
        <w:t xml:space="preserve"> </w:t>
      </w:r>
      <w:r>
        <w:t xml:space="preserve">language, creating an internal inconsistency and uncertainty as to enforceability. The scope is nominally limited to</w:t>
      </w:r>
      <w:r>
        <w:t xml:space="preserve"> </w:t>
      </w:r>
      <w:r>
        <w:t xml:space="preserve">“</w:t>
      </w:r>
      <w:r>
        <w:t xml:space="preserve">API layer</w:t>
      </w:r>
      <w:r>
        <w:t xml:space="preserve">”</w:t>
      </w:r>
      <w:r>
        <w:t xml:space="preserve"> </w:t>
      </w:r>
      <w:r>
        <w:t xml:space="preserve">integration derivatives, but the ownership and exploitation rights are not correspondingly limited.</w:t>
      </w:r>
    </w:p>
    <w:p>
      <w:pPr>
        <w:pStyle w:val="BodyText"/>
      </w:pPr>
      <w:r>
        <w:rPr>
          <w:b/>
          <w:bCs/>
        </w:rPr>
        <w:t xml:space="preserve">Recommendation.</w:t>
      </w:r>
      <w:r>
        <w:t xml:space="preserve"> </w:t>
      </w:r>
      <w:r>
        <w:t xml:space="preserve">-</w:t>
      </w:r>
      <w:r>
        <w:t xml:space="preserve"> </w:t>
      </w:r>
      <w:r>
        <w:rPr>
          <w:b/>
          <w:bCs/>
        </w:rPr>
        <w:t xml:space="preserve">Retain Whitmore’s sole ownership</w:t>
      </w:r>
      <w:r>
        <w:t xml:space="preserve"> </w:t>
      </w:r>
      <w:r>
        <w:t xml:space="preserve">of all derivative works, granting KBI only a</w:t>
      </w:r>
      <w:r>
        <w:t xml:space="preserve"> </w:t>
      </w:r>
      <w:r>
        <w:rPr>
          <w:b/>
          <w:bCs/>
        </w:rPr>
        <w:t xml:space="preserve">non-exclusive, non-transferable license to use</w:t>
      </w:r>
      <w:r>
        <w:t xml:space="preserve"> </w:t>
      </w:r>
      <w:r>
        <w:t xml:space="preserve">the derivatives for its internal integration purposes.</w:t>
      </w:r>
      <w:r>
        <w:t xml:space="preserve"> </w:t>
      </w:r>
      <w:r>
        <w:t xml:space="preserve">- Alternatively, if joint ownership is a commercial concession,</w:t>
      </w:r>
      <w:r>
        <w:t xml:space="preserve"> </w:t>
      </w:r>
      <w:r>
        <w:rPr>
          <w:b/>
          <w:bCs/>
        </w:rPr>
        <w:t xml:space="preserve">restrict KBI’s exploitation rights</w:t>
      </w:r>
      <w:r>
        <w:t xml:space="preserve"> </w:t>
      </w:r>
      <w:r>
        <w:t xml:space="preserve">to internal manufacturing use only (no sublicensing to third parties, no commercial exploitation), and</w:t>
      </w:r>
      <w:r>
        <w:t xml:space="preserve"> </w:t>
      </w:r>
      <w:r>
        <w:rPr>
          <w:b/>
          <w:bCs/>
        </w:rPr>
        <w:t xml:space="preserve">reconcile the</w:t>
      </w:r>
      <w:r>
        <w:rPr>
          <w:b/>
          <w:bCs/>
        </w:rPr>
        <w:t xml:space="preserve"> </w:t>
      </w:r>
      <w:r>
        <w:rPr>
          <w:b/>
          <w:bCs/>
        </w:rPr>
        <w:t xml:space="preserve">“</w:t>
      </w:r>
      <w:r>
        <w:rPr>
          <w:b/>
          <w:bCs/>
        </w:rPr>
        <w:t xml:space="preserve">without consent</w:t>
      </w:r>
      <w:r>
        <w:rPr>
          <w:b/>
          <w:bCs/>
        </w:rPr>
        <w:t xml:space="preserve">”</w:t>
      </w:r>
      <w:r>
        <w:rPr>
          <w:b/>
          <w:bCs/>
        </w:rPr>
        <w:t xml:space="preserve"> </w:t>
      </w:r>
      <w:r>
        <w:rPr>
          <w:b/>
          <w:bCs/>
        </w:rPr>
        <w:t xml:space="preserve">language with German co-ownership law</w:t>
      </w:r>
      <w:r>
        <w:t xml:space="preserve"> </w:t>
      </w:r>
      <w:r>
        <w:t xml:space="preserve">(e.g., mutual-consent requirement for third-party exploitation).</w:t>
      </w:r>
      <w:r>
        <w:t xml:space="preserve"> </w:t>
      </w:r>
      <w:r>
        <w:t xml:space="preserve">-</w:t>
      </w:r>
      <w:r>
        <w:t xml:space="preserve"> </w:t>
      </w:r>
      <w:r>
        <w:rPr>
          <w:b/>
          <w:bCs/>
        </w:rPr>
        <w:t xml:space="preserve">Define</w:t>
      </w:r>
      <w:r>
        <w:rPr>
          <w:b/>
          <w:bCs/>
        </w:rPr>
        <w:t xml:space="preserve"> </w:t>
      </w:r>
      <w:r>
        <w:rPr>
          <w:b/>
          <w:bCs/>
        </w:rPr>
        <w:t xml:space="preserve">“</w:t>
      </w:r>
      <w:r>
        <w:rPr>
          <w:b/>
          <w:bCs/>
        </w:rPr>
        <w:t xml:space="preserve">derivative work</w:t>
      </w:r>
      <w:r>
        <w:rPr>
          <w:b/>
          <w:bCs/>
        </w:rPr>
        <w:t xml:space="preserve">”</w:t>
      </w:r>
      <w:r>
        <w:rPr>
          <w:b/>
          <w:bCs/>
        </w:rPr>
        <w:t xml:space="preserve"> </w:t>
      </w:r>
      <w:r>
        <w:rPr>
          <w:b/>
          <w:bCs/>
        </w:rPr>
        <w:t xml:space="preserve">narrowly</w:t>
      </w:r>
      <w:r>
        <w:t xml:space="preserve"> </w:t>
      </w:r>
      <w:r>
        <w:t xml:space="preserve">to API-integration code only, excluding any modifications to PredictIQ’s core algorithms, models, or source code.</w:t>
      </w:r>
    </w:p>
    <w:bookmarkEnd w:id="28"/>
    <w:bookmarkStart w:id="29" w:name="Xded24f1e5f278a4c4685fc29530b179d7ce26ad"/>
    <w:p>
      <w:pPr>
        <w:pStyle w:val="Heading4"/>
      </w:pPr>
      <w:r>
        <w:t xml:space="preserve">H-3. Feedback / KBI-Inspired Improvements Provisions Are Internally Contradictory</w:t>
      </w:r>
    </w:p>
    <w:p>
      <w:pPr>
        <w:pStyle w:val="FirstParagraph"/>
      </w:pPr>
      <w:r>
        <w:rPr>
          <w:b/>
          <w:bCs/>
        </w:rPr>
        <w:t xml:space="preserve">Citations:</w:t>
      </w:r>
      <w:r>
        <w:t xml:space="preserve"> </w:t>
      </w:r>
      <w:r>
        <w:t xml:space="preserve">Term Sheet §§ 3.4, 3.5.</w:t>
      </w:r>
    </w:p>
    <w:p>
      <w:pPr>
        <w:pStyle w:val="BodyText"/>
      </w:pPr>
      <w:r>
        <w:rPr>
          <w:b/>
          <w:bCs/>
        </w:rPr>
        <w:t xml:space="preserve">What the documents say.</w:t>
      </w:r>
      <w:r>
        <w:t xml:space="preserve"> </w:t>
      </w:r>
      <w:r>
        <w:t xml:space="preserve">§ 3.4 assigns all</w:t>
      </w:r>
      <w:r>
        <w:t xml:space="preserve"> </w:t>
      </w:r>
      <w:r>
        <w:t xml:space="preserve">“</w:t>
      </w:r>
      <w:r>
        <w:t xml:space="preserve">Feedback</w:t>
      </w:r>
      <w:r>
        <w:t xml:space="preserve">”</w:t>
      </w:r>
      <w:r>
        <w:t xml:space="preserve"> </w:t>
      </w:r>
      <w:r>
        <w:t xml:space="preserve">(suggestions, enhancement requests, recommendations, improvements) to Whitmore as Whitmore’s</w:t>
      </w:r>
      <w:r>
        <w:t xml:space="preserve"> </w:t>
      </w:r>
      <w:r>
        <w:t xml:space="preserve">“</w:t>
      </w:r>
      <w:r>
        <w:t xml:space="preserve">sole and exclusive property,</w:t>
      </w:r>
      <w:r>
        <w:t xml:space="preserve">”</w:t>
      </w:r>
      <w:r>
        <w:t xml:space="preserve"> </w:t>
      </w:r>
      <w:r>
        <w:t xml:space="preserve">free for Whitmore to exploit. § 3.5 grants KBI a perpetual, royalty-free license to any</w:t>
      </w:r>
      <w:r>
        <w:t xml:space="preserve"> </w:t>
      </w:r>
      <w:r>
        <w:t xml:space="preserve">“</w:t>
      </w:r>
      <w:r>
        <w:t xml:space="preserve">KBI-Inspired Improvements</w:t>
      </w:r>
      <w:r>
        <w:t xml:space="preserve">”</w:t>
      </w:r>
      <w:r>
        <w:t xml:space="preserve"> </w:t>
      </w:r>
      <w:r>
        <w:t xml:space="preserve">— improvements</w:t>
      </w:r>
      <w:r>
        <w:t xml:space="preserve"> </w:t>
      </w:r>
      <w:r>
        <w:t xml:space="preserve">“</w:t>
      </w:r>
      <w:r>
        <w:t xml:space="preserve">derived from or inspired by KBI’s operational data, manufacturing processes, or use of the PredictIQ platform</w:t>
      </w:r>
      <w:r>
        <w:t xml:space="preserve">”</w:t>
      </w:r>
      <w:r>
        <w:t xml:space="preserve"> </w:t>
      </w:r>
      <w:r>
        <w:t xml:space="preserve">—</w:t>
      </w:r>
      <w:r>
        <w:t xml:space="preserve"> </w:t>
      </w:r>
      <w:r>
        <w:t xml:space="preserve">“</w:t>
      </w:r>
      <w:r>
        <w:t xml:space="preserve">regardless of whether such improvements were developed in response to Feedback provided by KBI.</w:t>
      </w:r>
      <w:r>
        <w:t xml:space="preserve">”</w:t>
      </w:r>
    </w:p>
    <w:p>
      <w:pPr>
        <w:pStyle w:val="BodyText"/>
      </w:pPr>
      <w:r>
        <w:rPr>
          <w:b/>
          <w:bCs/>
        </w:rPr>
        <w:t xml:space="preserve">Why it matters.</w:t>
      </w:r>
      <w:r>
        <w:t xml:space="preserve"> </w:t>
      </w:r>
      <w:r>
        <w:t xml:space="preserve">The two provisions are in tension: § 3.4 says Feedback (and improvements built on it) belong to Whitmore; § 3.5 says improvements</w:t>
      </w:r>
      <w:r>
        <w:t xml:space="preserve"> </w:t>
      </w:r>
      <w:r>
        <w:t xml:space="preserve">“</w:t>
      </w:r>
      <w:r>
        <w:t xml:space="preserve">inspired by</w:t>
      </w:r>
      <w:r>
        <w:t xml:space="preserve">”</w:t>
      </w:r>
      <w:r>
        <w:t xml:space="preserve"> </w:t>
      </w:r>
      <w:r>
        <w:t xml:space="preserve">KBI’s data or use — including those developed in response to Feedback — are licensed back to KBI royalty-free. The</w:t>
      </w:r>
      <w:r>
        <w:t xml:space="preserve"> </w:t>
      </w:r>
      <w:r>
        <w:t xml:space="preserve">“</w:t>
      </w:r>
      <w:r>
        <w:t xml:space="preserve">inspired by</w:t>
      </w:r>
      <w:r>
        <w:t xml:space="preserve">”</w:t>
      </w:r>
      <w:r>
        <w:t xml:space="preserve"> </w:t>
      </w:r>
      <w:r>
        <w:t xml:space="preserve">standard is so elastic that nearly any improvement Whitmore makes after working with KBI could be argued to fall within § 3.5, undermining Whitmore’s ability to monetize its own product roadmap. This compounds the data-rights cluster (CR-1).</w:t>
      </w:r>
    </w:p>
    <w:p>
      <w:pPr>
        <w:pStyle w:val="BodyText"/>
      </w:pPr>
      <w:r>
        <w:rPr>
          <w:b/>
          <w:bCs/>
        </w:rPr>
        <w:t xml:space="preserve">Recommendation.</w:t>
      </w:r>
      <w:r>
        <w:t xml:space="preserve"> </w:t>
      </w:r>
      <w:r>
        <w:t xml:space="preserve">-</w:t>
      </w:r>
      <w:r>
        <w:t xml:space="preserve"> </w:t>
      </w:r>
      <w:r>
        <w:rPr>
          <w:b/>
          <w:bCs/>
        </w:rPr>
        <w:t xml:space="preserve">Reconcile §§ 3.4 and 3.5</w:t>
      </w:r>
      <w:r>
        <w:t xml:space="preserve"> </w:t>
      </w:r>
      <w:r>
        <w:t xml:space="preserve">so that Whitmore owns all Feedback and all general product improvements, and KBI receives a license only to improvements</w:t>
      </w:r>
      <w:r>
        <w:t xml:space="preserve"> </w:t>
      </w:r>
      <w:r>
        <w:rPr>
          <w:i/>
          <w:iCs/>
        </w:rPr>
        <w:t xml:space="preserve">specific to KBI’s proprietary processes or data</w:t>
      </w:r>
      <w:r>
        <w:t xml:space="preserve"> </w:t>
      </w:r>
      <w:r>
        <w:t xml:space="preserve">(not general product functionality).</w:t>
      </w:r>
      <w:r>
        <w:t xml:space="preserve"> </w:t>
      </w:r>
      <w:r>
        <w:t xml:space="preserve">-</w:t>
      </w:r>
      <w:r>
        <w:t xml:space="preserve"> </w:t>
      </w:r>
      <w:r>
        <w:rPr>
          <w:b/>
          <w:bCs/>
        </w:rPr>
        <w:t xml:space="preserve">Replace</w:t>
      </w:r>
      <w:r>
        <w:rPr>
          <w:b/>
          <w:bCs/>
        </w:rPr>
        <w:t xml:space="preserve"> </w:t>
      </w:r>
      <w:r>
        <w:rPr>
          <w:b/>
          <w:bCs/>
        </w:rPr>
        <w:t xml:space="preserve">“</w:t>
      </w:r>
      <w:r>
        <w:rPr>
          <w:b/>
          <w:bCs/>
        </w:rPr>
        <w:t xml:space="preserve">inspired by</w:t>
      </w:r>
      <w:r>
        <w:rPr>
          <w:b/>
          <w:bCs/>
        </w:rPr>
        <w:t xml:space="preserve">”</w:t>
      </w:r>
      <w:r>
        <w:t xml:space="preserve"> </w:t>
      </w:r>
      <w:r>
        <w:t xml:space="preserve">with a tighter</w:t>
      </w:r>
      <w:r>
        <w:t xml:space="preserve"> </w:t>
      </w:r>
      <w:r>
        <w:t xml:space="preserve">“</w:t>
      </w:r>
      <w:r>
        <w:t xml:space="preserve">derived from and specific to</w:t>
      </w:r>
      <w:r>
        <w:t xml:space="preserve">”</w:t>
      </w:r>
      <w:r>
        <w:t xml:space="preserve"> </w:t>
      </w:r>
      <w:r>
        <w:t xml:space="preserve">standard.</w:t>
      </w:r>
      <w:r>
        <w:t xml:space="preserve"> </w:t>
      </w:r>
      <w:r>
        <w:t xml:space="preserve">-</w:t>
      </w:r>
      <w:r>
        <w:t xml:space="preserve"> </w:t>
      </w:r>
      <w:r>
        <w:rPr>
          <w:b/>
          <w:bCs/>
        </w:rPr>
        <w:t xml:space="preserve">Carve out general product roadmap items</w:t>
      </w:r>
      <w:r>
        <w:t xml:space="preserve"> </w:t>
      </w:r>
      <w:r>
        <w:t xml:space="preserve">from the § 3.5 license-back.</w:t>
      </w:r>
    </w:p>
    <w:bookmarkEnd w:id="29"/>
    <w:bookmarkStart w:id="30" w:name="Xe59d25c969a94b814275198a8b8f65761e766d6"/>
    <w:p>
      <w:pPr>
        <w:pStyle w:val="Heading4"/>
      </w:pPr>
      <w:r>
        <w:t xml:space="preserve">H-4. Source-Code Escrow Release Triggers Are Too Broad</w:t>
      </w:r>
    </w:p>
    <w:p>
      <w:pPr>
        <w:pStyle w:val="FirstParagraph"/>
      </w:pPr>
      <w:r>
        <w:rPr>
          <w:b/>
          <w:bCs/>
        </w:rPr>
        <w:t xml:space="preserve">Citations:</w:t>
      </w:r>
      <w:r>
        <w:t xml:space="preserve"> </w:t>
      </w:r>
      <w:r>
        <w:t xml:space="preserve">Term Sheet §§ 11.1, 11.2, 11.3; cross-reference § 7.5.</w:t>
      </w:r>
    </w:p>
    <w:p>
      <w:pPr>
        <w:pStyle w:val="BodyText"/>
      </w:pPr>
      <w:r>
        <w:rPr>
          <w:b/>
          <w:bCs/>
        </w:rPr>
        <w:t xml:space="preserve">What the documents say.</w:t>
      </w:r>
      <w:r>
        <w:t xml:space="preserve"> </w:t>
      </w:r>
      <w:r>
        <w:t xml:space="preserve">Whitmore must deposit complete source code, build tools, and documentation with Meridian Escrow Services LLC within 60 days, updated annually and on each major release (§ 11.1). Release to KBI occurs on: (a) Whitmore’s insolvency/bankruptcy; (b) Whitmore’s</w:t>
      </w:r>
      <w:r>
        <w:t xml:space="preserve"> </w:t>
      </w:r>
      <w:r>
        <w:t xml:space="preserve">“</w:t>
      </w:r>
      <w:r>
        <w:t xml:space="preserve">material breach … that remains uncured for a period of sixty (60) days following written notice</w:t>
      </w:r>
      <w:r>
        <w:t xml:space="preserve">”</w:t>
      </w:r>
      <w:r>
        <w:t xml:space="preserve">; (c) cessation of business; or (d)</w:t>
      </w:r>
      <w:r>
        <w:t xml:space="preserve"> </w:t>
      </w:r>
      <w:r>
        <w:t xml:space="preserve">“</w:t>
      </w:r>
      <w:r>
        <w:t xml:space="preserve">failure to provide maintenance and support services … for a period of ninety (90) consecutive days</w:t>
      </w:r>
      <w:r>
        <w:t xml:space="preserve">”</w:t>
      </w:r>
      <w:r>
        <w:t xml:space="preserve"> </w:t>
      </w:r>
      <w:r>
        <w:t xml:space="preserve">(§ 11.2). On release, KBI gets a</w:t>
      </w:r>
      <w:r>
        <w:t xml:space="preserve"> </w:t>
      </w:r>
      <w:r>
        <w:t xml:space="preserve">“</w:t>
      </w:r>
      <w:r>
        <w:t xml:space="preserve">perpetual, irrevocable, fully paid-up, royalty-free license to use, modify, compile, and deploy the source code</w:t>
      </w:r>
      <w:r>
        <w:t xml:space="preserve">”</w:t>
      </w:r>
      <w:r>
        <w:t xml:space="preserve"> </w:t>
      </w:r>
      <w:r>
        <w:t xml:space="preserve">(§ 11.3).</w:t>
      </w:r>
    </w:p>
    <w:p>
      <w:pPr>
        <w:pStyle w:val="BodyText"/>
      </w:pPr>
      <w:r>
        <w:rPr>
          <w:b/>
          <w:bCs/>
        </w:rPr>
        <w:t xml:space="preserve">Why it matters.</w:t>
      </w:r>
      <w:r>
        <w:t xml:space="preserve"> </w:t>
      </w:r>
      <w:r>
        <w:t xml:space="preserve">Source code is Whitmore’s crown-jewel IP. The release triggers are too easily satisfied: (i) the § 11.2(b)</w:t>
      </w:r>
      <w:r>
        <w:t xml:space="preserve"> </w:t>
      </w:r>
      <w:r>
        <w:t xml:space="preserve">“</w:t>
      </w:r>
      <w:r>
        <w:t xml:space="preserve">material breach uncured for 60 days</w:t>
      </w:r>
      <w:r>
        <w:t xml:space="preserve">”</w:t>
      </w:r>
      <w:r>
        <w:t xml:space="preserve"> </w:t>
      </w:r>
      <w:r>
        <w:t xml:space="preserve">trigger is a</w:t>
      </w:r>
      <w:r>
        <w:t xml:space="preserve"> </w:t>
      </w:r>
      <w:r>
        <w:rPr>
          <w:b/>
          <w:bCs/>
        </w:rPr>
        <w:t xml:space="preserve">lower threshold than termination for cause</w:t>
      </w:r>
      <w:r>
        <w:t xml:space="preserve"> </w:t>
      </w:r>
      <w:r>
        <w:t xml:space="preserve">(§ 13.2 requires 90-day notice / 60-day cure) and contains no dispute-resolution gate — a disputed or unadjudicated breach could trigger release of the full source code;</w:t>
      </w:r>
      <w:r>
        <w:t xml:space="preserve"> </w:t>
      </w:r>
      <w:r>
        <w:t xml:space="preserve">“</w:t>
      </w:r>
      <w:r>
        <w:t xml:space="preserve">material breach</w:t>
      </w:r>
      <w:r>
        <w:t xml:space="preserve">”</w:t>
      </w:r>
      <w:r>
        <w:t xml:space="preserve"> </w:t>
      </w:r>
      <w:r>
        <w:t xml:space="preserve">is also undefined. (ii) The § 11.2(d) 90-day maintenance-failure trigger can be</w:t>
      </w:r>
      <w:r>
        <w:t xml:space="preserve"> </w:t>
      </w:r>
      <w:r>
        <w:rPr>
          <w:b/>
          <w:bCs/>
        </w:rPr>
        <w:t xml:space="preserve">inadvertently triggered by Whitmore’s own suspension right</w:t>
      </w:r>
      <w:r>
        <w:t xml:space="preserve">: § 7.5 permits Whitmore to suspend maintenance for KBI’s non-payment on 30 days’ notice; if KBI does not cure and the suspension continues 90 days, KBI could invoke § 11.2(d) to obtain the source code — turning Whitmore’s self-help remedy into an escrow-release event. (iii) The post-release license (§ 11.3) is perpetual and royalty-free, so any release event effectively gives KBI the source code forever.</w:t>
      </w:r>
    </w:p>
    <w:p>
      <w:pPr>
        <w:pStyle w:val="BodyText"/>
      </w:pPr>
      <w:r>
        <w:rPr>
          <w:b/>
          <w:bCs/>
        </w:rPr>
        <w:t xml:space="preserve">Recommendation.</w:t>
      </w:r>
      <w:r>
        <w:t xml:space="preserve"> </w:t>
      </w:r>
      <w:r>
        <w:t xml:space="preserve">-</w:t>
      </w:r>
      <w:r>
        <w:t xml:space="preserve"> </w:t>
      </w:r>
      <w:r>
        <w:rPr>
          <w:b/>
          <w:bCs/>
        </w:rPr>
        <w:t xml:space="preserve">Gate the § 11.2(b) breach trigger</w:t>
      </w:r>
      <w:r>
        <w:t xml:space="preserve"> </w:t>
      </w:r>
      <w:r>
        <w:t xml:space="preserve">on a final, non-appealable determination (e.g., an ICC arbitral award) that a material breach occurred and remains uncured; extend the cure period; and define</w:t>
      </w:r>
      <w:r>
        <w:t xml:space="preserve"> </w:t>
      </w:r>
      <w:r>
        <w:t xml:space="preserve">“</w:t>
      </w:r>
      <w:r>
        <w:t xml:space="preserve">material breach.</w:t>
      </w:r>
      <w:r>
        <w:t xml:space="preserve">”</w:t>
      </w:r>
      <w:r>
        <w:t xml:space="preserve"> </w:t>
      </w:r>
      <w:r>
        <w:t xml:space="preserve">-</w:t>
      </w:r>
      <w:r>
        <w:t xml:space="preserve"> </w:t>
      </w:r>
      <w:r>
        <w:rPr>
          <w:b/>
          <w:bCs/>
        </w:rPr>
        <w:t xml:space="preserve">Carve out § 7.5 suspension-for-non-payment</w:t>
      </w:r>
      <w:r>
        <w:t xml:space="preserve"> </w:t>
      </w:r>
      <w:r>
        <w:t xml:space="preserve">from the § 11.2(d) trigger so that a Whitmore suspension caused by KBI’s non-payment cannot constitute a</w:t>
      </w:r>
      <w:r>
        <w:t xml:space="preserve"> </w:t>
      </w:r>
      <w:r>
        <w:t xml:space="preserve">“</w:t>
      </w:r>
      <w:r>
        <w:t xml:space="preserve">failure to provide maintenance.</w:t>
      </w:r>
      <w:r>
        <w:t xml:space="preserve">”</w:t>
      </w:r>
      <w:r>
        <w:t xml:space="preserve"> </w:t>
      </w:r>
      <w:r>
        <w:t xml:space="preserve">-</w:t>
      </w:r>
      <w:r>
        <w:t xml:space="preserve"> </w:t>
      </w:r>
      <w:r>
        <w:rPr>
          <w:b/>
          <w:bCs/>
        </w:rPr>
        <w:t xml:space="preserve">Limit the post-release license (§ 11.3)</w:t>
      </w:r>
      <w:r>
        <w:t xml:space="preserve"> </w:t>
      </w:r>
      <w:r>
        <w:t xml:space="preserve">to a time-limited, internal-use license for business continuity, rather than a perpetual royalty-free license to use, modify, compile, and deploy.</w:t>
      </w:r>
      <w:r>
        <w:t xml:space="preserve"> </w:t>
      </w:r>
      <w:r>
        <w:t xml:space="preserve">-</w:t>
      </w:r>
      <w:r>
        <w:t xml:space="preserve"> </w:t>
      </w:r>
      <w:r>
        <w:rPr>
          <w:b/>
          <w:bCs/>
        </w:rPr>
        <w:t xml:space="preserve">Confirm escrow deposit scope</w:t>
      </w:r>
      <w:r>
        <w:t xml:space="preserve"> </w:t>
      </w:r>
      <w:r>
        <w:t xml:space="preserve">is appropriate (source code + build tools is standard for business-critical SaaS, but ensure the deposit does not include unrelated Whitmore IP).</w:t>
      </w:r>
    </w:p>
    <w:bookmarkEnd w:id="30"/>
    <w:bookmarkStart w:id="31" w:name="X907e0bfa277c8041ce4b432fa9511dae3c574a3"/>
    <w:p>
      <w:pPr>
        <w:pStyle w:val="Heading4"/>
      </w:pPr>
      <w:r>
        <w:t xml:space="preserve">H-5. Performance Warranty with Financial Penalties Is Over-Rigid</w:t>
      </w:r>
    </w:p>
    <w:p>
      <w:pPr>
        <w:pStyle w:val="FirstParagraph"/>
      </w:pPr>
      <w:r>
        <w:rPr>
          <w:b/>
          <w:bCs/>
        </w:rPr>
        <w:t xml:space="preserve">Citations:</w:t>
      </w:r>
      <w:r>
        <w:t xml:space="preserve"> </w:t>
      </w:r>
      <w:r>
        <w:t xml:space="preserve">Term Sheet §§ 8.2, 8.3, 13.4.</w:t>
      </w:r>
    </w:p>
    <w:p>
      <w:pPr>
        <w:pStyle w:val="BodyText"/>
      </w:pPr>
      <w:r>
        <w:rPr>
          <w:b/>
          <w:bCs/>
        </w:rPr>
        <w:t xml:space="preserve">What the documents say.</w:t>
      </w:r>
      <w:r>
        <w:t xml:space="preserve"> </w:t>
      </w:r>
      <w:r>
        <w:t xml:space="preserve">Whitmore warrants ≥92% prediction accuracy on a rolling 90-day basis across all deployed facilities, measured as the percentage of equipment-failure events correctly predicted ≥48 hours in advance against KBI’s maintenance logs (§ 8.2). Remedies: a credit of 5% of the quarterly SaaS fee ($35,625) per percentage point below 92% (§ 8.3(a)); and termination for cause if accuracy falls below 85% for two consecutive quarters (§ 8.3(b), § 13.4).</w:t>
      </w:r>
    </w:p>
    <w:p>
      <w:pPr>
        <w:pStyle w:val="BodyText"/>
      </w:pPr>
      <w:r>
        <w:rPr>
          <w:b/>
          <w:bCs/>
        </w:rPr>
        <w:t xml:space="preserve">Why it matters.</w:t>
      </w:r>
      <w:r>
        <w:t xml:space="preserve"> </w:t>
      </w:r>
      <w:r>
        <w:t xml:space="preserve">Prediction accuracy in predictive maintenance is highly sensitive to factors largely outside Whitmore’s control: data quality, sensor calibration and placement, environmental variables, and the completeness/accuracy of KBI’s maintenance logs (which are KBI-controlled and form the measurement baseline). A hard 92% metric with financial penalties is unusual and risky. The credit mechanism has</w:t>
      </w:r>
      <w:r>
        <w:t xml:space="preserve"> </w:t>
      </w:r>
      <w:r>
        <w:rPr>
          <w:b/>
          <w:bCs/>
        </w:rPr>
        <w:t xml:space="preserve">no aggregate cap</w:t>
      </w:r>
      <w:r>
        <w:t xml:space="preserve">: at 85% accuracy (7 points below target), credits equal $249,375/quarter — approximately 35% of the quarterly SaaS fee — and could exceed the fee at lower accuracy levels. The termination trigger (§ 13.4) is also undercut by the perpetual wind-down license (H-1): even if KBI terminates for performance failure, KBI retains perpetual use.</w:t>
      </w:r>
    </w:p>
    <w:p>
      <w:pPr>
        <w:pStyle w:val="BodyText"/>
      </w:pPr>
      <w:r>
        <w:rPr>
          <w:b/>
          <w:bCs/>
        </w:rPr>
        <w:t xml:space="preserve">Recommendation.</w:t>
      </w:r>
      <w:r>
        <w:t xml:space="preserve"> </w:t>
      </w:r>
      <w:r>
        <w:t xml:space="preserve">-</w:t>
      </w:r>
      <w:r>
        <w:t xml:space="preserve"> </w:t>
      </w:r>
      <w:r>
        <w:rPr>
          <w:b/>
          <w:bCs/>
        </w:rPr>
        <w:t xml:space="preserve">Soften the metric</w:t>
      </w:r>
      <w:r>
        <w:t xml:space="preserve"> </w:t>
      </w:r>
      <w:r>
        <w:t xml:space="preserve">to a</w:t>
      </w:r>
      <w:r>
        <w:t xml:space="preserve"> </w:t>
      </w:r>
      <w:r>
        <w:t xml:space="preserve">“</w:t>
      </w:r>
      <w:r>
        <w:t xml:space="preserve">commercially reasonable efforts</w:t>
      </w:r>
      <w:r>
        <w:t xml:space="preserve">”</w:t>
      </w:r>
      <w:r>
        <w:t xml:space="preserve"> </w:t>
      </w:r>
      <w:r>
        <w:t xml:space="preserve">target or a lower threshold (e.g., 85–88%), with accuracy measured over a longer rolling period (e.g., 180 days) to smooth volatility.</w:t>
      </w:r>
      <w:r>
        <w:t xml:space="preserve"> </w:t>
      </w:r>
      <w:r>
        <w:t xml:space="preserve">-</w:t>
      </w:r>
      <w:r>
        <w:t xml:space="preserve"> </w:t>
      </w:r>
      <w:r>
        <w:rPr>
          <w:b/>
          <w:bCs/>
        </w:rPr>
        <w:t xml:space="preserve">Add causation/dependency qualifiers:</w:t>
      </w:r>
      <w:r>
        <w:t xml:space="preserve"> </w:t>
      </w:r>
      <w:r>
        <w:t xml:space="preserve">exclude periods or facilities where accuracy is materially affected by KBI-caused factors (sensor failures, data-quality issues, incomplete maintenance logs, facility unavailability).</w:t>
      </w:r>
      <w:r>
        <w:t xml:space="preserve"> </w:t>
      </w:r>
      <w:r>
        <w:t xml:space="preserve">-</w:t>
      </w:r>
      <w:r>
        <w:t xml:space="preserve"> </w:t>
      </w:r>
      <w:r>
        <w:rPr>
          <w:b/>
          <w:bCs/>
        </w:rPr>
        <w:t xml:space="preserve">Cap aggregate performance credits</w:t>
      </w:r>
      <w:r>
        <w:t xml:space="preserve"> </w:t>
      </w:r>
      <w:r>
        <w:t xml:space="preserve">(e.g., at 25–50% of the quarterly SaaS fee) and clarify that credits are the sole remedy for performance shortfalls (not a predicate for damages).</w:t>
      </w:r>
      <w:r>
        <w:t xml:space="preserve"> </w:t>
      </w:r>
      <w:r>
        <w:t xml:space="preserve">-</w:t>
      </w:r>
      <w:r>
        <w:t xml:space="preserve"> </w:t>
      </w:r>
      <w:r>
        <w:rPr>
          <w:b/>
          <w:bCs/>
        </w:rPr>
        <w:t xml:space="preserve">Define the measurement methodology</w:t>
      </w:r>
      <w:r>
        <w:t xml:space="preserve"> </w:t>
      </w:r>
      <w:r>
        <w:t xml:space="preserve">precisely (baseline data, event classification, exclusions) and require mutual agreement on the measurement process.</w:t>
      </w:r>
      <w:r>
        <w:t xml:space="preserve"> </w:t>
      </w:r>
      <w:r>
        <w:t xml:space="preserve">-</w:t>
      </w:r>
      <w:r>
        <w:t xml:space="preserve"> </w:t>
      </w:r>
      <w:r>
        <w:rPr>
          <w:b/>
          <w:bCs/>
        </w:rPr>
        <w:t xml:space="preserve">Coordinate with H-1</w:t>
      </w:r>
      <w:r>
        <w:t xml:space="preserve"> </w:t>
      </w:r>
      <w:r>
        <w:t xml:space="preserve">so that a performance-failure termination does not trigger the perpetual wind-down license.</w:t>
      </w:r>
    </w:p>
    <w:bookmarkEnd w:id="31"/>
    <w:bookmarkStart w:id="32" w:name="h-6.-implementation-cash-flow-mismatch"/>
    <w:p>
      <w:pPr>
        <w:pStyle w:val="Heading4"/>
      </w:pPr>
      <w:r>
        <w:t xml:space="preserve">H-6. Implementation Cash-Flow Mismatch</w:t>
      </w:r>
    </w:p>
    <w:p>
      <w:pPr>
        <w:pStyle w:val="FirstParagraph"/>
      </w:pPr>
      <w:r>
        <w:rPr>
          <w:b/>
          <w:bCs/>
        </w:rPr>
        <w:t xml:space="preserve">Citations:</w:t>
      </w:r>
      <w:r>
        <w:t xml:space="preserve"> </w:t>
      </w:r>
      <w:r>
        <w:t xml:space="preserve">Term Sheet §§ 5.1, 5.3, 6.2.</w:t>
      </w:r>
    </w:p>
    <w:p>
      <w:pPr>
        <w:pStyle w:val="BodyText"/>
      </w:pPr>
      <w:r>
        <w:rPr>
          <w:b/>
          <w:bCs/>
        </w:rPr>
        <w:t xml:space="preserve">What the documents say.</w:t>
      </w:r>
      <w:r>
        <w:t xml:space="preserve"> </w:t>
      </w:r>
      <w:r>
        <w:t xml:space="preserve">The Initial License Fee is paid 30% at signing / 40% at Phase 1 completion (target March 15, 2026) / 30% at Phase 2 go-live (target March 15, 2027) (§ 5.1). The Implementation Services Fee is spread linearly over 18 months (~$97,222.22/month) (§ 5.3).</w:t>
      </w:r>
    </w:p>
    <w:p>
      <w:pPr>
        <w:pStyle w:val="BodyText"/>
      </w:pPr>
      <w:r>
        <w:rPr>
          <w:b/>
          <w:bCs/>
        </w:rPr>
        <w:t xml:space="preserve">Why it matters.</w:t>
      </w:r>
      <w:r>
        <w:t xml:space="preserve"> </w:t>
      </w:r>
      <w:r>
        <w:t xml:space="preserve">Management’s analysis (which we have confirmed) shows a first-six-month cash shortfall: inflows of ~$1,843,333 (signing payment $1,260,000 + six months of implementation fees ~$583,333) against estimated implementation costs of $2.5–3.0M (international deployment teams across 43 facilities in 12 countries), producing a</w:t>
      </w:r>
      <w:r>
        <w:t xml:space="preserve"> </w:t>
      </w:r>
      <w:r>
        <w:rPr>
          <w:b/>
          <w:bCs/>
        </w:rPr>
        <w:t xml:space="preserve">shortfall of approximately $700K–$1.2M</w:t>
      </w:r>
      <w:r>
        <w:t xml:space="preserve"> </w:t>
      </w:r>
      <w:r>
        <w:t xml:space="preserve">before the Phase 1 milestone payment. The CEO has confirmed Whitmore can absorb this from operating reserves but prefers not to fund a customer’s implementation from reserves when the contract can be structured to avoid it. The linear implementation-fee structure also raises ASC 606 revenue-recognition questions (linear payment vs. milestone-based delivery) that should be flagged to Whitmore’s auditors, Lakeshore Accounting Group LLP.</w:t>
      </w:r>
    </w:p>
    <w:p>
      <w:pPr>
        <w:pStyle w:val="BodyText"/>
      </w:pPr>
      <w:r>
        <w:rPr>
          <w:b/>
          <w:bCs/>
        </w:rPr>
        <w:t xml:space="preserve">Recommendation.</w:t>
      </w:r>
      <w:r>
        <w:t xml:space="preserve"> </w:t>
      </w:r>
      <w:r>
        <w:t xml:space="preserve">-</w:t>
      </w:r>
      <w:r>
        <w:t xml:space="preserve"> </w:t>
      </w:r>
      <w:r>
        <w:rPr>
          <w:b/>
          <w:bCs/>
        </w:rPr>
        <w:t xml:space="preserve">Restructure the license-fee split to 40/30/30</w:t>
      </w:r>
      <w:r>
        <w:t xml:space="preserve"> </w:t>
      </w:r>
      <w:r>
        <w:t xml:space="preserve">(40% at signing = $1,680,000; 30% at Phase 1 = $1,260,000; 30% at Phase 2 = $1,260,000) to front-load cash to match the cost profile (management’s proposed structure).</w:t>
      </w:r>
      <w:r>
        <w:t xml:space="preserve"> </w:t>
      </w:r>
      <w:r>
        <w:t xml:space="preserve">-</w:t>
      </w:r>
      <w:r>
        <w:t xml:space="preserve"> </w:t>
      </w:r>
      <w:r>
        <w:rPr>
          <w:b/>
          <w:bCs/>
        </w:rPr>
        <w:t xml:space="preserve">Front-load the implementation fee</w:t>
      </w:r>
      <w:r>
        <w:t xml:space="preserve"> </w:t>
      </w:r>
      <w:r>
        <w:t xml:space="preserve">(e.g., 40% in the first six months rather than linear monthly).</w:t>
      </w:r>
      <w:r>
        <w:t xml:space="preserve"> </w:t>
      </w:r>
      <w:r>
        <w:t xml:space="preserve">-</w:t>
      </w:r>
      <w:r>
        <w:t xml:space="preserve"> </w:t>
      </w:r>
      <w:r>
        <w:rPr>
          <w:b/>
          <w:bCs/>
        </w:rPr>
        <w:t xml:space="preserve">Consider a separate implementation Statement of Work</w:t>
      </w:r>
      <w:r>
        <w:t xml:space="preserve"> </w:t>
      </w:r>
      <w:r>
        <w:t xml:space="preserve">with its own milestone-based payment schedule, which better matches cash inflows to resource expenditure and yields cleaner ASC 606 accounting treatment (General Counsel’s structural suggestion, endorsed by the CEO).</w:t>
      </w:r>
      <w:r>
        <w:t xml:space="preserve"> </w:t>
      </w:r>
      <w:r>
        <w:t xml:space="preserve">-</w:t>
      </w:r>
      <w:r>
        <w:t xml:space="preserve"> </w:t>
      </w:r>
      <w:r>
        <w:rPr>
          <w:b/>
          <w:bCs/>
        </w:rPr>
        <w:t xml:space="preserve">Add KBI-caused-delay protections</w:t>
      </w:r>
      <w:r>
        <w:t xml:space="preserve"> </w:t>
      </w:r>
      <w:r>
        <w:t xml:space="preserve">(see M-9): if Phase 1 completion is delayed by KBI (facilities not ready, SCADA/MES non-compliant, access denied), the milestone payment should not be delayed and Whitmore should be entitled to schedule relief and cost recovery.</w:t>
      </w:r>
    </w:p>
    <w:bookmarkEnd w:id="32"/>
    <w:bookmarkStart w:id="33" w:name="h-7.-asymmetric-indemnification-caps"/>
    <w:p>
      <w:pPr>
        <w:pStyle w:val="Heading4"/>
      </w:pPr>
      <w:r>
        <w:t xml:space="preserve">H-7. Asymmetric Indemnification Caps</w:t>
      </w:r>
    </w:p>
    <w:p>
      <w:pPr>
        <w:pStyle w:val="FirstParagraph"/>
      </w:pPr>
      <w:r>
        <w:rPr>
          <w:b/>
          <w:bCs/>
        </w:rPr>
        <w:t xml:space="preserve">Citations:</w:t>
      </w:r>
      <w:r>
        <w:t xml:space="preserve"> </w:t>
      </w:r>
      <w:r>
        <w:t xml:space="preserve">Term Sheet §§ 9.1, 9.3, 10.1, 10.3.</w:t>
      </w:r>
    </w:p>
    <w:p>
      <w:pPr>
        <w:pStyle w:val="BodyText"/>
      </w:pPr>
      <w:r>
        <w:rPr>
          <w:b/>
          <w:bCs/>
        </w:rPr>
        <w:t xml:space="preserve">What the documents say.</w:t>
      </w:r>
      <w:r>
        <w:t xml:space="preserve"> </w:t>
      </w:r>
      <w:r>
        <w:t xml:space="preserve">Whitmore’s IP indemnity (§ 9.1) is uncapped (§ 10.3(A)). KBI’s indemnity to Whitmore (§ 9.3, for unauthorized use and KBI Data/systems claims) is</w:t>
      </w:r>
      <w:r>
        <w:t xml:space="preserve"> </w:t>
      </w:r>
      <w:r>
        <w:rPr>
          <w:b/>
          <w:bCs/>
        </w:rPr>
        <w:t xml:space="preserve">not</w:t>
      </w:r>
      <w:r>
        <w:t xml:space="preserve"> </w:t>
      </w:r>
      <w:r>
        <w:t xml:space="preserve">carved out of the general cap and is therefore subject to the § 10.1 cap.</w:t>
      </w:r>
    </w:p>
    <w:p>
      <w:pPr>
        <w:pStyle w:val="BodyText"/>
      </w:pPr>
      <w:r>
        <w:rPr>
          <w:b/>
          <w:bCs/>
        </w:rPr>
        <w:t xml:space="preserve">Why it matters.</w:t>
      </w:r>
      <w:r>
        <w:t xml:space="preserve"> </w:t>
      </w:r>
      <w:r>
        <w:t xml:space="preserve">The indemnity structure is one-sided: Whitmore bears uncapped IP-infringement liability while KBI’s indemnity to Whitmore is capped. This asymmetry should be corrected as part of the CR-4 renegotiation.</w:t>
      </w:r>
    </w:p>
    <w:p>
      <w:pPr>
        <w:pStyle w:val="BodyText"/>
      </w:pPr>
      <w:r>
        <w:rPr>
          <w:b/>
          <w:bCs/>
        </w:rPr>
        <w:t xml:space="preserve">Recommendation.</w:t>
      </w:r>
      <w:r>
        <w:t xml:space="preserve"> </w:t>
      </w:r>
      <w:r>
        <w:t xml:space="preserve">Either cap Whitmore’s IP indemnity symmetrically with KBI’s, or carve out KBI’s indemnity from the cap on a mutual basis. At minimum, ensure the indemnity obligations are reciprocal in scope and cap treatment.</w:t>
      </w:r>
    </w:p>
    <w:bookmarkEnd w:id="33"/>
    <w:bookmarkStart w:id="34" w:name="X6dc0ed4fbb390578f7ab49e6d39d4c79deedb6e"/>
    <w:p>
      <w:pPr>
        <w:pStyle w:val="Heading4"/>
      </w:pPr>
      <w:r>
        <w:t xml:space="preserve">H-8. Liability Cap Level and German-Law Gross-Negligence Gap</w:t>
      </w:r>
    </w:p>
    <w:p>
      <w:pPr>
        <w:pStyle w:val="FirstParagraph"/>
      </w:pPr>
      <w:r>
        <w:rPr>
          <w:b/>
          <w:bCs/>
        </w:rPr>
        <w:t xml:space="preserve">Citations:</w:t>
      </w:r>
      <w:r>
        <w:t xml:space="preserve"> </w:t>
      </w:r>
      <w:r>
        <w:t xml:space="preserve">Term Sheet §§ 10.1, 10.2, 10.3, 14.1.</w:t>
      </w:r>
    </w:p>
    <w:p>
      <w:pPr>
        <w:pStyle w:val="BodyText"/>
      </w:pPr>
      <w:r>
        <w:rPr>
          <w:b/>
          <w:bCs/>
        </w:rPr>
        <w:t xml:space="preserve">What the documents say.</w:t>
      </w:r>
      <w:r>
        <w:t xml:space="preserve"> </w:t>
      </w:r>
      <w:r>
        <w:t xml:space="preserve">The general cap is the greater of 2× trailing-12-month fees or $15,000,000 (§ 10.1). Consequential damages are excluded (§ 10.2), with exceptions for Whitmore’s IP indemnity, confidentiality breaches, and willful misconduct/fraud (§ 10.3).</w:t>
      </w:r>
    </w:p>
    <w:p>
      <w:pPr>
        <w:pStyle w:val="BodyText"/>
      </w:pPr>
      <w:r>
        <w:rPr>
          <w:b/>
          <w:bCs/>
        </w:rPr>
        <w:t xml:space="preserve">Why it matters.</w:t>
      </w:r>
      <w:r>
        <w:t xml:space="preserve"> </w:t>
      </w:r>
      <w:r>
        <w:t xml:space="preserve">The $15,000,000 floor is approximately 31% of Whitmore’s FY 2024 revenue — a meaningful exposure for a vendor, and the</w:t>
      </w:r>
      <w:r>
        <w:t xml:space="preserve"> </w:t>
      </w:r>
      <w:r>
        <w:t xml:space="preserve">“</w:t>
      </w:r>
      <w:r>
        <w:t xml:space="preserve">greater of</w:t>
      </w:r>
      <w:r>
        <w:t xml:space="preserve">”</w:t>
      </w:r>
      <w:r>
        <w:t xml:space="preserve"> </w:t>
      </w:r>
      <w:r>
        <w:t xml:space="preserve">formulation means the cap rises with fees. The § 10.3(C) exception covers</w:t>
      </w:r>
      <w:r>
        <w:t xml:space="preserve"> </w:t>
      </w:r>
      <w:r>
        <w:t xml:space="preserve">“</w:t>
      </w:r>
      <w:r>
        <w:t xml:space="preserve">willful misconduct or fraud</w:t>
      </w:r>
      <w:r>
        <w:t xml:space="preserve">”</w:t>
      </w:r>
      <w:r>
        <w:t xml:space="preserve"> </w:t>
      </w:r>
      <w:r>
        <w:t xml:space="preserve">but</w:t>
      </w:r>
      <w:r>
        <w:t xml:space="preserve"> </w:t>
      </w:r>
      <w:r>
        <w:rPr>
          <w:b/>
          <w:bCs/>
        </w:rPr>
        <w:t xml:space="preserve">not gross negligence</w:t>
      </w:r>
      <w:r>
        <w:t xml:space="preserve">; under German law, liability for gross negligence (</w:t>
      </w:r>
      <w:r>
        <w:rPr>
          <w:i/>
          <w:iCs/>
        </w:rPr>
        <w:t xml:space="preserve">grobe Fahrlässigkeit</w:t>
      </w:r>
      <w:r>
        <w:t xml:space="preserve">) generally cannot be excluded, so the cap and consequential-damages exclusion may be partially unenforceable for gross-negligence claims — a gap that should be addressed with German-law specialists. The exclusion of</w:t>
      </w:r>
      <w:r>
        <w:t xml:space="preserve"> </w:t>
      </w:r>
      <w:r>
        <w:t xml:space="preserve">“</w:t>
      </w:r>
      <w:r>
        <w:t xml:space="preserve">loss of data</w:t>
      </w:r>
      <w:r>
        <w:t xml:space="preserve">”</w:t>
      </w:r>
      <w:r>
        <w:t xml:space="preserve"> </w:t>
      </w:r>
      <w:r>
        <w:t xml:space="preserve">as consequential damages is favorable to Whitmore but may be limited by German mandatory law for data-related claims.</w:t>
      </w:r>
    </w:p>
    <w:p>
      <w:pPr>
        <w:pStyle w:val="BodyText"/>
      </w:pPr>
      <w:r>
        <w:rPr>
          <w:b/>
          <w:bCs/>
        </w:rPr>
        <w:t xml:space="preserve">Recommendation.</w:t>
      </w:r>
      <w:r>
        <w:t xml:space="preserve"> </w:t>
      </w:r>
      <w:r>
        <w:t xml:space="preserve">-</w:t>
      </w:r>
      <w:r>
        <w:t xml:space="preserve"> </w:t>
      </w:r>
      <w:r>
        <w:rPr>
          <w:b/>
          <w:bCs/>
        </w:rPr>
        <w:t xml:space="preserve">Seek to lower the cap</w:t>
      </w:r>
      <w:r>
        <w:t xml:space="preserve"> </w:t>
      </w:r>
      <w:r>
        <w:t xml:space="preserve">(e.g., 1× trailing-12-month fees, or a lower fixed amount) as a negotiating position.</w:t>
      </w:r>
      <w:r>
        <w:t xml:space="preserve"> </w:t>
      </w:r>
      <w:r>
        <w:t xml:space="preserve">-</w:t>
      </w:r>
      <w:r>
        <w:t xml:space="preserve"> </w:t>
      </w:r>
      <w:r>
        <w:rPr>
          <w:b/>
          <w:bCs/>
        </w:rPr>
        <w:t xml:space="preserve">Address the gross-negligence gap</w:t>
      </w:r>
      <w:r>
        <w:t xml:space="preserve"> </w:t>
      </w:r>
      <w:r>
        <w:t xml:space="preserve">with German-law counsel: consider whether to expressly preserve gross-negligence liability (to avoid invalidity of the entire limitation) or structure the limitation to comply with §§ 307, 309 BGB if AGB rules apply.</w:t>
      </w:r>
      <w:r>
        <w:t xml:space="preserve"> </w:t>
      </w:r>
      <w:r>
        <w:t xml:space="preserve">-</w:t>
      </w:r>
      <w:r>
        <w:t xml:space="preserve"> </w:t>
      </w:r>
      <w:r>
        <w:rPr>
          <w:b/>
          <w:bCs/>
        </w:rPr>
        <w:t xml:space="preserve">Confirm the consequential-damages exclusion</w:t>
      </w:r>
      <w:r>
        <w:t xml:space="preserve"> </w:t>
      </w:r>
      <w:r>
        <w:t xml:space="preserve">is enforceable under German law for the claim types at issue (data, business interruption).</w:t>
      </w:r>
    </w:p>
    <w:bookmarkEnd w:id="34"/>
    <w:bookmarkStart w:id="35" w:name="X4f87036011a9ed9b7ced21c4f61f717d9ff3da2"/>
    <w:p>
      <w:pPr>
        <w:pStyle w:val="Heading4"/>
      </w:pPr>
      <w:r>
        <w:t xml:space="preserve">H-9. Perpetual Term with No Whitmore Termination-for-Convenience Right</w:t>
      </w:r>
    </w:p>
    <w:p>
      <w:pPr>
        <w:pStyle w:val="FirstParagraph"/>
      </w:pPr>
      <w:r>
        <w:rPr>
          <w:b/>
          <w:bCs/>
        </w:rPr>
        <w:t xml:space="preserve">Citations:</w:t>
      </w:r>
      <w:r>
        <w:t xml:space="preserve"> </w:t>
      </w:r>
      <w:r>
        <w:t xml:space="preserve">Term Sheet §§ 13.1, 13.2, 13.3.</w:t>
      </w:r>
    </w:p>
    <w:p>
      <w:pPr>
        <w:pStyle w:val="BodyText"/>
      </w:pPr>
      <w:r>
        <w:rPr>
          <w:b/>
          <w:bCs/>
        </w:rPr>
        <w:t xml:space="preserve">What the documents say.</w:t>
      </w:r>
      <w:r>
        <w:t xml:space="preserve"> </w:t>
      </w:r>
      <w:r>
        <w:t xml:space="preserve">The term is perpetual (§ 13.1). Either party may terminate for cause (90-day notice / 60-day cure) (§ 13.2).</w:t>
      </w:r>
      <w:r>
        <w:t xml:space="preserve"> </w:t>
      </w:r>
      <w:r>
        <w:rPr>
          <w:b/>
          <w:bCs/>
        </w:rPr>
        <w:t xml:space="preserve">Only KBI</w:t>
      </w:r>
      <w:r>
        <w:t xml:space="preserve"> </w:t>
      </w:r>
      <w:r>
        <w:t xml:space="preserve">may terminate for convenience (12-month notice, not before the third anniversary) (§ 13.3). Whitmore has no termination-for-convenience right.</w:t>
      </w:r>
    </w:p>
    <w:p>
      <w:pPr>
        <w:pStyle w:val="BodyText"/>
      </w:pPr>
      <w:r>
        <w:rPr>
          <w:b/>
          <w:bCs/>
        </w:rPr>
        <w:t xml:space="preserve">Why it matters.</w:t>
      </w:r>
      <w:r>
        <w:t xml:space="preserve"> </w:t>
      </w:r>
      <w:r>
        <w:t xml:space="preserve">Whitmore is locked into a perpetual agreement with perpetual service obligations (SaaS, maintenance — § 7.4 continues</w:t>
      </w:r>
      <w:r>
        <w:t xml:space="preserve"> </w:t>
      </w:r>
      <w:r>
        <w:t xml:space="preserve">“</w:t>
      </w:r>
      <w:r>
        <w:t xml:space="preserve">for the duration of the license</w:t>
      </w:r>
      <w:r>
        <w:t xml:space="preserve">”</w:t>
      </w:r>
      <w:r>
        <w:t xml:space="preserve">) and can exit only if KBI materially breaches. KBI, by contrast, can walk away for convenience after Year 3 (while retaining the perpetual wind-down license — H-1). This is a significant asymmetry, particularly given Whitmore’s potential future corporate transactions (Series C, possible acquisition/IPO).</w:t>
      </w:r>
    </w:p>
    <w:p>
      <w:pPr>
        <w:pStyle w:val="BodyText"/>
      </w:pPr>
      <w:r>
        <w:rPr>
          <w:b/>
          <w:bCs/>
        </w:rPr>
        <w:t xml:space="preserve">Recommendation.</w:t>
      </w:r>
      <w:r>
        <w:t xml:space="preserve"> </w:t>
      </w:r>
      <w:r>
        <w:t xml:space="preserve">-</w:t>
      </w:r>
      <w:r>
        <w:t xml:space="preserve"> </w:t>
      </w:r>
      <w:r>
        <w:rPr>
          <w:b/>
          <w:bCs/>
        </w:rPr>
        <w:t xml:space="preserve">Add a mutual termination-for-convenience right</w:t>
      </w:r>
      <w:r>
        <w:t xml:space="preserve"> </w:t>
      </w:r>
      <w:r>
        <w:t xml:space="preserve">(or at least a Whitmore right to exit the SaaS/maintenance components after a defined term, e.g., 5 years, on 12 months’ notice).</w:t>
      </w:r>
      <w:r>
        <w:t xml:space="preserve"> </w:t>
      </w:r>
      <w:r>
        <w:t xml:space="preserve">-</w:t>
      </w:r>
      <w:r>
        <w:t xml:space="preserve"> </w:t>
      </w:r>
      <w:r>
        <w:rPr>
          <w:b/>
          <w:bCs/>
        </w:rPr>
        <w:t xml:space="preserve">Define a finite term</w:t>
      </w:r>
      <w:r>
        <w:t xml:space="preserve"> </w:t>
      </w:r>
      <w:r>
        <w:t xml:space="preserve">for the SaaS subscription and maintenance obligations (e.g., an initial 5-year term with renewals), rather than perpetual service obligations, while preserving the perpetual</w:t>
      </w:r>
      <w:r>
        <w:t xml:space="preserve"> </w:t>
      </w:r>
      <w:r>
        <w:rPr>
          <w:i/>
          <w:iCs/>
        </w:rPr>
        <w:t xml:space="preserve">license</w:t>
      </w:r>
      <w:r>
        <w:t xml:space="preserve"> </w:t>
      </w:r>
      <w:r>
        <w:t xml:space="preserve">grant if commercially required.</w:t>
      </w:r>
      <w:r>
        <w:t xml:space="preserve"> </w:t>
      </w:r>
      <w:r>
        <w:t xml:space="preserve">-</w:t>
      </w:r>
      <w:r>
        <w:t xml:space="preserve"> </w:t>
      </w:r>
      <w:r>
        <w:rPr>
          <w:b/>
          <w:bCs/>
        </w:rPr>
        <w:t xml:space="preserve">Coordinate with the assignment provision (M-7)</w:t>
      </w:r>
      <w:r>
        <w:t xml:space="preserve"> </w:t>
      </w:r>
      <w:r>
        <w:t xml:space="preserve">to preserve Whitmore’s corporate flexibility.</w:t>
      </w:r>
    </w:p>
    <w:bookmarkEnd w:id="35"/>
    <w:bookmarkStart w:id="36" w:name="h-10.-assignment-asymmetry"/>
    <w:p>
      <w:pPr>
        <w:pStyle w:val="Heading4"/>
      </w:pPr>
      <w:r>
        <w:t xml:space="preserve">H-10. Assignment Asymmetry</w:t>
      </w:r>
    </w:p>
    <w:p>
      <w:pPr>
        <w:pStyle w:val="FirstParagraph"/>
      </w:pPr>
      <w:r>
        <w:rPr>
          <w:b/>
          <w:bCs/>
        </w:rPr>
        <w:t xml:space="preserve">Citations:</w:t>
      </w:r>
      <w:r>
        <w:t xml:space="preserve"> </w:t>
      </w:r>
      <w:r>
        <w:t xml:space="preserve">Term Sheet § 16.6.</w:t>
      </w:r>
    </w:p>
    <w:p>
      <w:pPr>
        <w:pStyle w:val="BodyText"/>
      </w:pPr>
      <w:r>
        <w:rPr>
          <w:b/>
          <w:bCs/>
        </w:rPr>
        <w:t xml:space="preserve">What the documents say.</w:t>
      </w:r>
      <w:r>
        <w:t xml:space="preserve"> </w:t>
      </w:r>
      <w:r>
        <w:t xml:space="preserve">Neither party may assign without consent,</w:t>
      </w:r>
      <w:r>
        <w:t xml:space="preserve"> </w:t>
      </w:r>
      <w:r>
        <w:t xml:space="preserve">“</w:t>
      </w:r>
      <w:r>
        <w:t xml:space="preserve">except that KBI may assign to any affiliate or in connection with a merger, acquisition, or sale of all or substantially all of its assets.</w:t>
      </w:r>
      <w:r>
        <w:t xml:space="preserve">”</w:t>
      </w:r>
      <w:r>
        <w:t xml:space="preserve"> </w:t>
      </w:r>
      <w:r>
        <w:t xml:space="preserve">Whitmore has no equivalent exception.</w:t>
      </w:r>
    </w:p>
    <w:p>
      <w:pPr>
        <w:pStyle w:val="BodyText"/>
      </w:pPr>
      <w:r>
        <w:rPr>
          <w:b/>
          <w:bCs/>
        </w:rPr>
        <w:t xml:space="preserve">Why it matters.</w:t>
      </w:r>
      <w:r>
        <w:t xml:space="preserve"> </w:t>
      </w:r>
      <w:r>
        <w:t xml:space="preserve">Given Whitmore’s anticipated Series C and potential future acquisition or IPO, the inability to assign in connection with a corporate transaction could impede financing or a sale of the company. KBI’s reciprocal right creates a one-sided flexibility advantage.</w:t>
      </w:r>
    </w:p>
    <w:p>
      <w:pPr>
        <w:pStyle w:val="BodyText"/>
      </w:pPr>
      <w:r>
        <w:rPr>
          <w:b/>
          <w:bCs/>
        </w:rPr>
        <w:t xml:space="preserve">Recommendation.</w:t>
      </w:r>
      <w:r>
        <w:t xml:space="preserve"> </w:t>
      </w:r>
      <w:r>
        <w:rPr>
          <w:b/>
          <w:bCs/>
        </w:rPr>
        <w:t xml:space="preserve">Add a reciprocal assignment right for Whitmore</w:t>
      </w:r>
      <w:r>
        <w:t xml:space="preserve"> </w:t>
      </w:r>
      <w:r>
        <w:t xml:space="preserve">— to affiliates and in connection with a merger, acquisition, sale of substantially all assets, or financing. This is essential to preserve Whitmore’s corporate flexibility and should be non-negotiable from Whitmore’s perspective.</w:t>
      </w:r>
    </w:p>
    <w:bookmarkEnd w:id="36"/>
    <w:bookmarkStart w:id="37" w:name="Xc34045beb7d36d2c3376e6d5d18eda496ee5658"/>
    <w:p>
      <w:pPr>
        <w:pStyle w:val="Heading4"/>
      </w:pPr>
      <w:r>
        <w:t xml:space="preserve">H-11. German Governing Law — Specialist Review Required</w:t>
      </w:r>
    </w:p>
    <w:p>
      <w:pPr>
        <w:pStyle w:val="FirstParagraph"/>
      </w:pPr>
      <w:r>
        <w:rPr>
          <w:b/>
          <w:bCs/>
        </w:rPr>
        <w:t xml:space="preserve">Citations:</w:t>
      </w:r>
      <w:r>
        <w:t xml:space="preserve"> </w:t>
      </w:r>
      <w:r>
        <w:t xml:space="preserve">Term Sheet § 14.1; cross-references §§ 9.1, 10.1–10.3, 12, 3.3.</w:t>
      </w:r>
    </w:p>
    <w:p>
      <w:pPr>
        <w:pStyle w:val="BodyText"/>
      </w:pPr>
      <w:r>
        <w:rPr>
          <w:b/>
          <w:bCs/>
        </w:rPr>
        <w:t xml:space="preserve">What the documents say.</w:t>
      </w:r>
      <w:r>
        <w:t xml:space="preserve"> </w:t>
      </w:r>
      <w:r>
        <w:t xml:space="preserve">German law governs, without regard to conflicts-of-law principles (§ 14.1).</w:t>
      </w:r>
    </w:p>
    <w:p>
      <w:pPr>
        <w:pStyle w:val="BodyText"/>
      </w:pPr>
      <w:r>
        <w:rPr>
          <w:b/>
          <w:bCs/>
        </w:rPr>
        <w:t xml:space="preserve">Why it matters.</w:t>
      </w:r>
      <w:r>
        <w:t xml:space="preserve"> </w:t>
      </w:r>
      <w:r>
        <w:t xml:space="preserve">German governing law engages several Whitmore-unfavorable consequences: (i) potential partial unenforceability of liability limitations for gross negligence (H-8); (ii) tension between the</w:t>
      </w:r>
      <w:r>
        <w:t xml:space="preserve"> </w:t>
      </w:r>
      <w:r>
        <w:t xml:space="preserve">“</w:t>
      </w:r>
      <w:r>
        <w:t xml:space="preserve">without consent</w:t>
      </w:r>
      <w:r>
        <w:t xml:space="preserve">”</w:t>
      </w:r>
      <w:r>
        <w:t xml:space="preserve"> </w:t>
      </w:r>
      <w:r>
        <w:t xml:space="preserve">joint-ownership exploitation language and German co-ownership law (H-2); (iii) competition-law exposure for the exclusivity under the GWB and Art. 101 TFEU (CR-2); (iv) AGB content-control risk if the Definitive Agreement is treated as standard terms; and (v) home-turf advantage for KBI (a German entity). The CEO has requested specialist advice and has suggested pushing for Washington state law (Whitmore’s domicile) or a neutral jurisdiction (England or Switzerland).</w:t>
      </w:r>
    </w:p>
    <w:p>
      <w:pPr>
        <w:pStyle w:val="BodyText"/>
      </w:pPr>
      <w:r>
        <w:rPr>
          <w:b/>
          <w:bCs/>
        </w:rPr>
        <w:t xml:space="preserve">Recommendation.</w:t>
      </w:r>
      <w:r>
        <w:t xml:space="preserve"> </w:t>
      </w:r>
      <w:r>
        <w:t xml:space="preserve">-</w:t>
      </w:r>
      <w:r>
        <w:t xml:space="preserve"> </w:t>
      </w:r>
      <w:r>
        <w:rPr>
          <w:b/>
          <w:bCs/>
        </w:rPr>
        <w:t xml:space="preserve">Engage German-law specialists</w:t>
      </w:r>
      <w:r>
        <w:t xml:space="preserve"> </w:t>
      </w:r>
      <w:r>
        <w:t xml:space="preserve">to assess enforceability of the liability regime, IP/ownership provisions, and exclusivity.</w:t>
      </w:r>
      <w:r>
        <w:t xml:space="preserve"> </w:t>
      </w:r>
      <w:r>
        <w:t xml:space="preserve">-</w:t>
      </w:r>
      <w:r>
        <w:t xml:space="preserve"> </w:t>
      </w:r>
      <w:r>
        <w:rPr>
          <w:b/>
          <w:bCs/>
        </w:rPr>
        <w:t xml:space="preserve">Negotiate a governing-law change</w:t>
      </w:r>
      <w:r>
        <w:t xml:space="preserve"> </w:t>
      </w:r>
      <w:r>
        <w:t xml:space="preserve">to Washington state law (Whitmore’s domicile) as a first position, with a neutral jurisdiction (England or Switzerland) as a fallback. If German law is retained, structure the Definitive Agreement to mitigate the risks above (e.g., individual negotiation of key terms to avoid AGB content control; express gross-negligence carve-outs).</w:t>
      </w:r>
      <w:r>
        <w:t xml:space="preserve"> </w:t>
      </w:r>
      <w:r>
        <w:t xml:space="preserve">-</w:t>
      </w:r>
      <w:r>
        <w:t xml:space="preserve"> </w:t>
      </w:r>
      <w:r>
        <w:rPr>
          <w:b/>
          <w:bCs/>
        </w:rPr>
        <w:t xml:space="preserve">Note the arbitration seat (Zurich) is already neutral</w:t>
      </w:r>
      <w:r>
        <w:t xml:space="preserve"> </w:t>
      </w:r>
      <w:r>
        <w:t xml:space="preserve">(§ 14.2); if German substantive law is retained, the neutral arbitral seat provides some balance.</w:t>
      </w:r>
    </w:p>
    <w:p>
      <w:r>
        <w:pict>
          <v:rect style="width:0;height:1.5pt" o:hralign="center" o:hrstd="t" o:hr="t"/>
        </w:pict>
      </w:r>
    </w:p>
    <w:bookmarkEnd w:id="37"/>
    <w:bookmarkEnd w:id="38"/>
    <w:bookmarkStart w:id="51" w:name="X2699baabcd9d208f3176be2ac35f553d8bcc5c1"/>
    <w:p>
      <w:pPr>
        <w:pStyle w:val="Heading3"/>
      </w:pPr>
      <w:r>
        <w:t xml:space="preserve">C. Medium Risks (Yellow) — Targeted Negotiation</w:t>
      </w:r>
    </w:p>
    <w:bookmarkStart w:id="39" w:name="Xf095d234f63e98c501cb0b56d320d1a5ab29703"/>
    <w:p>
      <w:pPr>
        <w:pStyle w:val="Heading4"/>
      </w:pPr>
      <w:r>
        <w:t xml:space="preserve">M-1. Expansion Pricing Locks In No-License-Fee Economics for 5 Years</w:t>
      </w:r>
    </w:p>
    <w:p>
      <w:pPr>
        <w:pStyle w:val="FirstParagraph"/>
      </w:pPr>
      <w:r>
        <w:rPr>
          <w:b/>
          <w:bCs/>
        </w:rPr>
        <w:t xml:space="preserve">Citations:</w:t>
      </w:r>
      <w:r>
        <w:t xml:space="preserve"> </w:t>
      </w:r>
      <w:r>
        <w:t xml:space="preserve">Term Sheet §§ 2 (Expansion Right), 5.7.</w:t>
      </w:r>
    </w:p>
    <w:p>
      <w:pPr>
        <w:pStyle w:val="BodyText"/>
      </w:pPr>
      <w:r>
        <w:rPr>
          <w:b/>
          <w:bCs/>
        </w:rPr>
        <w:t xml:space="preserve">What the documents say.</w:t>
      </w:r>
      <w:r>
        <w:t xml:space="preserve"> </w:t>
      </w:r>
      <w:r>
        <w:t xml:space="preserve">For 5 years post-execution, KBI may deploy PredictIQ at newly acquired facilities</w:t>
      </w:r>
      <w:r>
        <w:t xml:space="preserve"> </w:t>
      </w:r>
      <w:r>
        <w:t xml:space="preserve">“</w:t>
      </w:r>
      <w:r>
        <w:t xml:space="preserve">at the same per-facility commercial terms … without any additional license fee, calculated pro rata based on 43 facilities</w:t>
      </w:r>
      <w:r>
        <w:t xml:space="preserve">”</w:t>
      </w:r>
      <w:r>
        <w:t xml:space="preserve"> </w:t>
      </w:r>
      <w:r>
        <w:t xml:space="preserve">(§ 5.7).</w:t>
      </w:r>
    </w:p>
    <w:p>
      <w:pPr>
        <w:pStyle w:val="BodyText"/>
      </w:pPr>
      <w:r>
        <w:rPr>
          <w:b/>
          <w:bCs/>
        </w:rPr>
        <w:t xml:space="preserve">Why it matters.</w:t>
      </w:r>
      <w:r>
        <w:t xml:space="preserve"> </w:t>
      </w:r>
      <w:r>
        <w:t xml:space="preserve">The $4.2M Initial License Fee is effectively a one-time fee that does not scale with additional facilities. Newly acquired facilities get the same economics with no license-fee uplift — only pro-rata SaaS/maintenance. Combined with the MFC (CR-3), this double-constrains Whitmore’s pricing for the KBI relationship and any expansion.</w:t>
      </w:r>
    </w:p>
    <w:p>
      <w:pPr>
        <w:pStyle w:val="BodyText"/>
      </w:pPr>
      <w:r>
        <w:rPr>
          <w:b/>
          <w:bCs/>
        </w:rPr>
        <w:t xml:space="preserve">Recommendation.</w:t>
      </w:r>
      <w:r>
        <w:t xml:space="preserve"> </w:t>
      </w:r>
      <w:r>
        <w:t xml:space="preserve">Negotiate a per-facility license-fee component for expansions (or a reduced additional license fee), and tie expansion pricing to then-current list pricing rather than a 5-year frozen rate. Limit the expansion right to facilities acquired in bona fide M&amp;A (not greenfield builds).</w:t>
      </w:r>
    </w:p>
    <w:bookmarkEnd w:id="39"/>
    <w:bookmarkStart w:id="40" w:name="Xc4e3c1ea11677517199a6f9c5be86d5976c4985"/>
    <w:p>
      <w:pPr>
        <w:pStyle w:val="Heading4"/>
      </w:pPr>
      <w:r>
        <w:t xml:space="preserve">M-2. Exclusivity Scope Extends to Successor/Replacement Products and Survives Termination</w:t>
      </w:r>
    </w:p>
    <w:p>
      <w:pPr>
        <w:pStyle w:val="FirstParagraph"/>
      </w:pPr>
      <w:r>
        <w:rPr>
          <w:b/>
          <w:bCs/>
        </w:rPr>
        <w:t xml:space="preserve">Citations:</w:t>
      </w:r>
      <w:r>
        <w:t xml:space="preserve"> </w:t>
      </w:r>
      <w:r>
        <w:t xml:space="preserve">Term Sheet §§ 12.3, 12.4.</w:t>
      </w:r>
    </w:p>
    <w:p>
      <w:pPr>
        <w:pStyle w:val="BodyText"/>
      </w:pPr>
      <w:r>
        <w:rPr>
          <w:b/>
          <w:bCs/>
        </w:rPr>
        <w:t xml:space="preserve">What the documents say.</w:t>
      </w:r>
      <w:r>
        <w:t xml:space="preserve"> </w:t>
      </w:r>
      <w:r>
        <w:t xml:space="preserve">The exclusivity applies to</w:t>
      </w:r>
      <w:r>
        <w:t xml:space="preserve"> </w:t>
      </w:r>
      <w:r>
        <w:t xml:space="preserve">“</w:t>
      </w:r>
      <w:r>
        <w:t xml:space="preserve">any successor or replacement product offering substantially similar predictive maintenance functionality</w:t>
      </w:r>
      <w:r>
        <w:t xml:space="preserve">”</w:t>
      </w:r>
      <w:r>
        <w:t xml:space="preserve"> </w:t>
      </w:r>
      <w:r>
        <w:t xml:space="preserve">(§ 12.3) and survives termination for the remainder of the Exclusivity Period (§ 12.4).</w:t>
      </w:r>
    </w:p>
    <w:p>
      <w:pPr>
        <w:pStyle w:val="BodyText"/>
      </w:pPr>
      <w:r>
        <w:rPr>
          <w:b/>
          <w:bCs/>
        </w:rPr>
        <w:t xml:space="preserve">Why it matters.</w:t>
      </w:r>
      <w:r>
        <w:t xml:space="preserve"> </w:t>
      </w:r>
      <w:r>
        <w:t xml:space="preserve">Even a narrowed exclusivity should not capture future Whitmore products or survive a KBI-initiated termination. This extends the lockout beyond PredictIQ and beyond the deal itself.</w:t>
      </w:r>
    </w:p>
    <w:p>
      <w:pPr>
        <w:pStyle w:val="BodyText"/>
      </w:pPr>
      <w:r>
        <w:rPr>
          <w:b/>
          <w:bCs/>
        </w:rPr>
        <w:t xml:space="preserve">Recommendation.</w:t>
      </w:r>
      <w:r>
        <w:t xml:space="preserve"> </w:t>
      </w:r>
      <w:r>
        <w:t xml:space="preserve">Limit § 12.3 to the PredictIQ platform only; remove or narrow § 12.4 survival (at minimum, no survival on KBI termination for convenience). (Addressed as part of CR-2.)</w:t>
      </w:r>
    </w:p>
    <w:bookmarkEnd w:id="40"/>
    <w:bookmarkStart w:id="41" w:name="X0f69ddfd75f20054db6d4bb2812c0cec04b6b6d"/>
    <w:p>
      <w:pPr>
        <w:pStyle w:val="Heading4"/>
      </w:pPr>
      <w:r>
        <w:t xml:space="preserve">M-3. Maintenance Suspension Could Inadvertently Trigger Escrow Release</w:t>
      </w:r>
    </w:p>
    <w:p>
      <w:pPr>
        <w:pStyle w:val="FirstParagraph"/>
      </w:pPr>
      <w:r>
        <w:rPr>
          <w:b/>
          <w:bCs/>
        </w:rPr>
        <w:t xml:space="preserve">Citations:</w:t>
      </w:r>
      <w:r>
        <w:t xml:space="preserve"> </w:t>
      </w:r>
      <w:r>
        <w:t xml:space="preserve">Term Sheet §§ 7.5, 11.2(d).</w:t>
      </w:r>
    </w:p>
    <w:p>
      <w:pPr>
        <w:pStyle w:val="BodyText"/>
      </w:pPr>
      <w:r>
        <w:rPr>
          <w:b/>
          <w:bCs/>
        </w:rPr>
        <w:t xml:space="preserve">What the documents say.</w:t>
      </w:r>
      <w:r>
        <w:t xml:space="preserve"> </w:t>
      </w:r>
      <w:r>
        <w:t xml:space="preserve">Whitmore may suspend maintenance for KBI’s non-payment on 30 days’ notice (§ 7.5). Escrow releases on</w:t>
      </w:r>
      <w:r>
        <w:t xml:space="preserve"> </w:t>
      </w:r>
      <w:r>
        <w:t xml:space="preserve">“</w:t>
      </w:r>
      <w:r>
        <w:t xml:space="preserve">failure to provide maintenance and support services for a period of ninety (90) consecutive days</w:t>
      </w:r>
      <w:r>
        <w:t xml:space="preserve">”</w:t>
      </w:r>
      <w:r>
        <w:t xml:space="preserve"> </w:t>
      </w:r>
      <w:r>
        <w:t xml:space="preserve">(§ 11.2(d)).</w:t>
      </w:r>
    </w:p>
    <w:p>
      <w:pPr>
        <w:pStyle w:val="BodyText"/>
      </w:pPr>
      <w:r>
        <w:rPr>
          <w:b/>
          <w:bCs/>
        </w:rPr>
        <w:t xml:space="preserve">Why it matters.</w:t>
      </w:r>
      <w:r>
        <w:t xml:space="preserve"> </w:t>
      </w:r>
      <w:r>
        <w:t xml:space="preserve">A Whitmore suspension for KBI’s non-payment could, if it continues 90 days, satisfy the § 11.2(d) release trigger — converting Whitmore’s self-help remedy into a source-code release event.</w:t>
      </w:r>
    </w:p>
    <w:p>
      <w:pPr>
        <w:pStyle w:val="BodyText"/>
      </w:pPr>
      <w:r>
        <w:rPr>
          <w:b/>
          <w:bCs/>
        </w:rPr>
        <w:t xml:space="preserve">Recommendation.</w:t>
      </w:r>
      <w:r>
        <w:t xml:space="preserve"> </w:t>
      </w:r>
      <w:r>
        <w:t xml:space="preserve">Expressly carve out § 7.5 suspensions (and any suspension caused by KBI’s breach or non-payment) from the § 11.2(d) trigger. (Addressed as part of H-4.)</w:t>
      </w:r>
    </w:p>
    <w:bookmarkEnd w:id="41"/>
    <w:bookmarkStart w:id="42" w:name="X3d5952bddf77dd08c930fdfbd6a2bbfe2327b29"/>
    <w:p>
      <w:pPr>
        <w:pStyle w:val="Heading4"/>
      </w:pPr>
      <w:r>
        <w:t xml:space="preserve">M-4. Service Levels Are</w:t>
      </w:r>
      <w:r>
        <w:t xml:space="preserve"> </w:t>
      </w:r>
      <w:r>
        <w:t xml:space="preserve">“</w:t>
      </w:r>
      <w:r>
        <w:t xml:space="preserve">Soft</w:t>
      </w:r>
      <w:r>
        <w:t xml:space="preserve">”</w:t>
      </w:r>
      <w:r>
        <w:t xml:space="preserve"> </w:t>
      </w:r>
      <w:r>
        <w:t xml:space="preserve">While the Performance Warranty Is</w:t>
      </w:r>
      <w:r>
        <w:t xml:space="preserve"> </w:t>
      </w:r>
      <w:r>
        <w:t xml:space="preserve">“</w:t>
      </w:r>
      <w:r>
        <w:t xml:space="preserve">Hard</w:t>
      </w:r>
      <w:r>
        <w:t xml:space="preserve">”</w:t>
      </w:r>
    </w:p>
    <w:p>
      <w:pPr>
        <w:pStyle w:val="FirstParagraph"/>
      </w:pPr>
      <w:r>
        <w:rPr>
          <w:b/>
          <w:bCs/>
        </w:rPr>
        <w:t xml:space="preserve">Citations:</w:t>
      </w:r>
      <w:r>
        <w:t xml:space="preserve"> </w:t>
      </w:r>
      <w:r>
        <w:t xml:space="preserve">Term Sheet §§ 7.2, 8.2, 8.3.</w:t>
      </w:r>
    </w:p>
    <w:p>
      <w:pPr>
        <w:pStyle w:val="BodyText"/>
      </w:pPr>
      <w:r>
        <w:rPr>
          <w:b/>
          <w:bCs/>
        </w:rPr>
        <w:t xml:space="preserve">What the documents say.</w:t>
      </w:r>
      <w:r>
        <w:t xml:space="preserve"> </w:t>
      </w:r>
      <w:r>
        <w:t xml:space="preserve">SLAs are qualified by</w:t>
      </w:r>
      <w:r>
        <w:t xml:space="preserve"> </w:t>
      </w:r>
      <w:r>
        <w:t xml:space="preserve">“</w:t>
      </w:r>
      <w:r>
        <w:t xml:space="preserve">commercially reasonable efforts to achieve</w:t>
      </w:r>
      <w:r>
        <w:t xml:space="preserve">”</w:t>
      </w:r>
      <w:r>
        <w:t xml:space="preserve"> </w:t>
      </w:r>
      <w:r>
        <w:t xml:space="preserve">with no service-level credits (§ 7.2), while the 92% performance warranty carries financial credits and a termination trigger (§§ 8.2, 8.3).</w:t>
      </w:r>
    </w:p>
    <w:p>
      <w:pPr>
        <w:pStyle w:val="BodyText"/>
      </w:pPr>
      <w:r>
        <w:rPr>
          <w:b/>
          <w:bCs/>
        </w:rPr>
        <w:t xml:space="preserve">Why it matters.</w:t>
      </w:r>
      <w:r>
        <w:t xml:space="preserve"> </w:t>
      </w:r>
      <w:r>
        <w:t xml:space="preserve">The asymmetry is favorable to Whitmore on SLAs (soft obligations) but unfavorable on the performance warranty (hard penalties). The board should understand that Whitmore’s principal hard-performance exposure is the accuracy warranty, not the SLAs.</w:t>
      </w:r>
    </w:p>
    <w:p>
      <w:pPr>
        <w:pStyle w:val="BodyText"/>
      </w:pPr>
      <w:r>
        <w:rPr>
          <w:b/>
          <w:bCs/>
        </w:rPr>
        <w:t xml:space="preserve">Recommendation.</w:t>
      </w:r>
      <w:r>
        <w:t xml:space="preserve"> </w:t>
      </w:r>
      <w:r>
        <w:t xml:space="preserve">Retain the</w:t>
      </w:r>
      <w:r>
        <w:t xml:space="preserve"> </w:t>
      </w:r>
      <w:r>
        <w:t xml:space="preserve">“</w:t>
      </w:r>
      <w:r>
        <w:t xml:space="preserve">commercially reasonable efforts</w:t>
      </w:r>
      <w:r>
        <w:t xml:space="preserve">”</w:t>
      </w:r>
      <w:r>
        <w:t xml:space="preserve"> </w:t>
      </w:r>
      <w:r>
        <w:t xml:space="preserve">SLA formulation (favorable). Ensure no service-level credits are added in negotiation. Focus performance-warranty renegotiation per H-5.</w:t>
      </w:r>
    </w:p>
    <w:bookmarkEnd w:id="42"/>
    <w:bookmarkStart w:id="43" w:name="m-5.-binding-60-day-no-shop"/>
    <w:p>
      <w:pPr>
        <w:pStyle w:val="Heading4"/>
      </w:pPr>
      <w:r>
        <w:t xml:space="preserve">M-5. Binding 60-Day No-Shop</w:t>
      </w:r>
    </w:p>
    <w:p>
      <w:pPr>
        <w:pStyle w:val="FirstParagraph"/>
      </w:pPr>
      <w:r>
        <w:rPr>
          <w:b/>
          <w:bCs/>
        </w:rPr>
        <w:t xml:space="preserve">Citations:</w:t>
      </w:r>
      <w:r>
        <w:t xml:space="preserve"> </w:t>
      </w:r>
      <w:r>
        <w:t xml:space="preserve">Term Sheet §§ 16.1, 16.2.</w:t>
      </w:r>
    </w:p>
    <w:p>
      <w:pPr>
        <w:pStyle w:val="BodyText"/>
      </w:pPr>
      <w:r>
        <w:rPr>
          <w:b/>
          <w:bCs/>
        </w:rPr>
        <w:t xml:space="preserve">What the documents say.</w:t>
      </w:r>
      <w:r>
        <w:t xml:space="preserve"> </w:t>
      </w:r>
      <w:r>
        <w:t xml:space="preserve">Although the Term Sheet is non-binding, §§ 15 and 16 are binding (§ 16.1). § 16.2 imposes a 60-day exclusive-negotiation obligation (through July 28, 2025) prohibiting Whitmore from soliciting, entertaining, or accepting third-party proposals for a comparable European industrial tech-licensing transaction.</w:t>
      </w:r>
    </w:p>
    <w:p>
      <w:pPr>
        <w:pStyle w:val="BodyText"/>
      </w:pPr>
      <w:r>
        <w:rPr>
          <w:b/>
          <w:bCs/>
        </w:rPr>
        <w:t xml:space="preserve">Why it matters.</w:t>
      </w:r>
      <w:r>
        <w:t xml:space="preserve"> </w:t>
      </w:r>
      <w:r>
        <w:t xml:space="preserve">Whitmore is bound to exclusive negotiation for 60 days even though the commercial terms are non-binding — a meaningful pre-deal restriction that compounds the post-deal exclusivity (CR-2).</w:t>
      </w:r>
    </w:p>
    <w:p>
      <w:pPr>
        <w:pStyle w:val="BodyText"/>
      </w:pPr>
      <w:r>
        <w:rPr>
          <w:b/>
          <w:bCs/>
        </w:rPr>
        <w:t xml:space="preserve">Recommendation.</w:t>
      </w:r>
      <w:r>
        <w:t xml:space="preserve"> </w:t>
      </w:r>
      <w:r>
        <w:t xml:space="preserve">Accept the no-shop as a standard negotiation exclusivity, but (i) confirm it is limited to</w:t>
      </w:r>
      <w:r>
        <w:t xml:space="preserve"> </w:t>
      </w:r>
      <w:r>
        <w:t xml:space="preserve">“</w:t>
      </w:r>
      <w:r>
        <w:t xml:space="preserve">comparable … European industrial market</w:t>
      </w:r>
      <w:r>
        <w:t xml:space="preserve">”</w:t>
      </w:r>
      <w:r>
        <w:t xml:space="preserve"> </w:t>
      </w:r>
      <w:r>
        <w:t xml:space="preserve">transactions (not all PredictIQ deals), (ii) ensure it expires on July 28, 2025 regardless of deal status, and (iii) reserve the right to terminate negotiations if the red-line issues are not resolved.</w:t>
      </w:r>
    </w:p>
    <w:bookmarkEnd w:id="43"/>
    <w:bookmarkStart w:id="44" w:name="X35e239e17fa526227bf511cfc77c72daf097d6f"/>
    <w:p>
      <w:pPr>
        <w:pStyle w:val="Heading4"/>
      </w:pPr>
      <w:r>
        <w:t xml:space="preserve">M-6. Confidentiality Term May Be Insufficient for Trade Secrets</w:t>
      </w:r>
    </w:p>
    <w:p>
      <w:pPr>
        <w:pStyle w:val="FirstParagraph"/>
      </w:pPr>
      <w:r>
        <w:rPr>
          <w:b/>
          <w:bCs/>
        </w:rPr>
        <w:t xml:space="preserve">Citations:</w:t>
      </w:r>
      <w:r>
        <w:t xml:space="preserve"> </w:t>
      </w:r>
      <w:r>
        <w:t xml:space="preserve">Term Sheet § 15.4.</w:t>
      </w:r>
    </w:p>
    <w:p>
      <w:pPr>
        <w:pStyle w:val="BodyText"/>
      </w:pPr>
      <w:r>
        <w:rPr>
          <w:b/>
          <w:bCs/>
        </w:rPr>
        <w:t xml:space="preserve">What the documents say.</w:t>
      </w:r>
      <w:r>
        <w:t xml:space="preserve"> </w:t>
      </w:r>
      <w:r>
        <w:t xml:space="preserve">Confidentiality obligations survive termination for 5 years (§ 15.4).</w:t>
      </w:r>
    </w:p>
    <w:p>
      <w:pPr>
        <w:pStyle w:val="BodyText"/>
      </w:pPr>
      <w:r>
        <w:rPr>
          <w:b/>
          <w:bCs/>
        </w:rPr>
        <w:t xml:space="preserve">Why it matters.</w:t>
      </w:r>
      <w:r>
        <w:t xml:space="preserve"> </w:t>
      </w:r>
      <w:r>
        <w:t xml:space="preserve">A 5-year term is standard for general confidential information but may be insufficient for trade secrets (e.g., PredictIQ’s algorithms), which should remain protected for as long as they qualify as trade secrets.</w:t>
      </w:r>
    </w:p>
    <w:p>
      <w:pPr>
        <w:pStyle w:val="BodyText"/>
      </w:pPr>
      <w:r>
        <w:rPr>
          <w:b/>
          <w:bCs/>
        </w:rPr>
        <w:t xml:space="preserve">Recommendation.</w:t>
      </w:r>
      <w:r>
        <w:t xml:space="preserve"> </w:t>
      </w:r>
      <w:r>
        <w:t xml:space="preserve">Add a</w:t>
      </w:r>
      <w:r>
        <w:t xml:space="preserve"> </w:t>
      </w:r>
      <w:r>
        <w:rPr>
          <w:b/>
          <w:bCs/>
        </w:rPr>
        <w:t xml:space="preserve">trade-secret carve-out</w:t>
      </w:r>
      <w:r>
        <w:t xml:space="preserve"> </w:t>
      </w:r>
      <w:r>
        <w:t xml:space="preserve">providing perpetual protection for information that constitutes a trade secret under applicable law, surviving beyond the 5-year term.</w:t>
      </w:r>
    </w:p>
    <w:bookmarkEnd w:id="44"/>
    <w:bookmarkStart w:id="45" w:name="Xff2be0f5183e5481d3a06579a3ecfefc6f2d71c"/>
    <w:p>
      <w:pPr>
        <w:pStyle w:val="Heading4"/>
      </w:pPr>
      <w:r>
        <w:t xml:space="preserve">M-7. Permitted Disclosures May Be Too Narrow for Fundraising</w:t>
      </w:r>
    </w:p>
    <w:p>
      <w:pPr>
        <w:pStyle w:val="FirstParagraph"/>
      </w:pPr>
      <w:r>
        <w:rPr>
          <w:b/>
          <w:bCs/>
        </w:rPr>
        <w:t xml:space="preserve">Citations:</w:t>
      </w:r>
      <w:r>
        <w:t xml:space="preserve"> </w:t>
      </w:r>
      <w:r>
        <w:t xml:space="preserve">Term Sheet § 15.3.</w:t>
      </w:r>
    </w:p>
    <w:p>
      <w:pPr>
        <w:pStyle w:val="BodyText"/>
      </w:pPr>
      <w:r>
        <w:rPr>
          <w:b/>
          <w:bCs/>
        </w:rPr>
        <w:t xml:space="preserve">What the documents say.</w:t>
      </w:r>
      <w:r>
        <w:t xml:space="preserve"> </w:t>
      </w:r>
      <w:r>
        <w:t xml:space="preserve">Permitted disclosures are limited to</w:t>
      </w:r>
      <w:r>
        <w:t xml:space="preserve"> </w:t>
      </w:r>
      <w:r>
        <w:t xml:space="preserve">“</w:t>
      </w:r>
      <w:r>
        <w:t xml:space="preserve">advisors, accountants, and legal counsel</w:t>
      </w:r>
      <w:r>
        <w:t xml:space="preserve">”</w:t>
      </w:r>
      <w:r>
        <w:t xml:space="preserve"> </w:t>
      </w:r>
      <w:r>
        <w:t xml:space="preserve">under confidentiality, and as required by law (§ 15.3).</w:t>
      </w:r>
    </w:p>
    <w:p>
      <w:pPr>
        <w:pStyle w:val="BodyText"/>
      </w:pPr>
      <w:r>
        <w:rPr>
          <w:b/>
          <w:bCs/>
        </w:rPr>
        <w:t xml:space="preserve">Why it matters.</w:t>
      </w:r>
      <w:r>
        <w:t xml:space="preserve"> </w:t>
      </w:r>
      <w:r>
        <w:t xml:space="preserve">Given Whitmore’s anticipated Series C and potential M&amp;A, Whitmore will need to disclose confidential information to prospective investors, acquirers, and due-diligence teams. The current scope may not cover these recipients.</w:t>
      </w:r>
    </w:p>
    <w:p>
      <w:pPr>
        <w:pStyle w:val="BodyText"/>
      </w:pPr>
      <w:r>
        <w:rPr>
          <w:b/>
          <w:bCs/>
        </w:rPr>
        <w:t xml:space="preserve">Recommendation.</w:t>
      </w:r>
      <w:r>
        <w:t xml:space="preserve"> </w:t>
      </w:r>
      <w:r>
        <w:t xml:space="preserve">Expand permitted disclosures to include</w:t>
      </w:r>
      <w:r>
        <w:t xml:space="preserve"> </w:t>
      </w:r>
      <w:r>
        <w:rPr>
          <w:b/>
          <w:bCs/>
        </w:rPr>
        <w:t xml:space="preserve">prospective investors, lenders, and acquisition counterparties</w:t>
      </w:r>
      <w:r>
        <w:t xml:space="preserve"> </w:t>
      </w:r>
      <w:r>
        <w:t xml:space="preserve">under confidentiality obligations no less restrictive than § 15.</w:t>
      </w:r>
    </w:p>
    <w:bookmarkEnd w:id="45"/>
    <w:bookmarkStart w:id="46" w:name="m-8.-system-requirements-not-yet-defined"/>
    <w:p>
      <w:pPr>
        <w:pStyle w:val="Heading4"/>
      </w:pPr>
      <w:r>
        <w:t xml:space="preserve">M-8. System Requirements Not Yet Defined</w:t>
      </w:r>
    </w:p>
    <w:p>
      <w:pPr>
        <w:pStyle w:val="FirstParagraph"/>
      </w:pPr>
      <w:r>
        <w:rPr>
          <w:b/>
          <w:bCs/>
        </w:rPr>
        <w:t xml:space="preserve">Citations:</w:t>
      </w:r>
      <w:r>
        <w:t xml:space="preserve"> </w:t>
      </w:r>
      <w:r>
        <w:t xml:space="preserve">Term Sheet § 6.3; Ex. A (System Requirements).</w:t>
      </w:r>
    </w:p>
    <w:p>
      <w:pPr>
        <w:pStyle w:val="BodyText"/>
      </w:pPr>
      <w:r>
        <w:rPr>
          <w:b/>
          <w:bCs/>
        </w:rPr>
        <w:t xml:space="preserve">What the documents say.</w:t>
      </w:r>
      <w:r>
        <w:t xml:space="preserve"> </w:t>
      </w:r>
      <w:r>
        <w:t xml:space="preserve">KBI must ensure its SCADA/MES systems</w:t>
      </w:r>
      <w:r>
        <w:t xml:space="preserve"> </w:t>
      </w:r>
      <w:r>
        <w:t xml:space="preserve">“</w:t>
      </w:r>
      <w:r>
        <w:t xml:space="preserve">meet Whitmore’s published minimum system requirements</w:t>
      </w:r>
      <w:r>
        <w:t xml:space="preserve">”</w:t>
      </w:r>
      <w:r>
        <w:t xml:space="preserve"> </w:t>
      </w:r>
      <w:r>
        <w:t xml:space="preserve">(§ 6.3), but Exhibit A states that minimum hardware/software requirements</w:t>
      </w:r>
      <w:r>
        <w:t xml:space="preserve"> </w:t>
      </w:r>
      <w:r>
        <w:t xml:space="preserve">“</w:t>
      </w:r>
      <w:r>
        <w:t xml:space="preserve">shall be provided by Whitmore in a separate technical specification document prior to commencement of Phase 1 implementation.</w:t>
      </w:r>
      <w:r>
        <w:t xml:space="preserve">”</w:t>
      </w:r>
    </w:p>
    <w:p>
      <w:pPr>
        <w:pStyle w:val="BodyText"/>
      </w:pPr>
      <w:r>
        <w:rPr>
          <w:b/>
          <w:bCs/>
        </w:rPr>
        <w:t xml:space="preserve">Why it matters.</w:t>
      </w:r>
      <w:r>
        <w:t xml:space="preserve"> </w:t>
      </w:r>
      <w:r>
        <w:t xml:space="preserve">KBI’s readiness obligation is conditioned on requirements that do not yet exist. If requirements are defined late or change, implementation could be delayed and blame could shift to Whitmore.</w:t>
      </w:r>
    </w:p>
    <w:p>
      <w:pPr>
        <w:pStyle w:val="BodyText"/>
      </w:pPr>
      <w:r>
        <w:rPr>
          <w:b/>
          <w:bCs/>
        </w:rPr>
        <w:t xml:space="preserve">Recommendation.</w:t>
      </w:r>
      <w:r>
        <w:t xml:space="preserve"> </w:t>
      </w:r>
      <w:r>
        <w:t xml:space="preserve">Agree the technical system-requirements specification</w:t>
      </w:r>
      <w:r>
        <w:t xml:space="preserve"> </w:t>
      </w:r>
      <w:r>
        <w:rPr>
          <w:b/>
          <w:bCs/>
        </w:rPr>
        <w:t xml:space="preserve">before execution</w:t>
      </w:r>
      <w:r>
        <w:t xml:space="preserve"> </w:t>
      </w:r>
      <w:r>
        <w:t xml:space="preserve">of the Definitive Agreement (or at least before Phase 1), and make KBI’s compliance a precondition to Whitmore’s implementation obligations and milestone timing.</w:t>
      </w:r>
    </w:p>
    <w:bookmarkEnd w:id="46"/>
    <w:bookmarkStart w:id="47" w:name="m-9.-kbi-caused-delay-risk"/>
    <w:p>
      <w:pPr>
        <w:pStyle w:val="Heading4"/>
      </w:pPr>
      <w:r>
        <w:t xml:space="preserve">M-9. KBI-Caused Delay Risk</w:t>
      </w:r>
    </w:p>
    <w:p>
      <w:pPr>
        <w:pStyle w:val="FirstParagraph"/>
      </w:pPr>
      <w:r>
        <w:rPr>
          <w:b/>
          <w:bCs/>
        </w:rPr>
        <w:t xml:space="preserve">Citations:</w:t>
      </w:r>
      <w:r>
        <w:t xml:space="preserve"> </w:t>
      </w:r>
      <w:r>
        <w:t xml:space="preserve">Term Sheet §§ 6.2, 6.3.</w:t>
      </w:r>
    </w:p>
    <w:p>
      <w:pPr>
        <w:pStyle w:val="BodyText"/>
      </w:pPr>
      <w:r>
        <w:rPr>
          <w:b/>
          <w:bCs/>
        </w:rPr>
        <w:t xml:space="preserve">What the documents say.</w:t>
      </w:r>
      <w:r>
        <w:t xml:space="preserve"> </w:t>
      </w:r>
      <w:r>
        <w:t xml:space="preserve">Phase 1 (10 pilot facilities in 6 months) and Phase 2 (33 facilities by month 18) have aggressive target dates (§ 6.2). KBI must provide reasonable access, a project manager, and compliant systems (§ 6.3).</w:t>
      </w:r>
    </w:p>
    <w:p>
      <w:pPr>
        <w:pStyle w:val="BodyText"/>
      </w:pPr>
      <w:r>
        <w:rPr>
          <w:b/>
          <w:bCs/>
        </w:rPr>
        <w:t xml:space="preserve">Why it matters.</w:t>
      </w:r>
      <w:r>
        <w:t xml:space="preserve"> </w:t>
      </w:r>
      <w:r>
        <w:t xml:space="preserve">If KBI’s facilities are not ready, access is denied, or SCADA/MES systems are non-compliant, Whitmore’s implementation costs escalate and the Phase 1 milestone payment ($1,680,000) is delayed — worsening the cash-flow mismatch (H-6). There is no explicit KBI-caused-delay remedy.</w:t>
      </w:r>
    </w:p>
    <w:p>
      <w:pPr>
        <w:pStyle w:val="BodyText"/>
      </w:pPr>
      <w:r>
        <w:rPr>
          <w:b/>
          <w:bCs/>
        </w:rPr>
        <w:t xml:space="preserve">Recommendation.</w:t>
      </w:r>
      <w:r>
        <w:t xml:space="preserve"> </w:t>
      </w:r>
      <w:r>
        <w:t xml:space="preserve">Add a</w:t>
      </w:r>
      <w:r>
        <w:t xml:space="preserve"> </w:t>
      </w:r>
      <w:r>
        <w:rPr>
          <w:b/>
          <w:bCs/>
        </w:rPr>
        <w:t xml:space="preserve">KBI-caused-delay mechanism</w:t>
      </w:r>
      <w:r>
        <w:t xml:space="preserve">: if implementation milestones are delayed by KBI’s failure to meet its § 6.3 responsibilities, (i) target dates are extended on a day-for-day basis, (ii) milestone payments are not delayed (or become due on the original target date), and (iii) Whitmore is entitled to recover reasonable incremental costs. Add a right to suspend implementation and a cure period for KBI.</w:t>
      </w:r>
    </w:p>
    <w:bookmarkEnd w:id="47"/>
    <w:bookmarkStart w:id="48" w:name="X168bcd174a01c029485d79661faa182e8bdbc60"/>
    <w:p>
      <w:pPr>
        <w:pStyle w:val="Heading4"/>
      </w:pPr>
      <w:r>
        <w:t xml:space="preserve">M-10. SaaS/Maintenance Escalation and Perpetual Service Term</w:t>
      </w:r>
    </w:p>
    <w:p>
      <w:pPr>
        <w:pStyle w:val="FirstParagraph"/>
      </w:pPr>
      <w:r>
        <w:rPr>
          <w:b/>
          <w:bCs/>
        </w:rPr>
        <w:t xml:space="preserve">Citations:</w:t>
      </w:r>
      <w:r>
        <w:t xml:space="preserve"> </w:t>
      </w:r>
      <w:r>
        <w:t xml:space="preserve">Term Sheet §§ 5.2, 5.4, 7.4, 13.1.</w:t>
      </w:r>
    </w:p>
    <w:p>
      <w:pPr>
        <w:pStyle w:val="BodyText"/>
      </w:pPr>
      <w:r>
        <w:rPr>
          <w:b/>
          <w:bCs/>
        </w:rPr>
        <w:t xml:space="preserve">What the documents say.</w:t>
      </w:r>
      <w:r>
        <w:t xml:space="preserve"> </w:t>
      </w:r>
      <w:r>
        <w:t xml:space="preserve">SaaS escalates 3%/year from Year 4 (§ 5.2); maintenance escalates 4%/year from Year 2 (§ 5.4); maintenance continues</w:t>
      </w:r>
      <w:r>
        <w:t xml:space="preserve"> </w:t>
      </w:r>
      <w:r>
        <w:t xml:space="preserve">“</w:t>
      </w:r>
      <w:r>
        <w:t xml:space="preserve">for the duration of the license</w:t>
      </w:r>
      <w:r>
        <w:t xml:space="preserve">”</w:t>
      </w:r>
      <w:r>
        <w:t xml:space="preserve"> </w:t>
      </w:r>
      <w:r>
        <w:t xml:space="preserve">(§ 7.4), and the license term is perpetual (§ 13.1).</w:t>
      </w:r>
    </w:p>
    <w:p>
      <w:pPr>
        <w:pStyle w:val="BodyText"/>
      </w:pPr>
      <w:r>
        <w:rPr>
          <w:b/>
          <w:bCs/>
        </w:rPr>
        <w:t xml:space="preserve">Why it matters.</w:t>
      </w:r>
      <w:r>
        <w:t xml:space="preserve"> </w:t>
      </w:r>
      <w:r>
        <w:t xml:space="preserve">The maintenance escalation (4%) exceeds the SaaS escalation (3%) and typical inflation. More importantly, the perpetual term means SaaS and maintenance obligations could continue indefinitely with no Whitmore exit right (H-9). The Term Sheet specifies SaaS pricing only through Year 5; the long-term economics beyond Year 5 are undefined.</w:t>
      </w:r>
    </w:p>
    <w:p>
      <w:pPr>
        <w:pStyle w:val="BodyText"/>
      </w:pPr>
      <w:r>
        <w:rPr>
          <w:b/>
          <w:bCs/>
        </w:rPr>
        <w:t xml:space="preserve">Recommendation.</w:t>
      </w:r>
      <w:r>
        <w:t xml:space="preserve"> </w:t>
      </w:r>
      <w:r>
        <w:t xml:space="preserve">Align the maintenance escalation with the SaaS escalation (3%) or CPI. Define SaaS/maintenance pricing and escalation for the full term (or convert to a finite term with renewals per H-9). Confirm the 18%-of-license-fee maintenance rate is commercially adequate for 24/7 multi-time-zone European support.</w:t>
      </w:r>
    </w:p>
    <w:bookmarkEnd w:id="48"/>
    <w:bookmarkStart w:id="49" w:name="Xdcd7e3e00ab70333b64201c0e92d12b7ee473b8"/>
    <w:p>
      <w:pPr>
        <w:pStyle w:val="Heading4"/>
      </w:pPr>
      <w:r>
        <w:t xml:space="preserve">M-11. Arbitration vs. IP Litigation; Cost Allocation</w:t>
      </w:r>
    </w:p>
    <w:p>
      <w:pPr>
        <w:pStyle w:val="FirstParagraph"/>
      </w:pPr>
      <w:r>
        <w:rPr>
          <w:b/>
          <w:bCs/>
        </w:rPr>
        <w:t xml:space="preserve">Citations:</w:t>
      </w:r>
      <w:r>
        <w:t xml:space="preserve"> </w:t>
      </w:r>
      <w:r>
        <w:t xml:space="preserve">Term Sheet §§ 14.2, 14.3, 14.4.</w:t>
      </w:r>
    </w:p>
    <w:p>
      <w:pPr>
        <w:pStyle w:val="BodyText"/>
      </w:pPr>
      <w:r>
        <w:rPr>
          <w:b/>
          <w:bCs/>
        </w:rPr>
        <w:t xml:space="preserve">What the documents say.</w:t>
      </w:r>
      <w:r>
        <w:t xml:space="preserve"> </w:t>
      </w:r>
      <w:r>
        <w:t xml:space="preserve">Disputes go to ICC arbitration (3 arbitrators, Zurich seat, English) (§ 14.2), with a carve-out for interim/injunctive relief on IP, confidentiality, and status quo (§ 14.3). Each party bears its own costs; arbitration costs are allocated by the tribunal (§ 14.4).</w:t>
      </w:r>
    </w:p>
    <w:p>
      <w:pPr>
        <w:pStyle w:val="BodyText"/>
      </w:pPr>
      <w:r>
        <w:rPr>
          <w:b/>
          <w:bCs/>
        </w:rPr>
        <w:t xml:space="preserve">Why it matters.</w:t>
      </w:r>
      <w:r>
        <w:t xml:space="preserve"> </w:t>
      </w:r>
      <w:r>
        <w:t xml:space="preserve">Arbitration limits appeal rights and discovery relative to court litigation. For patent-infringement and validity disputes, some jurisdictions require national-court proceedings (under German law, patent validity is handled by the Federal Patent Court, bifurcated from infringement). The</w:t>
      </w:r>
      <w:r>
        <w:t xml:space="preserve"> </w:t>
      </w:r>
      <w:r>
        <w:t xml:space="preserve">“</w:t>
      </w:r>
      <w:r>
        <w:t xml:space="preserve">each party bears its own costs</w:t>
      </w:r>
      <w:r>
        <w:t xml:space="preserve">”</w:t>
      </w:r>
      <w:r>
        <w:t xml:space="preserve"> </w:t>
      </w:r>
      <w:r>
        <w:t xml:space="preserve">rule means Whitmore bears its own legal costs even on a successful IP-indemnity defense, with no fee-shifting.</w:t>
      </w:r>
    </w:p>
    <w:p>
      <w:pPr>
        <w:pStyle w:val="BodyText"/>
      </w:pPr>
      <w:r>
        <w:rPr>
          <w:b/>
          <w:bCs/>
        </w:rPr>
        <w:t xml:space="preserve">Recommendation.</w:t>
      </w:r>
      <w:r>
        <w:t xml:space="preserve"> </w:t>
      </w:r>
      <w:r>
        <w:t xml:space="preserve">Consider a</w:t>
      </w:r>
      <w:r>
        <w:t xml:space="preserve"> </w:t>
      </w:r>
      <w:r>
        <w:rPr>
          <w:b/>
          <w:bCs/>
        </w:rPr>
        <w:t xml:space="preserve">carve-out for IP-infringement/validity disputes</w:t>
      </w:r>
      <w:r>
        <w:t xml:space="preserve"> </w:t>
      </w:r>
      <w:r>
        <w:t xml:space="preserve">to national courts of competent jurisdiction (consistent with § 14.3’s interim-measures carve-out). Add a</w:t>
      </w:r>
      <w:r>
        <w:t xml:space="preserve"> </w:t>
      </w:r>
      <w:r>
        <w:rPr>
          <w:b/>
          <w:bCs/>
        </w:rPr>
        <w:t xml:space="preserve">fee-shifting provision</w:t>
      </w:r>
      <w:r>
        <w:t xml:space="preserve"> </w:t>
      </w:r>
      <w:r>
        <w:t xml:space="preserve">for IP-indemnity claims so that Whitmore’s defense costs are recoverable from KBI if a claim falls outside the indemnity scope. The 3-arbitrator ICC/Zurich/English structure is otherwise reasonable.</w:t>
      </w:r>
    </w:p>
    <w:bookmarkEnd w:id="49"/>
    <w:bookmarkStart w:id="50" w:name="Xc9e4335b24e1064c07756d490652f9e9aadcca5"/>
    <w:p>
      <w:pPr>
        <w:pStyle w:val="Heading4"/>
      </w:pPr>
      <w:r>
        <w:t xml:space="preserve">M-12. Return/Deletion of</w:t>
      </w:r>
      <w:r>
        <w:t xml:space="preserve"> </w:t>
      </w:r>
      <w:r>
        <w:t xml:space="preserve">“</w:t>
      </w:r>
      <w:r>
        <w:t xml:space="preserve">Output Data</w:t>
      </w:r>
      <w:r>
        <w:t xml:space="preserve">”</w:t>
      </w:r>
      <w:r>
        <w:t xml:space="preserve"> </w:t>
      </w:r>
      <w:r>
        <w:t xml:space="preserve">(Including Model Weights) Is Impractical</w:t>
      </w:r>
    </w:p>
    <w:p>
      <w:pPr>
        <w:pStyle w:val="FirstParagraph"/>
      </w:pPr>
      <w:r>
        <w:rPr>
          <w:b/>
          <w:bCs/>
        </w:rPr>
        <w:t xml:space="preserve">Citations:</w:t>
      </w:r>
      <w:r>
        <w:t xml:space="preserve"> </w:t>
      </w:r>
      <w:r>
        <w:t xml:space="preserve">Term Sheet § 4.4.</w:t>
      </w:r>
    </w:p>
    <w:p>
      <w:pPr>
        <w:pStyle w:val="BodyText"/>
      </w:pPr>
      <w:r>
        <w:rPr>
          <w:b/>
          <w:bCs/>
        </w:rPr>
        <w:t xml:space="preserve">What the documents say.</w:t>
      </w:r>
      <w:r>
        <w:t xml:space="preserve"> </w:t>
      </w:r>
      <w:r>
        <w:t xml:space="preserve">On termination, Whitmore must return or securely delete all KBI Data</w:t>
      </w:r>
      <w:r>
        <w:t xml:space="preserve"> </w:t>
      </w:r>
      <w:r>
        <w:rPr>
          <w:b/>
          <w:bCs/>
        </w:rPr>
        <w:t xml:space="preserve">and Output Data</w:t>
      </w:r>
      <w:r>
        <w:t xml:space="preserve"> </w:t>
      </w:r>
      <w:r>
        <w:t xml:space="preserve">(§ 4.4), and Output Data includes model weights, parameters, and training artifacts (§ 4.2).</w:t>
      </w:r>
    </w:p>
    <w:p>
      <w:pPr>
        <w:pStyle w:val="BodyText"/>
      </w:pPr>
      <w:r>
        <w:rPr>
          <w:b/>
          <w:bCs/>
        </w:rPr>
        <w:t xml:space="preserve">Why it matters.</w:t>
      </w:r>
      <w:r>
        <w:t xml:space="preserve"> </w:t>
      </w:r>
      <w:r>
        <w:t xml:space="preserve">Deleting</w:t>
      </w:r>
      <w:r>
        <w:t xml:space="preserve"> </w:t>
      </w:r>
      <w:r>
        <w:t xml:space="preserve">“</w:t>
      </w:r>
      <w:r>
        <w:t xml:space="preserve">Output Data</w:t>
      </w:r>
      <w:r>
        <w:t xml:space="preserve">”</w:t>
      </w:r>
      <w:r>
        <w:t xml:space="preserve"> </w:t>
      </w:r>
      <w:r>
        <w:t xml:space="preserve">that includes model weights shaped by KBI Data would require rolling back model improvements — technically infeasible and damaging to the general product. This compounds CR-1.</w:t>
      </w:r>
    </w:p>
    <w:p>
      <w:pPr>
        <w:pStyle w:val="BodyText"/>
      </w:pPr>
      <w:r>
        <w:rPr>
          <w:b/>
          <w:bCs/>
        </w:rPr>
        <w:t xml:space="preserve">Recommendation.</w:t>
      </w:r>
      <w:r>
        <w:t xml:space="preserve"> </w:t>
      </w:r>
      <w:r>
        <w:t xml:space="preserve">Conform § 4.4 to the restructured data-rights framework (CR-1): return/delete KBI’s raw data and Customer-Facing Output only; model state remains Whitmore’s property and is not subject to deletion. (Addressed as part of CR-1.)</w:t>
      </w:r>
    </w:p>
    <w:p>
      <w:r>
        <w:pict>
          <v:rect style="width:0;height:1.5pt" o:hralign="center" o:hrstd="t" o:hr="t"/>
        </w:pict>
      </w:r>
    </w:p>
    <w:bookmarkEnd w:id="50"/>
    <w:bookmarkEnd w:id="51"/>
    <w:bookmarkStart w:id="52" w:name="X71e233b253d0ace2282ada00533be0c6858d330"/>
    <w:p>
      <w:pPr>
        <w:pStyle w:val="Heading3"/>
      </w:pPr>
      <w:r>
        <w:t xml:space="preserve">D. Lower-Priority / Favorable Terms (Green) — Noted for Balance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Citation</w:t>
            </w:r>
          </w:p>
        </w:tc>
        <w:tc>
          <w:tcPr/>
          <w:p>
            <w:pPr>
              <w:pStyle w:val="Compact"/>
              <w:jc w:val="left"/>
            </w:pPr>
            <w:r>
              <w:t xml:space="preserve">Note</w:t>
            </w:r>
          </w:p>
        </w:tc>
      </w:tr>
      <w:tr>
        <w:tc>
          <w:tcPr/>
          <w:p>
            <w:pPr>
              <w:pStyle w:val="Compact"/>
              <w:jc w:val="left"/>
            </w:pPr>
            <w:r>
              <w:t xml:space="preserve">G-1</w:t>
            </w:r>
          </w:p>
        </w:tc>
        <w:tc>
          <w:tcPr/>
          <w:p>
            <w:pPr>
              <w:pStyle w:val="Compact"/>
              <w:jc w:val="left"/>
            </w:pPr>
            <w:r>
              <w:t xml:space="preserve">Deemed acceptance (30-day UAT)</w:t>
            </w:r>
          </w:p>
        </w:tc>
        <w:tc>
          <w:tcPr/>
          <w:p>
            <w:pPr>
              <w:pStyle w:val="Compact"/>
              <w:jc w:val="left"/>
            </w:pPr>
            <w:r>
              <w:t xml:space="preserve">§ 6.5</w:t>
            </w:r>
          </w:p>
        </w:tc>
        <w:tc>
          <w:tcPr/>
          <w:p>
            <w:pPr>
              <w:pStyle w:val="Compact"/>
              <w:jc w:val="left"/>
            </w:pPr>
            <w:r>
              <w:t xml:space="preserve">Favorable to Whitmore (limits rejection), though 30-day window is tight for KBI;</w:t>
            </w:r>
            <w:r>
              <w:t xml:space="preserve"> </w:t>
            </w:r>
            <w:r>
              <w:t xml:space="preserve">“</w:t>
            </w:r>
            <w:r>
              <w:t xml:space="preserve">material non-conformance</w:t>
            </w:r>
            <w:r>
              <w:t xml:space="preserve">”</w:t>
            </w:r>
            <w:r>
              <w:t xml:space="preserve"> </w:t>
            </w:r>
            <w:r>
              <w:t xml:space="preserve">standard is somewhat subjective. Retain.</w:t>
            </w:r>
          </w:p>
        </w:tc>
      </w:tr>
      <w:tr>
        <w:tc>
          <w:tcPr/>
          <w:p>
            <w:pPr>
              <w:pStyle w:val="Compact"/>
              <w:jc w:val="left"/>
            </w:pPr>
            <w:r>
              <w:t xml:space="preserve">G-2</w:t>
            </w:r>
          </w:p>
        </w:tc>
        <w:tc>
          <w:tcPr/>
          <w:p>
            <w:pPr>
              <w:pStyle w:val="Compact"/>
              <w:jc w:val="left"/>
            </w:pPr>
            <w:r>
              <w:t xml:space="preserve">Late-payment interest (1.5%/mo = 18% annualized)</w:t>
            </w:r>
          </w:p>
        </w:tc>
        <w:tc>
          <w:tcPr/>
          <w:p>
            <w:pPr>
              <w:pStyle w:val="Compact"/>
              <w:jc w:val="left"/>
            </w:pPr>
            <w:r>
              <w:t xml:space="preserve">§ 5.5</w:t>
            </w:r>
          </w:p>
        </w:tc>
        <w:tc>
          <w:tcPr/>
          <w:p>
            <w:pPr>
              <w:pStyle w:val="Compact"/>
              <w:jc w:val="left"/>
            </w:pPr>
            <w:r>
              <w:t xml:space="preserve">High rate; may be partially unenforceable as usurious under German law (statutory B2B default interest is lower), but the</w:t>
            </w:r>
            <w:r>
              <w:t xml:space="preserve"> </w:t>
            </w:r>
            <w:r>
              <w:t xml:space="preserve">“</w:t>
            </w:r>
            <w:r>
              <w:t xml:space="preserve">or legal max, whichever is less</w:t>
            </w:r>
            <w:r>
              <w:t xml:space="preserve">”</w:t>
            </w:r>
            <w:r>
              <w:t xml:space="preserve"> </w:t>
            </w:r>
            <w:r>
              <w:t xml:space="preserve">cap mitigates. Favorable to Whitmore if enforceable.</w:t>
            </w:r>
          </w:p>
        </w:tc>
      </w:tr>
      <w:tr>
        <w:tc>
          <w:tcPr/>
          <w:p>
            <w:pPr>
              <w:pStyle w:val="Compact"/>
              <w:jc w:val="left"/>
            </w:pPr>
            <w:r>
              <w:t xml:space="preserve">G-3</w:t>
            </w:r>
          </w:p>
        </w:tc>
        <w:tc>
          <w:tcPr/>
          <w:p>
            <w:pPr>
              <w:pStyle w:val="Compact"/>
              <w:jc w:val="left"/>
            </w:pPr>
            <w:r>
              <w:t xml:space="preserve">USD pricing</w:t>
            </w:r>
          </w:p>
        </w:tc>
        <w:tc>
          <w:tcPr/>
          <w:p>
            <w:pPr>
              <w:pStyle w:val="Compact"/>
              <w:jc w:val="left"/>
            </w:pPr>
            <w:r>
              <w:t xml:space="preserve">§ 5.5</w:t>
            </w:r>
          </w:p>
        </w:tc>
        <w:tc>
          <w:tcPr/>
          <w:p>
            <w:pPr>
              <w:pStyle w:val="Compact"/>
              <w:jc w:val="left"/>
            </w:pPr>
            <w:r>
              <w:t xml:space="preserve">FX risk sits with KBI (a German entity paying in USD). Favorable to Whitmore.</w:t>
            </w:r>
          </w:p>
        </w:tc>
      </w:tr>
      <w:tr>
        <w:tc>
          <w:tcPr/>
          <w:p>
            <w:pPr>
              <w:pStyle w:val="Compact"/>
              <w:jc w:val="left"/>
            </w:pPr>
            <w:r>
              <w:t xml:space="preserve">G-4</w:t>
            </w:r>
          </w:p>
        </w:tc>
        <w:tc>
          <w:tcPr/>
          <w:p>
            <w:pPr>
              <w:pStyle w:val="Compact"/>
              <w:jc w:val="left"/>
            </w:pPr>
            <w:r>
              <w:t xml:space="preserve">No refunds on termination</w:t>
            </w:r>
          </w:p>
        </w:tc>
        <w:tc>
          <w:tcPr/>
          <w:p>
            <w:pPr>
              <w:pStyle w:val="Compact"/>
              <w:jc w:val="left"/>
            </w:pPr>
            <w:r>
              <w:t xml:space="preserve">§ 13.7</w:t>
            </w:r>
          </w:p>
        </w:tc>
        <w:tc>
          <w:tcPr/>
          <w:p>
            <w:pPr>
              <w:pStyle w:val="Compact"/>
              <w:jc w:val="left"/>
            </w:pPr>
            <w:r>
              <w:t xml:space="preserve">Favorable to Whitmore, though compounded by the perpetual wind-down license (H-1).</w:t>
            </w:r>
          </w:p>
        </w:tc>
      </w:tr>
      <w:tr>
        <w:tc>
          <w:tcPr/>
          <w:p>
            <w:pPr>
              <w:pStyle w:val="Compact"/>
              <w:jc w:val="left"/>
            </w:pPr>
            <w:r>
              <w:t xml:space="preserve">G-5</w:t>
            </w:r>
          </w:p>
        </w:tc>
        <w:tc>
          <w:tcPr/>
          <w:p>
            <w:pPr>
              <w:pStyle w:val="Compact"/>
              <w:jc w:val="left"/>
            </w:pPr>
            <w:r>
              <w:t xml:space="preserve">Consequential-damages exclusion (mutual)</w:t>
            </w:r>
          </w:p>
        </w:tc>
        <w:tc>
          <w:tcPr/>
          <w:p>
            <w:pPr>
              <w:pStyle w:val="Compact"/>
              <w:jc w:val="left"/>
            </w:pPr>
            <w:r>
              <w:t xml:space="preserve">§ 10.2</w:t>
            </w:r>
          </w:p>
        </w:tc>
        <w:tc>
          <w:tcPr/>
          <w:p>
            <w:pPr>
              <w:pStyle w:val="Compact"/>
              <w:jc w:val="left"/>
            </w:pPr>
            <w:r>
              <w:t xml:space="preserve">Favorable to Whitmore; subject to German-law enforceability review (H-8).</w:t>
            </w:r>
          </w:p>
        </w:tc>
      </w:tr>
      <w:tr>
        <w:tc>
          <w:tcPr/>
          <w:p>
            <w:pPr>
              <w:pStyle w:val="Compact"/>
              <w:jc w:val="left"/>
            </w:pPr>
            <w:r>
              <w:t xml:space="preserve">G-6</w:t>
            </w:r>
          </w:p>
        </w:tc>
        <w:tc>
          <w:tcPr/>
          <w:p>
            <w:pPr>
              <w:pStyle w:val="Compact"/>
              <w:jc w:val="left"/>
            </w:pPr>
            <w:r>
              <w:t xml:space="preserve">IP warranty knowledge-qualified</w:t>
            </w:r>
          </w:p>
        </w:tc>
        <w:tc>
          <w:tcPr/>
          <w:p>
            <w:pPr>
              <w:pStyle w:val="Compact"/>
              <w:jc w:val="left"/>
            </w:pPr>
            <w:r>
              <w:t xml:space="preserve">§ 8.4</w:t>
            </w:r>
          </w:p>
        </w:tc>
        <w:tc>
          <w:tcPr/>
          <w:p>
            <w:pPr>
              <w:pStyle w:val="Compact"/>
              <w:jc w:val="left"/>
            </w:pPr>
            <w:r>
              <w:t xml:space="preserve">“</w:t>
            </w:r>
            <w:r>
              <w:t xml:space="preserve">To Whitmore’s knowledge</w:t>
            </w:r>
            <w:r>
              <w:t xml:space="preserve">”</w:t>
            </w:r>
            <w:r>
              <w:t xml:space="preserve"> </w:t>
            </w:r>
            <w:r>
              <w:t xml:space="preserve">qualifier is favorable; but combined with uncapped indemnity (CR-4) the exposure remains significant.</w:t>
            </w:r>
          </w:p>
        </w:tc>
      </w:tr>
      <w:tr>
        <w:tc>
          <w:tcPr/>
          <w:p>
            <w:pPr>
              <w:pStyle w:val="Compact"/>
              <w:jc w:val="left"/>
            </w:pPr>
            <w:r>
              <w:t xml:space="preserve">G-7</w:t>
            </w:r>
          </w:p>
        </w:tc>
        <w:tc>
          <w:tcPr/>
          <w:p>
            <w:pPr>
              <w:pStyle w:val="Compact"/>
              <w:jc w:val="left"/>
            </w:pPr>
            <w:r>
              <w:t xml:space="preserve">Disclaimer of implied warranties</w:t>
            </w:r>
          </w:p>
        </w:tc>
        <w:tc>
          <w:tcPr/>
          <w:p>
            <w:pPr>
              <w:pStyle w:val="Compact"/>
              <w:jc w:val="left"/>
            </w:pPr>
            <w:r>
              <w:t xml:space="preserve">§ 8.5</w:t>
            </w:r>
          </w:p>
        </w:tc>
        <w:tc>
          <w:tcPr/>
          <w:p>
            <w:pPr>
              <w:pStyle w:val="Compact"/>
              <w:jc w:val="left"/>
            </w:pPr>
            <w:r>
              <w:t xml:space="preserve">Favorable; disclaims merchantability/fitness/non-infringement (subject to express warranties in §§ 8.1, 8.2, 8.4).</w:t>
            </w:r>
          </w:p>
        </w:tc>
      </w:tr>
      <w:tr>
        <w:tc>
          <w:tcPr/>
          <w:p>
            <w:pPr>
              <w:pStyle w:val="Compact"/>
              <w:jc w:val="left"/>
            </w:pPr>
            <w:r>
              <w:t xml:space="preserve">G-8</w:t>
            </w:r>
          </w:p>
        </w:tc>
        <w:tc>
          <w:tcPr/>
          <w:p>
            <w:pPr>
              <w:pStyle w:val="Compact"/>
              <w:jc w:val="left"/>
            </w:pPr>
            <w:r>
              <w:t xml:space="preserve">Escrow fees shared equally</w:t>
            </w:r>
          </w:p>
        </w:tc>
        <w:tc>
          <w:tcPr/>
          <w:p>
            <w:pPr>
              <w:pStyle w:val="Compact"/>
              <w:jc w:val="left"/>
            </w:pPr>
            <w:r>
              <w:t xml:space="preserve">§ 11.4</w:t>
            </w:r>
          </w:p>
        </w:tc>
        <w:tc>
          <w:tcPr/>
          <w:p>
            <w:pPr>
              <w:pStyle w:val="Compact"/>
              <w:jc w:val="left"/>
            </w:pPr>
            <w:r>
              <w:t xml:space="preserve">Reasonable.</w:t>
            </w:r>
          </w:p>
        </w:tc>
      </w:tr>
      <w:tr>
        <w:tc>
          <w:tcPr/>
          <w:p>
            <w:pPr>
              <w:pStyle w:val="Compact"/>
              <w:jc w:val="left"/>
            </w:pPr>
            <w:r>
              <w:t xml:space="preserve">G-9</w:t>
            </w:r>
          </w:p>
        </w:tc>
        <w:tc>
          <w:tcPr/>
          <w:p>
            <w:pPr>
              <w:pStyle w:val="Compact"/>
              <w:jc w:val="left"/>
            </w:pPr>
            <w:r>
              <w:t xml:space="preserve">Escrow verification limited to once/year</w:t>
            </w:r>
          </w:p>
        </w:tc>
        <w:tc>
          <w:tcPr/>
          <w:p>
            <w:pPr>
              <w:pStyle w:val="Compact"/>
              <w:jc w:val="left"/>
            </w:pPr>
            <w:r>
              <w:t xml:space="preserve">§ 11.5</w:t>
            </w:r>
          </w:p>
        </w:tc>
        <w:tc>
          <w:tcPr/>
          <w:p>
            <w:pPr>
              <w:pStyle w:val="Compact"/>
              <w:jc w:val="left"/>
            </w:pPr>
            <w:r>
              <w:t xml:space="preserve">Reasonable operational limit.</w:t>
            </w:r>
          </w:p>
        </w:tc>
      </w:tr>
      <w:tr>
        <w:tc>
          <w:tcPr/>
          <w:p>
            <w:pPr>
              <w:pStyle w:val="Compact"/>
              <w:jc w:val="left"/>
            </w:pPr>
            <w:r>
              <w:t xml:space="preserve">G-10</w:t>
            </w:r>
          </w:p>
        </w:tc>
        <w:tc>
          <w:tcPr/>
          <w:p>
            <w:pPr>
              <w:pStyle w:val="Compact"/>
              <w:jc w:val="left"/>
            </w:pPr>
            <w:r>
              <w:t xml:space="preserve">Firm-name discrepancy in Side Letter</w:t>
            </w:r>
          </w:p>
        </w:tc>
        <w:tc>
          <w:tcPr/>
          <w:p>
            <w:pPr>
              <w:pStyle w:val="Compact"/>
              <w:jc w:val="left"/>
            </w:pPr>
            <w:r>
              <w:t xml:space="preserve">Side Letter § 5</w:t>
            </w:r>
          </w:p>
        </w:tc>
        <w:tc>
          <w:tcPr/>
          <w:p>
            <w:pPr>
              <w:pStyle w:val="Compact"/>
              <w:jc w:val="left"/>
            </w:pPr>
            <w:r>
              <w:t xml:space="preserve">The Side Letter refers to Whitmore’s counsel as</w:t>
            </w:r>
            <w:r>
              <w:t xml:space="preserve"> </w:t>
            </w:r>
            <w:r>
              <w:t xml:space="preserve">“</w:t>
            </w:r>
            <w:r>
              <w:t xml:space="preserve">Fenwick Hale &amp; Seward LLP,</w:t>
            </w:r>
            <w:r>
              <w:t xml:space="preserve">”</w:t>
            </w:r>
            <w:r>
              <w:t xml:space="preserve"> </w:t>
            </w:r>
            <w:r>
              <w:t xml:space="preserve">while Whitmore’s internal records and this engagement use</w:t>
            </w:r>
            <w:r>
              <w:t xml:space="preserve"> </w:t>
            </w:r>
            <w:r>
              <w:t xml:space="preserve">“</w:t>
            </w:r>
            <w:r>
              <w:t xml:space="preserve">Ferndale Hale &amp; Seward LLP.</w:t>
            </w:r>
            <w:r>
              <w:t xml:space="preserve">”</w:t>
            </w:r>
            <w:r>
              <w:t xml:space="preserve"> </w:t>
            </w:r>
            <w:r>
              <w:t xml:space="preserve">Minor drafting discrepancy in a KBI-prepared document; confirm the correct firm name in the Definitive Agreement and any counsel notices.</w:t>
            </w:r>
          </w:p>
        </w:tc>
      </w:tr>
    </w:tbl>
    <w:p>
      <w:r>
        <w:pict>
          <v:rect style="width:0;height:1.5pt" o:hralign="center" o:hrstd="t" o:hr="t"/>
        </w:pict>
      </w:r>
    </w:p>
    <w:bookmarkEnd w:id="52"/>
    <w:bookmarkEnd w:id="53"/>
    <w:bookmarkStart w:id="58" w:name="X8fac50e320cae420a1b893914b6ca30d73f9007"/>
    <w:p>
      <w:pPr>
        <w:pStyle w:val="Heading2"/>
      </w:pPr>
      <w:r>
        <w:t xml:space="preserve">IV. Negotiation Priorities &amp; Counter-Proposal Framework</w:t>
      </w:r>
    </w:p>
    <w:p>
      <w:pPr>
        <w:pStyle w:val="FirstParagraph"/>
      </w:pPr>
      <w:r>
        <w:t xml:space="preserve">We recommend the Board approve a negotiation framework organized around the following priorities. The first tier comprises the</w:t>
      </w:r>
      <w:r>
        <w:t xml:space="preserve"> </w:t>
      </w:r>
      <w:r>
        <w:rPr>
          <w:b/>
          <w:bCs/>
        </w:rPr>
        <w:t xml:space="preserve">red lines</w:t>
      </w:r>
      <w:r>
        <w:t xml:space="preserve"> </w:t>
      </w:r>
      <w:r>
        <w:t xml:space="preserve">— issues Whitmore should not concede. The second tier comprises</w:t>
      </w:r>
      <w:r>
        <w:t xml:space="preserve"> </w:t>
      </w:r>
      <w:r>
        <w:rPr>
          <w:b/>
          <w:bCs/>
        </w:rPr>
        <w:t xml:space="preserve">high-priority</w:t>
      </w:r>
      <w:r>
        <w:t xml:space="preserve"> </w:t>
      </w:r>
      <w:r>
        <w:t xml:space="preserve">restructuring items. The third tier comprises</w:t>
      </w:r>
      <w:r>
        <w:t xml:space="preserve"> </w:t>
      </w:r>
      <w:r>
        <w:rPr>
          <w:b/>
          <w:bCs/>
        </w:rPr>
        <w:t xml:space="preserve">targeted adjustments</w:t>
      </w:r>
      <w:r>
        <w:t xml:space="preserve">. Management’s commercial positions (as expressed in the internal email thread) are incorporated and endorsed where indicated.</w:t>
      </w:r>
    </w:p>
    <w:bookmarkStart w:id="54" w:name="Xd8c35f07551a22d7ab4e4c204e8cb944047a9d2"/>
    <w:p>
      <w:pPr>
        <w:pStyle w:val="Heading3"/>
      </w:pPr>
      <w:r>
        <w:t xml:space="preserve">Tier 1 — Red Lines (no execution without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Whitmore Position</w:t>
            </w:r>
          </w:p>
        </w:tc>
      </w:tr>
      <w:tr>
        <w:tc>
          <w:tcPr/>
          <w:p>
            <w:pPr>
              <w:pStyle w:val="Compact"/>
              <w:jc w:val="left"/>
            </w:pPr>
            <w:r>
              <w:t xml:space="preserve">1</w:t>
            </w:r>
          </w:p>
        </w:tc>
        <w:tc>
          <w:tcPr/>
          <w:p>
            <w:pPr>
              <w:pStyle w:val="Compact"/>
              <w:jc w:val="left"/>
            </w:pPr>
            <w:r>
              <w:t xml:space="preserve">Data-rights cluster (§§ 3.5, 4.2, 4.3, 4.4)</w:t>
            </w:r>
          </w:p>
        </w:tc>
        <w:tc>
          <w:tcPr/>
          <w:p>
            <w:pPr>
              <w:pStyle w:val="Compact"/>
              <w:jc w:val="left"/>
            </w:pPr>
            <w:r>
              <w:t xml:space="preserve">KBI owns raw data + Customer-Facing Output;</w:t>
            </w:r>
            <w:r>
              <w:t xml:space="preserve"> </w:t>
            </w:r>
            <w:r>
              <w:rPr>
                <w:b/>
                <w:bCs/>
              </w:rPr>
              <w:t xml:space="preserve">model weights/parameters/artifacts remain Whitmore’s</w:t>
            </w:r>
            <w:r>
              <w:t xml:space="preserve">;</w:t>
            </w:r>
            <w:r>
              <w:t xml:space="preserve"> </w:t>
            </w:r>
            <w:r>
              <w:rPr>
                <w:b/>
                <w:bCs/>
              </w:rPr>
              <w:t xml:space="preserve">permitted use of anonymized/aggregated data for model improvement</w:t>
            </w:r>
            <w:r>
              <w:t xml:space="preserve"> </w:t>
            </w:r>
            <w:r>
              <w:t xml:space="preserve">with anonymization standards, minimum pool size, and optional third-party verification (management non-negotiable); narrow § 3.5 to KBI-specific improvements; conform § 4.4.</w:t>
            </w:r>
          </w:p>
        </w:tc>
      </w:tr>
      <w:tr>
        <w:tc>
          <w:tcPr/>
          <w:p>
            <w:pPr>
              <w:pStyle w:val="Compact"/>
              <w:jc w:val="left"/>
            </w:pPr>
            <w:r>
              <w:t xml:space="preserve">2</w:t>
            </w:r>
          </w:p>
        </w:tc>
        <w:tc>
          <w:tcPr/>
          <w:p>
            <w:pPr>
              <w:pStyle w:val="Compact"/>
              <w:jc w:val="left"/>
            </w:pPr>
            <w:r>
              <w:t xml:space="preserve">Exclusivity (§ 12)</w:t>
            </w:r>
          </w:p>
        </w:tc>
        <w:tc>
          <w:tcPr/>
          <w:p>
            <w:pPr>
              <w:pStyle w:val="Compact"/>
              <w:jc w:val="left"/>
            </w:pPr>
            <w:r>
              <w:rPr>
                <w:b/>
                <w:bCs/>
              </w:rPr>
              <w:t xml:space="preserve">Eliminate the 30% revenue definition</w:t>
            </w:r>
            <w:r>
              <w:t xml:space="preserve">; limit to a reduced named-competitor list for</w:t>
            </w:r>
            <w:r>
              <w:t xml:space="preserve"> </w:t>
            </w:r>
            <w:r>
              <w:rPr>
                <w:b/>
                <w:bCs/>
              </w:rPr>
              <w:t xml:space="preserve">18 months</w:t>
            </w:r>
            <w:r>
              <w:t xml:space="preserve">; no survival on KBI termination for convenience; limit to PredictIQ (not successor products); restore standard injunctive-relief requirements; obtain competition-law clearance.</w:t>
            </w:r>
          </w:p>
        </w:tc>
      </w:tr>
      <w:tr>
        <w:tc>
          <w:tcPr/>
          <w:p>
            <w:pPr>
              <w:pStyle w:val="Compact"/>
              <w:jc w:val="left"/>
            </w:pPr>
            <w:r>
              <w:t xml:space="preserve">3</w:t>
            </w:r>
          </w:p>
        </w:tc>
        <w:tc>
          <w:tcPr/>
          <w:p>
            <w:pPr>
              <w:pStyle w:val="Compact"/>
              <w:jc w:val="left"/>
            </w:pPr>
            <w:r>
              <w:t xml:space="preserve">MFC pricing (Side Letter § 2)</w:t>
            </w:r>
          </w:p>
        </w:tc>
        <w:tc>
          <w:tcPr/>
          <w:p>
            <w:pPr>
              <w:pStyle w:val="Compact"/>
              <w:jc w:val="left"/>
            </w:pPr>
            <w:r>
              <w:rPr>
                <w:b/>
                <w:bCs/>
              </w:rPr>
              <w:t xml:space="preserve">No open-ended MFC</w:t>
            </w:r>
            <w:r>
              <w:t xml:space="preserve">: add sunset (3 years), standard carve-outs (volume, geography, tier, promotions, government/academic, channel, bundled, M&amp;A), limit metric to comparable SaaS pricing, remove successor-technology scope, cap retroactive exposure, narrow audit; do not accept</w:t>
            </w:r>
            <w:r>
              <w:t xml:space="preserve"> </w:t>
            </w:r>
            <w:r>
              <w:t xml:space="preserve">“</w:t>
            </w:r>
            <w:r>
              <w:t xml:space="preserve">verbatim</w:t>
            </w:r>
            <w:r>
              <w:t xml:space="preserve">”</w:t>
            </w:r>
            <w:r>
              <w:t xml:space="preserve"> </w:t>
            </w:r>
            <w:r>
              <w:t xml:space="preserve">incorporation or the</w:t>
            </w:r>
            <w:r>
              <w:t xml:space="preserve"> </w:t>
            </w:r>
            <w:r>
              <w:t xml:space="preserve">“</w:t>
            </w:r>
            <w:r>
              <w:t xml:space="preserve">expressly conditioned</w:t>
            </w:r>
            <w:r>
              <w:t xml:space="preserve">”</w:t>
            </w:r>
            <w:r>
              <w:t xml:space="preserve"> </w:t>
            </w:r>
            <w:r>
              <w:t xml:space="preserve">ultimatum.</w:t>
            </w:r>
          </w:p>
        </w:tc>
      </w:tr>
      <w:tr>
        <w:tc>
          <w:tcPr/>
          <w:p>
            <w:pPr>
              <w:pStyle w:val="Compact"/>
              <w:jc w:val="left"/>
            </w:pPr>
            <w:r>
              <w:t xml:space="preserve">4</w:t>
            </w:r>
          </w:p>
        </w:tc>
        <w:tc>
          <w:tcPr/>
          <w:p>
            <w:pPr>
              <w:pStyle w:val="Compact"/>
              <w:jc w:val="left"/>
            </w:pPr>
            <w:r>
              <w:t xml:space="preserve">Uncapped IP indemnity + German law (§§ 9.1, 10.3, 14.1)</w:t>
            </w:r>
          </w:p>
        </w:tc>
        <w:tc>
          <w:tcPr/>
          <w:p>
            <w:pPr>
              <w:pStyle w:val="Compact"/>
              <w:jc w:val="left"/>
            </w:pPr>
            <w:r>
              <w:rPr>
                <w:b/>
                <w:bCs/>
              </w:rPr>
              <w:t xml:space="preserve">Cap the IP indemnity</w:t>
            </w:r>
            <w:r>
              <w:t xml:space="preserve">; mutualize/symmetricize indemnity caps; engage German-law specialists; negotiate governing-law change (Washington, then neutral fallback) or structure to mitigate German-law risks.</w:t>
            </w:r>
          </w:p>
        </w:tc>
      </w:tr>
    </w:tbl>
    <w:bookmarkEnd w:id="54"/>
    <w:bookmarkStart w:id="55" w:name="tier-2-high-priority-restructuring"/>
    <w:p>
      <w:pPr>
        <w:pStyle w:val="Heading3"/>
      </w:pPr>
      <w:r>
        <w:t xml:space="preserve">Tier 2 — High-Priority Restructuring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Whitmore Position</w:t>
            </w:r>
          </w:p>
        </w:tc>
      </w:tr>
      <w:tr>
        <w:tc>
          <w:tcPr/>
          <w:p>
            <w:pPr>
              <w:pStyle w:val="Compact"/>
              <w:jc w:val="left"/>
            </w:pPr>
            <w:r>
              <w:t xml:space="preserve">5</w:t>
            </w:r>
          </w:p>
        </w:tc>
        <w:tc>
          <w:tcPr/>
          <w:p>
            <w:pPr>
              <w:pStyle w:val="Compact"/>
              <w:jc w:val="left"/>
            </w:pPr>
            <w:r>
              <w:t xml:space="preserve">Wind-down license (§ 13.5)</w:t>
            </w:r>
          </w:p>
        </w:tc>
        <w:tc>
          <w:tcPr/>
          <w:p>
            <w:pPr>
              <w:pStyle w:val="Compact"/>
              <w:jc w:val="left"/>
            </w:pPr>
            <w:r>
              <w:t xml:space="preserve">Time-limit (12–24 months); restrict trigger to Whitmore-caused terminations/insolvency; not on KBI convenience or performance-failure termination; clarify maintenance obligation.</w:t>
            </w:r>
          </w:p>
        </w:tc>
      </w:tr>
      <w:tr>
        <w:tc>
          <w:tcPr/>
          <w:p>
            <w:pPr>
              <w:pStyle w:val="Compact"/>
              <w:jc w:val="left"/>
            </w:pPr>
            <w:r>
              <w:t xml:space="preserve">6</w:t>
            </w:r>
          </w:p>
        </w:tc>
        <w:tc>
          <w:tcPr/>
          <w:p>
            <w:pPr>
              <w:pStyle w:val="Compact"/>
              <w:jc w:val="left"/>
            </w:pPr>
            <w:r>
              <w:t xml:space="preserve">Derivative-works ownership (§§ 2, 3.3)</w:t>
            </w:r>
          </w:p>
        </w:tc>
        <w:tc>
          <w:tcPr/>
          <w:p>
            <w:pPr>
              <w:pStyle w:val="Compact"/>
              <w:jc w:val="left"/>
            </w:pPr>
            <w:r>
              <w:t xml:space="preserve">Whitmore sole ownership + KBI internal-use license; or restricted joint ownership with no third-party sublicensing; reconcile with German co-ownership law.</w:t>
            </w:r>
          </w:p>
        </w:tc>
      </w:tr>
      <w:tr>
        <w:tc>
          <w:tcPr/>
          <w:p>
            <w:pPr>
              <w:pStyle w:val="Compact"/>
              <w:jc w:val="left"/>
            </w:pPr>
            <w:r>
              <w:t xml:space="preserve">7</w:t>
            </w:r>
          </w:p>
        </w:tc>
        <w:tc>
          <w:tcPr/>
          <w:p>
            <w:pPr>
              <w:pStyle w:val="Compact"/>
              <w:jc w:val="left"/>
            </w:pPr>
            <w:r>
              <w:t xml:space="preserve">Feedback / KBI-Inspired Improvements (§§ 3.4, 3.5)</w:t>
            </w:r>
          </w:p>
        </w:tc>
        <w:tc>
          <w:tcPr/>
          <w:p>
            <w:pPr>
              <w:pStyle w:val="Compact"/>
              <w:jc w:val="left"/>
            </w:pPr>
            <w:r>
              <w:t xml:space="preserve">Reconcile; Whitmore owns all Feedback and general improvements; KBI license only to KBI-specific improvements; replace</w:t>
            </w:r>
            <w:r>
              <w:t xml:space="preserve"> </w:t>
            </w:r>
            <w:r>
              <w:t xml:space="preserve">“</w:t>
            </w:r>
            <w:r>
              <w:t xml:space="preserve">inspired by</w:t>
            </w:r>
            <w:r>
              <w:t xml:space="preserve">”</w:t>
            </w:r>
            <w:r>
              <w:t xml:space="preserve"> </w:t>
            </w:r>
            <w:r>
              <w:t xml:space="preserve">with</w:t>
            </w:r>
            <w:r>
              <w:t xml:space="preserve"> </w:t>
            </w:r>
            <w:r>
              <w:t xml:space="preserve">“</w:t>
            </w:r>
            <w:r>
              <w:t xml:space="preserve">derived from and specific to.</w:t>
            </w:r>
            <w:r>
              <w:t xml:space="preserve">”</w:t>
            </w:r>
          </w:p>
        </w:tc>
      </w:tr>
      <w:tr>
        <w:tc>
          <w:tcPr/>
          <w:p>
            <w:pPr>
              <w:pStyle w:val="Compact"/>
              <w:jc w:val="left"/>
            </w:pPr>
            <w:r>
              <w:t xml:space="preserve">8</w:t>
            </w:r>
          </w:p>
        </w:tc>
        <w:tc>
          <w:tcPr/>
          <w:p>
            <w:pPr>
              <w:pStyle w:val="Compact"/>
              <w:jc w:val="left"/>
            </w:pPr>
            <w:r>
              <w:t xml:space="preserve">Escrow release triggers (§ 11.2)</w:t>
            </w:r>
          </w:p>
        </w:tc>
        <w:tc>
          <w:tcPr/>
          <w:p>
            <w:pPr>
              <w:pStyle w:val="Compact"/>
              <w:jc w:val="left"/>
            </w:pPr>
            <w:r>
              <w:t xml:space="preserve">Gate breach trigger on final arbitral determination; carve out § 7.5 suspension; limit post-release license to time-limited business-continuity use.</w:t>
            </w:r>
          </w:p>
        </w:tc>
      </w:tr>
      <w:tr>
        <w:tc>
          <w:tcPr/>
          <w:p>
            <w:pPr>
              <w:pStyle w:val="Compact"/>
              <w:jc w:val="left"/>
            </w:pPr>
            <w:r>
              <w:t xml:space="preserve">9</w:t>
            </w:r>
          </w:p>
        </w:tc>
        <w:tc>
          <w:tcPr/>
          <w:p>
            <w:pPr>
              <w:pStyle w:val="Compact"/>
              <w:jc w:val="left"/>
            </w:pPr>
            <w:r>
              <w:t xml:space="preserve">Performance warranty (§§ 8.2, 8.3)</w:t>
            </w:r>
          </w:p>
        </w:tc>
        <w:tc>
          <w:tcPr/>
          <w:p>
            <w:pPr>
              <w:pStyle w:val="Compact"/>
              <w:jc w:val="left"/>
            </w:pPr>
            <w:r>
              <w:t xml:space="preserve">Soften metric/target; add causation qualifiers; cap aggregate credits; define measurement methodology; coordinate with wind-down license.</w:t>
            </w:r>
          </w:p>
        </w:tc>
      </w:tr>
      <w:tr>
        <w:tc>
          <w:tcPr/>
          <w:p>
            <w:pPr>
              <w:pStyle w:val="Compact"/>
              <w:jc w:val="left"/>
            </w:pPr>
            <w:r>
              <w:t xml:space="preserve">10</w:t>
            </w:r>
          </w:p>
        </w:tc>
        <w:tc>
          <w:tcPr/>
          <w:p>
            <w:pPr>
              <w:pStyle w:val="Compact"/>
              <w:jc w:val="left"/>
            </w:pPr>
            <w:r>
              <w:t xml:space="preserve">Implementation cash flow (§§ 5.1, 5.3)</w:t>
            </w:r>
          </w:p>
        </w:tc>
        <w:tc>
          <w:tcPr/>
          <w:p>
            <w:pPr>
              <w:pStyle w:val="Compact"/>
              <w:jc w:val="left"/>
            </w:pPr>
            <w:r>
              <w:t xml:space="preserve">40/30/30 license split; front-load implementation fees; separate implementation SOW with milestone payments; flag ASC 606 to auditors.</w:t>
            </w:r>
          </w:p>
        </w:tc>
      </w:tr>
      <w:tr>
        <w:tc>
          <w:tcPr/>
          <w:p>
            <w:pPr>
              <w:pStyle w:val="Compact"/>
              <w:jc w:val="left"/>
            </w:pPr>
            <w:r>
              <w:t xml:space="preserve">11</w:t>
            </w:r>
          </w:p>
        </w:tc>
        <w:tc>
          <w:tcPr/>
          <w:p>
            <w:pPr>
              <w:pStyle w:val="Compact"/>
              <w:jc w:val="left"/>
            </w:pPr>
            <w:r>
              <w:t xml:space="preserve">Asymmetric indemnity caps (§§ 9.1, 9.3, 10.3)</w:t>
            </w:r>
          </w:p>
        </w:tc>
        <w:tc>
          <w:tcPr/>
          <w:p>
            <w:pPr>
              <w:pStyle w:val="Compact"/>
              <w:jc w:val="left"/>
            </w:pPr>
            <w:r>
              <w:t xml:space="preserve">Symmetric cap treatment.</w:t>
            </w:r>
          </w:p>
        </w:tc>
      </w:tr>
      <w:tr>
        <w:tc>
          <w:tcPr/>
          <w:p>
            <w:pPr>
              <w:pStyle w:val="Compact"/>
              <w:jc w:val="left"/>
            </w:pPr>
            <w:r>
              <w:t xml:space="preserve">12</w:t>
            </w:r>
          </w:p>
        </w:tc>
        <w:tc>
          <w:tcPr/>
          <w:p>
            <w:pPr>
              <w:pStyle w:val="Compact"/>
              <w:jc w:val="left"/>
            </w:pPr>
            <w:r>
              <w:t xml:space="preserve">Liability cap + gross-negligence gap (§§ 10.1–10.3)</w:t>
            </w:r>
          </w:p>
        </w:tc>
        <w:tc>
          <w:tcPr/>
          <w:p>
            <w:pPr>
              <w:pStyle w:val="Compact"/>
              <w:jc w:val="left"/>
            </w:pPr>
            <w:r>
              <w:t xml:space="preserve">Lower cap; address gross-negligence enforceability under German law.</w:t>
            </w:r>
          </w:p>
        </w:tc>
      </w:tr>
      <w:tr>
        <w:tc>
          <w:tcPr/>
          <w:p>
            <w:pPr>
              <w:pStyle w:val="Compact"/>
              <w:jc w:val="left"/>
            </w:pPr>
            <w:r>
              <w:t xml:space="preserve">13</w:t>
            </w:r>
          </w:p>
        </w:tc>
        <w:tc>
          <w:tcPr/>
          <w:p>
            <w:pPr>
              <w:pStyle w:val="Compact"/>
              <w:jc w:val="left"/>
            </w:pPr>
            <w:r>
              <w:t xml:space="preserve">Perpetual term / no Whitmore convenience termination (§§ 13.1–13.3)</w:t>
            </w:r>
          </w:p>
        </w:tc>
        <w:tc>
          <w:tcPr/>
          <w:p>
            <w:pPr>
              <w:pStyle w:val="Compact"/>
              <w:jc w:val="left"/>
            </w:pPr>
            <w:r>
              <w:t xml:space="preserve">Mutual termination for convenience; finite SaaS/maintenance term.</w:t>
            </w:r>
          </w:p>
        </w:tc>
      </w:tr>
      <w:tr>
        <w:tc>
          <w:tcPr/>
          <w:p>
            <w:pPr>
              <w:pStyle w:val="Compact"/>
              <w:jc w:val="left"/>
            </w:pPr>
            <w:r>
              <w:t xml:space="preserve">14</w:t>
            </w:r>
          </w:p>
        </w:tc>
        <w:tc>
          <w:tcPr/>
          <w:p>
            <w:pPr>
              <w:pStyle w:val="Compact"/>
              <w:jc w:val="left"/>
            </w:pPr>
            <w:r>
              <w:t xml:space="preserve">Assignment asymmetry (§ 16.6)</w:t>
            </w:r>
          </w:p>
        </w:tc>
        <w:tc>
          <w:tcPr/>
          <w:p>
            <w:pPr>
              <w:pStyle w:val="Compact"/>
              <w:jc w:val="left"/>
            </w:pPr>
            <w:r>
              <w:t xml:space="preserve">Reciprocal assignment right (affiliates, M&amp;A, financing) — essential for Whitmore’s corporate flexibility.</w:t>
            </w:r>
          </w:p>
        </w:tc>
      </w:tr>
    </w:tbl>
    <w:bookmarkEnd w:id="55"/>
    <w:bookmarkStart w:id="56" w:name="tier-3-targeted-adjustments-medium"/>
    <w:p>
      <w:pPr>
        <w:pStyle w:val="Heading3"/>
      </w:pPr>
      <w:r>
        <w:t xml:space="preserve">Tier 3 — Targeted Adjustments (Medium)</w:t>
      </w:r>
    </w:p>
    <w:p>
      <w:pPr>
        <w:pStyle w:val="FirstParagraph"/>
      </w:pPr>
      <w:r>
        <w:t xml:space="preserve">Expansion pricing (M-1); exclusivity scope/survival (M-2); maintenance-suspension/escrow cross-reference (M-3); SLA/performance asymmetry (M-4); no-shop scope (M-5); trade-secret confidentiality carve-out (M-6); permitted-disclosure expansion for fundraising (M-7); system-requirements pre-agreement (M-8); KBI-caused-delay protections (M-9); escalation alignment and perpetual service term (M-10); arbitration IP carve-out and fee-shifting (M-11); Output Data return/deletion conformity (M-12).</w:t>
      </w:r>
    </w:p>
    <w:bookmarkEnd w:id="56"/>
    <w:bookmarkStart w:id="57" w:name="Xeedc95342157dbe53d8caa8b5bacddc51df36f3"/>
    <w:p>
      <w:pPr>
        <w:pStyle w:val="Heading3"/>
      </w:pPr>
      <w:r>
        <w:t xml:space="preserve">Suggested Counter-Proposal on Commercial Terms (from management)</w:t>
      </w:r>
    </w:p>
    <w:p>
      <w:pPr>
        <w:pStyle w:val="Compact"/>
        <w:numPr>
          <w:ilvl w:val="0"/>
          <w:numId w:val="1002"/>
        </w:numPr>
      </w:pPr>
      <w:r>
        <w:rPr>
          <w:b/>
          <w:bCs/>
        </w:rPr>
        <w:t xml:space="preserve">License-fee split:</w:t>
      </w:r>
      <w:r>
        <w:t xml:space="preserve"> </w:t>
      </w:r>
      <w:r>
        <w:t xml:space="preserve">40% at signing ($1,680,000) / 30% at Phase 1 ($1,260,000) / 30% at Phase 2 ($1,260,000).</w:t>
      </w:r>
    </w:p>
    <w:p>
      <w:pPr>
        <w:pStyle w:val="Compact"/>
        <w:numPr>
          <w:ilvl w:val="0"/>
          <w:numId w:val="1002"/>
        </w:numPr>
      </w:pPr>
      <w:r>
        <w:rPr>
          <w:b/>
          <w:bCs/>
        </w:rPr>
        <w:t xml:space="preserve">Implementation fees:</w:t>
      </w:r>
      <w:r>
        <w:t xml:space="preserve"> </w:t>
      </w:r>
      <w:r>
        <w:t xml:space="preserve">front-loaded (40% in first 6 months) or a separate milestone-based SOW.</w:t>
      </w:r>
    </w:p>
    <w:p>
      <w:pPr>
        <w:pStyle w:val="Compact"/>
        <w:numPr>
          <w:ilvl w:val="0"/>
          <w:numId w:val="1002"/>
        </w:numPr>
      </w:pPr>
      <w:r>
        <w:rPr>
          <w:b/>
          <w:bCs/>
        </w:rPr>
        <w:t xml:space="preserve">Exclusivity:</w:t>
      </w:r>
      <w:r>
        <w:t xml:space="preserve"> </w:t>
      </w:r>
      <w:r>
        <w:t xml:space="preserve">named-competitor list only, 18 months, no survival, PredictIQ-only.</w:t>
      </w:r>
    </w:p>
    <w:p>
      <w:pPr>
        <w:pStyle w:val="Compact"/>
        <w:numPr>
          <w:ilvl w:val="0"/>
          <w:numId w:val="1002"/>
        </w:numPr>
      </w:pPr>
      <w:r>
        <w:rPr>
          <w:b/>
          <w:bCs/>
        </w:rPr>
        <w:t xml:space="preserve">Data:</w:t>
      </w:r>
      <w:r>
        <w:t xml:space="preserve"> </w:t>
      </w:r>
      <w:r>
        <w:t xml:space="preserve">permitted anonymized/aggregated use for model improvement with safeguards.</w:t>
      </w:r>
    </w:p>
    <w:p>
      <w:pPr>
        <w:pStyle w:val="Compact"/>
        <w:numPr>
          <w:ilvl w:val="0"/>
          <w:numId w:val="1002"/>
        </w:numPr>
      </w:pPr>
      <w:r>
        <w:rPr>
          <w:b/>
          <w:bCs/>
        </w:rPr>
        <w:t xml:space="preserve">MFC:</w:t>
      </w:r>
      <w:r>
        <w:t xml:space="preserve"> </w:t>
      </w:r>
      <w:r>
        <w:t xml:space="preserve">time-limited (3 years) with standard carve-outs, or declined as a standalone condition.</w:t>
      </w:r>
    </w:p>
    <w:p>
      <w:r>
        <w:pict>
          <v:rect style="width:0;height:1.5pt" o:hralign="center" o:hrstd="t" o:hr="t"/>
        </w:pict>
      </w:r>
    </w:p>
    <w:bookmarkEnd w:id="57"/>
    <w:bookmarkEnd w:id="58"/>
    <w:bookmarkStart w:id="59" w:name="v.-process-timeline"/>
    <w:p>
      <w:pPr>
        <w:pStyle w:val="Heading2"/>
      </w:pPr>
      <w:r>
        <w:t xml:space="preserve">V. Process &amp;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May 29, 2025</w:t>
            </w:r>
          </w:p>
        </w:tc>
        <w:tc>
          <w:tcPr/>
          <w:p>
            <w:pPr>
              <w:pStyle w:val="Compact"/>
              <w:jc w:val="left"/>
            </w:pPr>
            <w:r>
              <w:t xml:space="preserve">Term Sheet and Side Letter issued by KBI</w:t>
            </w:r>
          </w:p>
        </w:tc>
      </w:tr>
      <w:tr>
        <w:tc>
          <w:tcPr/>
          <w:p>
            <w:pPr>
              <w:pStyle w:val="Compact"/>
              <w:jc w:val="left"/>
            </w:pPr>
            <w:r>
              <w:t xml:space="preserve">June 2, 2025</w:t>
            </w:r>
          </w:p>
        </w:tc>
        <w:tc>
          <w:tcPr/>
          <w:p>
            <w:pPr>
              <w:pStyle w:val="Compact"/>
              <w:jc w:val="left"/>
            </w:pPr>
            <w:r>
              <w:t xml:space="preserve">Documents received by Whitmore</w:t>
            </w:r>
          </w:p>
        </w:tc>
      </w:tr>
      <w:tr>
        <w:tc>
          <w:tcPr/>
          <w:p>
            <w:pPr>
              <w:pStyle w:val="Compact"/>
              <w:jc w:val="left"/>
            </w:pPr>
            <w:r>
              <w:t xml:space="preserve">June 3, 2025</w:t>
            </w:r>
          </w:p>
        </w:tc>
        <w:tc>
          <w:tcPr/>
          <w:p>
            <w:pPr>
              <w:pStyle w:val="Compact"/>
              <w:jc w:val="left"/>
            </w:pPr>
            <w:r>
              <w:t xml:space="preserve">Internal team alignment (Kendrick / Yin / Malhotra)</w:t>
            </w:r>
          </w:p>
        </w:tc>
      </w:tr>
      <w:tr>
        <w:tc>
          <w:tcPr/>
          <w:p>
            <w:pPr>
              <w:pStyle w:val="Compact"/>
              <w:jc w:val="left"/>
            </w:pPr>
            <w:r>
              <w:t xml:space="preserve">June 16, 2025</w:t>
            </w:r>
          </w:p>
        </w:tc>
        <w:tc>
          <w:tcPr/>
          <w:p>
            <w:pPr>
              <w:pStyle w:val="Compact"/>
              <w:jc w:val="left"/>
            </w:pPr>
            <w:r>
              <w:rPr>
                <w:b/>
                <w:bCs/>
              </w:rPr>
              <w:t xml:space="preserve">This memorandum delivered (board-ready)</w:t>
            </w:r>
          </w:p>
        </w:tc>
      </w:tr>
      <w:tr>
        <w:tc>
          <w:tcPr/>
          <w:p>
            <w:pPr>
              <w:pStyle w:val="Compact"/>
              <w:jc w:val="left"/>
            </w:pPr>
            <w:r>
              <w:rPr>
                <w:b/>
                <w:bCs/>
              </w:rPr>
              <w:t xml:space="preserve">June 18, 2025</w:t>
            </w:r>
          </w:p>
        </w:tc>
        <w:tc>
          <w:tcPr/>
          <w:p>
            <w:pPr>
              <w:pStyle w:val="Compact"/>
              <w:jc w:val="left"/>
            </w:pPr>
            <w:r>
              <w:rPr>
                <w:b/>
                <w:bCs/>
              </w:rPr>
              <w:t xml:space="preserve">Whitmore Board meeting — approve negotiation framework</w:t>
            </w:r>
          </w:p>
        </w:tc>
      </w:tr>
      <w:tr>
        <w:tc>
          <w:tcPr/>
          <w:p>
            <w:pPr>
              <w:pStyle w:val="Compact"/>
              <w:jc w:val="left"/>
            </w:pPr>
            <w:r>
              <w:t xml:space="preserve">June 23, 2025</w:t>
            </w:r>
          </w:p>
        </w:tc>
        <w:tc>
          <w:tcPr/>
          <w:p>
            <w:pPr>
              <w:pStyle w:val="Compact"/>
              <w:jc w:val="left"/>
            </w:pPr>
            <w:r>
              <w:rPr>
                <w:b/>
                <w:bCs/>
              </w:rPr>
              <w:t xml:space="preserve">KBI’s requested response deadline</w:t>
            </w:r>
            <w:r>
              <w:t xml:space="preserve"> </w:t>
            </w:r>
            <w:r>
              <w:t xml:space="preserve">(Term Sheet § 16.7; Side Letter § 4)</w:t>
            </w:r>
          </w:p>
        </w:tc>
      </w:tr>
      <w:tr>
        <w:tc>
          <w:tcPr/>
          <w:p>
            <w:pPr>
              <w:pStyle w:val="Compact"/>
              <w:jc w:val="left"/>
            </w:pPr>
            <w:r>
              <w:t xml:space="preserve">July 28, 2025</w:t>
            </w:r>
          </w:p>
        </w:tc>
        <w:tc>
          <w:tcPr/>
          <w:p>
            <w:pPr>
              <w:pStyle w:val="Compact"/>
              <w:jc w:val="left"/>
            </w:pPr>
            <w:r>
              <w:t xml:space="preserve">Binding 60-day no-shop expires (§ 16.2)</w:t>
            </w:r>
          </w:p>
        </w:tc>
      </w:tr>
      <w:tr>
        <w:tc>
          <w:tcPr/>
          <w:p>
            <w:pPr>
              <w:pStyle w:val="Compact"/>
              <w:jc w:val="left"/>
            </w:pPr>
            <w:r>
              <w:t xml:space="preserve">August 15, 2025</w:t>
            </w:r>
          </w:p>
        </w:tc>
        <w:tc>
          <w:tcPr/>
          <w:p>
            <w:pPr>
              <w:pStyle w:val="Compact"/>
              <w:jc w:val="left"/>
            </w:pPr>
            <w:r>
              <w:t xml:space="preserve">Targeted Definitive Agreement execution (§ 1)</w:t>
            </w:r>
          </w:p>
        </w:tc>
      </w:tr>
      <w:tr>
        <w:tc>
          <w:tcPr/>
          <w:p>
            <w:pPr>
              <w:pStyle w:val="Compact"/>
              <w:jc w:val="left"/>
            </w:pPr>
            <w:r>
              <w:t xml:space="preserve">September 15, 2025</w:t>
            </w:r>
          </w:p>
        </w:tc>
        <w:tc>
          <w:tcPr/>
          <w:p>
            <w:pPr>
              <w:pStyle w:val="Compact"/>
              <w:jc w:val="left"/>
            </w:pPr>
            <w:r>
              <w:t xml:space="preserve">Phase 1 implementation start (§ 6.2) — contingent on MFC acceptance per Side Letter § 4</w:t>
            </w:r>
          </w:p>
        </w:tc>
      </w:tr>
      <w:tr>
        <w:tc>
          <w:tcPr/>
          <w:p>
            <w:pPr>
              <w:pStyle w:val="Compact"/>
              <w:jc w:val="left"/>
            </w:pPr>
            <w:r>
              <w:t xml:space="preserve">March 15, 2026</w:t>
            </w:r>
          </w:p>
        </w:tc>
        <w:tc>
          <w:tcPr/>
          <w:p>
            <w:pPr>
              <w:pStyle w:val="Compact"/>
              <w:jc w:val="left"/>
            </w:pPr>
            <w:r>
              <w:t xml:space="preserve">Phase 1 completion target (10 pilot facilities)</w:t>
            </w:r>
          </w:p>
        </w:tc>
      </w:tr>
      <w:tr>
        <w:tc>
          <w:tcPr/>
          <w:p>
            <w:pPr>
              <w:pStyle w:val="Compact"/>
              <w:jc w:val="left"/>
            </w:pPr>
            <w:r>
              <w:t xml:space="preserve">March 15, 2027</w:t>
            </w:r>
          </w:p>
        </w:tc>
        <w:tc>
          <w:tcPr/>
          <w:p>
            <w:pPr>
              <w:pStyle w:val="Compact"/>
              <w:jc w:val="left"/>
            </w:pPr>
            <w:r>
              <w:t xml:space="preserve">Phase 2 go-live target (all 43 facilities)</w:t>
            </w:r>
          </w:p>
        </w:tc>
      </w:tr>
    </w:tbl>
    <w:p>
      <w:pPr>
        <w:pStyle w:val="BodyText"/>
      </w:pPr>
      <w:r>
        <w:rPr>
          <w:b/>
          <w:bCs/>
        </w:rPr>
        <w:t xml:space="preserve">Recommended immediate actions:</w:t>
      </w:r>
      <w:r>
        <w:t xml:space="preserve"> </w:t>
      </w:r>
      <w:r>
        <w:t xml:space="preserve">1.</w:t>
      </w:r>
      <w:r>
        <w:t xml:space="preserve"> </w:t>
      </w:r>
      <w:r>
        <w:rPr>
          <w:b/>
          <w:bCs/>
        </w:rPr>
        <w:t xml:space="preserve">Board approval (June 18):</w:t>
      </w:r>
      <w:r>
        <w:t xml:space="preserve"> </w:t>
      </w:r>
      <w:r>
        <w:t xml:space="preserve">Authorize management to pursue the Transaction on the Tier 1–3 framework above, with the four red lines as conditions to execution.</w:t>
      </w:r>
      <w:r>
        <w:t xml:space="preserve"> </w:t>
      </w:r>
      <w:r>
        <w:t xml:space="preserve">2.</w:t>
      </w:r>
      <w:r>
        <w:t xml:space="preserve"> </w:t>
      </w:r>
      <w:r>
        <w:rPr>
          <w:b/>
          <w:bCs/>
        </w:rPr>
        <w:t xml:space="preserve">Engage German-law specialists</w:t>
      </w:r>
      <w:r>
        <w:t xml:space="preserve"> </w:t>
      </w:r>
      <w:r>
        <w:t xml:space="preserve">to assess governing-law, liability, IP-ownership, and competition-law issues (CR-4, H-8, H-11, CR-2).</w:t>
      </w:r>
      <w:r>
        <w:t xml:space="preserve"> </w:t>
      </w:r>
      <w:r>
        <w:t xml:space="preserve">3.</w:t>
      </w:r>
      <w:r>
        <w:t xml:space="preserve"> </w:t>
      </w:r>
      <w:r>
        <w:rPr>
          <w:b/>
          <w:bCs/>
        </w:rPr>
        <w:t xml:space="preserve">Prepare the response to KBI by June 23</w:t>
      </w:r>
      <w:r>
        <w:t xml:space="preserve"> </w:t>
      </w:r>
      <w:r>
        <w:t xml:space="preserve">that (a) signals strong interest and commitment to the timeline, (b) presents the counter-proposal framework, and (c) clearly identifies the red lines. The Side Letter’s</w:t>
      </w:r>
      <w:r>
        <w:t xml:space="preserve"> </w:t>
      </w:r>
      <w:r>
        <w:t xml:space="preserve">“</w:t>
      </w:r>
      <w:r>
        <w:t xml:space="preserve">expressly conditioned</w:t>
      </w:r>
      <w:r>
        <w:t xml:space="preserve">”</w:t>
      </w:r>
      <w:r>
        <w:t xml:space="preserve"> </w:t>
      </w:r>
      <w:r>
        <w:t xml:space="preserve">MFC ultimatum and the September 15 timeline contingency should be addressed directly but constructively.</w:t>
      </w:r>
      <w:r>
        <w:t xml:space="preserve"> </w:t>
      </w:r>
      <w:r>
        <w:t xml:space="preserve">4.</w:t>
      </w:r>
      <w:r>
        <w:t xml:space="preserve"> </w:t>
      </w:r>
      <w:r>
        <w:rPr>
          <w:b/>
          <w:bCs/>
        </w:rPr>
        <w:t xml:space="preserve">Finance/accounting:</w:t>
      </w:r>
      <w:r>
        <w:t xml:space="preserve"> </w:t>
      </w:r>
      <w:r>
        <w:t xml:space="preserve">Model the revised cash-flow proposal (Tier 2, item 10) and flag ASC 606 revenue-recognition questions to Lakeshore Accounting Group LLP.</w:t>
      </w:r>
      <w:r>
        <w:t xml:space="preserve"> </w:t>
      </w:r>
      <w:r>
        <w:t xml:space="preserve">5.</w:t>
      </w:r>
      <w:r>
        <w:t xml:space="preserve"> </w:t>
      </w:r>
      <w:r>
        <w:rPr>
          <w:b/>
          <w:bCs/>
        </w:rPr>
        <w:t xml:space="preserve">Sales (Kendrick):</w:t>
      </w:r>
      <w:r>
        <w:t xml:space="preserve"> </w:t>
      </w:r>
      <w:r>
        <w:t xml:space="preserve">Prepare the one-page European pipeline-impact summary for the board deck (3 active prospects, $4–5M potential recurring revenue, 25–30 additional companies within the 30% threshold) — per the CEO’s directive.</w:t>
      </w:r>
    </w:p>
    <w:p>
      <w:r>
        <w:pict>
          <v:rect style="width:0;height:1.5pt" o:hralign="center" o:hrstd="t" o:hr="t"/>
        </w:pict>
      </w:r>
    </w:p>
    <w:bookmarkEnd w:id="59"/>
    <w:bookmarkStart w:id="60" w:name="vi.-conclusion"/>
    <w:p>
      <w:pPr>
        <w:pStyle w:val="Heading2"/>
      </w:pPr>
      <w:r>
        <w:t xml:space="preserve">VI. Conclusion</w:t>
      </w:r>
    </w:p>
    <w:p>
      <w:pPr>
        <w:pStyle w:val="FirstParagraph"/>
      </w:pPr>
      <w:r>
        <w:t xml:space="preserve">The KBI Transaction is a strategically significant opportunity that would establish Whitmore as the reference provider in European heavy manufacturing and materially strengthen its recurring-revenue profile and Series C narrative. We recommend the Board authorize pursuit of the Transaction.</w:t>
      </w:r>
    </w:p>
    <w:p>
      <w:pPr>
        <w:pStyle w:val="BodyText"/>
      </w:pPr>
      <w:r>
        <w:t xml:space="preserve">However, the Term Sheet and Side Letter — both prepared by KBI’s counsel — contain a concentrated set of provisions that, as written, would compromise Whitmore’s core IP, its model-improvement pipeline, its pricing freedom, and its go-to-market flexibility in its most important growth market. The four red lines (data-rights cluster, exclusivity, MFC pricing, and uncapped IP indemnification under German law) must be resolved before execution. A further set of high-priority items (wind-down license, derivative-works ownership, escrow triggers, performance warranty, cash-flow structure, term/termination symmetry, and assignment rights) require material restructuring. With a disciplined negotiation framework and a constructive but firm response by the June 23 deadline, we believe the Transaction can be restructured to a form that captures its strategic value while protecting Whitmore’s core business.</w:t>
      </w:r>
    </w:p>
    <w:p>
      <w:pPr>
        <w:pStyle w:val="BodyText"/>
      </w:pPr>
      <w:r>
        <w:t xml:space="preserve">We are available to discuss this memorandum with the Board at the June 18 meeting and to assist in preparing the response to KBI.</w:t>
      </w:r>
    </w:p>
    <w:p>
      <w:pPr>
        <w:pStyle w:val="BodyText"/>
      </w:pPr>
      <w:r>
        <w:rPr>
          <w:i/>
          <w:iCs/>
        </w:rPr>
        <w:t xml:space="preserve">Respectfully submitted,</w:t>
      </w:r>
    </w:p>
    <w:p>
      <w:pPr>
        <w:pStyle w:val="BodyText"/>
      </w:pPr>
      <w:r>
        <w:rPr>
          <w:b/>
          <w:bCs/>
        </w:rPr>
        <w:t xml:space="preserve">Daniel Cortez</w:t>
      </w:r>
      <w:r>
        <w:t xml:space="preserve"> </w:t>
      </w:r>
      <w:r>
        <w:t xml:space="preserve">| Partner | Ferndale Hale &amp; Seward LLP</w:t>
      </w:r>
    </w:p>
    <w:p>
      <w:pPr>
        <w:pStyle w:val="BodyText"/>
      </w:pPr>
      <w:r>
        <w:rPr>
          <w:b/>
          <w:bCs/>
        </w:rPr>
        <w:t xml:space="preserve">Priya Venkatesh</w:t>
      </w:r>
      <w:r>
        <w:t xml:space="preserve"> </w:t>
      </w:r>
      <w:r>
        <w:t xml:space="preserve">| Partner | Ferndale Hale &amp; Seward LLP</w:t>
      </w:r>
    </w:p>
    <w:p>
      <w:r>
        <w:pict>
          <v:rect style="width:0;height:1.5pt" o:hralign="center" o:hrstd="t" o:hr="t"/>
        </w:pict>
      </w:r>
    </w:p>
    <w:p>
      <w:pPr>
        <w:pStyle w:val="FirstParagraph"/>
      </w:pPr>
      <w:r>
        <w:rPr>
          <w:i/>
          <w:iCs/>
        </w:rPr>
        <w:t xml:space="preserve">This memorandum is privileged and confidential, prepared in anticipation of litigation and for the purpose of providing legal advice to Whitmore Analytics Inc. It should not be distributed outside the Board, senior management, and Whitmore’s counsel without the General Counsel’s approval. The Term Sheet and Side Letter are non-binding (except §§ 15 and 16 of the Term Sheet); this memorandum analyzes the terms as proposed and does not constitute an offer or agreement. Figures are drawn from the Term Sheet, Side Letter, and Whitmore’s internal communications; the precise first-year revenue total is $9,556,000 (Whitmore’s internal communications round this to ~$9.6M).</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2026-06-27T20:49:36Z</dcterms:created>
  <dcterms:modified xsi:type="dcterms:W3CDTF">2026-06-27T20:49:36Z</dcterms:modified>
</cp:coreProperties>
</file>

<file path=docProps/custom.xml><?xml version="1.0" encoding="utf-8"?>
<Properties xmlns="http://schemas.openxmlformats.org/officeDocument/2006/custom-properties" xmlns:vt="http://schemas.openxmlformats.org/officeDocument/2006/docPropsVTypes"/>
</file>