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
          <w:bCs/>
        </w:rPr>
        <w:t xml:space="preserve">PRIVILEGED &amp; CONFIDENTIAL — ATTORNEY-CLIENT COMMUNICATION / ATTORNEY WORK PRODUCT</w:t>
      </w:r>
    </w:p>
    <w:p>
      <w:pPr>
        <w:pStyle w:val="BodyText"/>
      </w:pPr>
      <w:r>
        <w:rPr>
          <w:i/>
          <w:iCs/>
        </w:rPr>
        <w:t xml:space="preserve">Prepared at the request of and for the use of Greenfield Biosciences, Inc.</w:t>
      </w:r>
    </w:p>
    <w:p>
      <w:r>
        <w:pict>
          <v:rect style="width:0;height:1.5pt" o:hralign="center" o:hrstd="t" o:hr="t"/>
        </w:pict>
      </w:r>
    </w:p>
    <w:bookmarkStart w:id="63" w:name="memorandum"/>
    <w:p>
      <w:pPr>
        <w:pStyle w:val="Heading1"/>
      </w:pPr>
      <w:r>
        <w:t xml:space="preserve">MEMORANDUM</w:t>
      </w:r>
    </w:p>
    <w:p>
      <w:pPr>
        <w:pStyle w:val="FirstParagraph"/>
      </w:pPr>
      <w:r>
        <w:rPr>
          <w:b/>
          <w:bCs/>
        </w:rPr>
        <w:t xml:space="preserve">TO:</w:t>
      </w:r>
      <w:r>
        <w:t xml:space="preserve"> </w:t>
      </w:r>
      <w:r>
        <w:t xml:space="preserve">Dr. Eleanor Harrington, Chief Executive Officer; Marcus J. Whitfield, Esq., General Counsel — Greenfield Biosciences, Inc.</w:t>
      </w:r>
    </w:p>
    <w:p>
      <w:pPr>
        <w:pStyle w:val="BodyText"/>
      </w:pPr>
      <w:r>
        <w:rPr>
          <w:b/>
          <w:bCs/>
        </w:rPr>
        <w:t xml:space="preserve">FROM:</w:t>
      </w:r>
      <w:r>
        <w:t xml:space="preserve"> </w:t>
      </w:r>
      <w:r>
        <w:t xml:space="preserve">Office of the General Counsel, with outside IP counsel (Ashworth &amp; Calder LLP) and financial advisors (Ridgemont Advisory Group)</w:t>
      </w:r>
    </w:p>
    <w:p>
      <w:pPr>
        <w:pStyle w:val="BodyText"/>
      </w:pPr>
      <w:r>
        <w:rPr>
          <w:b/>
          <w:bCs/>
        </w:rPr>
        <w:t xml:space="preserve">DATE:</w:t>
      </w:r>
      <w:r>
        <w:t xml:space="preserve"> </w:t>
      </w:r>
      <w:r>
        <w:t xml:space="preserve">February 24, 2025</w:t>
      </w:r>
    </w:p>
    <w:p>
      <w:pPr>
        <w:pStyle w:val="BodyText"/>
      </w:pPr>
      <w:r>
        <w:rPr>
          <w:b/>
          <w:bCs/>
        </w:rPr>
        <w:t xml:space="preserve">RE:</w:t>
      </w:r>
      <w:r>
        <w:t xml:space="preserve"> </w:t>
      </w:r>
      <w:r>
        <w:t xml:space="preserve">Renewal Analysis — NovaTrait Genomics IP License Portfolio (License A: CRISPR-Ag Suite; License B: TraitForge; License C: GenoMap Pro) — Recommended Negotiation Strategy and Counter-Positions</w:t>
      </w:r>
    </w:p>
    <w:p>
      <w:r>
        <w:pict>
          <v:rect style="width:0;height:1.5pt" o:hralign="center" o:hrstd="t" o:hr="t"/>
        </w:pict>
      </w:r>
    </w:p>
    <w:bookmarkStart w:id="20" w:name="executive-summary"/>
    <w:p>
      <w:pPr>
        <w:pStyle w:val="Heading2"/>
      </w:pPr>
      <w:r>
        <w:t xml:space="preserve">1. Executive Summary</w:t>
      </w:r>
    </w:p>
    <w:p>
      <w:pPr>
        <w:pStyle w:val="FirstParagraph"/>
      </w:pPr>
      <w:r>
        <w:t xml:space="preserve">Greenfield Biosciences, Inc. (</w:t>
      </w:r>
      <w:r>
        <w:t xml:space="preserve">“</w:t>
      </w:r>
      <w:r>
        <w:t xml:space="preserve">Greenfield</w:t>
      </w:r>
      <w:r>
        <w:t xml:space="preserve">”</w:t>
      </w:r>
      <w:r>
        <w:t xml:space="preserve"> </w:t>
      </w:r>
      <w:r>
        <w:t xml:space="preserve">or the</w:t>
      </w:r>
      <w:r>
        <w:t xml:space="preserve"> </w:t>
      </w:r>
      <w:r>
        <w:t xml:space="preserve">“</w:t>
      </w:r>
      <w:r>
        <w:t xml:space="preserve">Company</w:t>
      </w:r>
      <w:r>
        <w:t xml:space="preserve">”</w:t>
      </w:r>
      <w:r>
        <w:t xml:space="preserve">) holds three intellectual-property and software licenses from NovaTrait Genomics Corporation (</w:t>
      </w:r>
      <w:r>
        <w:t xml:space="preserve">“</w:t>
      </w:r>
      <w:r>
        <w:t xml:space="preserve">NovaTrait</w:t>
      </w:r>
      <w:r>
        <w:t xml:space="preserve">”</w:t>
      </w:r>
      <w:r>
        <w:t xml:space="preserve">) that, together, underpin the Company’s corn, soybean, cotton, and (proposed) wheat trait programs, its Prairielands Seed Cooperative sublicense, and its bioinformatics R&amp;D pipeline. All three agreements are at or past their initial-term expiration dates, and NovaTrait has submitted a consolidated renewal proposal (cover letter dated October 14, 2024; refined terms reflected in the January 15, 2025 transmission analyzed by Ridgemont Advisory Group) (the</w:t>
      </w:r>
      <w:r>
        <w:t xml:space="preserve"> </w:t>
      </w:r>
      <w:r>
        <w:t xml:space="preserve">“</w:t>
      </w:r>
      <w:r>
        <w:t xml:space="preserve">Proposal</w:t>
      </w:r>
      <w:r>
        <w:t xml:space="preserve">”</w:t>
      </w:r>
      <w:r>
        <w:t xml:space="preserve">).</w:t>
      </w:r>
    </w:p>
    <w:p>
      <w:pPr>
        <w:pStyle w:val="BodyText"/>
      </w:pPr>
      <w:r>
        <w:rPr>
          <w:b/>
          <w:bCs/>
        </w:rPr>
        <w:t xml:space="preserve">Bottom line.</w:t>
      </w:r>
      <w:r>
        <w:t xml:space="preserve"> </w:t>
      </w:r>
      <w:r>
        <w:t xml:space="preserve">We recommend that Greenfield</w:t>
      </w:r>
      <w:r>
        <w:t xml:space="preserve"> </w:t>
      </w:r>
      <w:r>
        <w:rPr>
          <w:b/>
          <w:bCs/>
        </w:rPr>
        <w:t xml:space="preserve">pursue renewal of all three licenses</w:t>
      </w:r>
      <w:r>
        <w:t xml:space="preserve">, but on</w:t>
      </w:r>
      <w:r>
        <w:t xml:space="preserve"> </w:t>
      </w:r>
      <w:r>
        <w:rPr>
          <w:b/>
          <w:bCs/>
        </w:rPr>
        <w:t xml:space="preserve">substantially revised terms</w:t>
      </w:r>
      <w:r>
        <w:t xml:space="preserve">. As proposed, the Package would raise Greenfield’s aggregate annual IP cost from approximately</w:t>
      </w:r>
      <w:r>
        <w:t xml:space="preserve"> </w:t>
      </w:r>
      <w:r>
        <w:rPr>
          <w:b/>
          <w:bCs/>
        </w:rPr>
        <w:t xml:space="preserve">$18.6 million (4.81% of FY 2024 revenue)</w:t>
      </w:r>
      <w:r>
        <w:t xml:space="preserve"> </w:t>
      </w:r>
      <w:r>
        <w:t xml:space="preserve">to approximately</w:t>
      </w:r>
      <w:r>
        <w:t xml:space="preserve"> </w:t>
      </w:r>
      <w:r>
        <w:rPr>
          <w:b/>
          <w:bCs/>
        </w:rPr>
        <w:t xml:space="preserve">$28.0 million (7.22% of FY 2024 revenue)</w:t>
      </w:r>
      <w:r>
        <w:t xml:space="preserve"> </w:t>
      </w:r>
      <w:r>
        <w:t xml:space="preserve">— an increase of roughly</w:t>
      </w:r>
      <w:r>
        <w:t xml:space="preserve"> </w:t>
      </w:r>
      <w:r>
        <w:rPr>
          <w:b/>
          <w:bCs/>
        </w:rPr>
        <w:t xml:space="preserve">$9.3 million per year (+49.9%)</w:t>
      </w:r>
      <w:r>
        <w:t xml:space="preserve"> </w:t>
      </w:r>
      <w:r>
        <w:t xml:space="preserve">— while simultaneously</w:t>
      </w:r>
      <w:r>
        <w:t xml:space="preserve"> </w:t>
      </w:r>
      <w:r>
        <w:rPr>
          <w:b/>
          <w:bCs/>
        </w:rPr>
        <w:t xml:space="preserve">narrowing</w:t>
      </w:r>
      <w:r>
        <w:t xml:space="preserve"> </w:t>
      </w:r>
      <w:r>
        <w:t xml:space="preserve">Greenfield’s rights in several material respects (removal of insect resistance from License A; elimination of source-code access and transfer of output-data ownership in License C; reversal of improvement ownership in Licenses A and B; shortened biological-materials wind-down in License B). The proposed rates and fees</w:t>
      </w:r>
      <w:r>
        <w:t xml:space="preserve"> </w:t>
      </w:r>
      <w:r>
        <w:rPr>
          <w:b/>
          <w:bCs/>
        </w:rPr>
        <w:t xml:space="preserve">exceed the upper end of market comparables in all three license categories</w:t>
      </w:r>
      <w:r>
        <w:t xml:space="preserve">, and several proposed changes are</w:t>
      </w:r>
      <w:r>
        <w:t xml:space="preserve"> </w:t>
      </w:r>
      <w:r>
        <w:rPr>
          <w:b/>
          <w:bCs/>
        </w:rPr>
        <w:t xml:space="preserve">not justified by the underlying IP value</w:t>
      </w:r>
      <w:r>
        <w:t xml:space="preserve">, which is</w:t>
      </w:r>
      <w:r>
        <w:t xml:space="preserve"> </w:t>
      </w:r>
      <w:r>
        <w:rPr>
          <w:b/>
          <w:bCs/>
        </w:rPr>
        <w:t xml:space="preserve">declining</w:t>
      </w:r>
      <w:r>
        <w:t xml:space="preserve"> </w:t>
      </w:r>
      <w:r>
        <w:t xml:space="preserve">for License A (foundational patent expires March 12, 2028) and</w:t>
      </w:r>
      <w:r>
        <w:t xml:space="preserve"> </w:t>
      </w:r>
      <w:r>
        <w:rPr>
          <w:b/>
          <w:bCs/>
        </w:rPr>
        <w:t xml:space="preserve">static-to-moderate</w:t>
      </w:r>
      <w:r>
        <w:t xml:space="preserve"> </w:t>
      </w:r>
      <w:r>
        <w:t xml:space="preserve">for License C (multiple substitutes exist).</w:t>
      </w:r>
    </w:p>
    <w:p>
      <w:pPr>
        <w:pStyle w:val="BodyText"/>
      </w:pPr>
      <w:r>
        <w:rPr>
          <w:b/>
          <w:bCs/>
        </w:rPr>
        <w:t xml:space="preserve">Negotiating posture by license.</w:t>
      </w:r>
    </w:p>
    <w:p>
      <w:pPr>
        <w:pStyle w:val="Compact"/>
        <w:numPr>
          <w:ilvl w:val="0"/>
          <w:numId w:val="1001"/>
        </w:numPr>
      </w:pPr>
      <w:r>
        <w:rPr>
          <w:b/>
          <w:bCs/>
        </w:rPr>
        <w:t xml:space="preserve">License A (CRISPR-Ag Suite):</w:t>
      </w:r>
      <w:r>
        <w:t xml:space="preserve"> </w:t>
      </w:r>
      <w:r>
        <w:t xml:space="preserve">Moderate leverage. The foundational patent (U.S. 9,234,117) expires mid-term (March 2028), the competitive landscape is expanding, and switching is uneconomic in the near term but credible as leverage. Target a rate of</w:t>
      </w:r>
      <w:r>
        <w:t xml:space="preserve"> </w:t>
      </w:r>
      <w:r>
        <w:rPr>
          <w:b/>
          <w:bCs/>
        </w:rPr>
        <w:t xml:space="preserve">5.0% on the original Net Sales definition</w:t>
      </w:r>
      <w:r>
        <w:t xml:space="preserve"> </w:t>
      </w:r>
      <w:r>
        <w:t xml:space="preserve">(or 4.75% on a redefined definition), a</w:t>
      </w:r>
      <w:r>
        <w:t xml:space="preserve"> </w:t>
      </w:r>
      <w:r>
        <w:rPr>
          <w:b/>
          <w:bCs/>
        </w:rPr>
        <w:t xml:space="preserve">post-2028 step-down</w:t>
      </w:r>
      <w:r>
        <w:t xml:space="preserve">, retention of insect resistance, retention of sole improvement ownership, and a 35–40% sublicense pass-through.</w:t>
      </w:r>
    </w:p>
    <w:p>
      <w:pPr>
        <w:pStyle w:val="Compact"/>
        <w:numPr>
          <w:ilvl w:val="0"/>
          <w:numId w:val="1001"/>
        </w:numPr>
      </w:pPr>
      <w:r>
        <w:rPr>
          <w:b/>
          <w:bCs/>
        </w:rPr>
        <w:t xml:space="preserve">License B (TraitForge):</w:t>
      </w:r>
      <w:r>
        <w:t xml:space="preserve"> </w:t>
      </w:r>
      <w:r>
        <w:t xml:space="preserve">Weak leverage but time-critical. No commercial alternative exists and internal build is 3–4 years and $25–30M; however, the License B standstill</w:t>
      </w:r>
      <w:r>
        <w:t xml:space="preserve"> </w:t>
      </w:r>
      <w:r>
        <w:rPr>
          <w:b/>
          <w:bCs/>
        </w:rPr>
        <w:t xml:space="preserve">expires June 29, 2025</w:t>
      </w:r>
      <w:r>
        <w:t xml:space="preserve">, creating a hard deadline. Target</w:t>
      </w:r>
      <w:r>
        <w:t xml:space="preserve"> </w:t>
      </w:r>
      <w:r>
        <w:rPr>
          <w:b/>
          <w:bCs/>
        </w:rPr>
        <w:t xml:space="preserve">4.25% on the original Net Sales definition</w:t>
      </w:r>
      <w:r>
        <w:t xml:space="preserve">, a</w:t>
      </w:r>
      <w:r>
        <w:t xml:space="preserve"> </w:t>
      </w:r>
      <w:r>
        <w:rPr>
          <w:b/>
          <w:bCs/>
        </w:rPr>
        <w:t xml:space="preserve">180-day biological-materials wind-down</w:t>
      </w:r>
      <w:r>
        <w:t xml:space="preserve">, retention of current audit frequency, and a</w:t>
      </w:r>
      <w:r>
        <w:t xml:space="preserve"> </w:t>
      </w:r>
      <w:r>
        <w:rPr>
          <w:b/>
          <w:bCs/>
        </w:rPr>
        <w:t xml:space="preserve">20% Prairielands pass-through with a 12-month phase-in</w:t>
      </w:r>
      <w:r>
        <w:t xml:space="preserve"> </w:t>
      </w:r>
      <w:r>
        <w:t xml:space="preserve">(versus the 40% NovaTrait seeks). Secure a written standstill extension to December 31, 2025 as a condition precedent to continued negotiation.</w:t>
      </w:r>
    </w:p>
    <w:p>
      <w:pPr>
        <w:pStyle w:val="Compact"/>
        <w:numPr>
          <w:ilvl w:val="0"/>
          <w:numId w:val="1001"/>
        </w:numPr>
      </w:pPr>
      <w:r>
        <w:rPr>
          <w:b/>
          <w:bCs/>
        </w:rPr>
        <w:t xml:space="preserve">License C (GenoMap Pro):</w:t>
      </w:r>
      <w:r>
        <w:t xml:space="preserve"> </w:t>
      </w:r>
      <w:r>
        <w:t xml:space="preserve">Strong leverage. Multiple substitutes exist at $1.8M–$3.5M/year with break-even under three years. Target</w:t>
      </w:r>
      <w:r>
        <w:t xml:space="preserve"> </w:t>
      </w:r>
      <w:r>
        <w:rPr>
          <w:b/>
          <w:bCs/>
        </w:rPr>
        <w:t xml:space="preserve">$3.75M with an 80-user cap</w:t>
      </w:r>
      <w:r>
        <w:t xml:space="preserve">,</w:t>
      </w:r>
      <w:r>
        <w:t xml:space="preserve"> </w:t>
      </w:r>
      <w:r>
        <w:rPr>
          <w:b/>
          <w:bCs/>
        </w:rPr>
        <w:t xml:space="preserve">retention of source-code access</w:t>
      </w:r>
      <w:r>
        <w:t xml:space="preserve">, and</w:t>
      </w:r>
      <w:r>
        <w:t xml:space="preserve"> </w:t>
      </w:r>
      <w:r>
        <w:rPr>
          <w:b/>
          <w:bCs/>
        </w:rPr>
        <w:t xml:space="preserve">Greenfield ownership of all output/derivative data</w:t>
      </w:r>
      <w:r>
        <w:t xml:space="preserve">. Obtain competitive quotes from BioSphere Analytics, PlantLogic Suite, and TraitView Pro to support the counter.</w:t>
      </w:r>
    </w:p>
    <w:p>
      <w:pPr>
        <w:pStyle w:val="FirstParagraph"/>
      </w:pPr>
      <w:r>
        <w:rPr>
          <w:b/>
          <w:bCs/>
        </w:rPr>
        <w:t xml:space="preserve">Two critical, time-sensitive actions</w:t>
      </w:r>
      <w:r>
        <w:t xml:space="preserve"> </w:t>
      </w:r>
      <w:r>
        <w:t xml:space="preserve">are required immediately: (i)</w:t>
      </w:r>
      <w:r>
        <w:t xml:space="preserve"> </w:t>
      </w:r>
      <w:r>
        <w:rPr>
          <w:b/>
          <w:bCs/>
        </w:rPr>
        <w:t xml:space="preserve">confirm in writing</w:t>
      </w:r>
      <w:r>
        <w:t xml:space="preserve"> </w:t>
      </w:r>
      <w:r>
        <w:t xml:space="preserve">that timely renewal notices were delivered for Licenses B and C (deadlines of September 30 and November 30, 2024, respectively, have passed) and (ii)</w:t>
      </w:r>
      <w:r>
        <w:t xml:space="preserve"> </w:t>
      </w:r>
      <w:r>
        <w:rPr>
          <w:b/>
          <w:bCs/>
        </w:rPr>
        <w:t xml:space="preserve">secure a written extension of the License B standstill</w:t>
      </w:r>
      <w:r>
        <w:t xml:space="preserve"> </w:t>
      </w:r>
      <w:r>
        <w:t xml:space="preserve">beyond June 29, 2025. The License A renewal-notice deadline (March 31, 2025) is approaching and must not be missed.</w:t>
      </w:r>
    </w:p>
    <w:p>
      <w:pPr>
        <w:pStyle w:val="BodyText"/>
      </w:pPr>
      <w:r>
        <w:t xml:space="preserve">A prioritized counter-proposal framework and diligence items appear in Sections 9–11 below.</w:t>
      </w:r>
    </w:p>
    <w:p>
      <w:r>
        <w:pict>
          <v:rect style="width:0;height:1.5pt" o:hralign="center" o:hrstd="t" o:hr="t"/>
        </w:pict>
      </w:r>
    </w:p>
    <w:bookmarkEnd w:id="20"/>
    <w:bookmarkStart w:id="24" w:name="background-and-scope"/>
    <w:p>
      <w:pPr>
        <w:pStyle w:val="Heading2"/>
      </w:pPr>
      <w:r>
        <w:t xml:space="preserve">2. Background and Scope</w:t>
      </w:r>
    </w:p>
    <w:bookmarkStart w:id="21" w:name="the-three-existing-agreements"/>
    <w:p>
      <w:pPr>
        <w:pStyle w:val="Heading3"/>
      </w:pPr>
      <w:r>
        <w:t xml:space="preserve">2.1 The Three Existing Agreements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rPr>
                <w:b/>
                <w:bCs/>
              </w:rPr>
              <w:t xml:space="preserve">License A — CRISPR-Ag Suite</w:t>
            </w:r>
          </w:p>
        </w:tc>
        <w:tc>
          <w:tcPr/>
          <w:p>
            <w:pPr>
              <w:pStyle w:val="Compact"/>
              <w:jc w:val="left"/>
            </w:pPr>
            <w:r>
              <w:rPr>
                <w:b/>
                <w:bCs/>
              </w:rPr>
              <w:t xml:space="preserve">License B — TraitForge</w:t>
            </w:r>
          </w:p>
        </w:tc>
        <w:tc>
          <w:tcPr/>
          <w:p>
            <w:pPr>
              <w:pStyle w:val="Compact"/>
              <w:jc w:val="left"/>
            </w:pPr>
            <w:r>
              <w:rPr>
                <w:b/>
                <w:bCs/>
              </w:rPr>
              <w:t xml:space="preserve">License C — GenoMap Pro</w:t>
            </w:r>
          </w:p>
        </w:tc>
      </w:tr>
      <w:tr>
        <w:tc>
          <w:tcPr/>
          <w:p>
            <w:pPr>
              <w:pStyle w:val="Compact"/>
              <w:jc w:val="left"/>
            </w:pPr>
            <w:r>
              <w:t xml:space="preserve">Agreement type</w:t>
            </w:r>
          </w:p>
        </w:tc>
        <w:tc>
          <w:tcPr/>
          <w:p>
            <w:pPr>
              <w:pStyle w:val="Compact"/>
              <w:jc w:val="left"/>
            </w:pPr>
            <w:r>
              <w:t xml:space="preserve">IP license (gene-editing platform)</w:t>
            </w:r>
          </w:p>
        </w:tc>
        <w:tc>
          <w:tcPr/>
          <w:p>
            <w:pPr>
              <w:pStyle w:val="Compact"/>
              <w:jc w:val="left"/>
            </w:pPr>
            <w:r>
              <w:t xml:space="preserve">IP license (trait-expression platform)</w:t>
            </w:r>
          </w:p>
        </w:tc>
        <w:tc>
          <w:tcPr/>
          <w:p>
            <w:pPr>
              <w:pStyle w:val="Compact"/>
              <w:jc w:val="left"/>
            </w:pPr>
            <w:r>
              <w:t xml:space="preserve">Software license (bioinformatics)</w:t>
            </w:r>
          </w:p>
        </w:tc>
      </w:tr>
      <w:tr>
        <w:tc>
          <w:tcPr/>
          <w:p>
            <w:pPr>
              <w:pStyle w:val="Compact"/>
              <w:jc w:val="left"/>
            </w:pPr>
            <w:r>
              <w:t xml:space="preserve">Effective date</w:t>
            </w:r>
          </w:p>
        </w:tc>
        <w:tc>
          <w:tcPr/>
          <w:p>
            <w:pPr>
              <w:pStyle w:val="Compact"/>
              <w:jc w:val="left"/>
            </w:pPr>
            <w:r>
              <w:t xml:space="preserve">July 1, 2015</w:t>
            </w:r>
          </w:p>
        </w:tc>
        <w:tc>
          <w:tcPr/>
          <w:p>
            <w:pPr>
              <w:pStyle w:val="Compact"/>
              <w:jc w:val="left"/>
            </w:pPr>
            <w:r>
              <w:t xml:space="preserve">January 1, 2018</w:t>
            </w:r>
          </w:p>
        </w:tc>
        <w:tc>
          <w:tcPr/>
          <w:p>
            <w:pPr>
              <w:pStyle w:val="Compact"/>
              <w:jc w:val="left"/>
            </w:pPr>
            <w:r>
              <w:t xml:space="preserve">March 1, 2020</w:t>
            </w:r>
          </w:p>
        </w:tc>
      </w:tr>
      <w:tr>
        <w:tc>
          <w:tcPr/>
          <w:p>
            <w:pPr>
              <w:pStyle w:val="Compact"/>
              <w:jc w:val="left"/>
            </w:pPr>
            <w:r>
              <w:t xml:space="preserve">Initial term</w:t>
            </w:r>
          </w:p>
        </w:tc>
        <w:tc>
          <w:tcPr/>
          <w:p>
            <w:pPr>
              <w:pStyle w:val="Compact"/>
              <w:jc w:val="left"/>
            </w:pPr>
            <w:r>
              <w:t xml:space="preserve">10 years</w:t>
            </w:r>
          </w:p>
        </w:tc>
        <w:tc>
          <w:tcPr/>
          <w:p>
            <w:pPr>
              <w:pStyle w:val="Compact"/>
              <w:jc w:val="left"/>
            </w:pPr>
            <w:r>
              <w:t xml:space="preserve">7 years</w:t>
            </w:r>
          </w:p>
        </w:tc>
        <w:tc>
          <w:tcPr/>
          <w:p>
            <w:pPr>
              <w:pStyle w:val="Compact"/>
              <w:jc w:val="left"/>
            </w:pPr>
            <w:r>
              <w:t xml:space="preserve">5 years</w:t>
            </w:r>
          </w:p>
        </w:tc>
      </w:tr>
      <w:tr>
        <w:tc>
          <w:tcPr/>
          <w:p>
            <w:pPr>
              <w:pStyle w:val="Compact"/>
              <w:jc w:val="left"/>
            </w:pPr>
            <w:r>
              <w:t xml:space="preserve">Initial-term expiration</w:t>
            </w:r>
          </w:p>
        </w:tc>
        <w:tc>
          <w:tcPr/>
          <w:p>
            <w:pPr>
              <w:pStyle w:val="Compact"/>
              <w:jc w:val="left"/>
            </w:pPr>
            <w:r>
              <w:rPr>
                <w:b/>
                <w:bCs/>
              </w:rPr>
              <w:t xml:space="preserve">June 30, 2025</w:t>
            </w:r>
          </w:p>
        </w:tc>
        <w:tc>
          <w:tcPr/>
          <w:p>
            <w:pPr>
              <w:pStyle w:val="Compact"/>
              <w:jc w:val="left"/>
            </w:pPr>
            <w:r>
              <w:rPr>
                <w:b/>
                <w:bCs/>
              </w:rPr>
              <w:t xml:space="preserve">December 31, 2024 (expired)</w:t>
            </w:r>
          </w:p>
        </w:tc>
        <w:tc>
          <w:tcPr/>
          <w:p>
            <w:pPr>
              <w:pStyle w:val="Compact"/>
              <w:jc w:val="left"/>
            </w:pPr>
            <w:r>
              <w:rPr>
                <w:b/>
                <w:bCs/>
              </w:rPr>
              <w:t xml:space="preserve">February 28, 2025</w:t>
            </w:r>
          </w:p>
        </w:tc>
      </w:tr>
      <w:tr>
        <w:tc>
          <w:tcPr/>
          <w:p>
            <w:pPr>
              <w:pStyle w:val="Compact"/>
              <w:jc w:val="left"/>
            </w:pPr>
            <w:r>
              <w:t xml:space="preserve">Renewal-notice deadline</w:t>
            </w:r>
          </w:p>
        </w:tc>
        <w:tc>
          <w:tcPr/>
          <w:p>
            <w:pPr>
              <w:pStyle w:val="Compact"/>
              <w:jc w:val="left"/>
            </w:pPr>
            <w:r>
              <w:t xml:space="preserve">March 31, 2025 (90 days prior)</w:t>
            </w:r>
          </w:p>
        </w:tc>
        <w:tc>
          <w:tcPr/>
          <w:p>
            <w:pPr>
              <w:pStyle w:val="Compact"/>
              <w:jc w:val="left"/>
            </w:pPr>
            <w:r>
              <w:t xml:space="preserve">September 30, 2024 (passed)</w:t>
            </w:r>
          </w:p>
        </w:tc>
        <w:tc>
          <w:tcPr/>
          <w:p>
            <w:pPr>
              <w:pStyle w:val="Compact"/>
              <w:jc w:val="left"/>
            </w:pPr>
            <w:r>
              <w:t xml:space="preserve">November 30, 2024 (passed)</w:t>
            </w:r>
          </w:p>
        </w:tc>
      </w:tr>
      <w:tr>
        <w:tc>
          <w:tcPr/>
          <w:p>
            <w:pPr>
              <w:pStyle w:val="Compact"/>
              <w:jc w:val="left"/>
            </w:pPr>
            <w:r>
              <w:t xml:space="preserve">Current economics</w:t>
            </w:r>
          </w:p>
        </w:tc>
        <w:tc>
          <w:tcPr/>
          <w:p>
            <w:pPr>
              <w:pStyle w:val="Compact"/>
              <w:jc w:val="left"/>
            </w:pPr>
            <w:r>
              <w:t xml:space="preserve">4.5% of Net Sales; $4.0M MAR; $2.5M upfront (paid)</w:t>
            </w:r>
          </w:p>
        </w:tc>
        <w:tc>
          <w:tcPr/>
          <w:p>
            <w:pPr>
              <w:pStyle w:val="Compact"/>
              <w:jc w:val="left"/>
            </w:pPr>
            <w:r>
              <w:t xml:space="preserve">3.75% of Net Sales; $2.5M MAR</w:t>
            </w:r>
          </w:p>
        </w:tc>
        <w:tc>
          <w:tcPr/>
          <w:p>
            <w:pPr>
              <w:pStyle w:val="Compact"/>
              <w:jc w:val="left"/>
            </w:pPr>
            <w:r>
              <w:t xml:space="preserve">$3.14M flat annual fee</w:t>
            </w:r>
          </w:p>
        </w:tc>
      </w:tr>
      <w:tr>
        <w:tc>
          <w:tcPr/>
          <w:p>
            <w:pPr>
              <w:pStyle w:val="Compact"/>
              <w:jc w:val="left"/>
            </w:pPr>
            <w:r>
              <w:t xml:space="preserve">FY 2024 Net Sales / fee base</w:t>
            </w:r>
          </w:p>
        </w:tc>
        <w:tc>
          <w:tcPr/>
          <w:p>
            <w:pPr>
              <w:pStyle w:val="Compact"/>
              <w:jc w:val="left"/>
            </w:pPr>
            <w:r>
              <w:t xml:space="preserve">$202.67M</w:t>
            </w:r>
          </w:p>
        </w:tc>
        <w:tc>
          <w:tcPr/>
          <w:p>
            <w:pPr>
              <w:pStyle w:val="Compact"/>
              <w:jc w:val="left"/>
            </w:pPr>
            <w:r>
              <w:t xml:space="preserve">$170.13M</w:t>
            </w:r>
          </w:p>
        </w:tc>
        <w:tc>
          <w:tcPr/>
          <w:p>
            <w:pPr>
              <w:pStyle w:val="Compact"/>
              <w:jc w:val="left"/>
            </w:pPr>
            <w:r>
              <w:t xml:space="preserve">N/A (flat fee)</w:t>
            </w:r>
          </w:p>
        </w:tc>
      </w:tr>
      <w:tr>
        <w:tc>
          <w:tcPr/>
          <w:p>
            <w:pPr>
              <w:pStyle w:val="Compact"/>
              <w:jc w:val="left"/>
            </w:pPr>
            <w:r>
              <w:t xml:space="preserve">FY 2024 amount paid</w:t>
            </w:r>
          </w:p>
        </w:tc>
        <w:tc>
          <w:tcPr/>
          <w:p>
            <w:pPr>
              <w:pStyle w:val="Compact"/>
              <w:jc w:val="left"/>
            </w:pPr>
            <w:r>
              <w:t xml:space="preserve">$9.12M</w:t>
            </w:r>
          </w:p>
        </w:tc>
        <w:tc>
          <w:tcPr/>
          <w:p>
            <w:pPr>
              <w:pStyle w:val="Compact"/>
              <w:jc w:val="left"/>
            </w:pPr>
            <w:r>
              <w:t xml:space="preserve">$6.38M</w:t>
            </w:r>
          </w:p>
        </w:tc>
        <w:tc>
          <w:tcPr/>
          <w:p>
            <w:pPr>
              <w:pStyle w:val="Compact"/>
              <w:jc w:val="left"/>
            </w:pPr>
            <w:r>
              <w:t xml:space="preserve">$3.14M</w:t>
            </w:r>
          </w:p>
        </w:tc>
      </w:tr>
      <w:tr>
        <w:tc>
          <w:tcPr/>
          <w:p>
            <w:pPr>
              <w:pStyle w:val="Compact"/>
              <w:jc w:val="left"/>
            </w:pPr>
            <w:r>
              <w:t xml:space="preserve">Field of use</w:t>
            </w:r>
          </w:p>
        </w:tc>
        <w:tc>
          <w:tcPr/>
          <w:p>
            <w:pPr>
              <w:pStyle w:val="Compact"/>
              <w:jc w:val="left"/>
            </w:pPr>
            <w:r>
              <w:t xml:space="preserve">Corn &amp; soybean; herbicide tolerance + insect resistance</w:t>
            </w:r>
          </w:p>
        </w:tc>
        <w:tc>
          <w:tcPr/>
          <w:p>
            <w:pPr>
              <w:pStyle w:val="Compact"/>
              <w:jc w:val="left"/>
            </w:pPr>
            <w:r>
              <w:t xml:space="preserve">Drought tolerance + nutrient uptake in corn, soybean, cotton</w:t>
            </w:r>
          </w:p>
        </w:tc>
        <w:tc>
          <w:tcPr/>
          <w:p>
            <w:pPr>
              <w:pStyle w:val="Compact"/>
              <w:jc w:val="left"/>
            </w:pPr>
            <w:r>
              <w:t xml:space="preserve">Internal genomic analysis / trait mapping</w:t>
            </w:r>
          </w:p>
        </w:tc>
      </w:tr>
      <w:tr>
        <w:tc>
          <w:tcPr/>
          <w:p>
            <w:pPr>
              <w:pStyle w:val="Compact"/>
              <w:jc w:val="left"/>
            </w:pPr>
            <w:r>
              <w:t xml:space="preserve">Territory</w:t>
            </w:r>
          </w:p>
        </w:tc>
        <w:tc>
          <w:tcPr/>
          <w:p>
            <w:pPr>
              <w:pStyle w:val="Compact"/>
              <w:jc w:val="left"/>
            </w:pPr>
            <w:r>
              <w:t xml:space="preserve">Worldwide ex China &amp; India</w:t>
            </w:r>
          </w:p>
        </w:tc>
        <w:tc>
          <w:tcPr/>
          <w:p>
            <w:pPr>
              <w:pStyle w:val="Compact"/>
              <w:jc w:val="left"/>
            </w:pPr>
            <w:r>
              <w:t xml:space="preserve">Western Hemisphere</w:t>
            </w:r>
          </w:p>
        </w:tc>
        <w:tc>
          <w:tcPr/>
          <w:p>
            <w:pPr>
              <w:pStyle w:val="Compact"/>
              <w:jc w:val="left"/>
            </w:pPr>
            <w:r>
              <w:t xml:space="preserve">Worldwide</w:t>
            </w:r>
          </w:p>
        </w:tc>
      </w:tr>
      <w:tr>
        <w:tc>
          <w:tcPr/>
          <w:p>
            <w:pPr>
              <w:pStyle w:val="Compact"/>
              <w:jc w:val="left"/>
            </w:pPr>
            <w:r>
              <w:t xml:space="preserve">Exclusivity</w:t>
            </w:r>
          </w:p>
        </w:tc>
        <w:tc>
          <w:tcPr/>
          <w:p>
            <w:pPr>
              <w:pStyle w:val="Compact"/>
              <w:jc w:val="left"/>
            </w:pPr>
            <w:r>
              <w:t xml:space="preserve">Exclusive (corn/soybean, FOV/Territory)</w:t>
            </w:r>
          </w:p>
        </w:tc>
        <w:tc>
          <w:tcPr/>
          <w:p>
            <w:pPr>
              <w:pStyle w:val="Compact"/>
              <w:jc w:val="left"/>
            </w:pPr>
            <w:r>
              <w:t xml:space="preserve">Exclusive first 3 yrs, then non-exclusive</w:t>
            </w:r>
          </w:p>
        </w:tc>
        <w:tc>
          <w:tcPr/>
          <w:p>
            <w:pPr>
              <w:pStyle w:val="Compact"/>
              <w:jc w:val="left"/>
            </w:pPr>
            <w:r>
              <w:t xml:space="preserve">Non-exclusive</w:t>
            </w:r>
          </w:p>
        </w:tc>
      </w:tr>
      <w:tr>
        <w:tc>
          <w:tcPr/>
          <w:p>
            <w:pPr>
              <w:pStyle w:val="Compact"/>
              <w:jc w:val="left"/>
            </w:pPr>
            <w:r>
              <w:t xml:space="preserve">Sublicensing</w:t>
            </w:r>
          </w:p>
        </w:tc>
        <w:tc>
          <w:tcPr/>
          <w:p>
            <w:pPr>
              <w:pStyle w:val="Compact"/>
              <w:jc w:val="left"/>
            </w:pPr>
            <w:r>
              <w:t xml:space="preserve">Permitted with consent; 35% pass-through</w:t>
            </w:r>
          </w:p>
        </w:tc>
        <w:tc>
          <w:tcPr/>
          <w:p>
            <w:pPr>
              <w:pStyle w:val="Compact"/>
              <w:jc w:val="left"/>
            </w:pPr>
            <w:r>
              <w:t xml:space="preserve">Permitted with consent;</w:t>
            </w:r>
            <w:r>
              <w:t xml:space="preserve"> </w:t>
            </w:r>
            <w:r>
              <w:rPr>
                <w:b/>
                <w:bCs/>
              </w:rPr>
              <w:t xml:space="preserve">no pass-through</w:t>
            </w:r>
          </w:p>
        </w:tc>
        <w:tc>
          <w:tcPr/>
          <w:p>
            <w:pPr>
              <w:pStyle w:val="Compact"/>
              <w:jc w:val="left"/>
            </w:pPr>
            <w:r>
              <w:t xml:space="preserve">Not permitted</w:t>
            </w:r>
          </w:p>
        </w:tc>
      </w:tr>
      <w:tr>
        <w:tc>
          <w:tcPr/>
          <w:p>
            <w:pPr>
              <w:pStyle w:val="Compact"/>
              <w:jc w:val="left"/>
            </w:pPr>
            <w:r>
              <w:t xml:space="preserve">Improvements</w:t>
            </w:r>
          </w:p>
        </w:tc>
        <w:tc>
          <w:tcPr/>
          <w:p>
            <w:pPr>
              <w:pStyle w:val="Compact"/>
              <w:jc w:val="left"/>
            </w:pPr>
            <w:r>
              <w:t xml:space="preserve">Greenfield sole owner; license back to NovaTrait at commercial royalty</w:t>
            </w:r>
          </w:p>
        </w:tc>
        <w:tc>
          <w:tcPr/>
          <w:p>
            <w:pPr>
              <w:pStyle w:val="Compact"/>
              <w:jc w:val="left"/>
            </w:pPr>
            <w:r>
              <w:t xml:space="preserve">Split (NovaTrait / Greenfield / Joint)</w:t>
            </w:r>
          </w:p>
        </w:tc>
        <w:tc>
          <w:tcPr/>
          <w:p>
            <w:pPr>
              <w:pStyle w:val="Compact"/>
              <w:jc w:val="left"/>
            </w:pPr>
            <w:r>
              <w:t xml:space="preserve">Licensee Modifications owned by Greenfield; royalty-free license back to NovaTrait</w:t>
            </w:r>
          </w:p>
        </w:tc>
      </w:tr>
      <w:tr>
        <w:tc>
          <w:tcPr/>
          <w:p>
            <w:pPr>
              <w:pStyle w:val="Compact"/>
              <w:jc w:val="left"/>
            </w:pPr>
            <w:r>
              <w:t xml:space="preserve">Source code / materials</w:t>
            </w:r>
          </w:p>
        </w:tc>
        <w:tc>
          <w:tcPr/>
          <w:p>
            <w:pPr>
              <w:pStyle w:val="Compact"/>
              <w:jc w:val="left"/>
            </w:pPr>
            <w:r>
              <w:t xml:space="preserve">Know-how transfer + 120 hrs support</w:t>
            </w:r>
          </w:p>
        </w:tc>
        <w:tc>
          <w:tcPr/>
          <w:p>
            <w:pPr>
              <w:pStyle w:val="Compact"/>
              <w:jc w:val="left"/>
            </w:pPr>
            <w:r>
              <w:t xml:space="preserve">Biological materials; 90-day wind-down</w:t>
            </w:r>
          </w:p>
        </w:tc>
        <w:tc>
          <w:tcPr/>
          <w:p>
            <w:pPr>
              <w:pStyle w:val="Compact"/>
              <w:jc w:val="left"/>
            </w:pPr>
            <w:r>
              <w:t xml:space="preserve">Full source-code access; escrow retained</w:t>
            </w:r>
          </w:p>
        </w:tc>
      </w:tr>
    </w:tbl>
    <w:p>
      <w:pPr>
        <w:pStyle w:val="BodyText"/>
      </w:pPr>
      <w:r>
        <w:t xml:space="preserve">Greenfield’s FY 2024 revenue was</w:t>
      </w:r>
      <w:r>
        <w:t xml:space="preserve"> </w:t>
      </w:r>
      <w:r>
        <w:rPr>
          <w:b/>
          <w:bCs/>
        </w:rPr>
        <w:t xml:space="preserve">$387.2 million</w:t>
      </w:r>
      <w:r>
        <w:t xml:space="preserve">; NovaTrait’s FY 2024 revenue was approximately</w:t>
      </w:r>
      <w:r>
        <w:t xml:space="preserve"> </w:t>
      </w:r>
      <w:r>
        <w:rPr>
          <w:b/>
          <w:bCs/>
        </w:rPr>
        <w:t xml:space="preserve">$1.24 billion</w:t>
      </w:r>
      <w:r>
        <w:t xml:space="preserve">. The three licenses collectively represent Greenfield’s core technology stack: GenoMap Pro (License C) is used in conjunction with the CRISPR-Ag Suite (License A) and TraitForge (License B) platforms, creating operational interdependence that is relevant to renewal strategy (see Section 8).</w:t>
      </w:r>
    </w:p>
    <w:bookmarkEnd w:id="21"/>
    <w:bookmarkStart w:id="22" w:name="the-prairielands-sublicense"/>
    <w:p>
      <w:pPr>
        <w:pStyle w:val="Heading3"/>
      </w:pPr>
      <w:r>
        <w:t xml:space="preserve">2.2 The Prairielands Sublicense</w:t>
      </w:r>
    </w:p>
    <w:p>
      <w:pPr>
        <w:pStyle w:val="FirstParagraph"/>
      </w:pPr>
      <w:r>
        <w:t xml:space="preserve">Greenfield granted Prairielands Seed Cooperative (</w:t>
      </w:r>
      <w:r>
        <w:t xml:space="preserve">“</w:t>
      </w:r>
      <w:r>
        <w:t xml:space="preserve">Prairielands</w:t>
      </w:r>
      <w:r>
        <w:t xml:space="preserve">”</w:t>
      </w:r>
      <w:r>
        <w:t xml:space="preserve">) a sublicense under License B (TraitForge), effective May 1, 2021, with NovaTrait’s written consent (letter dated April 15, 2021). The sublicense is</w:t>
      </w:r>
      <w:r>
        <w:t xml:space="preserve"> </w:t>
      </w:r>
      <w:r>
        <w:rPr>
          <w:b/>
          <w:bCs/>
        </w:rPr>
        <w:t xml:space="preserve">non-exclusive</w:t>
      </w:r>
      <w:r>
        <w:t xml:space="preserve">, limited to</w:t>
      </w:r>
      <w:r>
        <w:t xml:space="preserve"> </w:t>
      </w:r>
      <w:r>
        <w:rPr>
          <w:b/>
          <w:bCs/>
        </w:rPr>
        <w:t xml:space="preserve">soybean only</w:t>
      </w:r>
      <w:r>
        <w:t xml:space="preserve">,</w:t>
      </w:r>
      <w:r>
        <w:t xml:space="preserve"> </w:t>
      </w:r>
      <w:r>
        <w:rPr>
          <w:b/>
          <w:bCs/>
        </w:rPr>
        <w:t xml:space="preserve">drought tolerance only</w:t>
      </w:r>
      <w:r>
        <w:t xml:space="preserve">, and</w:t>
      </w:r>
      <w:r>
        <w:t xml:space="preserve"> </w:t>
      </w:r>
      <w:r>
        <w:rPr>
          <w:b/>
          <w:bCs/>
        </w:rPr>
        <w:t xml:space="preserve">Argentina and Brazil only</w:t>
      </w:r>
      <w:r>
        <w:t xml:space="preserve">, at a</w:t>
      </w:r>
      <w:r>
        <w:t xml:space="preserve"> </w:t>
      </w:r>
      <w:r>
        <w:rPr>
          <w:b/>
          <w:bCs/>
        </w:rPr>
        <w:t xml:space="preserve">2.0% royalty</w:t>
      </w:r>
      <w:r>
        <w:t xml:space="preserve"> </w:t>
      </w:r>
      <w:r>
        <w:t xml:space="preserve">to Greenfield. Critically, the sublicense is</w:t>
      </w:r>
      <w:r>
        <w:t xml:space="preserve"> </w:t>
      </w:r>
      <w:r>
        <w:rPr>
          <w:b/>
          <w:bCs/>
        </w:rPr>
        <w:t xml:space="preserve">co-terminus with the Master License (License B)</w:t>
      </w:r>
      <w:r>
        <w:t xml:space="preserve"> </w:t>
      </w:r>
      <w:r>
        <w:t xml:space="preserve">and therefore</w:t>
      </w:r>
      <w:r>
        <w:t xml:space="preserve"> </w:t>
      </w:r>
      <w:r>
        <w:rPr>
          <w:b/>
          <w:bCs/>
        </w:rPr>
        <w:t xml:space="preserve">expired on December 31, 2024</w:t>
      </w:r>
      <w:r>
        <w:t xml:space="preserve"> </w:t>
      </w:r>
      <w:r>
        <w:t xml:space="preserve">alongside License B. The consent letter expressly states that the Master License</w:t>
      </w:r>
      <w:r>
        <w:t xml:space="preserve"> </w:t>
      </w:r>
      <w:r>
        <w:t xml:space="preserve">“</w:t>
      </w:r>
      <w:r>
        <w:t xml:space="preserve">does not currently require the remittance by Greenfield to NovaTrait of any portion of royalties received by Greenfield from sublicensees</w:t>
      </w:r>
      <w:r>
        <w:t xml:space="preserve">”</w:t>
      </w:r>
      <w:r>
        <w:t xml:space="preserve"> </w:t>
      </w:r>
      <w:r>
        <w:t xml:space="preserve">— i.e.,</w:t>
      </w:r>
      <w:r>
        <w:t xml:space="preserve"> </w:t>
      </w:r>
      <w:r>
        <w:rPr>
          <w:b/>
          <w:bCs/>
        </w:rPr>
        <w:t xml:space="preserve">no pass-through obligation exists today</w:t>
      </w:r>
      <w:r>
        <w:t xml:space="preserve">. Estimated Prairielands sublicense revenue is approximately $12 million (FY 2024 base), growing at ~4% per year. The sublicense’s renewal is intertwined with the License B renewal and requires NovaTrait’s consent.</w:t>
      </w:r>
    </w:p>
    <w:bookmarkEnd w:id="22"/>
    <w:bookmarkStart w:id="23" w:name="documents-reviewed"/>
    <w:p>
      <w:pPr>
        <w:pStyle w:val="Heading3"/>
      </w:pPr>
      <w:r>
        <w:t xml:space="preserve">2.3 Documents Reviewed</w:t>
      </w:r>
    </w:p>
    <w:p>
      <w:pPr>
        <w:pStyle w:val="FirstParagraph"/>
      </w:pPr>
      <w:r>
        <w:t xml:space="preserve">This memorandum synthesizes: (i) the three existing license agreements (Licenses A, B, C) and their exhibits; (ii) the Prairielands sublicense agreement and NovaTrait consent letter; (iii) NovaTrait’s consolidated renewal Proposal; (iv) the Clarendon IP Consulting patent-landscape analysis (September 14, 2020); and (v) the Ridgemont/Oakvale financial-impact analysis (February 2025), including royalty models, sensitivity analyses, market comparables, switching-cost analyses, and the negotiated-priorities matrix.</w:t>
      </w:r>
    </w:p>
    <w:p>
      <w:r>
        <w:pict>
          <v:rect style="width:0;height:1.5pt" o:hralign="center" o:hrstd="t" o:hr="t"/>
        </w:pict>
      </w:r>
    </w:p>
    <w:bookmarkEnd w:id="23"/>
    <w:bookmarkEnd w:id="24"/>
    <w:bookmarkStart w:id="25" w:name="critical-deadlines-and-procedural-status"/>
    <w:p>
      <w:pPr>
        <w:pStyle w:val="Heading2"/>
      </w:pPr>
      <w:r>
        <w:t xml:space="preserve">3. Critical Deadlines and Procedural Status</w:t>
      </w:r>
    </w:p>
    <w:p>
      <w:pPr>
        <w:pStyle w:val="FirstParagraph"/>
      </w:pPr>
      <w:r>
        <w:t xml:space="preserve">The renewal cycle is governed by overlapping and in some cases already-passed deadlines. The following timeline is drawn from the agreements and the Ridgemont analysis.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License</w:t>
            </w:r>
          </w:p>
        </w:tc>
        <w:tc>
          <w:tcPr/>
          <w:p>
            <w:pPr>
              <w:pStyle w:val="Compact"/>
              <w:jc w:val="left"/>
            </w:pPr>
            <w:r>
              <w:t xml:space="preserve">Status</w:t>
            </w:r>
          </w:p>
        </w:tc>
        <w:tc>
          <w:tcPr/>
          <w:p>
            <w:pPr>
              <w:pStyle w:val="Compact"/>
              <w:jc w:val="left"/>
            </w:pPr>
            <w:r>
              <w:t xml:space="preserve">Required action</w:t>
            </w:r>
          </w:p>
        </w:tc>
      </w:tr>
      <w:tr>
        <w:tc>
          <w:tcPr/>
          <w:p>
            <w:pPr>
              <w:pStyle w:val="Compact"/>
              <w:jc w:val="left"/>
            </w:pPr>
            <w:r>
              <w:t xml:space="preserve">Sep 30, 2024</w:t>
            </w:r>
          </w:p>
        </w:tc>
        <w:tc>
          <w:tcPr/>
          <w:p>
            <w:pPr>
              <w:pStyle w:val="Compact"/>
              <w:jc w:val="left"/>
            </w:pPr>
            <w:r>
              <w:t xml:space="preserve">Renewal-notice deadline</w:t>
            </w:r>
          </w:p>
        </w:tc>
        <w:tc>
          <w:tcPr/>
          <w:p>
            <w:pPr>
              <w:pStyle w:val="Compact"/>
              <w:jc w:val="left"/>
            </w:pPr>
            <w:r>
              <w:t xml:space="preserve">B</w:t>
            </w:r>
          </w:p>
        </w:tc>
        <w:tc>
          <w:tcPr/>
          <w:p>
            <w:pPr>
              <w:pStyle w:val="Compact"/>
              <w:jc w:val="left"/>
            </w:pPr>
            <w:r>
              <w:rPr>
                <w:b/>
                <w:bCs/>
              </w:rPr>
              <w:t xml:space="preserve">Passed</w:t>
            </w:r>
          </w:p>
        </w:tc>
        <w:tc>
          <w:tcPr/>
          <w:p>
            <w:pPr>
              <w:pStyle w:val="Compact"/>
              <w:jc w:val="left"/>
            </w:pPr>
            <w:r>
              <w:t xml:space="preserve">Confirm in writing that notice was timely delivered</w:t>
            </w:r>
          </w:p>
        </w:tc>
      </w:tr>
      <w:tr>
        <w:tc>
          <w:tcPr/>
          <w:p>
            <w:pPr>
              <w:pStyle w:val="Compact"/>
              <w:jc w:val="left"/>
            </w:pPr>
            <w:r>
              <w:t xml:space="preserve">Nov 30, 2024</w:t>
            </w:r>
          </w:p>
        </w:tc>
        <w:tc>
          <w:tcPr/>
          <w:p>
            <w:pPr>
              <w:pStyle w:val="Compact"/>
              <w:jc w:val="left"/>
            </w:pPr>
            <w:r>
              <w:t xml:space="preserve">Renewal-notice deadline</w:t>
            </w:r>
          </w:p>
        </w:tc>
        <w:tc>
          <w:tcPr/>
          <w:p>
            <w:pPr>
              <w:pStyle w:val="Compact"/>
              <w:jc w:val="left"/>
            </w:pPr>
            <w:r>
              <w:t xml:space="preserve">C</w:t>
            </w:r>
          </w:p>
        </w:tc>
        <w:tc>
          <w:tcPr/>
          <w:p>
            <w:pPr>
              <w:pStyle w:val="Compact"/>
              <w:jc w:val="left"/>
            </w:pPr>
            <w:r>
              <w:rPr>
                <w:b/>
                <w:bCs/>
              </w:rPr>
              <w:t xml:space="preserve">Passed</w:t>
            </w:r>
          </w:p>
        </w:tc>
        <w:tc>
          <w:tcPr/>
          <w:p>
            <w:pPr>
              <w:pStyle w:val="Compact"/>
              <w:jc w:val="left"/>
            </w:pPr>
            <w:r>
              <w:t xml:space="preserve">Confirm in writing that notice was timely delivered</w:t>
            </w:r>
          </w:p>
        </w:tc>
      </w:tr>
      <w:tr>
        <w:tc>
          <w:tcPr/>
          <w:p>
            <w:pPr>
              <w:pStyle w:val="Compact"/>
              <w:jc w:val="left"/>
            </w:pPr>
            <w:r>
              <w:t xml:space="preserve">Dec 31, 2024</w:t>
            </w:r>
          </w:p>
        </w:tc>
        <w:tc>
          <w:tcPr/>
          <w:p>
            <w:pPr>
              <w:pStyle w:val="Compact"/>
              <w:jc w:val="left"/>
            </w:pPr>
            <w:r>
              <w:t xml:space="preserve">Initial-term expiration</w:t>
            </w:r>
          </w:p>
        </w:tc>
        <w:tc>
          <w:tcPr/>
          <w:p>
            <w:pPr>
              <w:pStyle w:val="Compact"/>
              <w:jc w:val="left"/>
            </w:pPr>
            <w:r>
              <w:t xml:space="preserve">B</w:t>
            </w:r>
          </w:p>
        </w:tc>
        <w:tc>
          <w:tcPr/>
          <w:p>
            <w:pPr>
              <w:pStyle w:val="Compact"/>
              <w:jc w:val="left"/>
            </w:pPr>
            <w:r>
              <w:rPr>
                <w:b/>
                <w:bCs/>
              </w:rPr>
              <w:t xml:space="preserve">Expired</w:t>
            </w:r>
            <w:r>
              <w:t xml:space="preserve">; Sec 12.6 standstill activated</w:t>
            </w:r>
          </w:p>
        </w:tc>
        <w:tc>
          <w:tcPr/>
          <w:p>
            <w:pPr>
              <w:pStyle w:val="Compact"/>
              <w:jc w:val="left"/>
            </w:pPr>
            <w:r>
              <w:t xml:space="preserve">Confirm good-faith negotiation status to preserve standstill</w:t>
            </w:r>
          </w:p>
        </w:tc>
      </w:tr>
      <w:tr>
        <w:tc>
          <w:tcPr/>
          <w:p>
            <w:pPr>
              <w:pStyle w:val="Compact"/>
              <w:jc w:val="left"/>
            </w:pPr>
            <w:r>
              <w:t xml:space="preserve">Jan 15, 2025</w:t>
            </w:r>
          </w:p>
        </w:tc>
        <w:tc>
          <w:tcPr/>
          <w:p>
            <w:pPr>
              <w:pStyle w:val="Compact"/>
              <w:jc w:val="left"/>
            </w:pPr>
            <w:r>
              <w:t xml:space="preserve">NovaTrait refined Proposal transmitted</w:t>
            </w:r>
          </w:p>
        </w:tc>
        <w:tc>
          <w:tcPr/>
          <w:p>
            <w:pPr>
              <w:pStyle w:val="Compact"/>
              <w:jc w:val="left"/>
            </w:pPr>
            <w:r>
              <w:t xml:space="preserve">A/B/C</w:t>
            </w:r>
          </w:p>
        </w:tc>
        <w:tc>
          <w:tcPr/>
          <w:p>
            <w:pPr>
              <w:pStyle w:val="Compact"/>
              <w:jc w:val="left"/>
            </w:pPr>
            <w:r>
              <w:t xml:space="preserve">Received</w:t>
            </w:r>
          </w:p>
        </w:tc>
        <w:tc>
          <w:tcPr/>
          <w:p>
            <w:pPr>
              <w:pStyle w:val="Compact"/>
              <w:jc w:val="left"/>
            </w:pPr>
            <w:r>
              <w:t xml:space="preserve">Under review (this memo)</w:t>
            </w:r>
          </w:p>
        </w:tc>
      </w:tr>
      <w:tr>
        <w:tc>
          <w:tcPr/>
          <w:p>
            <w:pPr>
              <w:pStyle w:val="Compact"/>
              <w:jc w:val="left"/>
            </w:pPr>
            <w:r>
              <w:t xml:space="preserve">Feb 28, 2025</w:t>
            </w:r>
          </w:p>
        </w:tc>
        <w:tc>
          <w:tcPr/>
          <w:p>
            <w:pPr>
              <w:pStyle w:val="Compact"/>
              <w:jc w:val="left"/>
            </w:pPr>
            <w:r>
              <w:t xml:space="preserve">Initial-term expiration</w:t>
            </w:r>
          </w:p>
        </w:tc>
        <w:tc>
          <w:tcPr/>
          <w:p>
            <w:pPr>
              <w:pStyle w:val="Compact"/>
              <w:jc w:val="left"/>
            </w:pPr>
            <w:r>
              <w:t xml:space="preserve">C</w:t>
            </w:r>
          </w:p>
        </w:tc>
        <w:tc>
          <w:tcPr/>
          <w:p>
            <w:pPr>
              <w:pStyle w:val="Compact"/>
              <w:jc w:val="left"/>
            </w:pPr>
            <w:r>
              <w:rPr>
                <w:b/>
                <w:bCs/>
              </w:rPr>
              <w:t xml:space="preserve">Imminent</w:t>
            </w:r>
          </w:p>
        </w:tc>
        <w:tc>
          <w:tcPr/>
          <w:p>
            <w:pPr>
              <w:pStyle w:val="Compact"/>
              <w:jc w:val="left"/>
            </w:pPr>
            <w:r>
              <w:t xml:space="preserve">Ensure interim/holdover access arrangement</w:t>
            </w:r>
          </w:p>
        </w:tc>
      </w:tr>
      <w:tr>
        <w:tc>
          <w:tcPr/>
          <w:p>
            <w:pPr>
              <w:pStyle w:val="Compact"/>
              <w:jc w:val="left"/>
            </w:pPr>
            <w:r>
              <w:t xml:space="preserve">Mar 31, 2025</w:t>
            </w:r>
          </w:p>
        </w:tc>
        <w:tc>
          <w:tcPr/>
          <w:p>
            <w:pPr>
              <w:pStyle w:val="Compact"/>
              <w:jc w:val="left"/>
            </w:pPr>
            <w:r>
              <w:t xml:space="preserve">Renewal-notice deadline</w:t>
            </w:r>
          </w:p>
        </w:tc>
        <w:tc>
          <w:tcPr/>
          <w:p>
            <w:pPr>
              <w:pStyle w:val="Compact"/>
              <w:jc w:val="left"/>
            </w:pPr>
            <w:r>
              <w:t xml:space="preserve">A</w:t>
            </w:r>
          </w:p>
        </w:tc>
        <w:tc>
          <w:tcPr/>
          <w:p>
            <w:pPr>
              <w:pStyle w:val="Compact"/>
              <w:jc w:val="left"/>
            </w:pPr>
            <w:r>
              <w:rPr>
                <w:b/>
                <w:bCs/>
              </w:rPr>
              <w:t xml:space="preserve">Upcoming</w:t>
            </w:r>
          </w:p>
        </w:tc>
        <w:tc>
          <w:tcPr/>
          <w:p>
            <w:pPr>
              <w:pStyle w:val="Compact"/>
              <w:jc w:val="left"/>
            </w:pPr>
            <w:r>
              <w:t xml:space="preserve">Deliver renewal notice to NovaTrait (do not miss)</w:t>
            </w:r>
          </w:p>
        </w:tc>
      </w:tr>
      <w:tr>
        <w:tc>
          <w:tcPr/>
          <w:p>
            <w:pPr>
              <w:pStyle w:val="Compact"/>
              <w:jc w:val="left"/>
            </w:pPr>
            <w:r>
              <w:t xml:space="preserve">Apr 15, 2025</w:t>
            </w:r>
          </w:p>
        </w:tc>
        <w:tc>
          <w:tcPr/>
          <w:p>
            <w:pPr>
              <w:pStyle w:val="Compact"/>
              <w:jc w:val="left"/>
            </w:pPr>
            <w:r>
              <w:t xml:space="preserve">Target: Greenfield counter-proposal</w:t>
            </w:r>
          </w:p>
        </w:tc>
        <w:tc>
          <w:tcPr/>
          <w:p>
            <w:pPr>
              <w:pStyle w:val="Compact"/>
              <w:jc w:val="left"/>
            </w:pPr>
            <w:r>
              <w:t xml:space="preserve">A/B/C</w:t>
            </w:r>
          </w:p>
        </w:tc>
        <w:tc>
          <w:tcPr/>
          <w:p>
            <w:pPr>
              <w:pStyle w:val="Compact"/>
              <w:jc w:val="left"/>
            </w:pPr>
            <w:r>
              <w:t xml:space="preserve">Planned</w:t>
            </w:r>
          </w:p>
        </w:tc>
        <w:tc>
          <w:tcPr/>
          <w:p>
            <w:pPr>
              <w:pStyle w:val="Compact"/>
              <w:jc w:val="left"/>
            </w:pPr>
            <w:r>
              <w:t xml:space="preserve">Ashworth &amp; Calder to transmit</w:t>
            </w:r>
          </w:p>
        </w:tc>
      </w:tr>
      <w:tr>
        <w:tc>
          <w:tcPr/>
          <w:p>
            <w:pPr>
              <w:pStyle w:val="Compact"/>
              <w:jc w:val="left"/>
            </w:pPr>
            <w:r>
              <w:rPr>
                <w:b/>
                <w:bCs/>
              </w:rPr>
              <w:t xml:space="preserve">Jun 29, 2025</w:t>
            </w:r>
          </w:p>
        </w:tc>
        <w:tc>
          <w:tcPr/>
          <w:p>
            <w:pPr>
              <w:pStyle w:val="Compact"/>
              <w:jc w:val="left"/>
            </w:pPr>
            <w:r>
              <w:rPr>
                <w:b/>
                <w:bCs/>
              </w:rPr>
              <w:t xml:space="preserve">Standstill expiration (180 days from Dec 31, 2024)</w:t>
            </w:r>
          </w:p>
        </w:tc>
        <w:tc>
          <w:tcPr/>
          <w:p>
            <w:pPr>
              <w:pStyle w:val="Compact"/>
              <w:jc w:val="left"/>
            </w:pPr>
            <w:r>
              <w:rPr>
                <w:b/>
                <w:bCs/>
              </w:rPr>
              <w:t xml:space="preserve">B</w:t>
            </w:r>
          </w:p>
        </w:tc>
        <w:tc>
          <w:tcPr/>
          <w:p>
            <w:pPr>
              <w:pStyle w:val="Compact"/>
              <w:jc w:val="left"/>
            </w:pPr>
            <w:r>
              <w:rPr>
                <w:b/>
                <w:bCs/>
              </w:rPr>
              <w:t xml:space="preserve">CRITICAL</w:t>
            </w:r>
          </w:p>
        </w:tc>
        <w:tc>
          <w:tcPr/>
          <w:p>
            <w:pPr>
              <w:pStyle w:val="Compact"/>
              <w:jc w:val="left"/>
            </w:pPr>
            <w:r>
              <w:t xml:space="preserve">If no renewal executed, License B terminates; bio-materials return triggered</w:t>
            </w:r>
          </w:p>
        </w:tc>
      </w:tr>
      <w:tr>
        <w:tc>
          <w:tcPr/>
          <w:p>
            <w:pPr>
              <w:pStyle w:val="Compact"/>
              <w:jc w:val="left"/>
            </w:pPr>
            <w:r>
              <w:t xml:space="preserve">Jun 30, 2025</w:t>
            </w:r>
          </w:p>
        </w:tc>
        <w:tc>
          <w:tcPr/>
          <w:p>
            <w:pPr>
              <w:pStyle w:val="Compact"/>
              <w:jc w:val="left"/>
            </w:pPr>
            <w:r>
              <w:t xml:space="preserve">Initial-term expiration</w:t>
            </w:r>
          </w:p>
        </w:tc>
        <w:tc>
          <w:tcPr/>
          <w:p>
            <w:pPr>
              <w:pStyle w:val="Compact"/>
              <w:jc w:val="left"/>
            </w:pPr>
            <w:r>
              <w:t xml:space="preserve">A</w:t>
            </w:r>
          </w:p>
        </w:tc>
        <w:tc>
          <w:tcPr/>
          <w:p>
            <w:pPr>
              <w:pStyle w:val="Compact"/>
              <w:jc w:val="left"/>
            </w:pPr>
            <w:r>
              <w:t xml:space="preserve">Upcoming</w:t>
            </w:r>
          </w:p>
        </w:tc>
        <w:tc>
          <w:tcPr/>
          <w:p>
            <w:pPr>
              <w:pStyle w:val="Compact"/>
              <w:jc w:val="left"/>
            </w:pPr>
            <w:r>
              <w:t xml:space="preserve">Execute renewal or assess holdover rights</w:t>
            </w:r>
          </w:p>
        </w:tc>
      </w:tr>
      <w:tr>
        <w:tc>
          <w:tcPr/>
          <w:p>
            <w:pPr>
              <w:pStyle w:val="Compact"/>
              <w:jc w:val="left"/>
            </w:pPr>
            <w:r>
              <w:t xml:space="preserve">Mar 12, 2028</w:t>
            </w:r>
          </w:p>
        </w:tc>
        <w:tc>
          <w:tcPr/>
          <w:p>
            <w:pPr>
              <w:pStyle w:val="Compact"/>
              <w:jc w:val="left"/>
            </w:pPr>
            <w:r>
              <w:t xml:space="preserve">U.S. Patent 9,234,117 expiration</w:t>
            </w:r>
          </w:p>
        </w:tc>
        <w:tc>
          <w:tcPr/>
          <w:p>
            <w:pPr>
              <w:pStyle w:val="Compact"/>
              <w:jc w:val="left"/>
            </w:pPr>
            <w:r>
              <w:t xml:space="preserve">A</w:t>
            </w:r>
          </w:p>
        </w:tc>
        <w:tc>
          <w:tcPr/>
          <w:p>
            <w:pPr>
              <w:pStyle w:val="Compact"/>
              <w:jc w:val="left"/>
            </w:pPr>
            <w:r>
              <w:t xml:space="preserve">Future</w:t>
            </w:r>
          </w:p>
        </w:tc>
        <w:tc>
          <w:tcPr/>
          <w:p>
            <w:pPr>
              <w:pStyle w:val="Compact"/>
              <w:jc w:val="left"/>
            </w:pPr>
            <w:r>
              <w:t xml:space="preserve">Royalty step-down trigger</w:t>
            </w:r>
          </w:p>
        </w:tc>
      </w:tr>
      <w:tr>
        <w:tc>
          <w:tcPr/>
          <w:p>
            <w:pPr>
              <w:pStyle w:val="Compact"/>
              <w:jc w:val="left"/>
            </w:pPr>
            <w:r>
              <w:t xml:space="preserve">Feb 28, 2028</w:t>
            </w:r>
          </w:p>
        </w:tc>
        <w:tc>
          <w:tcPr/>
          <w:p>
            <w:pPr>
              <w:pStyle w:val="Compact"/>
              <w:jc w:val="left"/>
            </w:pPr>
            <w:r>
              <w:t xml:space="preserve">Proposed License C renewal-term end</w:t>
            </w:r>
          </w:p>
        </w:tc>
        <w:tc>
          <w:tcPr/>
          <w:p>
            <w:pPr>
              <w:pStyle w:val="Compact"/>
              <w:jc w:val="left"/>
            </w:pPr>
            <w:r>
              <w:t xml:space="preserve">C</w:t>
            </w:r>
          </w:p>
        </w:tc>
        <w:tc>
          <w:tcPr/>
          <w:p>
            <w:pPr>
              <w:pStyle w:val="Compact"/>
              <w:jc w:val="left"/>
            </w:pPr>
            <w:r>
              <w:t xml:space="preserve">Future</w:t>
            </w:r>
          </w:p>
        </w:tc>
        <w:tc>
          <w:tcPr/>
          <w:p>
            <w:pPr>
              <w:pStyle w:val="Compact"/>
              <w:jc w:val="left"/>
            </w:pPr>
            <w:r>
              <w:t xml:space="preserve">Begin alternative evaluation by mid-2027</w:t>
            </w:r>
          </w:p>
        </w:tc>
      </w:tr>
    </w:tbl>
    <w:p>
      <w:pPr>
        <w:pStyle w:val="BodyText"/>
      </w:pPr>
      <w:r>
        <w:rPr>
          <w:b/>
          <w:bCs/>
        </w:rPr>
        <w:t xml:space="preserve">Key procedural risks.</w:t>
      </w:r>
    </w:p>
    <w:p>
      <w:pPr>
        <w:numPr>
          <w:ilvl w:val="0"/>
          <w:numId w:val="1002"/>
        </w:numPr>
      </w:pPr>
      <w:r>
        <w:rPr>
          <w:b/>
          <w:bCs/>
        </w:rPr>
        <w:t xml:space="preserve">License B standstill (Sec 12.6).</w:t>
      </w:r>
      <w:r>
        <w:t xml:space="preserve"> </w:t>
      </w:r>
      <w:r>
        <w:t xml:space="preserve">License B expired December 31, 2024. Section 12.6 permits the agreement to remain in effect for up to 180 days during good-faith renewal negotiations — i.e., through</w:t>
      </w:r>
      <w:r>
        <w:t xml:space="preserve"> </w:t>
      </w:r>
      <w:r>
        <w:rPr>
          <w:b/>
          <w:bCs/>
        </w:rPr>
        <w:t xml:space="preserve">June 29, 2025</w:t>
      </w:r>
      <w:r>
        <w:t xml:space="preserve">. If no renewal is executed by that date, License B terminates in its entirety, which (under the</w:t>
      </w:r>
      <w:r>
        <w:t xml:space="preserve"> </w:t>
      </w:r>
      <w:r>
        <w:rPr>
          <w:i/>
          <w:iCs/>
        </w:rPr>
        <w:t xml:space="preserve">proposed</w:t>
      </w:r>
      <w:r>
        <w:t xml:space="preserve"> </w:t>
      </w:r>
      <w:r>
        <w:t xml:space="preserve">terms) would trigger a 30-day biological-materials return/destroy obligation with no wind-down, and (under the</w:t>
      </w:r>
      <w:r>
        <w:t xml:space="preserve"> </w:t>
      </w:r>
      <w:r>
        <w:rPr>
          <w:i/>
          <w:iCs/>
        </w:rPr>
        <w:t xml:space="preserve">current</w:t>
      </w:r>
      <w:r>
        <w:t xml:space="preserve"> </w:t>
      </w:r>
      <w:r>
        <w:t xml:space="preserve">terms) a 90-day wind-down. Either outcome would disrupt Greenfield’s drought-tolerance and nutrient-uptake programs and the Prairielands sublicense.</w:t>
      </w:r>
      <w:r>
        <w:t xml:space="preserve"> </w:t>
      </w:r>
      <w:r>
        <w:rPr>
          <w:b/>
          <w:bCs/>
        </w:rPr>
        <w:t xml:space="preserve">We recommend securing a written standstill extension to December 31, 2025 as a condition precedent to continued negotiation.</w:t>
      </w:r>
      <w:r>
        <w:t xml:space="preserve"> </w:t>
      </w:r>
      <w:r>
        <w:t xml:space="preserve">NovaTrait’s Proposal offers a standstill confirmation only through June 30, 2025 and expressly reserves its rights regarding the missed September 30, 2024 notice deadline.</w:t>
      </w:r>
    </w:p>
    <w:p>
      <w:pPr>
        <w:numPr>
          <w:ilvl w:val="0"/>
          <w:numId w:val="1002"/>
        </w:numPr>
      </w:pPr>
      <w:r>
        <w:rPr>
          <w:b/>
          <w:bCs/>
        </w:rPr>
        <w:t xml:space="preserve">Missed renewal-notice deadlines (Licenses B and C).</w:t>
      </w:r>
      <w:r>
        <w:t xml:space="preserve"> </w:t>
      </w:r>
      <w:r>
        <w:t xml:space="preserve">The 90-day renewal-notice windows for Licenses B (September 30, 2024) and C (November 30, 2024) have passed. The Ridgemont analysis states that notices are</w:t>
      </w:r>
      <w:r>
        <w:t xml:space="preserve"> </w:t>
      </w:r>
      <w:r>
        <w:t xml:space="preserve">“</w:t>
      </w:r>
      <w:r>
        <w:t xml:space="preserve">believed to have been timely submitted,</w:t>
      </w:r>
      <w:r>
        <w:t xml:space="preserve">”</w:t>
      </w:r>
      <w:r>
        <w:t xml:space="preserve"> </w:t>
      </w:r>
      <w:r>
        <w:t xml:space="preserve">but this must be</w:t>
      </w:r>
      <w:r>
        <w:t xml:space="preserve"> </w:t>
      </w:r>
      <w:r>
        <w:rPr>
          <w:b/>
          <w:bCs/>
        </w:rPr>
        <w:t xml:space="preserve">confirmed with documentary evidence</w:t>
      </w:r>
      <w:r>
        <w:t xml:space="preserve"> </w:t>
      </w:r>
      <w:r>
        <w:t xml:space="preserve">(date-stamped delivery). If a notice was not timely delivered, NovaTrait could argue that Greenfield forfeited its renewal right under the relevant notice provisions, although the parties’ ongoing good-faith negotiations and NovaTrait’s own Proposal (which treats renewal as live) substantially mitigate that risk. Confirming delivery protects Greenfield’s position.</w:t>
      </w:r>
    </w:p>
    <w:p>
      <w:pPr>
        <w:numPr>
          <w:ilvl w:val="0"/>
          <w:numId w:val="1002"/>
        </w:numPr>
      </w:pPr>
      <w:r>
        <w:rPr>
          <w:b/>
          <w:bCs/>
        </w:rPr>
        <w:t xml:space="preserve">License A renewal notice (March 31, 2025).</w:t>
      </w:r>
      <w:r>
        <w:t xml:space="preserve"> </w:t>
      </w:r>
      <w:r>
        <w:t xml:space="preserve">This deadline has not yet passed and</w:t>
      </w:r>
      <w:r>
        <w:t xml:space="preserve"> </w:t>
      </w:r>
      <w:r>
        <w:rPr>
          <w:b/>
          <w:bCs/>
        </w:rPr>
        <w:t xml:space="preserve">must be met</w:t>
      </w:r>
      <w:r>
        <w:t xml:space="preserve">. Delivery of a timely renewal notice preserves Greenfield’s right to negotiate a renewal under Section 14.2 and triggers the 180-day good-faith negotiation period under Section 14.4.</w:t>
      </w:r>
    </w:p>
    <w:p>
      <w:pPr>
        <w:numPr>
          <w:ilvl w:val="0"/>
          <w:numId w:val="1002"/>
        </w:numPr>
      </w:pPr>
      <w:r>
        <w:rPr>
          <w:b/>
          <w:bCs/>
        </w:rPr>
        <w:t xml:space="preserve">License C holdover (February 28, 2025).</w:t>
      </w:r>
      <w:r>
        <w:t xml:space="preserve"> </w:t>
      </w:r>
      <w:r>
        <w:t xml:space="preserve">License C’s initial term expires imminently. The agreement contains no standstill provision analogous to License B’s Section 12.6. Greenfield should ensure an interim access/holdover arrangement is in place to avoid any disruption to the bioinformatics pipeline on which Licenses A and B operations depend.</w:t>
      </w:r>
    </w:p>
    <w:p>
      <w:r>
        <w:pict>
          <v:rect style="width:0;height:1.5pt" o:hralign="center" o:hrstd="t" o:hr="t"/>
        </w:pict>
      </w:r>
    </w:p>
    <w:bookmarkEnd w:id="25"/>
    <w:bookmarkStart w:id="26" w:name="X37cd1306a1559d968f430ef0014a9a85f252cf1"/>
    <w:p>
      <w:pPr>
        <w:pStyle w:val="Heading2"/>
      </w:pPr>
      <w:r>
        <w:t xml:space="preserve">4. Aggregate Financial Impact of the Proposal</w:t>
      </w:r>
    </w:p>
    <w:p>
      <w:pPr>
        <w:pStyle w:val="FirstParagraph"/>
      </w:pPr>
      <w:r>
        <w:t xml:space="preserve">The Ridgemont analysis quantifies the Proposal’s economic effect at constant FY 2024 sales levels (no growth). The figures below reflect the refined January 15, 2025 terms.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Current (annualized)</w:t>
            </w:r>
          </w:p>
        </w:tc>
        <w:tc>
          <w:tcPr/>
          <w:p>
            <w:pPr>
              <w:pStyle w:val="Compact"/>
              <w:jc w:val="left"/>
            </w:pPr>
            <w:r>
              <w:t xml:space="preserve">Proposed (Year 1)</w:t>
            </w:r>
          </w:p>
        </w:tc>
        <w:tc>
          <w:tcPr/>
          <w:p>
            <w:pPr>
              <w:pStyle w:val="Compact"/>
              <w:jc w:val="left"/>
            </w:pPr>
            <w:r>
              <w:t xml:space="preserve">Change</w:t>
            </w:r>
          </w:p>
        </w:tc>
      </w:tr>
      <w:tr>
        <w:tc>
          <w:tcPr/>
          <w:p>
            <w:pPr>
              <w:pStyle w:val="Compact"/>
              <w:jc w:val="left"/>
            </w:pPr>
            <w:r>
              <w:t xml:space="preserve">License A — running royalty + MAR</w:t>
            </w:r>
          </w:p>
        </w:tc>
        <w:tc>
          <w:tcPr/>
          <w:p>
            <w:pPr>
              <w:pStyle w:val="Compact"/>
              <w:jc w:val="left"/>
            </w:pPr>
            <w:r>
              <w:t xml:space="preserve">~$9.12M</w:t>
            </w:r>
          </w:p>
        </w:tc>
        <w:tc>
          <w:tcPr/>
          <w:p>
            <w:pPr>
              <w:pStyle w:val="Compact"/>
              <w:jc w:val="left"/>
            </w:pPr>
            <w:r>
              <w:t xml:space="preserve">~$13.58M</w:t>
            </w:r>
          </w:p>
        </w:tc>
        <w:tc>
          <w:tcPr/>
          <w:p>
            <w:pPr>
              <w:pStyle w:val="Compact"/>
              <w:jc w:val="left"/>
            </w:pPr>
            <w:r>
              <w:t xml:space="preserve">+$4.46M (+48.9%)</w:t>
            </w:r>
          </w:p>
        </w:tc>
      </w:tr>
      <w:tr>
        <w:tc>
          <w:tcPr/>
          <w:p>
            <w:pPr>
              <w:pStyle w:val="Compact"/>
              <w:jc w:val="left"/>
            </w:pPr>
            <w:r>
              <w:t xml:space="preserve">License B — running royalty + MAR</w:t>
            </w:r>
          </w:p>
        </w:tc>
        <w:tc>
          <w:tcPr/>
          <w:p>
            <w:pPr>
              <w:pStyle w:val="Compact"/>
              <w:jc w:val="left"/>
            </w:pPr>
            <w:r>
              <w:t xml:space="preserve">~$6.38M</w:t>
            </w:r>
          </w:p>
        </w:tc>
        <w:tc>
          <w:tcPr/>
          <w:p>
            <w:pPr>
              <w:pStyle w:val="Compact"/>
              <w:jc w:val="left"/>
            </w:pPr>
            <w:r>
              <w:t xml:space="preserve">~$9.09M</w:t>
            </w:r>
          </w:p>
        </w:tc>
        <w:tc>
          <w:tcPr/>
          <w:p>
            <w:pPr>
              <w:pStyle w:val="Compact"/>
              <w:jc w:val="left"/>
            </w:pPr>
            <w:r>
              <w:t xml:space="preserve">+$2.71M (+42.5%)</w:t>
            </w:r>
          </w:p>
        </w:tc>
      </w:tr>
      <w:tr>
        <w:tc>
          <w:tcPr/>
          <w:p>
            <w:pPr>
              <w:pStyle w:val="Compact"/>
              <w:jc w:val="left"/>
            </w:pPr>
            <w:r>
              <w:t xml:space="preserve">License C — fees</w:t>
            </w:r>
          </w:p>
        </w:tc>
        <w:tc>
          <w:tcPr/>
          <w:p>
            <w:pPr>
              <w:pStyle w:val="Compact"/>
              <w:jc w:val="left"/>
            </w:pPr>
            <w:r>
              <w:t xml:space="preserve">~$3.14M</w:t>
            </w:r>
          </w:p>
        </w:tc>
        <w:tc>
          <w:tcPr/>
          <w:p>
            <w:pPr>
              <w:pStyle w:val="Compact"/>
              <w:jc w:val="left"/>
            </w:pPr>
            <w:r>
              <w:t xml:space="preserve">~$5.28M</w:t>
            </w:r>
          </w:p>
        </w:tc>
        <w:tc>
          <w:tcPr/>
          <w:p>
            <w:pPr>
              <w:pStyle w:val="Compact"/>
              <w:jc w:val="left"/>
            </w:pPr>
            <w:r>
              <w:t xml:space="preserve">+$2.14M (+68.0%)</w:t>
            </w:r>
          </w:p>
        </w:tc>
      </w:tr>
      <w:tr>
        <w:tc>
          <w:tcPr/>
          <w:p>
            <w:pPr>
              <w:pStyle w:val="Compact"/>
              <w:jc w:val="left"/>
            </w:pPr>
            <w:r>
              <w:rPr>
                <w:b/>
                <w:bCs/>
              </w:rPr>
              <w:t xml:space="preserve">Total</w:t>
            </w:r>
          </w:p>
        </w:tc>
        <w:tc>
          <w:tcPr/>
          <w:p>
            <w:pPr>
              <w:pStyle w:val="Compact"/>
              <w:jc w:val="left"/>
            </w:pPr>
            <w:r>
              <w:rPr>
                <w:b/>
                <w:bCs/>
              </w:rPr>
              <w:t xml:space="preserve">~$18.64M</w:t>
            </w:r>
          </w:p>
        </w:tc>
        <w:tc>
          <w:tcPr/>
          <w:p>
            <w:pPr>
              <w:pStyle w:val="Compact"/>
              <w:jc w:val="left"/>
            </w:pPr>
            <w:r>
              <w:rPr>
                <w:b/>
                <w:bCs/>
              </w:rPr>
              <w:t xml:space="preserve">~$27.95M</w:t>
            </w:r>
          </w:p>
        </w:tc>
        <w:tc>
          <w:tcPr/>
          <w:p>
            <w:pPr>
              <w:pStyle w:val="Compact"/>
              <w:jc w:val="left"/>
            </w:pPr>
            <w:r>
              <w:rPr>
                <w:b/>
                <w:bCs/>
              </w:rPr>
              <w:t xml:space="preserve">+$9.31M (+49.9%)</w:t>
            </w:r>
          </w:p>
        </w:tc>
      </w:tr>
      <w:tr>
        <w:tc>
          <w:tcPr/>
          <w:p>
            <w:pPr>
              <w:pStyle w:val="Compact"/>
              <w:jc w:val="left"/>
            </w:pPr>
            <w:r>
              <w:t xml:space="preserve">As % of FY 2024 revenue ($387.2M)</w:t>
            </w:r>
          </w:p>
        </w:tc>
        <w:tc>
          <w:tcPr/>
          <w:p>
            <w:pPr>
              <w:pStyle w:val="Compact"/>
              <w:jc w:val="left"/>
            </w:pPr>
            <w:r>
              <w:t xml:space="preserve">4.81%</w:t>
            </w:r>
          </w:p>
        </w:tc>
        <w:tc>
          <w:tcPr/>
          <w:p>
            <w:pPr>
              <w:pStyle w:val="Compact"/>
              <w:jc w:val="left"/>
            </w:pPr>
            <w:r>
              <w:t xml:space="preserve">7.22%</w:t>
            </w:r>
          </w:p>
        </w:tc>
        <w:tc>
          <w:tcPr/>
          <w:p>
            <w:pPr>
              <w:pStyle w:val="Compact"/>
              <w:jc w:val="left"/>
            </w:pPr>
            <w:r>
              <w:t xml:space="preserve">+2.41 pts</w:t>
            </w:r>
          </w:p>
        </w:tc>
      </w:tr>
    </w:tbl>
    <w:p>
      <w:pPr>
        <w:pStyle w:val="BodyText"/>
      </w:pPr>
      <w:r>
        <w:rPr>
          <w:b/>
          <w:bCs/>
        </w:rPr>
        <w:t xml:space="preserve">Important caveats that make the true burden higher than the headline numbers suggest:</w:t>
      </w:r>
    </w:p>
    <w:p>
      <w:pPr>
        <w:pStyle w:val="Compact"/>
        <w:numPr>
          <w:ilvl w:val="0"/>
          <w:numId w:val="1003"/>
        </w:numPr>
      </w:pPr>
      <w:r>
        <w:t xml:space="preserve">The License A and B rate increases are</w:t>
      </w:r>
      <w:r>
        <w:t xml:space="preserve"> </w:t>
      </w:r>
      <w:r>
        <w:rPr>
          <w:b/>
          <w:bCs/>
        </w:rPr>
        <w:t xml:space="preserve">compounded by a redefinition of</w:t>
      </w:r>
      <w:r>
        <w:rPr>
          <w:b/>
          <w:bCs/>
        </w:rPr>
        <w:t xml:space="preserve"> </w:t>
      </w:r>
      <w:r>
        <w:rPr>
          <w:b/>
          <w:bCs/>
        </w:rPr>
        <w:t xml:space="preserve">“</w:t>
      </w:r>
      <w:r>
        <w:rPr>
          <w:b/>
          <w:bCs/>
        </w:rPr>
        <w:t xml:space="preserve">Net Sales</w:t>
      </w:r>
      <w:r>
        <w:rPr>
          <w:b/>
          <w:bCs/>
        </w:rPr>
        <w:t xml:space="preserve">”</w:t>
      </w:r>
      <w:r>
        <w:t xml:space="preserve"> </w:t>
      </w:r>
      <w:r>
        <w:t xml:space="preserve">that eliminates deductions for freight, shipping, insurance, handling, returns/rejections/recalls, chargebacks, and bad-debt write-offs. Ridgemont estimates this redefinition inflates the royalty base by</w:t>
      </w:r>
      <w:r>
        <w:t xml:space="preserve"> </w:t>
      </w:r>
      <w:r>
        <w:rPr>
          <w:b/>
          <w:bCs/>
        </w:rPr>
        <w:t xml:space="preserve">+7.2% (License A)</w:t>
      </w:r>
      <w:r>
        <w:t xml:space="preserve"> </w:t>
      </w:r>
      <w:r>
        <w:t xml:space="preserve">and</w:t>
      </w:r>
      <w:r>
        <w:t xml:space="preserve"> </w:t>
      </w:r>
      <w:r>
        <w:rPr>
          <w:b/>
          <w:bCs/>
        </w:rPr>
        <w:t xml:space="preserve">+6.8% (License B)</w:t>
      </w:r>
      <w:r>
        <w:t xml:space="preserve">. Measured against the</w:t>
      </w:r>
      <w:r>
        <w:t xml:space="preserve"> </w:t>
      </w:r>
      <w:r>
        <w:rPr>
          <w:i/>
          <w:iCs/>
        </w:rPr>
        <w:t xml:space="preserve">original</w:t>
      </w:r>
      <w:r>
        <w:t xml:space="preserve"> </w:t>
      </w:r>
      <w:r>
        <w:t xml:space="preserve">Net Sales base, the</w:t>
      </w:r>
      <w:r>
        <w:t xml:space="preserve"> </w:t>
      </w:r>
      <w:r>
        <w:rPr>
          <w:b/>
          <w:bCs/>
        </w:rPr>
        <w:t xml:space="preserve">effective</w:t>
      </w:r>
      <w:r>
        <w:t xml:space="preserve"> </w:t>
      </w:r>
      <w:r>
        <w:t xml:space="preserve">rates are</w:t>
      </w:r>
      <w:r>
        <w:t xml:space="preserve"> </w:t>
      </w:r>
      <w:r>
        <w:rPr>
          <w:b/>
          <w:bCs/>
        </w:rPr>
        <w:t xml:space="preserve">6.70% (License A)</w:t>
      </w:r>
      <w:r>
        <w:t xml:space="preserve"> </w:t>
      </w:r>
      <w:r>
        <w:t xml:space="preserve">and</w:t>
      </w:r>
      <w:r>
        <w:t xml:space="preserve"> </w:t>
      </w:r>
      <w:r>
        <w:rPr>
          <w:b/>
          <w:bCs/>
        </w:rPr>
        <w:t xml:space="preserve">5.34% (License B)</w:t>
      </w:r>
      <w:r>
        <w:t xml:space="preserve"> </w:t>
      </w:r>
      <w:r>
        <w:t xml:space="preserve">— i.e., the effective economic increase is</w:t>
      </w:r>
      <w:r>
        <w:t xml:space="preserve"> </w:t>
      </w:r>
      <w:r>
        <w:rPr>
          <w:b/>
          <w:bCs/>
        </w:rPr>
        <w:t xml:space="preserve">148.9%</w:t>
      </w:r>
      <w:r>
        <w:t xml:space="preserve"> </w:t>
      </w:r>
      <w:r>
        <w:t xml:space="preserve">and</w:t>
      </w:r>
      <w:r>
        <w:t xml:space="preserve"> </w:t>
      </w:r>
      <w:r>
        <w:rPr>
          <w:b/>
          <w:bCs/>
        </w:rPr>
        <w:t xml:space="preserve">142.4%</w:t>
      </w:r>
      <w:r>
        <w:t xml:space="preserve"> </w:t>
      </w:r>
      <w:r>
        <w:t xml:space="preserve">of the current rates, respectively.</w:t>
      </w:r>
    </w:p>
    <w:p>
      <w:pPr>
        <w:pStyle w:val="Compact"/>
        <w:numPr>
          <w:ilvl w:val="0"/>
          <w:numId w:val="1003"/>
        </w:numPr>
      </w:pPr>
      <w:r>
        <w:t xml:space="preserve">The License C figure of ~$5.28M reflects a</w:t>
      </w:r>
      <w:r>
        <w:t xml:space="preserve"> </w:t>
      </w:r>
      <w:r>
        <w:rPr>
          <w:b/>
          <w:bCs/>
        </w:rPr>
        <w:t xml:space="preserve">$4.85M base fee plus a per-user overage</w:t>
      </w:r>
      <w:r>
        <w:t xml:space="preserve">: the Proposal introduces a</w:t>
      </w:r>
      <w:r>
        <w:t xml:space="preserve"> </w:t>
      </w:r>
      <w:r>
        <w:rPr>
          <w:b/>
          <w:bCs/>
        </w:rPr>
        <w:t xml:space="preserve">50 named-user cap</w:t>
      </w:r>
      <w:r>
        <w:t xml:space="preserve">, against Greenfield’s current</w:t>
      </w:r>
      <w:r>
        <w:t xml:space="preserve"> </w:t>
      </w:r>
      <w:r>
        <w:rPr>
          <w:b/>
          <w:bCs/>
        </w:rPr>
        <w:t xml:space="preserve">73 users</w:t>
      </w:r>
      <w:r>
        <w:t xml:space="preserve">, producing 23 excess users at $18,500 each ($425,500/year). This user cap did not appear in the October 14, 2024 cover Proposal and was introduced in the refined terms.</w:t>
      </w:r>
    </w:p>
    <w:p>
      <w:pPr>
        <w:pStyle w:val="Compact"/>
        <w:numPr>
          <w:ilvl w:val="0"/>
          <w:numId w:val="1003"/>
        </w:numPr>
      </w:pPr>
      <w:r>
        <w:t xml:space="preserve">The figures</w:t>
      </w:r>
      <w:r>
        <w:t xml:space="preserve"> </w:t>
      </w:r>
      <w:r>
        <w:rPr>
          <w:b/>
          <w:bCs/>
        </w:rPr>
        <w:t xml:space="preserve">exclude</w:t>
      </w:r>
      <w:r>
        <w:t xml:space="preserve"> </w:t>
      </w:r>
      <w:r>
        <w:t xml:space="preserve">(a) the one-time</w:t>
      </w:r>
      <w:r>
        <w:t xml:space="preserve"> </w:t>
      </w:r>
      <w:r>
        <w:rPr>
          <w:b/>
          <w:bCs/>
        </w:rPr>
        <w:t xml:space="preserve">$175,000</w:t>
      </w:r>
      <w:r>
        <w:t xml:space="preserve"> </w:t>
      </w:r>
      <w:r>
        <w:t xml:space="preserve">Version 5.x file-conversion tool cost and an estimated</w:t>
      </w:r>
      <w:r>
        <w:t xml:space="preserve"> </w:t>
      </w:r>
      <w:r>
        <w:rPr>
          <w:b/>
          <w:bCs/>
        </w:rPr>
        <w:t xml:space="preserve">$95,000</w:t>
      </w:r>
      <w:r>
        <w:t xml:space="preserve"> </w:t>
      </w:r>
      <w:r>
        <w:t xml:space="preserve">in integration/training for License C; and (b) the</w:t>
      </w:r>
      <w:r>
        <w:t xml:space="preserve"> </w:t>
      </w:r>
      <w:r>
        <w:rPr>
          <w:b/>
          <w:bCs/>
        </w:rPr>
        <w:t xml:space="preserve">new Prairielands pass-through</w:t>
      </w:r>
      <w:r>
        <w:t xml:space="preserve"> </w:t>
      </w:r>
      <w:r>
        <w:t xml:space="preserve">NovaTrait seeks for License B (see Section 6.4), which Ridgemont estimates at approximately</w:t>
      </w:r>
      <w:r>
        <w:t xml:space="preserve"> </w:t>
      </w:r>
      <w:r>
        <w:rPr>
          <w:b/>
          <w:bCs/>
        </w:rPr>
        <w:t xml:space="preserve">$5.0M in Year 1</w:t>
      </w:r>
      <w:r>
        <w:t xml:space="preserve"> </w:t>
      </w:r>
      <w:r>
        <w:t xml:space="preserve">(40% of ~$12.5M sublicense revenue), growing to ~$5.8M by Year 5 — a cumulative five-year incremental cost of roughly</w:t>
      </w:r>
      <w:r>
        <w:t xml:space="preserve"> </w:t>
      </w:r>
      <w:r>
        <w:rPr>
          <w:b/>
          <w:bCs/>
        </w:rPr>
        <w:t xml:space="preserve">$28M</w:t>
      </w:r>
      <w:r>
        <w:t xml:space="preserve"> </w:t>
      </w:r>
      <w:r>
        <w:t xml:space="preserve">on top of the direct License B increase.</w:t>
      </w:r>
    </w:p>
    <w:p>
      <w:pPr>
        <w:pStyle w:val="Compact"/>
        <w:numPr>
          <w:ilvl w:val="0"/>
          <w:numId w:val="1003"/>
        </w:numPr>
      </w:pPr>
      <w:r>
        <w:t xml:space="preserve">Over the proposed renewal terms, the</w:t>
      </w:r>
      <w:r>
        <w:t xml:space="preserve"> </w:t>
      </w:r>
      <w:r>
        <w:rPr>
          <w:b/>
          <w:bCs/>
        </w:rPr>
        <w:t xml:space="preserve">cumulative incremental cost</w:t>
      </w:r>
      <w:r>
        <w:t xml:space="preserve"> </w:t>
      </w:r>
      <w:r>
        <w:t xml:space="preserve">versus current terms is approximately</w:t>
      </w:r>
      <w:r>
        <w:t xml:space="preserve"> </w:t>
      </w:r>
      <w:r>
        <w:rPr>
          <w:b/>
          <w:bCs/>
        </w:rPr>
        <w:t xml:space="preserve">$31.8M (License A, 5 years)</w:t>
      </w:r>
      <w:r>
        <w:t xml:space="preserve">,</w:t>
      </w:r>
      <w:r>
        <w:t xml:space="preserve"> </w:t>
      </w:r>
      <w:r>
        <w:rPr>
          <w:b/>
          <w:bCs/>
        </w:rPr>
        <w:t xml:space="preserve">$42.3M (License B, 5 years, direct + Prairielands pass-through)</w:t>
      </w:r>
      <w:r>
        <w:t xml:space="preserve">, and</w:t>
      </w:r>
      <w:r>
        <w:t xml:space="preserve"> </w:t>
      </w:r>
      <w:r>
        <w:rPr>
          <w:b/>
          <w:bCs/>
        </w:rPr>
        <w:t xml:space="preserve">$6.68M (License C, 3-year total cost of ownership)</w:t>
      </w:r>
      <w:r>
        <w:t xml:space="preserve"> </w:t>
      </w:r>
      <w:r>
        <w:t xml:space="preserve">— on the order of</w:t>
      </w:r>
      <w:r>
        <w:t xml:space="preserve"> </w:t>
      </w:r>
      <w:r>
        <w:rPr>
          <w:b/>
          <w:bCs/>
        </w:rPr>
        <w:t xml:space="preserve">$80M+</w:t>
      </w:r>
      <w:r>
        <w:t xml:space="preserve"> </w:t>
      </w:r>
      <w:r>
        <w:t xml:space="preserve">in aggregate incremental spend across the three renewals, before growth.</w:t>
      </w:r>
    </w:p>
    <w:p>
      <w:r>
        <w:pict>
          <v:rect style="width:0;height:1.5pt" o:hralign="center" o:hrstd="t" o:hr="t"/>
        </w:pict>
      </w:r>
    </w:p>
    <w:bookmarkEnd w:id="26"/>
    <w:bookmarkStart w:id="36" w:name="Xe1b22b35293413b89499539b7098d9a21b0e6f8"/>
    <w:p>
      <w:pPr>
        <w:pStyle w:val="Heading2"/>
      </w:pPr>
      <w:r>
        <w:t xml:space="preserve">5. License A — CRISPR-Ag Suite Gene-Editing Platform</w:t>
      </w:r>
    </w:p>
    <w:bookmarkStart w:id="27" w:name="financial-terms"/>
    <w:p>
      <w:pPr>
        <w:pStyle w:val="Heading3"/>
      </w:pPr>
      <w:r>
        <w:t xml:space="preserve">5.1 Financial Terms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Current</w:t>
            </w:r>
          </w:p>
        </w:tc>
        <w:tc>
          <w:tcPr/>
          <w:p>
            <w:pPr>
              <w:pStyle w:val="Compact"/>
              <w:jc w:val="left"/>
            </w:pPr>
            <w:r>
              <w:t xml:space="preserve">Proposed</w:t>
            </w:r>
          </w:p>
        </w:tc>
        <w:tc>
          <w:tcPr/>
          <w:p>
            <w:pPr>
              <w:pStyle w:val="Compact"/>
              <w:jc w:val="left"/>
            </w:pPr>
            <w:r>
              <w:t xml:space="preserve">Direction</w:t>
            </w:r>
          </w:p>
        </w:tc>
      </w:tr>
      <w:tr>
        <w:tc>
          <w:tcPr/>
          <w:p>
            <w:pPr>
              <w:pStyle w:val="Compact"/>
              <w:jc w:val="left"/>
            </w:pPr>
            <w:r>
              <w:t xml:space="preserve">Royalty rate (§7.1)</w:t>
            </w:r>
          </w:p>
        </w:tc>
        <w:tc>
          <w:tcPr/>
          <w:p>
            <w:pPr>
              <w:pStyle w:val="Compact"/>
              <w:jc w:val="left"/>
            </w:pPr>
            <w:r>
              <w:t xml:space="preserve">4.5% of Net Sales</w:t>
            </w:r>
          </w:p>
        </w:tc>
        <w:tc>
          <w:tcPr/>
          <w:p>
            <w:pPr>
              <w:pStyle w:val="Compact"/>
              <w:jc w:val="left"/>
            </w:pPr>
            <w:r>
              <w:t xml:space="preserve">6.25% of</w:t>
            </w:r>
            <w:r>
              <w:t xml:space="preserve"> </w:t>
            </w:r>
            <w:r>
              <w:rPr>
                <w:i/>
                <w:iCs/>
              </w:rPr>
              <w:t xml:space="preserve">redefined</w:t>
            </w:r>
            <w:r>
              <w:t xml:space="preserve"> </w:t>
            </w:r>
            <w:r>
              <w:t xml:space="preserve">Net Sales</w:t>
            </w:r>
          </w:p>
        </w:tc>
        <w:tc>
          <w:tcPr/>
          <w:p>
            <w:pPr>
              <w:pStyle w:val="Compact"/>
              <w:jc w:val="left"/>
            </w:pPr>
            <w:r>
              <w:t xml:space="preserve">+38.9% nominal;</w:t>
            </w:r>
            <w:r>
              <w:t xml:space="preserve"> </w:t>
            </w:r>
            <w:r>
              <w:rPr>
                <w:b/>
                <w:bCs/>
              </w:rPr>
              <w:t xml:space="preserve">+48.9% effective</w:t>
            </w:r>
          </w:p>
        </w:tc>
      </w:tr>
      <w:tr>
        <w:tc>
          <w:tcPr/>
          <w:p>
            <w:pPr>
              <w:pStyle w:val="Compact"/>
              <w:jc w:val="left"/>
            </w:pPr>
            <w:r>
              <w:t xml:space="preserve">Minimum annual royalty (§7.2)</w:t>
            </w:r>
          </w:p>
        </w:tc>
        <w:tc>
          <w:tcPr/>
          <w:p>
            <w:pPr>
              <w:pStyle w:val="Compact"/>
              <w:jc w:val="left"/>
            </w:pPr>
            <w:r>
              <w:t xml:space="preserve">$4.0M</w:t>
            </w:r>
          </w:p>
        </w:tc>
        <w:tc>
          <w:tcPr/>
          <w:p>
            <w:pPr>
              <w:pStyle w:val="Compact"/>
              <w:jc w:val="left"/>
            </w:pPr>
            <w:r>
              <w:t xml:space="preserve">$8.0M (quarterly $2.0M)</w:t>
            </w:r>
          </w:p>
        </w:tc>
        <w:tc>
          <w:tcPr/>
          <w:p>
            <w:pPr>
              <w:pStyle w:val="Compact"/>
              <w:jc w:val="left"/>
            </w:pPr>
            <w:r>
              <w:t xml:space="preserve">+100%</w:t>
            </w:r>
          </w:p>
        </w:tc>
      </w:tr>
      <w:tr>
        <w:tc>
          <w:tcPr/>
          <w:p>
            <w:pPr>
              <w:pStyle w:val="Compact"/>
              <w:jc w:val="left"/>
            </w:pPr>
            <w:r>
              <w:t xml:space="preserve">Net Sales definition (§1.14)</w:t>
            </w:r>
          </w:p>
        </w:tc>
        <w:tc>
          <w:tcPr/>
          <w:p>
            <w:pPr>
              <w:pStyle w:val="Compact"/>
              <w:jc w:val="left"/>
            </w:pPr>
            <w:r>
              <w:t xml:space="preserve">Standard (freight, insurance, returns, bad debt deductible)</w:t>
            </w:r>
          </w:p>
        </w:tc>
        <w:tc>
          <w:tcPr/>
          <w:p>
            <w:pPr>
              <w:pStyle w:val="Compact"/>
              <w:jc w:val="left"/>
            </w:pPr>
            <w:r>
              <w:t xml:space="preserve">Only taxes + trade discounts deductible</w:t>
            </w:r>
          </w:p>
        </w:tc>
        <w:tc>
          <w:tcPr/>
          <w:p>
            <w:pPr>
              <w:pStyle w:val="Compact"/>
              <w:jc w:val="left"/>
            </w:pPr>
            <w:r>
              <w:t xml:space="preserve">Narrowed (+7.2% base)</w:t>
            </w:r>
          </w:p>
        </w:tc>
      </w:tr>
      <w:tr>
        <w:tc>
          <w:tcPr/>
          <w:p>
            <w:pPr>
              <w:pStyle w:val="Compact"/>
              <w:jc w:val="left"/>
            </w:pPr>
            <w:r>
              <w:t xml:space="preserve">Field of use — crops (§1.7)</w:t>
            </w:r>
          </w:p>
        </w:tc>
        <w:tc>
          <w:tcPr/>
          <w:p>
            <w:pPr>
              <w:pStyle w:val="Compact"/>
              <w:jc w:val="left"/>
            </w:pPr>
            <w:r>
              <w:t xml:space="preserve">Corn, soybean</w:t>
            </w:r>
          </w:p>
        </w:tc>
        <w:tc>
          <w:tcPr/>
          <w:p>
            <w:pPr>
              <w:pStyle w:val="Compact"/>
              <w:jc w:val="left"/>
            </w:pPr>
            <w:r>
              <w:t xml:space="preserve">Corn, soybean,</w:t>
            </w:r>
            <w:r>
              <w:t xml:space="preserve"> </w:t>
            </w:r>
            <w:r>
              <w:rPr>
                <w:b/>
                <w:bCs/>
              </w:rPr>
              <w:t xml:space="preserve">wheat</w:t>
            </w:r>
          </w:p>
        </w:tc>
        <w:tc>
          <w:tcPr/>
          <w:p>
            <w:pPr>
              <w:pStyle w:val="Compact"/>
              <w:jc w:val="left"/>
            </w:pPr>
            <w:r>
              <w:t xml:space="preserve">Expanded</w:t>
            </w:r>
          </w:p>
        </w:tc>
      </w:tr>
      <w:tr>
        <w:tc>
          <w:tcPr/>
          <w:p>
            <w:pPr>
              <w:pStyle w:val="Compact"/>
              <w:jc w:val="left"/>
            </w:pPr>
            <w:r>
              <w:t xml:space="preserve">Field of use — traits (§1.7)</w:t>
            </w:r>
          </w:p>
        </w:tc>
        <w:tc>
          <w:tcPr/>
          <w:p>
            <w:pPr>
              <w:pStyle w:val="Compact"/>
              <w:jc w:val="left"/>
            </w:pPr>
            <w:r>
              <w:t xml:space="preserve">Herbicide tolerance + insect resistance</w:t>
            </w:r>
          </w:p>
        </w:tc>
        <w:tc>
          <w:tcPr/>
          <w:p>
            <w:pPr>
              <w:pStyle w:val="Compact"/>
              <w:jc w:val="left"/>
            </w:pPr>
            <w:r>
              <w:rPr>
                <w:b/>
                <w:bCs/>
              </w:rPr>
              <w:t xml:space="preserve">Herbicide tolerance only</w:t>
            </w:r>
          </w:p>
        </w:tc>
        <w:tc>
          <w:tcPr/>
          <w:p>
            <w:pPr>
              <w:pStyle w:val="Compact"/>
              <w:jc w:val="left"/>
            </w:pPr>
            <w:r>
              <w:rPr>
                <w:b/>
                <w:bCs/>
              </w:rPr>
              <w:t xml:space="preserve">Narrowed</w:t>
            </w:r>
          </w:p>
        </w:tc>
      </w:tr>
      <w:tr>
        <w:tc>
          <w:tcPr/>
          <w:p>
            <w:pPr>
              <w:pStyle w:val="Compact"/>
              <w:jc w:val="left"/>
            </w:pPr>
            <w:r>
              <w:t xml:space="preserve">Territory (§1.18)</w:t>
            </w:r>
          </w:p>
        </w:tc>
        <w:tc>
          <w:tcPr/>
          <w:p>
            <w:pPr>
              <w:pStyle w:val="Compact"/>
              <w:jc w:val="left"/>
            </w:pPr>
            <w:r>
              <w:t xml:space="preserve">Worldwide ex China/India</w:t>
            </w:r>
          </w:p>
        </w:tc>
        <w:tc>
          <w:tcPr/>
          <w:p>
            <w:pPr>
              <w:pStyle w:val="Compact"/>
              <w:jc w:val="left"/>
            </w:pPr>
            <w:r>
              <w:t xml:space="preserve">Unchanged</w:t>
            </w:r>
          </w:p>
        </w:tc>
        <w:tc>
          <w:tcPr/>
          <w:p>
            <w:pPr>
              <w:pStyle w:val="Compact"/>
              <w:jc w:val="left"/>
            </w:pPr>
            <w:r>
              <w:t xml:space="preserve">No change</w:t>
            </w:r>
          </w:p>
        </w:tc>
      </w:tr>
      <w:tr>
        <w:tc>
          <w:tcPr/>
          <w:p>
            <w:pPr>
              <w:pStyle w:val="Compact"/>
              <w:jc w:val="left"/>
            </w:pPr>
            <w:r>
              <w:t xml:space="preserve">Sublicense pass-through (§10.3)</w:t>
            </w:r>
          </w:p>
        </w:tc>
        <w:tc>
          <w:tcPr/>
          <w:p>
            <w:pPr>
              <w:pStyle w:val="Compact"/>
              <w:jc w:val="left"/>
            </w:pPr>
            <w:r>
              <w:t xml:space="preserve">35%</w:t>
            </w:r>
          </w:p>
        </w:tc>
        <w:tc>
          <w:tcPr/>
          <w:p>
            <w:pPr>
              <w:pStyle w:val="Compact"/>
              <w:jc w:val="left"/>
            </w:pPr>
            <w:r>
              <w:t xml:space="preserve">50%</w:t>
            </w:r>
          </w:p>
        </w:tc>
        <w:tc>
          <w:tcPr/>
          <w:p>
            <w:pPr>
              <w:pStyle w:val="Compact"/>
              <w:jc w:val="left"/>
            </w:pPr>
            <w:r>
              <w:t xml:space="preserve">+15 pts</w:t>
            </w:r>
          </w:p>
        </w:tc>
      </w:tr>
      <w:tr>
        <w:tc>
          <w:tcPr/>
          <w:p>
            <w:pPr>
              <w:pStyle w:val="Compact"/>
              <w:jc w:val="left"/>
            </w:pPr>
            <w:r>
              <w:t xml:space="preserve">Improvements (§8.1)</w:t>
            </w:r>
          </w:p>
        </w:tc>
        <w:tc>
          <w:tcPr/>
          <w:p>
            <w:pPr>
              <w:pStyle w:val="Compact"/>
              <w:jc w:val="left"/>
            </w:pPr>
            <w:r>
              <w:t xml:space="preserve">Greenfield sole owner; license back at commercial royalty</w:t>
            </w:r>
          </w:p>
        </w:tc>
        <w:tc>
          <w:tcPr/>
          <w:p>
            <w:pPr>
              <w:pStyle w:val="Compact"/>
              <w:jc w:val="left"/>
            </w:pPr>
            <w:r>
              <w:rPr>
                <w:b/>
                <w:bCs/>
              </w:rPr>
              <w:t xml:space="preserve">Joint ownership; royalty-free license to NovaTrait</w:t>
            </w:r>
          </w:p>
        </w:tc>
        <w:tc>
          <w:tcPr/>
          <w:p>
            <w:pPr>
              <w:pStyle w:val="Compact"/>
              <w:jc w:val="left"/>
            </w:pPr>
            <w:r>
              <w:rPr>
                <w:b/>
                <w:bCs/>
              </w:rPr>
              <w:t xml:space="preserve">Reversed</w:t>
            </w:r>
          </w:p>
        </w:tc>
      </w:tr>
      <w:tr>
        <w:tc>
          <w:tcPr/>
          <w:p>
            <w:pPr>
              <w:pStyle w:val="Compact"/>
              <w:jc w:val="left"/>
            </w:pPr>
            <w:r>
              <w:t xml:space="preserve">Anti-stacking offset</w:t>
            </w:r>
          </w:p>
        </w:tc>
        <w:tc>
          <w:tcPr/>
          <w:p>
            <w:pPr>
              <w:pStyle w:val="Compact"/>
              <w:jc w:val="left"/>
            </w:pPr>
            <w:r>
              <w:t xml:space="preserve">None</w:t>
            </w:r>
          </w:p>
        </w:tc>
        <w:tc>
          <w:tcPr/>
          <w:p>
            <w:pPr>
              <w:pStyle w:val="Compact"/>
              <w:jc w:val="left"/>
            </w:pPr>
            <w:r>
              <w:t xml:space="preserve">50% offset, capped 25%/quarter, 4.75% floor</w:t>
            </w:r>
          </w:p>
        </w:tc>
        <w:tc>
          <w:tcPr/>
          <w:p>
            <w:pPr>
              <w:pStyle w:val="Compact"/>
              <w:jc w:val="left"/>
            </w:pPr>
            <w:r>
              <w:t xml:space="preserve">New (beneficial, limited)</w:t>
            </w:r>
          </w:p>
        </w:tc>
      </w:tr>
      <w:tr>
        <w:tc>
          <w:tcPr/>
          <w:p>
            <w:pPr>
              <w:pStyle w:val="Compact"/>
              <w:jc w:val="left"/>
            </w:pPr>
            <w:r>
              <w:t xml:space="preserve">Audit frequency (§9.2)</w:t>
            </w:r>
          </w:p>
        </w:tc>
        <w:tc>
          <w:tcPr/>
          <w:p>
            <w:pPr>
              <w:pStyle w:val="Compact"/>
              <w:jc w:val="left"/>
            </w:pPr>
            <w:r>
              <w:t xml:space="preserve">1x/year, 30 days’ notice</w:t>
            </w:r>
          </w:p>
        </w:tc>
        <w:tc>
          <w:tcPr/>
          <w:p>
            <w:pPr>
              <w:pStyle w:val="Compact"/>
              <w:jc w:val="left"/>
            </w:pPr>
            <w:r>
              <w:t xml:space="preserve">Unchanged</w:t>
            </w:r>
          </w:p>
        </w:tc>
        <w:tc>
          <w:tcPr/>
          <w:p>
            <w:pPr>
              <w:pStyle w:val="Compact"/>
              <w:jc w:val="left"/>
            </w:pPr>
            <w:r>
              <w:t xml:space="preserve">No change</w:t>
            </w:r>
          </w:p>
        </w:tc>
      </w:tr>
      <w:tr>
        <w:tc>
          <w:tcPr/>
          <w:p>
            <w:pPr>
              <w:pStyle w:val="Compact"/>
              <w:jc w:val="left"/>
            </w:pPr>
            <w:r>
              <w:t xml:space="preserve">Term</w:t>
            </w:r>
          </w:p>
        </w:tc>
        <w:tc>
          <w:tcPr/>
          <w:p>
            <w:pPr>
              <w:pStyle w:val="Compact"/>
              <w:jc w:val="left"/>
            </w:pPr>
            <w:r>
              <w:t xml:space="preserve">10 years (ends 6/30/2025)</w:t>
            </w:r>
          </w:p>
        </w:tc>
        <w:tc>
          <w:tcPr/>
          <w:p>
            <w:pPr>
              <w:pStyle w:val="Compact"/>
              <w:jc w:val="left"/>
            </w:pPr>
            <w:r>
              <w:t xml:space="preserve">5 years (ends 6/30/2030)</w:t>
            </w:r>
          </w:p>
        </w:tc>
        <w:tc>
          <w:tcPr/>
          <w:p>
            <w:pPr>
              <w:pStyle w:val="Compact"/>
              <w:jc w:val="left"/>
            </w:pPr>
            <w:r>
              <w:t xml:space="preserve">Shorter</w:t>
            </w:r>
          </w:p>
        </w:tc>
      </w:tr>
    </w:tbl>
    <w:bookmarkEnd w:id="27"/>
    <w:bookmarkStart w:id="28" w:name="the-section-14.3-rate-cap-a-key-lever"/>
    <w:p>
      <w:pPr>
        <w:pStyle w:val="Heading3"/>
      </w:pPr>
      <w:r>
        <w:t xml:space="preserve">5.2 The Section 14.3 Rate Cap — A Key Lever</w:t>
      </w:r>
    </w:p>
    <w:p>
      <w:pPr>
        <w:pStyle w:val="FirstParagraph"/>
      </w:pPr>
      <w:r>
        <w:t xml:space="preserve">Section 14.3(a) provides that any royalty-rate increase for a renewal term</w:t>
      </w:r>
      <w:r>
        <w:t xml:space="preserve"> </w:t>
      </w:r>
      <w:r>
        <w:rPr>
          <w:b/>
          <w:bCs/>
        </w:rPr>
        <w:t xml:space="preserve">shall not exceed 150% of the then-current Royalty Rate</w:t>
      </w:r>
      <w:r>
        <w:t xml:space="preserve"> </w:t>
      </w:r>
      <w:r>
        <w:t xml:space="preserve">without completion of an independent fair-market-value (</w:t>
      </w:r>
      <w:r>
        <w:t xml:space="preserve">“</w:t>
      </w:r>
      <w:r>
        <w:t xml:space="preserve">IFMV</w:t>
      </w:r>
      <w:r>
        <w:t xml:space="preserve">”</w:t>
      </w:r>
      <w:r>
        <w:t xml:space="preserve">) assessment by a mutually agreed valuation firm. The current rate is 4.5%, so the cap is</w:t>
      </w:r>
      <w:r>
        <w:t xml:space="preserve"> </w:t>
      </w:r>
      <w:r>
        <w:rPr>
          <w:b/>
          <w:bCs/>
        </w:rPr>
        <w:t xml:space="preserve">6.75%</w:t>
      </w:r>
      <w:r>
        <w:t xml:space="preserve">. NovaTrait’s proposed 6.25% is nominally within the cap, and NovaTrait asserts no IFMV assessment is required.</w:t>
      </w:r>
    </w:p>
    <w:p>
      <w:pPr>
        <w:pStyle w:val="BodyText"/>
      </w:pPr>
      <w:r>
        <w:rPr>
          <w:b/>
          <w:bCs/>
        </w:rPr>
        <w:t xml:space="preserve">Greenfield’s argument:</w:t>
      </w:r>
      <w:r>
        <w:t xml:space="preserve"> </w:t>
      </w:r>
      <w:r>
        <w:t xml:space="preserve">The</w:t>
      </w:r>
      <w:r>
        <w:t xml:space="preserve"> </w:t>
      </w:r>
      <w:r>
        <w:t xml:space="preserve">“</w:t>
      </w:r>
      <w:r>
        <w:t xml:space="preserve">Royalty Rate</w:t>
      </w:r>
      <w:r>
        <w:t xml:space="preserve">”</w:t>
      </w:r>
      <w:r>
        <w:t xml:space="preserve"> </w:t>
      </w:r>
      <w:r>
        <w:t xml:space="preserve">should be construed as the</w:t>
      </w:r>
      <w:r>
        <w:t xml:space="preserve"> </w:t>
      </w:r>
      <w:r>
        <w:rPr>
          <w:b/>
          <w:bCs/>
        </w:rPr>
        <w:t xml:space="preserve">effective economic burden</w:t>
      </w:r>
      <w:r>
        <w:t xml:space="preserve">, not merely the nominal percentage. When the Net Sales redefinition is taken into account, the effective rate on the original base is</w:t>
      </w:r>
      <w:r>
        <w:t xml:space="preserve"> </w:t>
      </w:r>
      <w:r>
        <w:rPr>
          <w:b/>
          <w:bCs/>
        </w:rPr>
        <w:t xml:space="preserve">6.70%</w:t>
      </w:r>
      <w:r>
        <w:t xml:space="preserve"> </w:t>
      </w:r>
      <w:r>
        <w:t xml:space="preserve">— i.e.,</w:t>
      </w:r>
      <w:r>
        <w:t xml:space="preserve"> </w:t>
      </w:r>
      <w:r>
        <w:rPr>
          <w:b/>
          <w:bCs/>
        </w:rPr>
        <w:t xml:space="preserve">148.9% of the current rate</w:t>
      </w:r>
      <w:r>
        <w:t xml:space="preserve">, which is within but</w:t>
      </w:r>
      <w:r>
        <w:t xml:space="preserve"> </w:t>
      </w:r>
      <w:r>
        <w:rPr>
          <w:i/>
          <w:iCs/>
        </w:rPr>
        <w:t xml:space="preserve">barely</w:t>
      </w:r>
      <w:r>
        <w:t xml:space="preserve"> </w:t>
      </w:r>
      <w:r>
        <w:t xml:space="preserve">within the 150% cap. If the redefinition adds even slightly more than estimated, the combined increase would exceed 150% and trigger the IFMV requirement. We recommend</w:t>
      </w:r>
      <w:r>
        <w:t xml:space="preserve"> </w:t>
      </w:r>
      <w:r>
        <w:rPr>
          <w:b/>
          <w:bCs/>
        </w:rPr>
        <w:t xml:space="preserve">arguing that the combined effect (rate + redefined base) must be measured against the 150% cap</w:t>
      </w:r>
      <w:r>
        <w:t xml:space="preserve">, and that an updated IFMV assessment is warranted in any event (the Clarendon landscape analysis is dated September 2020 and predates material developments, including the post-2028 competitive landscape). Equally important, Section 14.3 requires that any increase be</w:t>
      </w:r>
      <w:r>
        <w:t xml:space="preserve"> </w:t>
      </w:r>
      <w:r>
        <w:rPr>
          <w:b/>
          <w:bCs/>
        </w:rPr>
        <w:t xml:space="preserve">“</w:t>
      </w:r>
      <w:r>
        <w:rPr>
          <w:b/>
          <w:bCs/>
        </w:rPr>
        <w:t xml:space="preserve">by mutual agreement</w:t>
      </w:r>
      <w:r>
        <w:rPr>
          <w:b/>
          <w:bCs/>
        </w:rPr>
        <w:t xml:space="preserve">”</w:t>
      </w:r>
      <w:r>
        <w:t xml:space="preserve"> </w:t>
      </w:r>
      <w:r>
        <w:t xml:space="preserve">— Greenfield is</w:t>
      </w:r>
      <w:r>
        <w:t xml:space="preserve"> </w:t>
      </w:r>
      <w:r>
        <w:rPr>
          <w:b/>
          <w:bCs/>
        </w:rPr>
        <w:t xml:space="preserve">not obligated to accept any increase</w:t>
      </w:r>
      <w:r>
        <w:t xml:space="preserve">, cap or no cap. Licenses B and C contain no analogous rate-cap provision.</w:t>
      </w:r>
    </w:p>
    <w:bookmarkEnd w:id="28"/>
    <w:bookmarkStart w:id="29" w:name="Xe2d3d18f05d04793750d67b40d7750dcef214ff"/>
    <w:p>
      <w:pPr>
        <w:pStyle w:val="Heading3"/>
      </w:pPr>
      <w:r>
        <w:t xml:space="preserve">5.3 Removal of Insect Resistance from the Field of Use — A Material Scope Reduction</w:t>
      </w:r>
    </w:p>
    <w:p>
      <w:pPr>
        <w:pStyle w:val="FirstParagraph"/>
      </w:pPr>
      <w:r>
        <w:t xml:space="preserve">NovaTrait proposes to</w:t>
      </w:r>
      <w:r>
        <w:t xml:space="preserve"> </w:t>
      </w:r>
      <w:r>
        <w:rPr>
          <w:b/>
          <w:bCs/>
        </w:rPr>
        <w:t xml:space="preserve">remove insect resistance</w:t>
      </w:r>
      <w:r>
        <w:t xml:space="preserve"> </w:t>
      </w:r>
      <w:r>
        <w:t xml:space="preserve">(including Bt-derived and non-Bt insecticidal constructs) from the Field of Use, on the ground that it has granted an exclusive insect-resistance license to another agricultural biotechnology company. NovaTrait offers only to</w:t>
      </w:r>
      <w:r>
        <w:t xml:space="preserve"> </w:t>
      </w:r>
      <w:r>
        <w:t xml:space="preserve">“</w:t>
      </w:r>
      <w:r>
        <w:t xml:space="preserve">discuss a transition mechanism</w:t>
      </w:r>
      <w:r>
        <w:t xml:space="preserve">”</w:t>
      </w:r>
      <w:r>
        <w:t xml:space="preserve"> </w:t>
      </w:r>
      <w:r>
        <w:t xml:space="preserve">for Greenfield’s existing insect-resistance product lines.</w:t>
      </w:r>
    </w:p>
    <w:p>
      <w:pPr>
        <w:pStyle w:val="BodyText"/>
      </w:pPr>
      <w:r>
        <w:t xml:space="preserve">This is a</w:t>
      </w:r>
      <w:r>
        <w:t xml:space="preserve"> </w:t>
      </w:r>
      <w:r>
        <w:rPr>
          <w:b/>
          <w:bCs/>
        </w:rPr>
        <w:t xml:space="preserve">material adverse change</w:t>
      </w:r>
      <w:r>
        <w:t xml:space="preserve">. Per the Ridgemont negotiation-priorities matrix, insect resistance represents approximately</w:t>
      </w:r>
      <w:r>
        <w:t xml:space="preserve"> </w:t>
      </w:r>
      <w:r>
        <w:rPr>
          <w:b/>
          <w:bCs/>
        </w:rPr>
        <w:t xml:space="preserve">30% of License A revenue</w:t>
      </w:r>
      <w:r>
        <w:t xml:space="preserve">. Removing it mid-portfolio would force Greenfield to exit or re-license a core product line.</w:t>
      </w:r>
      <w:r>
        <w:t xml:space="preserve"> </w:t>
      </w:r>
      <w:r>
        <w:rPr>
          <w:b/>
          <w:bCs/>
        </w:rPr>
        <w:t xml:space="preserve">We recommend countering to retain insect resistance AND add wheat</w:t>
      </w:r>
      <w:r>
        <w:t xml:space="preserve">, accepting at most a modest rate premium for the expanded crop scope. If NovaTrait is contractually bound to a third party and cannot retain insect resistance, Greenfield should demand (a) a</w:t>
      </w:r>
      <w:r>
        <w:t xml:space="preserve"> </w:t>
      </w:r>
      <w:r>
        <w:rPr>
          <w:b/>
          <w:bCs/>
        </w:rPr>
        <w:t xml:space="preserve">transitional non-exclusive license with a defined sunset period</w:t>
      </w:r>
      <w:r>
        <w:t xml:space="preserve"> </w:t>
      </w:r>
      <w:r>
        <w:t xml:space="preserve">sufficient to wind down or migrate existing product lines, and (b) a</w:t>
      </w:r>
      <w:r>
        <w:t xml:space="preserve"> </w:t>
      </w:r>
      <w:r>
        <w:rPr>
          <w:b/>
          <w:bCs/>
        </w:rPr>
        <w:t xml:space="preserve">corresponding reduction in the royalty rate and MAR</w:t>
      </w:r>
      <w:r>
        <w:t xml:space="preserve"> </w:t>
      </w:r>
      <w:r>
        <w:t xml:space="preserve">reflecting the narrowed scope. Greenfield should also request disclosure of the third-party exclusive arrangement to assess its bona fides and scope.</w:t>
      </w:r>
    </w:p>
    <w:bookmarkEnd w:id="29"/>
    <w:bookmarkStart w:id="30" w:name="Xc07f70fecb37a154759ab2ae83db31b757b3c07"/>
    <w:p>
      <w:pPr>
        <w:pStyle w:val="Heading3"/>
      </w:pPr>
      <w:r>
        <w:t xml:space="preserve">5.4 Wheat Expansion — Value Must Be Tied to Actual Patent Coverage</w:t>
      </w:r>
    </w:p>
    <w:p>
      <w:pPr>
        <w:pStyle w:val="FirstParagraph"/>
      </w:pPr>
      <w:r>
        <w:t xml:space="preserve">The addition of wheat is presented as a concession, but the Clarendon landscape analysis (Section 6, Recommendation 2) cautions that</w:t>
      </w:r>
      <w:r>
        <w:t xml:space="preserve"> </w:t>
      </w:r>
      <w:r>
        <w:rPr>
          <w:b/>
          <w:bCs/>
        </w:rPr>
        <w:t xml:space="preserve">field-of-use expansions must be evaluated against the actual scope of the underlying patents</w:t>
      </w:r>
      <w:r>
        <w:t xml:space="preserve">. NovaTrait’s CRISPR-Ag patents are anchored in corn and soybean embodiments; if the claims do not specifically cover wheat or do not block third-party competition in wheat, the</w:t>
      </w:r>
      <w:r>
        <w:t xml:space="preserve"> </w:t>
      </w:r>
      <w:r>
        <w:t xml:space="preserve">“</w:t>
      </w:r>
      <w:r>
        <w:t xml:space="preserve">expanded</w:t>
      </w:r>
      <w:r>
        <w:t xml:space="preserve">”</w:t>
      </w:r>
      <w:r>
        <w:t xml:space="preserve"> </w:t>
      </w:r>
      <w:r>
        <w:t xml:space="preserve">scope confers little incremental exclusivity and should not command a higher royalty. Greenfield should require NovaTrait to</w:t>
      </w:r>
      <w:r>
        <w:t xml:space="preserve"> </w:t>
      </w:r>
      <w:r>
        <w:rPr>
          <w:b/>
          <w:bCs/>
        </w:rPr>
        <w:t xml:space="preserve">demonstrate meaningful patent coverage and blocking position in wheat</w:t>
      </w:r>
      <w:r>
        <w:t xml:space="preserve"> </w:t>
      </w:r>
      <w:r>
        <w:t xml:space="preserve">before accepting any rate premium for the expansion.</w:t>
      </w:r>
    </w:p>
    <w:bookmarkEnd w:id="30"/>
    <w:bookmarkStart w:id="31" w:name="X35ad0ebd55fb77aaf8f66f3e4fdcc7b91baf8a3"/>
    <w:p>
      <w:pPr>
        <w:pStyle w:val="Heading3"/>
      </w:pPr>
      <w:r>
        <w:t xml:space="preserve">5.5 Improvement Ownership — Do Not Concede Sole Ownership</w:t>
      </w:r>
    </w:p>
    <w:p>
      <w:pPr>
        <w:pStyle w:val="FirstParagraph"/>
      </w:pPr>
      <w:r>
        <w:t xml:space="preserve">Current Section 8.1 provides that</w:t>
      </w:r>
      <w:r>
        <w:t xml:space="preserve"> </w:t>
      </w:r>
      <w:r>
        <w:rPr>
          <w:b/>
          <w:bCs/>
        </w:rPr>
        <w:t xml:space="preserve">Greenfield solely owns</w:t>
      </w:r>
      <w:r>
        <w:t xml:space="preserve"> </w:t>
      </w:r>
      <w:r>
        <w:t xml:space="preserve">its improvements, with a non-exclusive license back to NovaTrait at a commercially reasonable royalty to be negotiated. The Proposal would reverse this to</w:t>
      </w:r>
      <w:r>
        <w:t xml:space="preserve"> </w:t>
      </w:r>
      <w:r>
        <w:rPr>
          <w:b/>
          <w:bCs/>
        </w:rPr>
        <w:t xml:space="preserve">joint ownership</w:t>
      </w:r>
      <w:r>
        <w:t xml:space="preserve"> </w:t>
      </w:r>
      <w:r>
        <w:t xml:space="preserve">with an</w:t>
      </w:r>
      <w:r>
        <w:t xml:space="preserve"> </w:t>
      </w:r>
      <w:r>
        <w:rPr>
          <w:b/>
          <w:bCs/>
        </w:rPr>
        <w:t xml:space="preserve">irrevocable, perpetual, royalty-free, sublicensable, transferable license to NovaTrait</w:t>
      </w:r>
      <w:r>
        <w:t xml:space="preserve"> </w:t>
      </w:r>
      <w:r>
        <w:t xml:space="preserve">for any purpose (inside or outside the Field of Use), while Greenfield would receive only a non-exclusive, non-sublicensable, royalty-bearing license for the renewal term.</w:t>
      </w:r>
    </w:p>
    <w:p>
      <w:pPr>
        <w:pStyle w:val="BodyText"/>
      </w:pPr>
      <w:r>
        <w:t xml:space="preserve">This is a significant give-back of Greenfield-generated IP and is</w:t>
      </w:r>
      <w:r>
        <w:t xml:space="preserve"> </w:t>
      </w:r>
      <w:r>
        <w:rPr>
          <w:b/>
          <w:bCs/>
        </w:rPr>
        <w:t xml:space="preserve">asymmetric</w:t>
      </w:r>
      <w:r>
        <w:t xml:space="preserve"> </w:t>
      </w:r>
      <w:r>
        <w:t xml:space="preserve">(NovaTrait gets a perpetual, royalty-free, sublicensable grant; Greenfield gets a term-limited, royalty-bearing, non-sublicensable grant).</w:t>
      </w:r>
      <w:r>
        <w:t xml:space="preserve"> </w:t>
      </w:r>
      <w:r>
        <w:rPr>
          <w:b/>
          <w:bCs/>
        </w:rPr>
        <w:t xml:space="preserve">We recommend retaining sole Greenfield ownership</w:t>
      </w:r>
      <w:r>
        <w:t xml:space="preserve"> </w:t>
      </w:r>
      <w:r>
        <w:t xml:space="preserve">of Greenfield improvements, with a non-exclusive license back to NovaTrait at a reduced (not</w:t>
      </w:r>
      <w:r>
        <w:t xml:space="preserve"> </w:t>
      </w:r>
      <w:r>
        <w:t xml:space="preserve">“</w:t>
      </w:r>
      <w:r>
        <w:t xml:space="preserve">commercially reasonable</w:t>
      </w:r>
      <w:r>
        <w:t xml:space="preserve">”</w:t>
      </w:r>
      <w:r>
        <w:t xml:space="preserve"> </w:t>
      </w:r>
      <w:r>
        <w:t xml:space="preserve">open-ended) royalty. The same joint-ownership/royalty-free-grant-back structure is proposed for License B and should be resisted there as well.</w:t>
      </w:r>
    </w:p>
    <w:bookmarkEnd w:id="31"/>
    <w:bookmarkStart w:id="32" w:name="X920b37b1b4bf4635cf6e29b66296f9e38f3b82b"/>
    <w:p>
      <w:pPr>
        <w:pStyle w:val="Heading3"/>
      </w:pPr>
      <w:r>
        <w:t xml:space="preserve">5.6 Sublicense Pass-Through and Anti-Stacking Offset</w:t>
      </w:r>
    </w:p>
    <w:p>
      <w:pPr>
        <w:pStyle w:val="Compact"/>
        <w:numPr>
          <w:ilvl w:val="0"/>
          <w:numId w:val="1004"/>
        </w:numPr>
      </w:pPr>
      <w:r>
        <w:rPr>
          <w:b/>
          <w:bCs/>
        </w:rPr>
        <w:t xml:space="preserve">Pass-through (35% → 50%).</w:t>
      </w:r>
      <w:r>
        <w:t xml:space="preserve"> </w:t>
      </w:r>
      <w:r>
        <w:t xml:space="preserve">The current 35% is already above the market median (comparable gene-editing transactions show 30–40% pass-through). We recommend</w:t>
      </w:r>
      <w:r>
        <w:t xml:space="preserve"> </w:t>
      </w:r>
      <w:r>
        <w:rPr>
          <w:b/>
          <w:bCs/>
        </w:rPr>
        <w:t xml:space="preserve">retaining 35%</w:t>
      </w:r>
      <w:r>
        <w:t xml:space="preserve">, or accepting</w:t>
      </w:r>
      <w:r>
        <w:t xml:space="preserve"> </w:t>
      </w:r>
      <w:r>
        <w:rPr>
          <w:b/>
          <w:bCs/>
        </w:rPr>
        <w:t xml:space="preserve">40% only with a volume discount</w:t>
      </w:r>
      <w:r>
        <w:t xml:space="preserve"> </w:t>
      </w:r>
      <w:r>
        <w:t xml:space="preserve">above a $2M pass-through threshold. Note this provision governs License A sublicenses; the Prairielands pass-through issue arises under License B (Section 6.4).</w:t>
      </w:r>
    </w:p>
    <w:p>
      <w:pPr>
        <w:pStyle w:val="Compact"/>
        <w:numPr>
          <w:ilvl w:val="0"/>
          <w:numId w:val="1004"/>
        </w:numPr>
      </w:pPr>
      <w:r>
        <w:rPr>
          <w:b/>
          <w:bCs/>
        </w:rPr>
        <w:t xml:space="preserve">Anti-stacking offset (new).</w:t>
      </w:r>
      <w:r>
        <w:t xml:space="preserve"> </w:t>
      </w:r>
      <w:r>
        <w:t xml:space="preserve">The proposed 50% credit for third-party freedom-to-operate royalties, capped at 25% of quarterly royalties, with a 4.75% effective-rate floor, is</w:t>
      </w:r>
      <w:r>
        <w:t xml:space="preserve"> </w:t>
      </w:r>
      <w:r>
        <w:rPr>
          <w:b/>
          <w:bCs/>
        </w:rPr>
        <w:t xml:space="preserve">net beneficial</w:t>
      </w:r>
      <w:r>
        <w:t xml:space="preserve"> </w:t>
      </w:r>
      <w:r>
        <w:t xml:space="preserve">and we recommend accepting it</w:t>
      </w:r>
      <w:r>
        <w:t xml:space="preserve"> </w:t>
      </w:r>
      <w:r>
        <w:rPr>
          <w:b/>
          <w:bCs/>
        </w:rPr>
        <w:t xml:space="preserve">with modification</w:t>
      </w:r>
      <w:r>
        <w:t xml:space="preserve">: the floor should be measured against</w:t>
      </w:r>
      <w:r>
        <w:t xml:space="preserve"> </w:t>
      </w:r>
      <w:r>
        <w:rPr>
          <w:b/>
          <w:bCs/>
        </w:rPr>
        <w:t xml:space="preserve">75% of the</w:t>
      </w:r>
      <w:r>
        <w:rPr>
          <w:b/>
          <w:bCs/>
        </w:rPr>
        <w:t xml:space="preserve"> </w:t>
      </w:r>
      <w:r>
        <w:rPr>
          <w:b/>
          <w:bCs/>
          <w:i/>
          <w:iCs/>
        </w:rPr>
        <w:t xml:space="preserve">calculated</w:t>
      </w:r>
      <w:r>
        <w:rPr>
          <w:b/>
          <w:bCs/>
        </w:rPr>
        <w:t xml:space="preserve"> </w:t>
      </w:r>
      <w:r>
        <w:rPr>
          <w:b/>
          <w:bCs/>
        </w:rPr>
        <w:t xml:space="preserve">royalty</w:t>
      </w:r>
      <w:r>
        <w:t xml:space="preserve"> </w:t>
      </w:r>
      <w:r>
        <w:t xml:space="preserve">(not the minimum annual royalty), so the offset retains practical value when running royalties are high.</w:t>
      </w:r>
    </w:p>
    <w:bookmarkEnd w:id="32"/>
    <w:bookmarkStart w:id="33" w:name="Xb5ba7b193022fd6378c8c03723fea4da3321636"/>
    <w:p>
      <w:pPr>
        <w:pStyle w:val="Heading3"/>
      </w:pPr>
      <w:r>
        <w:t xml:space="preserve">5.7 Patent Expiry and the Case for a Post-2028 Step-Down</w:t>
      </w:r>
    </w:p>
    <w:p>
      <w:pPr>
        <w:pStyle w:val="FirstParagraph"/>
      </w:pPr>
      <w:r>
        <w:t xml:space="preserve">The Clarendon analysis identifies</w:t>
      </w:r>
      <w:r>
        <w:t xml:space="preserve"> </w:t>
      </w:r>
      <w:r>
        <w:rPr>
          <w:b/>
          <w:bCs/>
        </w:rPr>
        <w:t xml:space="preserve">U.S. Patent No. 9,234,117</w:t>
      </w:r>
      <w:r>
        <w:t xml:space="preserve"> </w:t>
      </w:r>
      <w:r>
        <w:t xml:space="preserve">as the foundational method patent representing approximately</w:t>
      </w:r>
      <w:r>
        <w:t xml:space="preserve"> </w:t>
      </w:r>
      <w:r>
        <w:rPr>
          <w:b/>
          <w:bCs/>
        </w:rPr>
        <w:t xml:space="preserve">60% of the License A portfolio’s commercial value</w:t>
      </w:r>
      <w:r>
        <w:t xml:space="preserve">, with an expiration date of</w:t>
      </w:r>
      <w:r>
        <w:t xml:space="preserve"> </w:t>
      </w:r>
      <w:r>
        <w:rPr>
          <w:b/>
          <w:bCs/>
        </w:rPr>
        <w:t xml:space="preserve">March 12, 2028</w:t>
      </w:r>
      <w:r>
        <w:t xml:space="preserve"> </w:t>
      </w:r>
      <w:r>
        <w:t xml:space="preserve">— i.e., roughly</w:t>
      </w:r>
      <w:r>
        <w:t xml:space="preserve"> </w:t>
      </w:r>
      <w:r>
        <w:rPr>
          <w:b/>
          <w:bCs/>
        </w:rPr>
        <w:t xml:space="preserve">two years into the proposed five-year renewal term</w:t>
      </w:r>
      <w:r>
        <w:t xml:space="preserve"> </w:t>
      </w:r>
      <w:r>
        <w:t xml:space="preserve">(July 1, 2025 – June 30, 2030). Upon expiry:</w:t>
      </w:r>
    </w:p>
    <w:p>
      <w:pPr>
        <w:pStyle w:val="Compact"/>
        <w:numPr>
          <w:ilvl w:val="0"/>
          <w:numId w:val="1005"/>
        </w:numPr>
      </w:pPr>
      <w:r>
        <w:t xml:space="preserve">The core CRISPR-based gene-editing methods enter the public domain;</w:t>
      </w:r>
    </w:p>
    <w:p>
      <w:pPr>
        <w:pStyle w:val="Compact"/>
        <w:numPr>
          <w:ilvl w:val="0"/>
          <w:numId w:val="1005"/>
        </w:numPr>
      </w:pPr>
      <w:r>
        <w:t xml:space="preserve">The residual portfolio (Nos. 9,234,118; 9,651,002; 10,112,445) retains only an estimated</w:t>
      </w:r>
      <w:r>
        <w:t xml:space="preserve"> </w:t>
      </w:r>
      <w:r>
        <w:rPr>
          <w:b/>
          <w:bCs/>
        </w:rPr>
        <w:t xml:space="preserve">35–40% of current aggregate value</w:t>
      </w:r>
      <w:r>
        <w:t xml:space="preserve">;</w:t>
      </w:r>
    </w:p>
    <w:p>
      <w:pPr>
        <w:pStyle w:val="Compact"/>
        <w:numPr>
          <w:ilvl w:val="0"/>
          <w:numId w:val="1005"/>
        </w:numPr>
      </w:pPr>
      <w:r>
        <w:t xml:space="preserve">Competitors (notably AgriGenome Solutions, with seven improvement patents expected in force through ~2037, and CropTech Innovations, pursuing base-editing alternatives) will be positioned to offer commercially viable alternative platforms, exerting</w:t>
      </w:r>
      <w:r>
        <w:t xml:space="preserve"> </w:t>
      </w:r>
      <w:r>
        <w:rPr>
          <w:b/>
          <w:bCs/>
        </w:rPr>
        <w:t xml:space="preserve">downward pressure on market royalty rates</w:t>
      </w:r>
      <w:r>
        <w:t xml:space="preserve"> </w:t>
      </w:r>
      <w:r>
        <w:t xml:space="preserve">(Clarendon projects equilibrium rates gravitating toward the lower end of, or below, the current 3.5–5.5% range post-2028).</w:t>
      </w:r>
    </w:p>
    <w:p>
      <w:pPr>
        <w:pStyle w:val="FirstParagraph"/>
      </w:pPr>
      <w:r>
        <w:rPr>
          <w:b/>
          <w:bCs/>
        </w:rPr>
        <w:t xml:space="preserve">Recommendation:</w:t>
      </w:r>
      <w:r>
        <w:t xml:space="preserve"> </w:t>
      </w:r>
      <w:r>
        <w:t xml:space="preserve">Any License A renewal extending beyond March 2028 must incorporate a</w:t>
      </w:r>
      <w:r>
        <w:t xml:space="preserve"> </w:t>
      </w:r>
      <w:r>
        <w:rPr>
          <w:b/>
          <w:bCs/>
        </w:rPr>
        <w:t xml:space="preserve">royalty step-down</w:t>
      </w:r>
      <w:r>
        <w:t xml:space="preserve"> </w:t>
      </w:r>
      <w:r>
        <w:t xml:space="preserve">(or a rate-renegotiation trigger) effective upon expiry of the ’117 patent. Clarendon suggests a post-2028 rate in the</w:t>
      </w:r>
      <w:r>
        <w:t xml:space="preserve"> </w:t>
      </w:r>
      <w:r>
        <w:rPr>
          <w:b/>
          <w:bCs/>
        </w:rPr>
        <w:t xml:space="preserve">2.0–3.5%</w:t>
      </w:r>
      <w:r>
        <w:t xml:space="preserve"> </w:t>
      </w:r>
      <w:r>
        <w:t xml:space="preserve">range reflecting residual improvement-patent and know-how value. A flat 6.25% across the full term would have Greenfield</w:t>
      </w:r>
      <w:r>
        <w:t xml:space="preserve"> </w:t>
      </w:r>
      <w:r>
        <w:rPr>
          <w:b/>
          <w:bCs/>
        </w:rPr>
        <w:t xml:space="preserve">overpaying for the final ~2.25 years</w:t>
      </w:r>
      <w:r>
        <w:t xml:space="preserve"> </w:t>
      </w:r>
      <w:r>
        <w:t xml:space="preserve">relative to the IP value received.</w:t>
      </w:r>
    </w:p>
    <w:bookmarkEnd w:id="33"/>
    <w:bookmarkStart w:id="34" w:name="X19473f21be67a020d8a50cccb27ae053c9f3323"/>
    <w:p>
      <w:pPr>
        <w:pStyle w:val="Heading3"/>
      </w:pPr>
      <w:r>
        <w:t xml:space="preserve">5.8 Patent-Term Discrepancy Requiring Diligence</w:t>
      </w:r>
    </w:p>
    <w:p>
      <w:pPr>
        <w:pStyle w:val="FirstParagraph"/>
      </w:pPr>
      <w:r>
        <w:t xml:space="preserve">There is a</w:t>
      </w:r>
      <w:r>
        <w:t xml:space="preserve"> </w:t>
      </w:r>
      <w:r>
        <w:rPr>
          <w:b/>
          <w:bCs/>
        </w:rPr>
        <w:t xml:space="preserve">material discrepancy</w:t>
      </w:r>
      <w:r>
        <w:t xml:space="preserve"> </w:t>
      </w:r>
      <w:r>
        <w:t xml:space="preserve">in the Licensed Patents schedule across documents: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Patent</w:t>
            </w:r>
          </w:p>
        </w:tc>
        <w:tc>
          <w:tcPr/>
          <w:p>
            <w:pPr>
              <w:pStyle w:val="Compact"/>
              <w:jc w:val="left"/>
            </w:pPr>
            <w:r>
              <w:t xml:space="preserve">Original Exhibit A (2015)</w:t>
            </w:r>
          </w:p>
        </w:tc>
        <w:tc>
          <w:tcPr/>
          <w:p>
            <w:pPr>
              <w:pStyle w:val="Compact"/>
              <w:jc w:val="left"/>
            </w:pPr>
            <w:r>
              <w:t xml:space="preserve">Clarendon (Sept 2020)</w:t>
            </w:r>
          </w:p>
        </w:tc>
        <w:tc>
          <w:tcPr/>
          <w:p>
            <w:pPr>
              <w:pStyle w:val="Compact"/>
              <w:jc w:val="left"/>
            </w:pPr>
            <w:r>
              <w:t xml:space="preserve">Renewal Proposal Appendix A (Oct 2024)</w:t>
            </w:r>
          </w:p>
        </w:tc>
      </w:tr>
      <w:tr>
        <w:tc>
          <w:tcPr/>
          <w:p>
            <w:pPr>
              <w:pStyle w:val="Compact"/>
              <w:jc w:val="left"/>
            </w:pPr>
            <w:r>
              <w:t xml:space="preserve">9,234,117</w:t>
            </w:r>
          </w:p>
        </w:tc>
        <w:tc>
          <w:tcPr/>
          <w:p>
            <w:pPr>
              <w:pStyle w:val="Compact"/>
              <w:jc w:val="left"/>
            </w:pPr>
            <w:r>
              <w:t xml:space="preserve">Mar 12, 2028</w:t>
            </w:r>
          </w:p>
        </w:tc>
        <w:tc>
          <w:tcPr/>
          <w:p>
            <w:pPr>
              <w:pStyle w:val="Compact"/>
              <w:jc w:val="left"/>
            </w:pPr>
            <w:r>
              <w:t xml:space="preserve">Mar 12, 2028</w:t>
            </w:r>
          </w:p>
        </w:tc>
        <w:tc>
          <w:tcPr/>
          <w:p>
            <w:pPr>
              <w:pStyle w:val="Compact"/>
              <w:jc w:val="left"/>
            </w:pPr>
            <w:r>
              <w:t xml:space="preserve">Mar 12, 2028</w:t>
            </w:r>
          </w:p>
        </w:tc>
      </w:tr>
      <w:tr>
        <w:tc>
          <w:tcPr/>
          <w:p>
            <w:pPr>
              <w:pStyle w:val="Compact"/>
              <w:jc w:val="left"/>
            </w:pPr>
            <w:r>
              <w:t xml:space="preserve">9,234,118</w:t>
            </w:r>
          </w:p>
        </w:tc>
        <w:tc>
          <w:tcPr/>
          <w:p>
            <w:pPr>
              <w:pStyle w:val="Compact"/>
              <w:jc w:val="left"/>
            </w:pPr>
            <w:r>
              <w:t xml:space="preserve">Sep 22, 2033</w:t>
            </w:r>
          </w:p>
        </w:tc>
        <w:tc>
          <w:tcPr/>
          <w:p>
            <w:pPr>
              <w:pStyle w:val="Compact"/>
              <w:jc w:val="left"/>
            </w:pPr>
            <w:r>
              <w:t xml:space="preserve">2033 (est.)</w:t>
            </w:r>
          </w:p>
        </w:tc>
        <w:tc>
          <w:tcPr/>
          <w:p>
            <w:pPr>
              <w:pStyle w:val="Compact"/>
              <w:jc w:val="left"/>
            </w:pPr>
            <w:r>
              <w:rPr>
                <w:b/>
                <w:bCs/>
              </w:rPr>
              <w:t xml:space="preserve">Dec 19, 2028</w:t>
            </w:r>
          </w:p>
        </w:tc>
      </w:tr>
      <w:tr>
        <w:tc>
          <w:tcPr/>
          <w:p>
            <w:pPr>
              <w:pStyle w:val="Compact"/>
              <w:jc w:val="left"/>
            </w:pPr>
            <w:r>
              <w:t xml:space="preserve">9,651,002</w:t>
            </w:r>
          </w:p>
        </w:tc>
        <w:tc>
          <w:tcPr/>
          <w:p>
            <w:pPr>
              <w:pStyle w:val="Compact"/>
              <w:jc w:val="left"/>
            </w:pPr>
            <w:r>
              <w:t xml:space="preserve">Mar 8, 2034</w:t>
            </w:r>
          </w:p>
        </w:tc>
        <w:tc>
          <w:tcPr/>
          <w:p>
            <w:pPr>
              <w:pStyle w:val="Compact"/>
              <w:jc w:val="left"/>
            </w:pPr>
            <w:r>
              <w:t xml:space="preserve">2034 (est.)</w:t>
            </w:r>
          </w:p>
        </w:tc>
        <w:tc>
          <w:tcPr/>
          <w:p>
            <w:pPr>
              <w:pStyle w:val="Compact"/>
              <w:jc w:val="left"/>
            </w:pPr>
            <w:r>
              <w:rPr>
                <w:b/>
                <w:bCs/>
              </w:rPr>
              <w:t xml:space="preserve">Mar 8, 2029</w:t>
            </w:r>
          </w:p>
        </w:tc>
      </w:tr>
      <w:tr>
        <w:tc>
          <w:tcPr/>
          <w:p>
            <w:pPr>
              <w:pStyle w:val="Compact"/>
              <w:jc w:val="left"/>
            </w:pPr>
            <w:r>
              <w:t xml:space="preserve">10,112,445</w:t>
            </w:r>
          </w:p>
        </w:tc>
        <w:tc>
          <w:tcPr/>
          <w:p>
            <w:pPr>
              <w:pStyle w:val="Compact"/>
              <w:jc w:val="left"/>
            </w:pPr>
            <w:r>
              <w:t xml:space="preserve">Oct 6, 2035</w:t>
            </w:r>
          </w:p>
        </w:tc>
        <w:tc>
          <w:tcPr/>
          <w:p>
            <w:pPr>
              <w:pStyle w:val="Compact"/>
              <w:jc w:val="left"/>
            </w:pPr>
            <w:r>
              <w:t xml:space="preserve">Oct 6, 2035</w:t>
            </w:r>
          </w:p>
        </w:tc>
        <w:tc>
          <w:tcPr/>
          <w:p>
            <w:pPr>
              <w:pStyle w:val="Compact"/>
              <w:jc w:val="left"/>
            </w:pPr>
            <w:r>
              <w:rPr>
                <w:b/>
                <w:bCs/>
              </w:rPr>
              <w:t xml:space="preserve">Nov 3, 2031</w:t>
            </w:r>
          </w:p>
        </w:tc>
      </w:tr>
    </w:tbl>
    <w:p>
      <w:pPr>
        <w:pStyle w:val="BodyText"/>
      </w:pPr>
      <w:r>
        <w:t xml:space="preserve">The renewal Proposal shows</w:t>
      </w:r>
      <w:r>
        <w:t xml:space="preserve"> </w:t>
      </w:r>
      <w:r>
        <w:rPr>
          <w:b/>
          <w:bCs/>
        </w:rPr>
        <w:t xml:space="preserve">substantially shorter terms</w:t>
      </w:r>
      <w:r>
        <w:t xml:space="preserve"> </w:t>
      </w:r>
      <w:r>
        <w:t xml:space="preserve">for three of the four patents. This is consistent with</w:t>
      </w:r>
      <w:r>
        <w:t xml:space="preserve"> </w:t>
      </w:r>
      <w:r>
        <w:rPr>
          <w:b/>
          <w:bCs/>
        </w:rPr>
        <w:t xml:space="preserve">terminal disclaimers</w:t>
      </w:r>
      <w:r>
        <w:t xml:space="preserve"> </w:t>
      </w:r>
      <w:r>
        <w:t xml:space="preserve">having been filed (e.g., to overcome obviousness-type double-patenting rejections), which would tie those patents’ terms to an earlier-expiring parent. If terminal disclaimers were filed, the portfolio value is</w:t>
      </w:r>
      <w:r>
        <w:t xml:space="preserve"> </w:t>
      </w:r>
      <w:r>
        <w:rPr>
          <w:b/>
          <w:bCs/>
        </w:rPr>
        <w:t xml:space="preserve">even more concentrated</w:t>
      </w:r>
      <w:r>
        <w:t xml:space="preserve"> </w:t>
      </w:r>
      <w:r>
        <w:t xml:space="preserve">in the ’117 patent (expiring March 2028), which</w:t>
      </w:r>
      <w:r>
        <w:t xml:space="preserve"> </w:t>
      </w:r>
      <w:r>
        <w:rPr>
          <w:b/>
          <w:bCs/>
        </w:rPr>
        <w:t xml:space="preserve">strengthens</w:t>
      </w:r>
      <w:r>
        <w:t xml:space="preserve"> </w:t>
      </w:r>
      <w:r>
        <w:t xml:space="preserve">Greenfield’s argument for a post-2028 step-down. Greenfield should</w:t>
      </w:r>
      <w:r>
        <w:t xml:space="preserve"> </w:t>
      </w:r>
      <w:r>
        <w:rPr>
          <w:b/>
          <w:bCs/>
        </w:rPr>
        <w:t xml:space="preserve">reconcile this discrepancy</w:t>
      </w:r>
      <w:r>
        <w:t xml:space="preserve"> </w:t>
      </w:r>
      <w:r>
        <w:t xml:space="preserve">by obtaining current patent-status confirmations (file histories, any terminal disclaimers, family relationships) and updating the Licensed Patents schedule accordingly. This is also relevant to the IFMV question in Section 5.2.</w:t>
      </w:r>
    </w:p>
    <w:bookmarkEnd w:id="34"/>
    <w:bookmarkStart w:id="35" w:name="Xb5b5cee7ca9cc36ee67e3ecf17caebb4a84184e"/>
    <w:p>
      <w:pPr>
        <w:pStyle w:val="Heading3"/>
      </w:pPr>
      <w:r>
        <w:t xml:space="preserve">5.9 Most-Favored-Licensee (</w:t>
      </w:r>
      <w:r>
        <w:t xml:space="preserve">“</w:t>
      </w:r>
      <w:r>
        <w:t xml:space="preserve">MFL</w:t>
      </w:r>
      <w:r>
        <w:t xml:space="preserve">”</w:t>
      </w:r>
      <w:r>
        <w:t xml:space="preserve">) Reference — Verify</w:t>
      </w:r>
    </w:p>
    <w:p>
      <w:pPr>
        <w:pStyle w:val="FirstParagraph"/>
      </w:pPr>
      <w:r>
        <w:t xml:space="preserve">The Proposal (Part I, Item 13) states that NovaTrait</w:t>
      </w:r>
      <w:r>
        <w:t xml:space="preserve"> </w:t>
      </w:r>
      <w:r>
        <w:t xml:space="preserve">“</w:t>
      </w:r>
      <w:r>
        <w:t xml:space="preserve">proposes to maintain existing Section 14.5 (MFL) with no changes.</w:t>
      </w:r>
      <w:r>
        <w:t xml:space="preserve">”</w:t>
      </w:r>
      <w:r>
        <w:t xml:space="preserve"> </w:t>
      </w:r>
      <w:r>
        <w:t xml:space="preserve">However,</w:t>
      </w:r>
      <w:r>
        <w:t xml:space="preserve"> </w:t>
      </w:r>
      <w:r>
        <w:rPr>
          <w:b/>
          <w:bCs/>
        </w:rPr>
        <w:t xml:space="preserve">the License A agreement as executed contains no Section 14.5</w:t>
      </w:r>
      <w:r>
        <w:t xml:space="preserve"> </w:t>
      </w:r>
      <w:r>
        <w:t xml:space="preserve">— Article 14 comprises only Sections 14.1–14.4. Either (a) an amendment adding an MFL clause was executed and is not in the materials reviewed, or (b) NovaTrait’s reference is erroneous. Greenfield should</w:t>
      </w:r>
      <w:r>
        <w:t xml:space="preserve"> </w:t>
      </w:r>
      <w:r>
        <w:rPr>
          <w:b/>
          <w:bCs/>
        </w:rPr>
        <w:t xml:space="preserve">verify whether an MFL clause exists</w:t>
      </w:r>
      <w:r>
        <w:t xml:space="preserve"> </w:t>
      </w:r>
      <w:r>
        <w:t xml:space="preserve">(and, if so, obtain its exact terms, including the carve-outs NovaTrait references for academic/non-profit licenses and litigation settlements). If no MFL exists, NovaTrait’s</w:t>
      </w:r>
      <w:r>
        <w:t xml:space="preserve"> </w:t>
      </w:r>
      <w:r>
        <w:t xml:space="preserve">“</w:t>
      </w:r>
      <w:r>
        <w:t xml:space="preserve">no change</w:t>
      </w:r>
      <w:r>
        <w:t xml:space="preserve">”</w:t>
      </w:r>
      <w:r>
        <w:t xml:space="preserve"> </w:t>
      </w:r>
      <w:r>
        <w:t xml:space="preserve">representation is meaningless; if one does exist, Greenfield should understand and potentially invoke it.</w:t>
      </w:r>
    </w:p>
    <w:p>
      <w:r>
        <w:pict>
          <v:rect style="width:0;height:1.5pt" o:hralign="center" o:hrstd="t" o:hr="t"/>
        </w:pict>
      </w:r>
    </w:p>
    <w:bookmarkEnd w:id="35"/>
    <w:bookmarkEnd w:id="36"/>
    <w:bookmarkStart w:id="43" w:name="X11eccdc1535ee779e57d1681a777b6e83d47def"/>
    <w:p>
      <w:pPr>
        <w:pStyle w:val="Heading2"/>
      </w:pPr>
      <w:r>
        <w:t xml:space="preserve">6. License B — TraitForge Plant Trait Expression Platform</w:t>
      </w:r>
    </w:p>
    <w:bookmarkStart w:id="37" w:name="financial-terms-1"/>
    <w:p>
      <w:pPr>
        <w:pStyle w:val="Heading3"/>
      </w:pPr>
      <w:r>
        <w:t xml:space="preserve">6.1 Financial Terms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Current</w:t>
            </w:r>
          </w:p>
        </w:tc>
        <w:tc>
          <w:tcPr/>
          <w:p>
            <w:pPr>
              <w:pStyle w:val="Compact"/>
              <w:jc w:val="left"/>
            </w:pPr>
            <w:r>
              <w:t xml:space="preserve">Proposed</w:t>
            </w:r>
          </w:p>
        </w:tc>
        <w:tc>
          <w:tcPr/>
          <w:p>
            <w:pPr>
              <w:pStyle w:val="Compact"/>
              <w:jc w:val="left"/>
            </w:pPr>
            <w:r>
              <w:t xml:space="preserve">Direction</w:t>
            </w:r>
          </w:p>
        </w:tc>
      </w:tr>
      <w:tr>
        <w:tc>
          <w:tcPr/>
          <w:p>
            <w:pPr>
              <w:pStyle w:val="Compact"/>
              <w:jc w:val="left"/>
            </w:pPr>
            <w:r>
              <w:t xml:space="preserve">Royalty rate (§4.1)</w:t>
            </w:r>
          </w:p>
        </w:tc>
        <w:tc>
          <w:tcPr/>
          <w:p>
            <w:pPr>
              <w:pStyle w:val="Compact"/>
              <w:jc w:val="left"/>
            </w:pPr>
            <w:r>
              <w:t xml:space="preserve">3.75% of Net Sales</w:t>
            </w:r>
          </w:p>
        </w:tc>
        <w:tc>
          <w:tcPr/>
          <w:p>
            <w:pPr>
              <w:pStyle w:val="Compact"/>
              <w:jc w:val="left"/>
            </w:pPr>
            <w:r>
              <w:t xml:space="preserve">5.0% of</w:t>
            </w:r>
            <w:r>
              <w:t xml:space="preserve"> </w:t>
            </w:r>
            <w:r>
              <w:rPr>
                <w:i/>
                <w:iCs/>
              </w:rPr>
              <w:t xml:space="preserve">redefined</w:t>
            </w:r>
            <w:r>
              <w:t xml:space="preserve"> </w:t>
            </w:r>
            <w:r>
              <w:t xml:space="preserve">Net Sales</w:t>
            </w:r>
          </w:p>
        </w:tc>
        <w:tc>
          <w:tcPr/>
          <w:p>
            <w:pPr>
              <w:pStyle w:val="Compact"/>
              <w:jc w:val="left"/>
            </w:pPr>
            <w:r>
              <w:t xml:space="preserve">+33.3% nominal;</w:t>
            </w:r>
            <w:r>
              <w:t xml:space="preserve"> </w:t>
            </w:r>
            <w:r>
              <w:rPr>
                <w:b/>
                <w:bCs/>
              </w:rPr>
              <w:t xml:space="preserve">+42.4% effective</w:t>
            </w:r>
          </w:p>
        </w:tc>
      </w:tr>
      <w:tr>
        <w:tc>
          <w:tcPr/>
          <w:p>
            <w:pPr>
              <w:pStyle w:val="Compact"/>
              <w:jc w:val="left"/>
            </w:pPr>
            <w:r>
              <w:t xml:space="preserve">Minimum annual royalty (§4.2)</w:t>
            </w:r>
          </w:p>
        </w:tc>
        <w:tc>
          <w:tcPr/>
          <w:p>
            <w:pPr>
              <w:pStyle w:val="Compact"/>
              <w:jc w:val="left"/>
            </w:pPr>
            <w:r>
              <w:t xml:space="preserve">$2.5M</w:t>
            </w:r>
          </w:p>
        </w:tc>
        <w:tc>
          <w:tcPr/>
          <w:p>
            <w:pPr>
              <w:pStyle w:val="Compact"/>
              <w:jc w:val="left"/>
            </w:pPr>
            <w:r>
              <w:t xml:space="preserve">$5.0M (quarterly $1.25M)</w:t>
            </w:r>
          </w:p>
        </w:tc>
        <w:tc>
          <w:tcPr/>
          <w:p>
            <w:pPr>
              <w:pStyle w:val="Compact"/>
              <w:jc w:val="left"/>
            </w:pPr>
            <w:r>
              <w:t xml:space="preserve">+100%</w:t>
            </w:r>
          </w:p>
        </w:tc>
      </w:tr>
      <w:tr>
        <w:tc>
          <w:tcPr/>
          <w:p>
            <w:pPr>
              <w:pStyle w:val="Compact"/>
              <w:jc w:val="left"/>
            </w:pPr>
            <w:r>
              <w:t xml:space="preserve">Net Sales definition (§1.11)</w:t>
            </w:r>
          </w:p>
        </w:tc>
        <w:tc>
          <w:tcPr/>
          <w:p>
            <w:pPr>
              <w:pStyle w:val="Compact"/>
              <w:jc w:val="left"/>
            </w:pPr>
            <w:r>
              <w:t xml:space="preserve">Standard</w:t>
            </w:r>
          </w:p>
        </w:tc>
        <w:tc>
          <w:tcPr/>
          <w:p>
            <w:pPr>
              <w:pStyle w:val="Compact"/>
              <w:jc w:val="left"/>
            </w:pPr>
            <w:r>
              <w:t xml:space="preserve">Redefined (removes freight/insurance/returns)</w:t>
            </w:r>
          </w:p>
        </w:tc>
        <w:tc>
          <w:tcPr/>
          <w:p>
            <w:pPr>
              <w:pStyle w:val="Compact"/>
              <w:jc w:val="left"/>
            </w:pPr>
            <w:r>
              <w:t xml:space="preserve">Narrowed (+6.8% base)</w:t>
            </w:r>
          </w:p>
        </w:tc>
      </w:tr>
      <w:tr>
        <w:tc>
          <w:tcPr/>
          <w:p>
            <w:pPr>
              <w:pStyle w:val="Compact"/>
              <w:jc w:val="left"/>
            </w:pPr>
            <w:r>
              <w:t xml:space="preserve">Field of use (§1.5)</w:t>
            </w:r>
          </w:p>
        </w:tc>
        <w:tc>
          <w:tcPr/>
          <w:p>
            <w:pPr>
              <w:pStyle w:val="Compact"/>
              <w:jc w:val="left"/>
            </w:pPr>
            <w:r>
              <w:t xml:space="preserve">Drought tolerance + nutrient uptake; corn, soybean, cotton</w:t>
            </w:r>
          </w:p>
        </w:tc>
        <w:tc>
          <w:tcPr/>
          <w:p>
            <w:pPr>
              <w:pStyle w:val="Compact"/>
              <w:jc w:val="left"/>
            </w:pPr>
            <w:r>
              <w:t xml:space="preserve">Unchanged</w:t>
            </w:r>
          </w:p>
        </w:tc>
        <w:tc>
          <w:tcPr/>
          <w:p>
            <w:pPr>
              <w:pStyle w:val="Compact"/>
              <w:jc w:val="left"/>
            </w:pPr>
            <w:r>
              <w:t xml:space="preserve">No change</w:t>
            </w:r>
          </w:p>
        </w:tc>
      </w:tr>
      <w:tr>
        <w:tc>
          <w:tcPr/>
          <w:p>
            <w:pPr>
              <w:pStyle w:val="Compact"/>
              <w:jc w:val="left"/>
            </w:pPr>
            <w:r>
              <w:t xml:space="preserve">Territory (§1.19)</w:t>
            </w:r>
          </w:p>
        </w:tc>
        <w:tc>
          <w:tcPr/>
          <w:p>
            <w:pPr>
              <w:pStyle w:val="Compact"/>
              <w:jc w:val="left"/>
            </w:pPr>
            <w:r>
              <w:t xml:space="preserve">Western Hemisphere</w:t>
            </w:r>
          </w:p>
        </w:tc>
        <w:tc>
          <w:tcPr/>
          <w:p>
            <w:pPr>
              <w:pStyle w:val="Compact"/>
              <w:jc w:val="left"/>
            </w:pPr>
            <w:r>
              <w:t xml:space="preserve">Unchanged</w:t>
            </w:r>
          </w:p>
        </w:tc>
        <w:tc>
          <w:tcPr/>
          <w:p>
            <w:pPr>
              <w:pStyle w:val="Compact"/>
              <w:jc w:val="left"/>
            </w:pPr>
            <w:r>
              <w:t xml:space="preserve">No change</w:t>
            </w:r>
          </w:p>
        </w:tc>
      </w:tr>
      <w:tr>
        <w:tc>
          <w:tcPr/>
          <w:p>
            <w:pPr>
              <w:pStyle w:val="Compact"/>
              <w:jc w:val="left"/>
            </w:pPr>
            <w:r>
              <w:t xml:space="preserve">Audit frequency (§5.2)</w:t>
            </w:r>
          </w:p>
        </w:tc>
        <w:tc>
          <w:tcPr/>
          <w:p>
            <w:pPr>
              <w:pStyle w:val="Compact"/>
              <w:jc w:val="left"/>
            </w:pPr>
            <w:r>
              <w:t xml:space="preserve">1x/year, 30 calendar days’ notice</w:t>
            </w:r>
          </w:p>
        </w:tc>
        <w:tc>
          <w:tcPr/>
          <w:p>
            <w:pPr>
              <w:pStyle w:val="Compact"/>
              <w:jc w:val="left"/>
            </w:pPr>
            <w:r>
              <w:rPr>
                <w:b/>
                <w:bCs/>
              </w:rPr>
              <w:t xml:space="preserve">2x/year, 15 business days’ notice, 5-yr look-back</w:t>
            </w:r>
          </w:p>
        </w:tc>
        <w:tc>
          <w:tcPr/>
          <w:p>
            <w:pPr>
              <w:pStyle w:val="Compact"/>
              <w:jc w:val="left"/>
            </w:pPr>
            <w:r>
              <w:t xml:space="preserve">Expanded</w:t>
            </w:r>
          </w:p>
        </w:tc>
      </w:tr>
      <w:tr>
        <w:tc>
          <w:tcPr/>
          <w:p>
            <w:pPr>
              <w:pStyle w:val="Compact"/>
              <w:jc w:val="left"/>
            </w:pPr>
            <w:r>
              <w:t xml:space="preserve">Biological-materials return (§7.4)</w:t>
            </w:r>
          </w:p>
        </w:tc>
        <w:tc>
          <w:tcPr/>
          <w:p>
            <w:pPr>
              <w:pStyle w:val="Compact"/>
              <w:jc w:val="left"/>
            </w:pPr>
            <w:r>
              <w:t xml:space="preserve">90-day wind-down</w:t>
            </w:r>
          </w:p>
        </w:tc>
        <w:tc>
          <w:tcPr/>
          <w:p>
            <w:pPr>
              <w:pStyle w:val="Compact"/>
              <w:jc w:val="left"/>
            </w:pPr>
            <w:r>
              <w:rPr>
                <w:b/>
                <w:bCs/>
              </w:rPr>
              <w:t xml:space="preserve">30-day return/destroy, no wind-down</w:t>
            </w:r>
          </w:p>
        </w:tc>
        <w:tc>
          <w:tcPr/>
          <w:p>
            <w:pPr>
              <w:pStyle w:val="Compact"/>
              <w:jc w:val="left"/>
            </w:pPr>
            <w:r>
              <w:t xml:space="preserve">Shortened</w:t>
            </w:r>
          </w:p>
        </w:tc>
      </w:tr>
      <w:tr>
        <w:tc>
          <w:tcPr/>
          <w:p>
            <w:pPr>
              <w:pStyle w:val="Compact"/>
              <w:jc w:val="left"/>
            </w:pPr>
            <w:r>
              <w:t xml:space="preserve">Improvements (Art. VI)</w:t>
            </w:r>
          </w:p>
        </w:tc>
        <w:tc>
          <w:tcPr/>
          <w:p>
            <w:pPr>
              <w:pStyle w:val="Compact"/>
              <w:jc w:val="left"/>
            </w:pPr>
            <w:r>
              <w:t xml:space="preserve">Split ownership (NovaTrait / Greenfield / Joint)</w:t>
            </w:r>
          </w:p>
        </w:tc>
        <w:tc>
          <w:tcPr/>
          <w:p>
            <w:pPr>
              <w:pStyle w:val="Compact"/>
              <w:jc w:val="left"/>
            </w:pPr>
            <w:r>
              <w:rPr>
                <w:b/>
                <w:bCs/>
              </w:rPr>
              <w:t xml:space="preserve">Joint ownership; royalty-free license to NovaTrait</w:t>
            </w:r>
          </w:p>
        </w:tc>
        <w:tc>
          <w:tcPr/>
          <w:p>
            <w:pPr>
              <w:pStyle w:val="Compact"/>
              <w:jc w:val="left"/>
            </w:pPr>
            <w:r>
              <w:t xml:space="preserve">Modified</w:t>
            </w:r>
          </w:p>
        </w:tc>
      </w:tr>
      <w:tr>
        <w:tc>
          <w:tcPr/>
          <w:p>
            <w:pPr>
              <w:pStyle w:val="Compact"/>
              <w:jc w:val="left"/>
            </w:pPr>
            <w:r>
              <w:t xml:space="preserve">Standstill (§12.6)</w:t>
            </w:r>
          </w:p>
        </w:tc>
        <w:tc>
          <w:tcPr/>
          <w:p>
            <w:pPr>
              <w:pStyle w:val="Compact"/>
              <w:jc w:val="left"/>
            </w:pPr>
            <w:r>
              <w:t xml:space="preserve">180 days</w:t>
            </w:r>
          </w:p>
        </w:tc>
        <w:tc>
          <w:tcPr/>
          <w:p>
            <w:pPr>
              <w:pStyle w:val="Compact"/>
              <w:jc w:val="left"/>
            </w:pPr>
            <w:r>
              <w:t xml:space="preserve">180 days (retained)</w:t>
            </w:r>
          </w:p>
        </w:tc>
        <w:tc>
          <w:tcPr/>
          <w:p>
            <w:pPr>
              <w:pStyle w:val="Compact"/>
              <w:jc w:val="left"/>
            </w:pPr>
            <w:r>
              <w:t xml:space="preserve">Unchanged</w:t>
            </w:r>
          </w:p>
        </w:tc>
      </w:tr>
      <w:tr>
        <w:tc>
          <w:tcPr/>
          <w:p>
            <w:pPr>
              <w:pStyle w:val="Compact"/>
              <w:jc w:val="left"/>
            </w:pPr>
            <w:r>
              <w:t xml:space="preserve">Term</w:t>
            </w:r>
          </w:p>
        </w:tc>
        <w:tc>
          <w:tcPr/>
          <w:p>
            <w:pPr>
              <w:pStyle w:val="Compact"/>
              <w:jc w:val="left"/>
            </w:pPr>
            <w:r>
              <w:t xml:space="preserve">7 years (ended 12/31/2024)</w:t>
            </w:r>
          </w:p>
        </w:tc>
        <w:tc>
          <w:tcPr/>
          <w:p>
            <w:pPr>
              <w:pStyle w:val="Compact"/>
              <w:jc w:val="left"/>
            </w:pPr>
            <w:r>
              <w:t xml:space="preserve">5 years (1/1/2025 – 12/31/2029)</w:t>
            </w:r>
          </w:p>
        </w:tc>
        <w:tc>
          <w:tcPr/>
          <w:p>
            <w:pPr>
              <w:pStyle w:val="Compact"/>
              <w:jc w:val="left"/>
            </w:pPr>
            <w:r>
              <w:t xml:space="preserve">Renewal</w:t>
            </w:r>
          </w:p>
        </w:tc>
      </w:tr>
    </w:tbl>
    <w:bookmarkEnd w:id="37"/>
    <w:bookmarkStart w:id="38" w:name="X0fe836eb9e8db8b6247246b5534d1d7868690a6"/>
    <w:p>
      <w:pPr>
        <w:pStyle w:val="Heading3"/>
      </w:pPr>
      <w:r>
        <w:t xml:space="preserve">6.2 Royalty Rate — Above Market, but Leverage Is Limited</w:t>
      </w:r>
    </w:p>
    <w:p>
      <w:pPr>
        <w:pStyle w:val="FirstParagraph"/>
      </w:pPr>
      <w:r>
        <w:t xml:space="preserve">The proposed 5.0%</w:t>
      </w:r>
      <w:r>
        <w:t xml:space="preserve"> </w:t>
      </w:r>
      <w:r>
        <w:rPr>
          <w:b/>
          <w:bCs/>
        </w:rPr>
        <w:t xml:space="preserve">exceeds the upper end of the market range for trait-expression platform licenses (3.0–4.5%)</w:t>
      </w:r>
      <w:r>
        <w:t xml:space="preserve"> </w:t>
      </w:r>
      <w:r>
        <w:t xml:space="preserve">in every growth scenario modeled by Ridgemont. We recommend countering at</w:t>
      </w:r>
      <w:r>
        <w:t xml:space="preserve"> </w:t>
      </w:r>
      <w:r>
        <w:rPr>
          <w:b/>
          <w:bCs/>
        </w:rPr>
        <w:t xml:space="preserve">4.25% on the original Net Sales definition</w:t>
      </w:r>
      <w:r>
        <w:t xml:space="preserve"> </w:t>
      </w:r>
      <w:r>
        <w:t xml:space="preserve">(within market), supported by the comparables. However, Greenfield’s leverage is constrained: the Clarendon analysis rates the TraitForge portfolio</w:t>
      </w:r>
      <w:r>
        <w:t xml:space="preserve"> </w:t>
      </w:r>
      <w:r>
        <w:rPr>
          <w:b/>
          <w:bCs/>
        </w:rPr>
        <w:t xml:space="preserve">VERY STRONG</w:t>
      </w:r>
      <w:r>
        <w:t xml:space="preserve">, identifies</w:t>
      </w:r>
      <w:r>
        <w:t xml:space="preserve"> </w:t>
      </w:r>
      <w:r>
        <w:rPr>
          <w:b/>
          <w:bCs/>
        </w:rPr>
        <w:t xml:space="preserve">no commercial alternatives</w:t>
      </w:r>
      <w:r>
        <w:t xml:space="preserve">, and estimates</w:t>
      </w:r>
      <w:r>
        <w:t xml:space="preserve"> </w:t>
      </w:r>
      <w:r>
        <w:rPr>
          <w:b/>
          <w:bCs/>
        </w:rPr>
        <w:t xml:space="preserve">3–4 years and $25–30M</w:t>
      </w:r>
      <w:r>
        <w:t xml:space="preserve"> </w:t>
      </w:r>
      <w:r>
        <w:t xml:space="preserve">to build a comparable platform internally (with no guarantee of success). The biological materials (proprietary expression vectors) are not available from any other source. Accordingly, the realistic objective is to</w:t>
      </w:r>
      <w:r>
        <w:t xml:space="preserve"> </w:t>
      </w:r>
      <w:r>
        <w:rPr>
          <w:b/>
          <w:bCs/>
        </w:rPr>
        <w:t xml:space="preserve">negotiate the rate down toward the market range</w:t>
      </w:r>
      <w:r>
        <w:t xml:space="preserve"> </w:t>
      </w:r>
      <w:r>
        <w:t xml:space="preserve">rather than to credibly threaten switching. Securing the</w:t>
      </w:r>
      <w:r>
        <w:t xml:space="preserve"> </w:t>
      </w:r>
      <w:r>
        <w:rPr>
          <w:b/>
          <w:bCs/>
        </w:rPr>
        <w:t xml:space="preserve">longest practical renewal term</w:t>
      </w:r>
      <w:r>
        <w:t xml:space="preserve"> </w:t>
      </w:r>
      <w:r>
        <w:t xml:space="preserve">at a locked-in rate is advisable to forestall further increases, given NovaTrait’s very high leverage on this asset.</w:t>
      </w:r>
    </w:p>
    <w:bookmarkEnd w:id="38"/>
    <w:bookmarkStart w:id="39" w:name="Xd3563fc37091d48e0feb48148942c1d123353d2"/>
    <w:p>
      <w:pPr>
        <w:pStyle w:val="Heading3"/>
      </w:pPr>
      <w:r>
        <w:t xml:space="preserve">6.3 Biological-Materials Return and Wind-Down — Operational Continuity</w:t>
      </w:r>
    </w:p>
    <w:p>
      <w:pPr>
        <w:pStyle w:val="FirstParagraph"/>
      </w:pPr>
      <w:r>
        <w:t xml:space="preserve">The Proposal would replace the current</w:t>
      </w:r>
      <w:r>
        <w:t xml:space="preserve"> </w:t>
      </w:r>
      <w:r>
        <w:rPr>
          <w:b/>
          <w:bCs/>
        </w:rPr>
        <w:t xml:space="preserve">90-day wind-down period</w:t>
      </w:r>
      <w:r>
        <w:t xml:space="preserve"> </w:t>
      </w:r>
      <w:r>
        <w:t xml:space="preserve">(during which Greenfield may continue using materials in already-initiated breeding programs and field trials, subject to ongoing royalties) with a</w:t>
      </w:r>
      <w:r>
        <w:t xml:space="preserve"> </w:t>
      </w:r>
      <w:r>
        <w:rPr>
          <w:b/>
          <w:bCs/>
        </w:rPr>
        <w:t xml:space="preserve">30-day return/destroy obligation and no wind-down</w:t>
      </w:r>
      <w:r>
        <w:t xml:space="preserve">. This is operationally inadequate: ongoing breeding programs, field trials, and regulatory submissions cannot be wound down in 30 days, and destruction of materials would destroy years of investment.</w:t>
      </w:r>
      <w:r>
        <w:t xml:space="preserve"> </w:t>
      </w:r>
      <w:r>
        <w:rPr>
          <w:b/>
          <w:bCs/>
        </w:rPr>
        <w:t xml:space="preserve">We recommend countering for a 180-day wind-down</w:t>
      </w:r>
      <w:r>
        <w:t xml:space="preserve"> </w:t>
      </w:r>
      <w:r>
        <w:t xml:space="preserve">with the right to continue using remaining materials in ongoing trials, consistent with the current structure and with market comparable 5 (180-day wind-down for biological materials).</w:t>
      </w:r>
    </w:p>
    <w:bookmarkEnd w:id="39"/>
    <w:bookmarkStart w:id="40" w:name="audit-rights-resist-the-expansion"/>
    <w:p>
      <w:pPr>
        <w:pStyle w:val="Heading3"/>
      </w:pPr>
      <w:r>
        <w:t xml:space="preserve">6.4 Audit Rights — Resist the Expansion</w:t>
      </w:r>
    </w:p>
    <w:p>
      <w:pPr>
        <w:pStyle w:val="FirstParagraph"/>
      </w:pPr>
      <w:r>
        <w:t xml:space="preserve">The Proposal doubles audit frequency (to 2x/year), shortens notice to 15 business days, and extends the look-back to five years. This materially increases compliance burden and audit risk.</w:t>
      </w:r>
      <w:r>
        <w:t xml:space="preserve"> </w:t>
      </w:r>
      <w:r>
        <w:rPr>
          <w:b/>
          <w:bCs/>
        </w:rPr>
        <w:t xml:space="preserve">We recommend retaining the current 1x/year frequency</w:t>
      </w:r>
      <w:r>
        <w:t xml:space="preserve">, accepting at most a reduction in notice to 20 business days. The five-year look-back should be resisted as disproportionate.</w:t>
      </w:r>
    </w:p>
    <w:bookmarkEnd w:id="40"/>
    <w:bookmarkStart w:id="41" w:name="Xea41ec83376cacf3caf28df225868e164704b64"/>
    <w:p>
      <w:pPr>
        <w:pStyle w:val="Heading3"/>
      </w:pPr>
      <w:r>
        <w:t xml:space="preserve">6.5 Prairielands Pass-Through — A New Obligation Where None Exists</w:t>
      </w:r>
    </w:p>
    <w:p>
      <w:pPr>
        <w:pStyle w:val="FirstParagraph"/>
      </w:pPr>
      <w:r>
        <w:t xml:space="preserve">This is one of the most significant economic changes in the Package.</w:t>
      </w:r>
      <w:r>
        <w:t xml:space="preserve"> </w:t>
      </w:r>
      <w:r>
        <w:rPr>
          <w:b/>
          <w:bCs/>
        </w:rPr>
        <w:t xml:space="preserve">No pass-through obligation exists today</w:t>
      </w:r>
      <w:r>
        <w:t xml:space="preserve"> </w:t>
      </w:r>
      <w:r>
        <w:t xml:space="preserve">under License B — the NovaTrait consent letter (April 15, 2021) expressly states that</w:t>
      </w:r>
      <w:r>
        <w:t xml:space="preserve"> </w:t>
      </w:r>
      <w:r>
        <w:t xml:space="preserve">“</w:t>
      </w:r>
      <w:r>
        <w:t xml:space="preserve">the Master License does not currently require the remittance by Greenfield to NovaTrait of any portion of royalties received by Greenfield from sublicensees.</w:t>
      </w:r>
      <w:r>
        <w:t xml:space="preserve">”</w:t>
      </w:r>
      <w:r>
        <w:t xml:space="preserve"> </w:t>
      </w:r>
      <w:r>
        <w:t xml:space="preserve">NovaTrait now seeks to introduce a</w:t>
      </w:r>
      <w:r>
        <w:t xml:space="preserve"> </w:t>
      </w:r>
      <w:r>
        <w:rPr>
          <w:b/>
          <w:bCs/>
        </w:rPr>
        <w:t xml:space="preserve">40% pass-through</w:t>
      </w:r>
      <w:r>
        <w:t xml:space="preserve"> </w:t>
      </w:r>
      <w:r>
        <w:t xml:space="preserve">on Prairielands sublicense revenue. At an estimated $12M base growing at 4%, this is approximately</w:t>
      </w:r>
      <w:r>
        <w:t xml:space="preserve"> </w:t>
      </w:r>
      <w:r>
        <w:rPr>
          <w:b/>
          <w:bCs/>
        </w:rPr>
        <w:t xml:space="preserve">$5.0M in Year 1, rising to ~$5.8M by Year 5</w:t>
      </w:r>
      <w:r>
        <w:t xml:space="preserve"> </w:t>
      </w:r>
      <w:r>
        <w:t xml:space="preserve">— a cumulative ~$28M over the renewal term, on top of the direct License B increase.</w:t>
      </w:r>
    </w:p>
    <w:p>
      <w:pPr>
        <w:pStyle w:val="BodyText"/>
      </w:pPr>
      <w:r>
        <w:rPr>
          <w:b/>
          <w:bCs/>
        </w:rPr>
        <w:t xml:space="preserve">We recommend countering at 20% with a 12-month phase-in</w:t>
      </w:r>
      <w:r>
        <w:t xml:space="preserve">, and structuring any pass-through to apply</w:t>
      </w:r>
      <w:r>
        <w:t xml:space="preserve"> </w:t>
      </w:r>
      <w:r>
        <w:rPr>
          <w:b/>
          <w:bCs/>
        </w:rPr>
        <w:t xml:space="preserve">prospectively only</w:t>
      </w:r>
      <w:r>
        <w:t xml:space="preserve"> </w:t>
      </w:r>
      <w:r>
        <w:t xml:space="preserve">(not to royalties already received). Greenfield should also note that the Prairielands sublicense itself</w:t>
      </w:r>
      <w:r>
        <w:t xml:space="preserve"> </w:t>
      </w:r>
      <w:r>
        <w:rPr>
          <w:b/>
          <w:bCs/>
        </w:rPr>
        <w:t xml:space="preserve">expired on December 31, 2024</w:t>
      </w:r>
      <w:r>
        <w:t xml:space="preserve"> </w:t>
      </w:r>
      <w:r>
        <w:t xml:space="preserve">(co-terminus with License B) and must be renewed/amended in parallel, which requires NovaTrait’s consent under Section 12.4 of License B — giving Greenfield a reciprocal consent lever in the negotiation.</w:t>
      </w:r>
    </w:p>
    <w:bookmarkEnd w:id="41"/>
    <w:bookmarkStart w:id="42" w:name="Xbc5beb6bb60fed636737d7143baa5b250fa1f26"/>
    <w:p>
      <w:pPr>
        <w:pStyle w:val="Heading3"/>
      </w:pPr>
      <w:r>
        <w:t xml:space="preserve">6.6 Improvements — Resist Joint Ownership / Royalty-Free Grant-Back</w:t>
      </w:r>
    </w:p>
    <w:p>
      <w:pPr>
        <w:pStyle w:val="FirstParagraph"/>
      </w:pPr>
      <w:r>
        <w:t xml:space="preserve">As with License A (Section 5.5), the Proposal would convert the current split-ownership structure to joint ownership with a royalty-free, perpetual, sublicensable license to NovaTrait. We recommend retaining the current structure (Greenfield owns Greenfield Improvements; NovaTrait owns NovaTrait Improvements; Joint Improvements jointly owned), with the license-back to NovaTrait on Greenfield Improvements at a defined (not open-ended) royalty.</w:t>
      </w:r>
    </w:p>
    <w:p>
      <w:r>
        <w:pict>
          <v:rect style="width:0;height:1.5pt" o:hralign="center" o:hrstd="t" o:hr="t"/>
        </w:pict>
      </w:r>
    </w:p>
    <w:bookmarkEnd w:id="42"/>
    <w:bookmarkEnd w:id="43"/>
    <w:bookmarkStart w:id="49" w:name="license-c-genomap-pro-software-license"/>
    <w:p>
      <w:pPr>
        <w:pStyle w:val="Heading2"/>
      </w:pPr>
      <w:r>
        <w:t xml:space="preserve">7. License C — GenoMap Pro Software License</w:t>
      </w:r>
    </w:p>
    <w:bookmarkStart w:id="44" w:name="financial-terms-2"/>
    <w:p>
      <w:pPr>
        <w:pStyle w:val="Heading3"/>
      </w:pPr>
      <w:r>
        <w:t xml:space="preserve">7.1 Financial Terms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Current</w:t>
            </w:r>
          </w:p>
        </w:tc>
        <w:tc>
          <w:tcPr/>
          <w:p>
            <w:pPr>
              <w:pStyle w:val="Compact"/>
              <w:jc w:val="left"/>
            </w:pPr>
            <w:r>
              <w:t xml:space="preserve">Proposed</w:t>
            </w:r>
          </w:p>
        </w:tc>
        <w:tc>
          <w:tcPr/>
          <w:p>
            <w:pPr>
              <w:pStyle w:val="Compact"/>
              <w:jc w:val="left"/>
            </w:pPr>
            <w:r>
              <w:t xml:space="preserve">Direction</w:t>
            </w:r>
          </w:p>
        </w:tc>
      </w:tr>
      <w:tr>
        <w:tc>
          <w:tcPr/>
          <w:p>
            <w:pPr>
              <w:pStyle w:val="Compact"/>
              <w:jc w:val="left"/>
            </w:pPr>
            <w:r>
              <w:t xml:space="preserve">Annual license fee (§4.1)</w:t>
            </w:r>
          </w:p>
        </w:tc>
        <w:tc>
          <w:tcPr/>
          <w:p>
            <w:pPr>
              <w:pStyle w:val="Compact"/>
              <w:jc w:val="left"/>
            </w:pPr>
            <w:r>
              <w:t xml:space="preserve">$3.14M flat (unlimited users)</w:t>
            </w:r>
          </w:p>
        </w:tc>
        <w:tc>
          <w:tcPr/>
          <w:p>
            <w:pPr>
              <w:pStyle w:val="Compact"/>
              <w:jc w:val="left"/>
            </w:pPr>
            <w:r>
              <w:t xml:space="preserve">$4.85M base + per-user overage</w:t>
            </w:r>
          </w:p>
        </w:tc>
        <w:tc>
          <w:tcPr/>
          <w:p>
            <w:pPr>
              <w:pStyle w:val="Compact"/>
              <w:jc w:val="left"/>
            </w:pPr>
            <w:r>
              <w:t xml:space="preserve">+68% effective</w:t>
            </w:r>
          </w:p>
        </w:tc>
      </w:tr>
      <w:tr>
        <w:tc>
          <w:tcPr/>
          <w:p>
            <w:pPr>
              <w:pStyle w:val="Compact"/>
              <w:jc w:val="left"/>
            </w:pPr>
            <w:r>
              <w:t xml:space="preserve">Named-user cap</w:t>
            </w:r>
          </w:p>
        </w:tc>
        <w:tc>
          <w:tcPr/>
          <w:p>
            <w:pPr>
              <w:pStyle w:val="Compact"/>
              <w:jc w:val="left"/>
            </w:pPr>
            <w:r>
              <w:t xml:space="preserve">Unlimited</w:t>
            </w:r>
          </w:p>
        </w:tc>
        <w:tc>
          <w:tcPr/>
          <w:p>
            <w:pPr>
              <w:pStyle w:val="Compact"/>
              <w:jc w:val="left"/>
            </w:pPr>
            <w:r>
              <w:rPr>
                <w:b/>
                <w:bCs/>
              </w:rPr>
              <w:t xml:space="preserve">50 users</w:t>
            </w:r>
            <w:r>
              <w:t xml:space="preserve"> </w:t>
            </w:r>
            <w:r>
              <w:t xml:space="preserve">(73 current → 23 excess)</w:t>
            </w:r>
          </w:p>
        </w:tc>
        <w:tc>
          <w:tcPr/>
          <w:p>
            <w:pPr>
              <w:pStyle w:val="Compact"/>
              <w:jc w:val="left"/>
            </w:pPr>
            <w:r>
              <w:t xml:space="preserve">New restriction</w:t>
            </w:r>
          </w:p>
        </w:tc>
      </w:tr>
      <w:tr>
        <w:tc>
          <w:tcPr/>
          <w:p>
            <w:pPr>
              <w:pStyle w:val="Compact"/>
              <w:jc w:val="left"/>
            </w:pPr>
            <w:r>
              <w:t xml:space="preserve">Per-user overage</w:t>
            </w:r>
          </w:p>
        </w:tc>
        <w:tc>
          <w:tcPr/>
          <w:p>
            <w:pPr>
              <w:pStyle w:val="Compact"/>
              <w:jc w:val="left"/>
            </w:pPr>
            <w:r>
              <w:t xml:space="preserve">N/A</w:t>
            </w:r>
          </w:p>
        </w:tc>
        <w:tc>
          <w:tcPr/>
          <w:p>
            <w:pPr>
              <w:pStyle w:val="Compact"/>
              <w:jc w:val="left"/>
            </w:pPr>
            <w:r>
              <w:t xml:space="preserve">$18,500/user/year ($425,500/yr)</w:t>
            </w:r>
          </w:p>
        </w:tc>
        <w:tc>
          <w:tcPr/>
          <w:p>
            <w:pPr>
              <w:pStyle w:val="Compact"/>
              <w:jc w:val="left"/>
            </w:pPr>
            <w:r>
              <w:t xml:space="preserve">New</w:t>
            </w:r>
          </w:p>
        </w:tc>
      </w:tr>
      <w:tr>
        <w:tc>
          <w:tcPr/>
          <w:p>
            <w:pPr>
              <w:pStyle w:val="Compact"/>
              <w:jc w:val="left"/>
            </w:pPr>
            <w:r>
              <w:t xml:space="preserve">One-time costs</w:t>
            </w:r>
          </w:p>
        </w:tc>
        <w:tc>
          <w:tcPr/>
          <w:p>
            <w:pPr>
              <w:pStyle w:val="Compact"/>
              <w:jc w:val="left"/>
            </w:pPr>
            <w:r>
              <w:t xml:space="preserve">N/A</w:t>
            </w:r>
          </w:p>
        </w:tc>
        <w:tc>
          <w:tcPr/>
          <w:p>
            <w:pPr>
              <w:pStyle w:val="Compact"/>
              <w:jc w:val="left"/>
            </w:pPr>
            <w:r>
              <w:t xml:space="preserve">$175K conversion tool + ~$95K integration</w:t>
            </w:r>
          </w:p>
        </w:tc>
        <w:tc>
          <w:tcPr/>
          <w:p>
            <w:pPr>
              <w:pStyle w:val="Compact"/>
              <w:jc w:val="left"/>
            </w:pPr>
            <w:r>
              <w:t xml:space="preserve">New</w:t>
            </w:r>
          </w:p>
        </w:tc>
      </w:tr>
      <w:tr>
        <w:tc>
          <w:tcPr/>
          <w:p>
            <w:pPr>
              <w:pStyle w:val="Compact"/>
              <w:jc w:val="left"/>
            </w:pPr>
            <w:r>
              <w:t xml:space="preserve">3-year total cost of ownership</w:t>
            </w:r>
          </w:p>
        </w:tc>
        <w:tc>
          <w:tcPr/>
          <w:p>
            <w:pPr>
              <w:pStyle w:val="Compact"/>
              <w:jc w:val="left"/>
            </w:pPr>
            <w:r>
              <w:t xml:space="preserve">$9.42M</w:t>
            </w:r>
          </w:p>
        </w:tc>
        <w:tc>
          <w:tcPr/>
          <w:p>
            <w:pPr>
              <w:pStyle w:val="Compact"/>
              <w:jc w:val="left"/>
            </w:pPr>
            <w:r>
              <w:t xml:space="preserve">$16.10M</w:t>
            </w:r>
          </w:p>
        </w:tc>
        <w:tc>
          <w:tcPr/>
          <w:p>
            <w:pPr>
              <w:pStyle w:val="Compact"/>
              <w:jc w:val="left"/>
            </w:pPr>
            <w:r>
              <w:t xml:space="preserve">+70.9%</w:t>
            </w:r>
          </w:p>
        </w:tc>
      </w:tr>
      <w:tr>
        <w:tc>
          <w:tcPr/>
          <w:p>
            <w:pPr>
              <w:pStyle w:val="Compact"/>
              <w:jc w:val="left"/>
            </w:pPr>
            <w:r>
              <w:t xml:space="preserve">Software version</w:t>
            </w:r>
          </w:p>
        </w:tc>
        <w:tc>
          <w:tcPr/>
          <w:p>
            <w:pPr>
              <w:pStyle w:val="Compact"/>
              <w:jc w:val="left"/>
            </w:pPr>
            <w:r>
              <w:t xml:space="preserve">4.x</w:t>
            </w:r>
          </w:p>
        </w:tc>
        <w:tc>
          <w:tcPr/>
          <w:p>
            <w:pPr>
              <w:pStyle w:val="Compact"/>
              <w:jc w:val="left"/>
            </w:pPr>
            <w:r>
              <w:t xml:space="preserve">5.x (ML trait prediction; ~22% accuracy gain)</w:t>
            </w:r>
          </w:p>
        </w:tc>
        <w:tc>
          <w:tcPr/>
          <w:p>
            <w:pPr>
              <w:pStyle w:val="Compact"/>
              <w:jc w:val="left"/>
            </w:pPr>
            <w:r>
              <w:t xml:space="preserve">Upgraded</w:t>
            </w:r>
          </w:p>
        </w:tc>
      </w:tr>
      <w:tr>
        <w:tc>
          <w:tcPr/>
          <w:p>
            <w:pPr>
              <w:pStyle w:val="Compact"/>
              <w:jc w:val="left"/>
            </w:pPr>
            <w:r>
              <w:t xml:space="preserve">Source-code access (§5.2)</w:t>
            </w:r>
          </w:p>
        </w:tc>
        <w:tc>
          <w:tcPr/>
          <w:p>
            <w:pPr>
              <w:pStyle w:val="Compact"/>
              <w:jc w:val="left"/>
            </w:pPr>
            <w:r>
              <w:t xml:space="preserve">Full access for internal modification</w:t>
            </w:r>
          </w:p>
        </w:tc>
        <w:tc>
          <w:tcPr/>
          <w:p>
            <w:pPr>
              <w:pStyle w:val="Compact"/>
              <w:jc w:val="left"/>
            </w:pPr>
            <w:r>
              <w:rPr>
                <w:b/>
                <w:bCs/>
              </w:rPr>
              <w:t xml:space="preserve">Eliminated (object code only)</w:t>
            </w:r>
            <w:r>
              <w:t xml:space="preserve">; escrow retained</w:t>
            </w:r>
          </w:p>
        </w:tc>
        <w:tc>
          <w:tcPr/>
          <w:p>
            <w:pPr>
              <w:pStyle w:val="Compact"/>
              <w:jc w:val="left"/>
            </w:pPr>
            <w:r>
              <w:rPr>
                <w:b/>
                <w:bCs/>
              </w:rPr>
              <w:t xml:space="preserve">Material adverse</w:t>
            </w:r>
          </w:p>
        </w:tc>
      </w:tr>
      <w:tr>
        <w:tc>
          <w:tcPr/>
          <w:p>
            <w:pPr>
              <w:pStyle w:val="Compact"/>
              <w:jc w:val="left"/>
            </w:pPr>
            <w:r>
              <w:t xml:space="preserve">Input-data ownership (§9.2)</w:t>
            </w:r>
          </w:p>
        </w:tc>
        <w:tc>
          <w:tcPr/>
          <w:p>
            <w:pPr>
              <w:pStyle w:val="Compact"/>
              <w:jc w:val="left"/>
            </w:pPr>
            <w:r>
              <w:t xml:space="preserve">Greenfield</w:t>
            </w:r>
          </w:p>
        </w:tc>
        <w:tc>
          <w:tcPr/>
          <w:p>
            <w:pPr>
              <w:pStyle w:val="Compact"/>
              <w:jc w:val="left"/>
            </w:pPr>
            <w:r>
              <w:t xml:space="preserve">Greenfield</w:t>
            </w:r>
          </w:p>
        </w:tc>
        <w:tc>
          <w:tcPr/>
          <w:p>
            <w:pPr>
              <w:pStyle w:val="Compact"/>
              <w:jc w:val="left"/>
            </w:pPr>
            <w:r>
              <w:t xml:space="preserve">Unchanged</w:t>
            </w:r>
          </w:p>
        </w:tc>
      </w:tr>
      <w:tr>
        <w:tc>
          <w:tcPr/>
          <w:p>
            <w:pPr>
              <w:pStyle w:val="Compact"/>
              <w:jc w:val="left"/>
            </w:pPr>
            <w:r>
              <w:t xml:space="preserve">Derivative/output-data ownership</w:t>
            </w:r>
          </w:p>
        </w:tc>
        <w:tc>
          <w:tcPr/>
          <w:p>
            <w:pPr>
              <w:pStyle w:val="Compact"/>
              <w:jc w:val="left"/>
            </w:pPr>
            <w:r>
              <w:t xml:space="preserve">Silent</w:t>
            </w:r>
          </w:p>
        </w:tc>
        <w:tc>
          <w:tcPr/>
          <w:p>
            <w:pPr>
              <w:pStyle w:val="Compact"/>
              <w:jc w:val="left"/>
            </w:pPr>
            <w:r>
              <w:rPr>
                <w:b/>
                <w:bCs/>
              </w:rPr>
              <w:t xml:space="preserve">NovaTrait owns; Greenfield non-exclusive license</w:t>
            </w:r>
          </w:p>
        </w:tc>
        <w:tc>
          <w:tcPr/>
          <w:p>
            <w:pPr>
              <w:pStyle w:val="Compact"/>
              <w:jc w:val="left"/>
            </w:pPr>
            <w:r>
              <w:rPr>
                <w:b/>
                <w:bCs/>
              </w:rPr>
              <w:t xml:space="preserve">Material adverse</w:t>
            </w:r>
          </w:p>
        </w:tc>
      </w:tr>
      <w:tr>
        <w:tc>
          <w:tcPr/>
          <w:p>
            <w:pPr>
              <w:pStyle w:val="Compact"/>
              <w:jc w:val="left"/>
            </w:pPr>
            <w:r>
              <w:t xml:space="preserve">Term</w:t>
            </w:r>
          </w:p>
        </w:tc>
        <w:tc>
          <w:tcPr/>
          <w:p>
            <w:pPr>
              <w:pStyle w:val="Compact"/>
              <w:jc w:val="left"/>
            </w:pPr>
            <w:r>
              <w:t xml:space="preserve">5 years (ends 2/28/2025)</w:t>
            </w:r>
          </w:p>
        </w:tc>
        <w:tc>
          <w:tcPr/>
          <w:p>
            <w:pPr>
              <w:pStyle w:val="Compact"/>
              <w:jc w:val="left"/>
            </w:pPr>
            <w:r>
              <w:t xml:space="preserve">3 years (ends 2/28/2028)</w:t>
            </w:r>
          </w:p>
        </w:tc>
        <w:tc>
          <w:tcPr/>
          <w:p>
            <w:pPr>
              <w:pStyle w:val="Compact"/>
              <w:jc w:val="left"/>
            </w:pPr>
            <w:r>
              <w:t xml:space="preserve">Shorter</w:t>
            </w:r>
          </w:p>
        </w:tc>
      </w:tr>
    </w:tbl>
    <w:bookmarkEnd w:id="44"/>
    <w:bookmarkStart w:id="45" w:name="Xe14108e5eca34bf8e4eb6900b9f3f2705632f5c"/>
    <w:p>
      <w:pPr>
        <w:pStyle w:val="Heading3"/>
      </w:pPr>
      <w:r>
        <w:t xml:space="preserve">7.2 Source-Code Access — A Non-Negotiable Retention</w:t>
      </w:r>
    </w:p>
    <w:p>
      <w:pPr>
        <w:pStyle w:val="FirstParagraph"/>
      </w:pPr>
      <w:r>
        <w:t xml:space="preserve">Current Section 5.2 grants Greenfield the right to access, review, and</w:t>
      </w:r>
      <w:r>
        <w:t xml:space="preserve"> </w:t>
      </w:r>
      <w:r>
        <w:rPr>
          <w:b/>
          <w:bCs/>
        </w:rPr>
        <w:t xml:space="preserve">internally modify the source code</w:t>
      </w:r>
      <w:r>
        <w:t xml:space="preserve"> </w:t>
      </w:r>
      <w:r>
        <w:t xml:space="preserve">to adapt the software for its internal use. Greenfield has built custom analytics pipelines on this access. The Proposal would</w:t>
      </w:r>
      <w:r>
        <w:t xml:space="preserve"> </w:t>
      </w:r>
      <w:r>
        <w:rPr>
          <w:b/>
          <w:bCs/>
        </w:rPr>
        <w:t xml:space="preserve">eliminate source-code access entirely</w:t>
      </w:r>
      <w:r>
        <w:t xml:space="preserve"> </w:t>
      </w:r>
      <w:r>
        <w:t xml:space="preserve">(object code only), consistent with NovaTrait’s enterprise distribution model for Version 5.x. This is a</w:t>
      </w:r>
      <w:r>
        <w:t xml:space="preserve"> </w:t>
      </w:r>
      <w:r>
        <w:rPr>
          <w:b/>
          <w:bCs/>
        </w:rPr>
        <w:t xml:space="preserve">material adverse change</w:t>
      </w:r>
      <w:r>
        <w:t xml:space="preserve"> </w:t>
      </w:r>
      <w:r>
        <w:t xml:space="preserve">that would eliminate Greenfield’s ability to customize its analytics pipelines — a significant R&amp;D impact.</w:t>
      </w:r>
      <w:r>
        <w:t xml:space="preserve"> </w:t>
      </w:r>
      <w:r>
        <w:rPr>
          <w:b/>
          <w:bCs/>
        </w:rPr>
        <w:t xml:space="preserve">We recommend retaining source-code access</w:t>
      </w:r>
      <w:r>
        <w:t xml:space="preserve"> </w:t>
      </w:r>
      <w:r>
        <w:t xml:space="preserve">as a non-negotiable, accepting reasonable enhanced security/escrow provisions (the existing Section 10.3 enhanced source-code protections and Section 5.3 escrow can be carried forward). If NovaTrait will not budge, this materially weakens the case for renewing at a</w:t>
      </w:r>
      <w:r>
        <w:t xml:space="preserve"> </w:t>
      </w:r>
      <w:r>
        <w:rPr>
          <w:i/>
          <w:iCs/>
        </w:rPr>
        <w:t xml:space="preserve">higher</w:t>
      </w:r>
      <w:r>
        <w:t xml:space="preserve"> </w:t>
      </w:r>
      <w:r>
        <w:t xml:space="preserve">fee and strengthens the switching case (Section 8.3).</w:t>
      </w:r>
    </w:p>
    <w:bookmarkEnd w:id="45"/>
    <w:bookmarkStart w:id="46" w:name="X9517891b2608c67d5ff2f1655adc929b6bc6c44"/>
    <w:p>
      <w:pPr>
        <w:pStyle w:val="Heading3"/>
      </w:pPr>
      <w:r>
        <w:t xml:space="preserve">7.3 Derivative-Data Ownership — A Critical IP Protection Issue</w:t>
      </w:r>
    </w:p>
    <w:p>
      <w:pPr>
        <w:pStyle w:val="FirstParagraph"/>
      </w:pPr>
      <w:r>
        <w:t xml:space="preserve">The Proposal adds a new Section 9.3 providing that</w:t>
      </w:r>
      <w:r>
        <w:t xml:space="preserve"> </w:t>
      </w:r>
      <w:r>
        <w:rPr>
          <w:b/>
          <w:bCs/>
        </w:rPr>
        <w:t xml:space="preserve">all Derivative Data</w:t>
      </w:r>
      <w:r>
        <w:t xml:space="preserve"> </w:t>
      </w:r>
      <w:r>
        <w:t xml:space="preserve">(outputs, analyses, visualizations, results generated by the software from Greenfield’s Input Data)</w:t>
      </w:r>
      <w:r>
        <w:t xml:space="preserve"> </w:t>
      </w:r>
      <w:r>
        <w:rPr>
          <w:b/>
          <w:bCs/>
        </w:rPr>
        <w:t xml:space="preserve">shall be the sole and exclusive property of NovaTrait</w:t>
      </w:r>
      <w:r>
        <w:t xml:space="preserve">, with Greenfield receiving only a non-exclusive, non-transferable, royalty-free license for internal use — and that license</w:t>
      </w:r>
      <w:r>
        <w:t xml:space="preserve"> </w:t>
      </w:r>
      <w:r>
        <w:rPr>
          <w:b/>
          <w:bCs/>
        </w:rPr>
        <w:t xml:space="preserve">terminates upon expiration of the renewal term</w:t>
      </w:r>
      <w:r>
        <w:t xml:space="preserve">, with no sublicensing and no publication rights.</w:t>
      </w:r>
    </w:p>
    <w:p>
      <w:pPr>
        <w:pStyle w:val="BodyText"/>
      </w:pPr>
      <w:r>
        <w:t xml:space="preserve">This is</w:t>
      </w:r>
      <w:r>
        <w:t xml:space="preserve"> </w:t>
      </w:r>
      <w:r>
        <w:rPr>
          <w:b/>
          <w:bCs/>
        </w:rPr>
        <w:t xml:space="preserve">inconsistent with the existing Section 9.2 principle</w:t>
      </w:r>
      <w:r>
        <w:t xml:space="preserve"> </w:t>
      </w:r>
      <w:r>
        <w:t xml:space="preserve">that Greenfield owns its data, and it could</w:t>
      </w:r>
      <w:r>
        <w:t xml:space="preserve"> </w:t>
      </w:r>
      <w:r>
        <w:rPr>
          <w:b/>
          <w:bCs/>
        </w:rPr>
        <w:t xml:space="preserve">jeopardize Greenfield’s proprietary trait-mapping datasets and analytical outputs</w:t>
      </w:r>
      <w:r>
        <w:t xml:space="preserve"> </w:t>
      </w:r>
      <w:r>
        <w:t xml:space="preserve">— which are themselves valuable IP generated from Greenfield’s own Input Data and R&amp;D. Allowing NovaTrait to own the outputs of Greenfield’s proprietary genomic data, and to cut off Greenfield’s use of those outputs at term end, is unacceptable.</w:t>
      </w:r>
      <w:r>
        <w:t xml:space="preserve"> </w:t>
      </w:r>
      <w:r>
        <w:rPr>
          <w:b/>
          <w:bCs/>
        </w:rPr>
        <w:t xml:space="preserve">We recommend countering that all output and derivative data be solely owned by Greenfield</w:t>
      </w:r>
      <w:r>
        <w:t xml:space="preserve">, consistent with Section 9.2. This is a</w:t>
      </w:r>
      <w:r>
        <w:t xml:space="preserve"> </w:t>
      </w:r>
      <w:r>
        <w:rPr>
          <w:b/>
          <w:bCs/>
        </w:rPr>
        <w:t xml:space="preserve">CRITICAL</w:t>
      </w:r>
      <w:r>
        <w:t xml:space="preserve"> </w:t>
      </w:r>
      <w:r>
        <w:t xml:space="preserve">priority (Ridgemont Priority #2).</w:t>
      </w:r>
    </w:p>
    <w:bookmarkEnd w:id="46"/>
    <w:bookmarkStart w:id="47" w:name="Xc6a1623e9cf39e2a272033b89d190cd5d810bb1"/>
    <w:p>
      <w:pPr>
        <w:pStyle w:val="Heading3"/>
      </w:pPr>
      <w:r>
        <w:t xml:space="preserve">7.4 Annual Fee and User Cap — Above Market; Strong Switching Leverage</w:t>
      </w:r>
    </w:p>
    <w:p>
      <w:pPr>
        <w:pStyle w:val="FirstParagraph"/>
      </w:pPr>
      <w:r>
        <w:t xml:space="preserve">The proposed effective annual cost (~$5.28M) is</w:t>
      </w:r>
      <w:r>
        <w:t xml:space="preserve"> </w:t>
      </w:r>
      <w:r>
        <w:rPr>
          <w:b/>
          <w:bCs/>
        </w:rPr>
        <w:t xml:space="preserve">above the market range</w:t>
      </w:r>
      <w:r>
        <w:t xml:space="preserve"> </w:t>
      </w:r>
      <w:r>
        <w:t xml:space="preserve">for comparable bioinformatics platforms. Clarendon identifies three commercial alternatives (BioSphere Analytics, PlantLogic Suite, TraitView Pro) at approximately</w:t>
      </w:r>
      <w:r>
        <w:t xml:space="preserve"> </w:t>
      </w:r>
      <w:r>
        <w:rPr>
          <w:b/>
          <w:bCs/>
        </w:rPr>
        <w:t xml:space="preserve">$1.8M–$3.5M/year</w:t>
      </w:r>
      <w:r>
        <w:t xml:space="preserve">; Ridgemont’s comparable transactions show a market range of</w:t>
      </w:r>
      <w:r>
        <w:t xml:space="preserve"> </w:t>
      </w:r>
      <w:r>
        <w:rPr>
          <w:b/>
          <w:bCs/>
        </w:rPr>
        <w:t xml:space="preserve">$2.9M–$3.2M</w:t>
      </w:r>
      <w:r>
        <w:t xml:space="preserve"> </w:t>
      </w:r>
      <w:r>
        <w:t xml:space="preserve">(mean $3.05M). The proposed $4.85M base fee alone exceeds the market high by ~21%, and the all-in cost exceeds it by ~32%.</w:t>
      </w:r>
      <w:r>
        <w:t xml:space="preserve"> </w:t>
      </w:r>
      <w:r>
        <w:rPr>
          <w:b/>
          <w:bCs/>
        </w:rPr>
        <w:t xml:space="preserve">We recommend countering at $3.75M with an 80-user cap</w:t>
      </w:r>
      <w:r>
        <w:t xml:space="preserve"> </w:t>
      </w:r>
      <w:r>
        <w:t xml:space="preserve">and overage at $12,000/user, and</w:t>
      </w:r>
      <w:r>
        <w:t xml:space="preserve"> </w:t>
      </w:r>
      <w:r>
        <w:rPr>
          <w:b/>
          <w:bCs/>
        </w:rPr>
        <w:t xml:space="preserve">obtaining competitive proposals</w:t>
      </w:r>
      <w:r>
        <w:t xml:space="preserve"> </w:t>
      </w:r>
      <w:r>
        <w:t xml:space="preserve">from the three alternative providers to support the counter (and to maintain a credible Plan B). The Version 5.x conversion tool ($175K) should be</w:t>
      </w:r>
      <w:r>
        <w:t xml:space="preserve"> </w:t>
      </w:r>
      <w:r>
        <w:rPr>
          <w:b/>
          <w:bCs/>
        </w:rPr>
        <w:t xml:space="preserve">included at no cost</w:t>
      </w:r>
      <w:r>
        <w:t xml:space="preserve"> </w:t>
      </w:r>
      <w:r>
        <w:t xml:space="preserve">as a condition of renewal.</w:t>
      </w:r>
    </w:p>
    <w:bookmarkEnd w:id="47"/>
    <w:bookmarkStart w:id="48" w:name="Xbd1d9700d92d69477f2d3834763dcd90d3d915d"/>
    <w:p>
      <w:pPr>
        <w:pStyle w:val="Heading3"/>
      </w:pPr>
      <w:r>
        <w:t xml:space="preserve">7.5 Version 5.x Upgrade — Value, but Not at Any Price</w:t>
      </w:r>
    </w:p>
    <w:p>
      <w:pPr>
        <w:pStyle w:val="FirstParagraph"/>
      </w:pPr>
      <w:r>
        <w:t xml:space="preserve">Version 5.x offers genuine improvements (machine-learning trait prediction with ~22% accuracy gains, multi-omic database schemas, native cloud deployment, enterprise SSO/RBAC). These are valuable, but the upgrade is being used to justify both a higher fee</w:t>
      </w:r>
      <w:r>
        <w:t xml:space="preserve"> </w:t>
      </w:r>
      <w:r>
        <w:rPr>
          <w:i/>
          <w:iCs/>
        </w:rPr>
        <w:t xml:space="preserve">and</w:t>
      </w:r>
      <w:r>
        <w:t xml:space="preserve"> </w:t>
      </w:r>
      <w:r>
        <w:t xml:space="preserve">the elimination of source-code access and the data-ownership transfer. Greenfield should treat the upgrade as a value-add to be priced separately and conditionally, not as a package that bundles adverse term changes.</w:t>
      </w:r>
    </w:p>
    <w:p>
      <w:r>
        <w:pict>
          <v:rect style="width:0;height:1.5pt" o:hralign="center" o:hrstd="t" o:hr="t"/>
        </w:pict>
      </w:r>
    </w:p>
    <w:bookmarkEnd w:id="48"/>
    <w:bookmarkEnd w:id="49"/>
    <w:bookmarkStart w:id="53" w:name="Xd35fb93efaec9b459ed6a17f367f4076aaa755b"/>
    <w:p>
      <w:pPr>
        <w:pStyle w:val="Heading2"/>
      </w:pPr>
      <w:r>
        <w:t xml:space="preserve">8. Switching Cost and BATNA Analysis (Per License)</w:t>
      </w:r>
    </w:p>
    <w:p>
      <w:pPr>
        <w:pStyle w:val="FirstParagraph"/>
      </w:pPr>
      <w:r>
        <w:t xml:space="preserve">Ridgemont’s switching-cost analysis informs Greenfield’s best alternative to a negotiated agreement (</w:t>
      </w:r>
      <w:r>
        <w:t xml:space="preserve">“</w:t>
      </w:r>
      <w:r>
        <w:t xml:space="preserve">BATNA</w:t>
      </w:r>
      <w:r>
        <w:t xml:space="preserve">”</w:t>
      </w:r>
      <w:r>
        <w:t xml:space="preserve">) for each license.</w:t>
      </w:r>
    </w:p>
    <w:bookmarkStart w:id="50" w:name="X5c6bcac2857452203df37516ab9c29f115abc2a"/>
    <w:p>
      <w:pPr>
        <w:pStyle w:val="Heading3"/>
      </w:pPr>
      <w:r>
        <w:t xml:space="preserve">8.1 License A — Switching Not Economic Near-Term, but Useful as Leverage</w:t>
      </w:r>
    </w:p>
    <w:p>
      <w:pPr>
        <w:pStyle w:val="Compact"/>
        <w:numPr>
          <w:ilvl w:val="0"/>
          <w:numId w:val="1006"/>
        </w:numPr>
      </w:pPr>
      <w:r>
        <w:rPr>
          <w:b/>
          <w:bCs/>
        </w:rPr>
        <w:t xml:space="preserve">Alternatives:</w:t>
      </w:r>
      <w:r>
        <w:t xml:space="preserve"> </w:t>
      </w:r>
      <w:r>
        <w:t xml:space="preserve">AgriGenome Solutions, CropTech Innovations (both emerging; not fully commercial pre-2028).</w:t>
      </w:r>
    </w:p>
    <w:p>
      <w:pPr>
        <w:pStyle w:val="Compact"/>
        <w:numPr>
          <w:ilvl w:val="0"/>
          <w:numId w:val="1006"/>
        </w:numPr>
      </w:pPr>
      <w:r>
        <w:rPr>
          <w:b/>
          <w:bCs/>
        </w:rPr>
        <w:t xml:space="preserve">Direct switching cost:</w:t>
      </w:r>
      <w:r>
        <w:t xml:space="preserve"> </w:t>
      </w:r>
      <w:r>
        <w:t xml:space="preserve">$16.65M–$23.6M (alternative platform fee, integration, regulatory re-submission, retraining, data migration, legal).</w:t>
      </w:r>
    </w:p>
    <w:p>
      <w:pPr>
        <w:pStyle w:val="Compact"/>
        <w:numPr>
          <w:ilvl w:val="0"/>
          <w:numId w:val="1006"/>
        </w:numPr>
      </w:pPr>
      <w:r>
        <w:rPr>
          <w:b/>
          <w:bCs/>
        </w:rPr>
        <w:t xml:space="preserve">With indirect/opportunity costs:</w:t>
      </w:r>
      <w:r>
        <w:t xml:space="preserve"> </w:t>
      </w:r>
      <w:r>
        <w:t xml:space="preserve">$24.65M–$38.6M (revenue at risk during 18–24 month transition).</w:t>
      </w:r>
    </w:p>
    <w:p>
      <w:pPr>
        <w:pStyle w:val="Compact"/>
        <w:numPr>
          <w:ilvl w:val="0"/>
          <w:numId w:val="1006"/>
        </w:numPr>
      </w:pPr>
      <w:r>
        <w:rPr>
          <w:b/>
          <w:bCs/>
        </w:rPr>
        <w:t xml:space="preserve">Break-even:</w:t>
      </w:r>
      <w:r>
        <w:t xml:space="preserve"> </w:t>
      </w:r>
      <w:r>
        <w:t xml:space="preserve">2.8–7.9 years (direct only); 4.1–12.9 years (direct + indirect).</w:t>
      </w:r>
    </w:p>
    <w:p>
      <w:pPr>
        <w:pStyle w:val="Compact"/>
        <w:numPr>
          <w:ilvl w:val="0"/>
          <w:numId w:val="1006"/>
        </w:numPr>
      </w:pPr>
      <w:r>
        <w:rPr>
          <w:b/>
          <w:bCs/>
        </w:rPr>
        <w:t xml:space="preserve">Assessment:</w:t>
      </w:r>
      <w:r>
        <w:t xml:space="preserve"> </w:t>
      </w:r>
      <w:r>
        <w:t xml:space="preserve">Switching is</w:t>
      </w:r>
      <w:r>
        <w:t xml:space="preserve"> </w:t>
      </w:r>
      <w:r>
        <w:rPr>
          <w:b/>
          <w:bCs/>
        </w:rPr>
        <w:t xml:space="preserve">not economically justified</w:t>
      </w:r>
      <w:r>
        <w:t xml:space="preserve"> </w:t>
      </w:r>
      <w:r>
        <w:t xml:space="preserve">within the proposed 5-year renewal. However, the analysis</w:t>
      </w:r>
      <w:r>
        <w:t xml:space="preserve"> </w:t>
      </w:r>
      <w:r>
        <w:rPr>
          <w:b/>
          <w:bCs/>
        </w:rPr>
        <w:t xml:space="preserve">strengthens negotiation leverage</w:t>
      </w:r>
      <w:r>
        <w:t xml:space="preserve"> </w:t>
      </w:r>
      <w:r>
        <w:t xml:space="preserve">for a rate reduction to the</w:t>
      </w:r>
      <w:r>
        <w:t xml:space="preserve"> </w:t>
      </w:r>
      <w:r>
        <w:rPr>
          <w:b/>
          <w:bCs/>
        </w:rPr>
        <w:t xml:space="preserve">5.0–5.5%</w:t>
      </w:r>
      <w:r>
        <w:t xml:space="preserve"> </w:t>
      </w:r>
      <w:r>
        <w:t xml:space="preserve">range, and the ’117 patent expiry in March 2028 materially reduces NovaTrait’s IP position mid-term.</w:t>
      </w:r>
    </w:p>
    <w:bookmarkEnd w:id="50"/>
    <w:bookmarkStart w:id="51" w:name="X6f7088ae087585bff716d66ce3fafe4eed554e8"/>
    <w:p>
      <w:pPr>
        <w:pStyle w:val="Heading3"/>
      </w:pPr>
      <w:r>
        <w:t xml:space="preserve">8.2 License B — Minimal Leverage; Internal Build Is the Only Alternative</w:t>
      </w:r>
    </w:p>
    <w:p>
      <w:pPr>
        <w:pStyle w:val="Compact"/>
        <w:numPr>
          <w:ilvl w:val="0"/>
          <w:numId w:val="1007"/>
        </w:numPr>
      </w:pPr>
      <w:r>
        <w:rPr>
          <w:b/>
          <w:bCs/>
        </w:rPr>
        <w:t xml:space="preserve">Alternatives:</w:t>
      </w:r>
      <w:r>
        <w:t xml:space="preserve"> </w:t>
      </w:r>
      <w:r>
        <w:t xml:space="preserve">None commercial. Internal development is the only path.</w:t>
      </w:r>
    </w:p>
    <w:p>
      <w:pPr>
        <w:pStyle w:val="Compact"/>
        <w:numPr>
          <w:ilvl w:val="0"/>
          <w:numId w:val="1007"/>
        </w:numPr>
      </w:pPr>
      <w:r>
        <w:rPr>
          <w:b/>
          <w:bCs/>
        </w:rPr>
        <w:t xml:space="preserve">Internal development cost:</w:t>
      </w:r>
      <w:r>
        <w:t xml:space="preserve"> </w:t>
      </w:r>
      <w:r>
        <w:t xml:space="preserve">$24.3M–$33.7M (R&amp;D personnel, lab equipment, field trials, regulatory, IP clearance, prosecution); midpoint ~$29M, consistent with the $25–30M management estimate.</w:t>
      </w:r>
    </w:p>
    <w:p>
      <w:pPr>
        <w:pStyle w:val="Compact"/>
        <w:numPr>
          <w:ilvl w:val="0"/>
          <w:numId w:val="1007"/>
        </w:numPr>
      </w:pPr>
      <w:r>
        <w:rPr>
          <w:b/>
          <w:bCs/>
        </w:rPr>
        <w:t xml:space="preserve">Timeline:</w:t>
      </w:r>
      <w:r>
        <w:t xml:space="preserve"> </w:t>
      </w:r>
      <w:r>
        <w:t xml:space="preserve">3–4 years to commercial availability.</w:t>
      </w:r>
    </w:p>
    <w:p>
      <w:pPr>
        <w:pStyle w:val="Compact"/>
        <w:numPr>
          <w:ilvl w:val="0"/>
          <w:numId w:val="1007"/>
        </w:numPr>
      </w:pPr>
      <w:r>
        <w:rPr>
          <w:b/>
          <w:bCs/>
        </w:rPr>
        <w:t xml:space="preserve">With opportunity costs:</w:t>
      </w:r>
      <w:r>
        <w:t xml:space="preserve"> </w:t>
      </w:r>
      <w:r>
        <w:t xml:space="preserve">$44.3M–$66.7M (lost sales during the development gap, plus Prairielands sublicense disruption of $5–8M).</w:t>
      </w:r>
    </w:p>
    <w:p>
      <w:pPr>
        <w:pStyle w:val="Compact"/>
        <w:numPr>
          <w:ilvl w:val="0"/>
          <w:numId w:val="1007"/>
        </w:numPr>
      </w:pPr>
      <w:r>
        <w:rPr>
          <w:b/>
          <w:bCs/>
        </w:rPr>
        <w:t xml:space="preserve">Assessment:</w:t>
      </w:r>
      <w:r>
        <w:t xml:space="preserve"> </w:t>
      </w:r>
      <w:r>
        <w:t xml:space="preserve">Greenfield has</w:t>
      </w:r>
      <w:r>
        <w:t xml:space="preserve"> </w:t>
      </w:r>
      <w:r>
        <w:rPr>
          <w:b/>
          <w:bCs/>
        </w:rPr>
        <w:t xml:space="preserve">minimal leverage</w:t>
      </w:r>
      <w:r>
        <w:t xml:space="preserve"> </w:t>
      </w:r>
      <w:r>
        <w:t xml:space="preserve">on License B. Strategy: negotiate rate to</w:t>
      </w:r>
      <w:r>
        <w:t xml:space="preserve"> </w:t>
      </w:r>
      <w:r>
        <w:rPr>
          <w:b/>
          <w:bCs/>
        </w:rPr>
        <w:t xml:space="preserve">4.25–4.5%</w:t>
      </w:r>
      <w:r>
        <w:t xml:space="preserve"> </w:t>
      </w:r>
      <w:r>
        <w:t xml:space="preserve">citing comparables; prioritize the 180-day bio-materials wind-down, annual audit frequency, and 30-day notice; resist the Prairielands pass-through (counter 20% with phase-in). Initiate an internal-platform</w:t>
      </w:r>
      <w:r>
        <w:t xml:space="preserve"> </w:t>
      </w:r>
      <w:r>
        <w:rPr>
          <w:b/>
          <w:bCs/>
        </w:rPr>
        <w:t xml:space="preserve">feasibility study by 2027</w:t>
      </w:r>
      <w:r>
        <w:t xml:space="preserve"> </w:t>
      </w:r>
      <w:r>
        <w:t xml:space="preserve">to build longer-term optionality.</w:t>
      </w:r>
    </w:p>
    <w:bookmarkEnd w:id="51"/>
    <w:bookmarkStart w:id="52" w:name="license-c-strongest-switching-case"/>
    <w:p>
      <w:pPr>
        <w:pStyle w:val="Heading3"/>
      </w:pPr>
      <w:r>
        <w:t xml:space="preserve">8.3 License C — Strongest Switching Case</w:t>
      </w:r>
    </w:p>
    <w:p>
      <w:pPr>
        <w:pStyle w:val="Compact"/>
        <w:numPr>
          <w:ilvl w:val="0"/>
          <w:numId w:val="1008"/>
        </w:numPr>
      </w:pPr>
      <w:r>
        <w:rPr>
          <w:b/>
          <w:bCs/>
        </w:rPr>
        <w:t xml:space="preserve">Alternatives:</w:t>
      </w:r>
      <w:r>
        <w:t xml:space="preserve"> </w:t>
      </w:r>
      <w:r>
        <w:t xml:space="preserve">BioSphere Analytics (~$2.8M, unlimited users), PlantLogic Suite (~$3.5M, 100-user cap), TraitView Pro (~$1.8M, 50-user cap).</w:t>
      </w:r>
    </w:p>
    <w:p>
      <w:pPr>
        <w:pStyle w:val="Compact"/>
        <w:numPr>
          <w:ilvl w:val="0"/>
          <w:numId w:val="1008"/>
        </w:numPr>
      </w:pPr>
      <w:r>
        <w:rPr>
          <w:b/>
          <w:bCs/>
        </w:rPr>
        <w:t xml:space="preserve">One-time switching cost:</w:t>
      </w:r>
      <w:r>
        <w:t xml:space="preserve"> </w:t>
      </w:r>
      <w:r>
        <w:t xml:space="preserve">$2.55M–$4.375M (midpoint ~$3.5M: evaluation, data migration, pipeline redevelopment, retraining, integration, legal).</w:t>
      </w:r>
    </w:p>
    <w:p>
      <w:pPr>
        <w:pStyle w:val="Compact"/>
        <w:numPr>
          <w:ilvl w:val="0"/>
          <w:numId w:val="1008"/>
        </w:numPr>
      </w:pPr>
      <w:r>
        <w:rPr>
          <w:b/>
          <w:bCs/>
        </w:rPr>
        <w:t xml:space="preserve">Annual savings vs. proposed:</w:t>
      </w:r>
      <w:r>
        <w:t xml:space="preserve"> </w:t>
      </w:r>
      <w:r>
        <w:t xml:space="preserve">$1.78M–$3.48M.</w:t>
      </w:r>
    </w:p>
    <w:p>
      <w:pPr>
        <w:pStyle w:val="Compact"/>
        <w:numPr>
          <w:ilvl w:val="0"/>
          <w:numId w:val="1008"/>
        </w:numPr>
      </w:pPr>
      <w:r>
        <w:rPr>
          <w:b/>
          <w:bCs/>
        </w:rPr>
        <w:t xml:space="preserve">Break-even:</w:t>
      </w:r>
      <w:r>
        <w:t xml:space="preserve"> </w:t>
      </w:r>
      <w:r>
        <w:t xml:space="preserve">0.7–2.5 years.</w:t>
      </w:r>
    </w:p>
    <w:p>
      <w:pPr>
        <w:pStyle w:val="Compact"/>
        <w:numPr>
          <w:ilvl w:val="0"/>
          <w:numId w:val="1008"/>
        </w:numPr>
      </w:pPr>
      <w:r>
        <w:rPr>
          <w:b/>
          <w:bCs/>
        </w:rPr>
        <w:t xml:space="preserve">Assessment:</w:t>
      </w:r>
      <w:r>
        <w:t xml:space="preserve"> </w:t>
      </w:r>
      <w:r>
        <w:t xml:space="preserve">License C presents the</w:t>
      </w:r>
      <w:r>
        <w:t xml:space="preserve"> </w:t>
      </w:r>
      <w:r>
        <w:rPr>
          <w:b/>
          <w:bCs/>
        </w:rPr>
        <w:t xml:space="preserve">strongest switching case</w:t>
      </w:r>
      <w:r>
        <w:t xml:space="preserve">. Multiple alternatives exist at lower cost with break-even under three years.</w:t>
      </w:r>
      <w:r>
        <w:t xml:space="preserve"> </w:t>
      </w:r>
      <w:r>
        <w:rPr>
          <w:b/>
          <w:bCs/>
        </w:rPr>
        <w:t xml:space="preserve">Key risk:</w:t>
      </w:r>
      <w:r>
        <w:t xml:space="preserve"> </w:t>
      </w:r>
      <w:r>
        <w:t xml:space="preserve">the 12–18 month transition period during which GenoMap Pro access must be maintained (it is integral to Licenses A and B workflows).</w:t>
      </w:r>
      <w:r>
        <w:t xml:space="preserve"> </w:t>
      </w:r>
      <w:r>
        <w:rPr>
          <w:b/>
          <w:bCs/>
        </w:rPr>
        <w:t xml:space="preserve">Recommended strategy:</w:t>
      </w:r>
      <w:r>
        <w:t xml:space="preserve"> </w:t>
      </w:r>
      <w:r>
        <w:t xml:space="preserve">use the switching analysis as leverage to negotiate the fee to the</w:t>
      </w:r>
      <w:r>
        <w:t xml:space="preserve"> </w:t>
      </w:r>
      <w:r>
        <w:rPr>
          <w:b/>
          <w:bCs/>
        </w:rPr>
        <w:t xml:space="preserve">$3.5–4.0M</w:t>
      </w:r>
      <w:r>
        <w:t xml:space="preserve"> </w:t>
      </w:r>
      <w:r>
        <w:t xml:space="preserve">range;</w:t>
      </w:r>
      <w:r>
        <w:t xml:space="preserve"> </w:t>
      </w:r>
      <w:r>
        <w:rPr>
          <w:b/>
          <w:bCs/>
        </w:rPr>
        <w:t xml:space="preserve">non-negotiables</w:t>
      </w:r>
      <w:r>
        <w:t xml:space="preserve"> </w:t>
      </w:r>
      <w:r>
        <w:t xml:space="preserve">are retention of source-code access, rejection of the data-output ownership clause, and elimination or expansion (to ~100) of the user cap. Obtain competitive quotes now.</w:t>
      </w:r>
    </w:p>
    <w:p>
      <w:r>
        <w:pict>
          <v:rect style="width:0;height:1.5pt" o:hralign="center" o:hrstd="t" o:hr="t"/>
        </w:pict>
      </w:r>
    </w:p>
    <w:bookmarkEnd w:id="52"/>
    <w:bookmarkEnd w:id="53"/>
    <w:bookmarkStart w:id="54" w:name="Xb3f0482899f46e469d0d9c8af4e91d228d1ef74"/>
    <w:p>
      <w:pPr>
        <w:pStyle w:val="Heading2"/>
      </w:pPr>
      <w:r>
        <w:t xml:space="preserve">9. Patent Landscape and IP-Value Assessment (Clarendon, Sept 2020)</w:t>
      </w:r>
    </w:p>
    <w:p>
      <w:pPr>
        <w:pStyle w:val="FirstParagraph"/>
      </w:pPr>
      <w:r>
        <w:t xml:space="preserve">The Clarendon analysis (commissioned by Greenfield’s then-General Counsel, Terence Blackwood, with outside counsel Victoria Chen at Ashworth &amp; Calder LLP) provides the IP-value foundation for the negotiation. Key findings: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License</w:t>
            </w:r>
          </w:p>
        </w:tc>
        <w:tc>
          <w:tcPr/>
          <w:p>
            <w:pPr>
              <w:pStyle w:val="Compact"/>
              <w:jc w:val="left"/>
            </w:pPr>
            <w:r>
              <w:t xml:space="preserve">Portfolio strength</w:t>
            </w:r>
          </w:p>
        </w:tc>
        <w:tc>
          <w:tcPr/>
          <w:p>
            <w:pPr>
              <w:pStyle w:val="Compact"/>
              <w:jc w:val="left"/>
            </w:pPr>
            <w:r>
              <w:t xml:space="preserve">Commercial alternatives</w:t>
            </w:r>
          </w:p>
        </w:tc>
        <w:tc>
          <w:tcPr/>
          <w:p>
            <w:pPr>
              <w:pStyle w:val="Compact"/>
              <w:jc w:val="left"/>
            </w:pPr>
            <w:r>
              <w:t xml:space="preserve">Renewal risk to Greenfield</w:t>
            </w:r>
          </w:p>
        </w:tc>
        <w:tc>
          <w:tcPr/>
          <w:p>
            <w:pPr>
              <w:pStyle w:val="Compact"/>
              <w:jc w:val="left"/>
            </w:pPr>
            <w:r>
              <w:t xml:space="preserve">Licensor leverage</w:t>
            </w:r>
          </w:p>
        </w:tc>
      </w:tr>
      <w:tr>
        <w:tc>
          <w:tcPr/>
          <w:p>
            <w:pPr>
              <w:pStyle w:val="Compact"/>
              <w:jc w:val="left"/>
            </w:pPr>
            <w:r>
              <w:t xml:space="preserve">A (CRISPR-Ag Suite)</w:t>
            </w:r>
          </w:p>
        </w:tc>
        <w:tc>
          <w:tcPr/>
          <w:p>
            <w:pPr>
              <w:pStyle w:val="Compact"/>
              <w:jc w:val="left"/>
            </w:pPr>
            <w:r>
              <w:t xml:space="preserve">Strong</w:t>
            </w:r>
          </w:p>
        </w:tc>
        <w:tc>
          <w:tcPr/>
          <w:p>
            <w:pPr>
              <w:pStyle w:val="Compact"/>
              <w:jc w:val="left"/>
            </w:pPr>
            <w:r>
              <w:t xml:space="preserve">Emerging (post-2028)</w:t>
            </w:r>
          </w:p>
        </w:tc>
        <w:tc>
          <w:tcPr/>
          <w:p>
            <w:pPr>
              <w:pStyle w:val="Compact"/>
              <w:jc w:val="left"/>
            </w:pPr>
            <w:r>
              <w:t xml:space="preserve">Moderate — declining over term</w:t>
            </w:r>
          </w:p>
        </w:tc>
        <w:tc>
          <w:tcPr/>
          <w:p>
            <w:pPr>
              <w:pStyle w:val="Compact"/>
              <w:jc w:val="left"/>
            </w:pPr>
            <w:r>
              <w:t xml:space="preserve">Moderate — declining</w:t>
            </w:r>
          </w:p>
        </w:tc>
      </w:tr>
      <w:tr>
        <w:tc>
          <w:tcPr/>
          <w:p>
            <w:pPr>
              <w:pStyle w:val="Compact"/>
              <w:jc w:val="left"/>
            </w:pPr>
            <w:r>
              <w:t xml:space="preserve">B (TraitForge)</w:t>
            </w:r>
          </w:p>
        </w:tc>
        <w:tc>
          <w:tcPr/>
          <w:p>
            <w:pPr>
              <w:pStyle w:val="Compact"/>
              <w:jc w:val="left"/>
            </w:pPr>
            <w:r>
              <w:t xml:space="preserve">Very Strong</w:t>
            </w:r>
          </w:p>
        </w:tc>
        <w:tc>
          <w:tcPr/>
          <w:p>
            <w:pPr>
              <w:pStyle w:val="Compact"/>
              <w:jc w:val="left"/>
            </w:pPr>
            <w:r>
              <w:t xml:space="preserve">None identified</w:t>
            </w:r>
          </w:p>
        </w:tc>
        <w:tc>
          <w:tcPr/>
          <w:p>
            <w:pPr>
              <w:pStyle w:val="Compact"/>
              <w:jc w:val="left"/>
            </w:pPr>
            <w:r>
              <w:t xml:space="preserve">High — irreplaceable</w:t>
            </w:r>
          </w:p>
        </w:tc>
        <w:tc>
          <w:tcPr/>
          <w:p>
            <w:pPr>
              <w:pStyle w:val="Compact"/>
              <w:jc w:val="left"/>
            </w:pPr>
            <w:r>
              <w:t xml:space="preserve">Very High</w:t>
            </w:r>
          </w:p>
        </w:tc>
      </w:tr>
      <w:tr>
        <w:tc>
          <w:tcPr/>
          <w:p>
            <w:pPr>
              <w:pStyle w:val="Compact"/>
              <w:jc w:val="left"/>
            </w:pPr>
            <w:r>
              <w:t xml:space="preserve">C (GenoMap Pro)</w:t>
            </w:r>
          </w:p>
        </w:tc>
        <w:tc>
          <w:tcPr/>
          <w:p>
            <w:pPr>
              <w:pStyle w:val="Compact"/>
              <w:jc w:val="left"/>
            </w:pPr>
            <w:r>
              <w:t xml:space="preserve">Moderate (copyright/trade secret)</w:t>
            </w:r>
          </w:p>
        </w:tc>
        <w:tc>
          <w:tcPr/>
          <w:p>
            <w:pPr>
              <w:pStyle w:val="Compact"/>
              <w:jc w:val="left"/>
            </w:pPr>
            <w:r>
              <w:t xml:space="preserve">Multiple exist</w:t>
            </w:r>
          </w:p>
        </w:tc>
        <w:tc>
          <w:tcPr/>
          <w:p>
            <w:pPr>
              <w:pStyle w:val="Compact"/>
              <w:jc w:val="left"/>
            </w:pPr>
            <w:r>
              <w:t xml:space="preserve">Low — substitutable</w:t>
            </w:r>
          </w:p>
        </w:tc>
        <w:tc>
          <w:tcPr/>
          <w:p>
            <w:pPr>
              <w:pStyle w:val="Compact"/>
              <w:jc w:val="left"/>
            </w:pPr>
            <w:r>
              <w:t xml:space="preserve">Low to Moderate</w:t>
            </w:r>
          </w:p>
        </w:tc>
      </w:tr>
    </w:tbl>
    <w:p>
      <w:pPr>
        <w:pStyle w:val="BodyText"/>
      </w:pPr>
      <w:r>
        <w:rPr>
          <w:b/>
          <w:bCs/>
        </w:rPr>
        <w:t xml:space="preserve">License A.</w:t>
      </w:r>
      <w:r>
        <w:t xml:space="preserve"> </w:t>
      </w:r>
      <w:r>
        <w:t xml:space="preserve">The ’117 patent (~60% of value) expires March 2028; residual portfolio value post-expiry ~35–40%. 47 third-party patent families identified; AgriGenome Solutions and CropTech Innovations are positioning for post-2028 competition. Current market rates 3.5–5.5%, expected to fall post-2028.</w:t>
      </w:r>
      <w:r>
        <w:t xml:space="preserve"> </w:t>
      </w:r>
      <w:r>
        <w:rPr>
          <w:b/>
          <w:bCs/>
        </w:rPr>
        <w:t xml:space="preserve">Implication:</w:t>
      </w:r>
      <w:r>
        <w:t xml:space="preserve"> </w:t>
      </w:r>
      <w:r>
        <w:t xml:space="preserve">resist any rate above the market range pre-2028; insist on a step-down post-2028.</w:t>
      </w:r>
    </w:p>
    <w:p>
      <w:pPr>
        <w:pStyle w:val="BodyText"/>
      </w:pPr>
      <w:r>
        <w:rPr>
          <w:b/>
          <w:bCs/>
        </w:rPr>
        <w:t xml:space="preserve">License B.</w:t>
      </w:r>
      <w:r>
        <w:t xml:space="preserve"> </w:t>
      </w:r>
      <w:r>
        <w:t xml:space="preserve">No close commercial alternatives; patents run through 2036–2038; proprietary biological materials unavailable elsewhere; internal build 3–4 years.</w:t>
      </w:r>
      <w:r>
        <w:t xml:space="preserve"> </w:t>
      </w:r>
      <w:r>
        <w:rPr>
          <w:b/>
          <w:bCs/>
        </w:rPr>
        <w:t xml:space="preserve">Implication:</w:t>
      </w:r>
      <w:r>
        <w:t xml:space="preserve"> </w:t>
      </w:r>
      <w:r>
        <w:t xml:space="preserve">NovaTrait has substantial leverage; secure long-term renewal at a market-range rate (3.0–4.5%) rather than the proposed 5.0%.</w:t>
      </w:r>
    </w:p>
    <w:p>
      <w:pPr>
        <w:pStyle w:val="BodyText"/>
      </w:pPr>
      <w:r>
        <w:rPr>
          <w:b/>
          <w:bCs/>
        </w:rPr>
        <w:t xml:space="preserve">License C.</w:t>
      </w:r>
      <w:r>
        <w:t xml:space="preserve"> </w:t>
      </w:r>
      <w:r>
        <w:t xml:space="preserve">Copyright/trade-secret protection; three commercial alternatives at $2.5M–$4.0M.</w:t>
      </w:r>
      <w:r>
        <w:t xml:space="preserve"> </w:t>
      </w:r>
      <w:r>
        <w:rPr>
          <w:b/>
          <w:bCs/>
        </w:rPr>
        <w:t xml:space="preserve">Implication:</w:t>
      </w:r>
      <w:r>
        <w:t xml:space="preserve"> </w:t>
      </w:r>
      <w:r>
        <w:t xml:space="preserve">Greenfield has meaningful leverage; resist fees above market.</w:t>
      </w:r>
    </w:p>
    <w:p>
      <w:pPr>
        <w:pStyle w:val="BodyText"/>
      </w:pPr>
      <w:r>
        <w:rPr>
          <w:b/>
          <w:bCs/>
        </w:rPr>
        <w:t xml:space="preserve">Important limitation:</w:t>
      </w:r>
      <w:r>
        <w:t xml:space="preserve"> </w:t>
      </w:r>
      <w:r>
        <w:t xml:space="preserve">The Clarendon analysis is dated</w:t>
      </w:r>
      <w:r>
        <w:t xml:space="preserve"> </w:t>
      </w:r>
      <w:r>
        <w:rPr>
          <w:b/>
          <w:bCs/>
        </w:rPr>
        <w:t xml:space="preserve">September 14, 2020</w:t>
      </w:r>
      <w:r>
        <w:t xml:space="preserve"> </w:t>
      </w:r>
      <w:r>
        <w:t xml:space="preserve">— over four years old. Clarendon itself recommended an updated analysis before formal renewal negotiations, particularly given the rapidly evolving competitive landscape (AgriGenome and CropTech portfolios were in early prosecution in 2020 and may have materially advanced).</w:t>
      </w:r>
      <w:r>
        <w:t xml:space="preserve"> </w:t>
      </w:r>
      <w:r>
        <w:rPr>
          <w:b/>
          <w:bCs/>
        </w:rPr>
        <w:t xml:space="preserve">We recommend commissioning an updated landscape analysis</w:t>
      </w:r>
      <w:r>
        <w:t xml:space="preserve"> </w:t>
      </w:r>
      <w:r>
        <w:t xml:space="preserve">before finalizing counter-positions, and using it to support the IFMV argument under Section 14.3 (Section 5.2).</w:t>
      </w:r>
    </w:p>
    <w:p>
      <w:r>
        <w:pict>
          <v:rect style="width:0;height:1.5pt" o:hralign="center" o:hrstd="t" o:hr="t"/>
        </w:pict>
      </w:r>
    </w:p>
    <w:bookmarkEnd w:id="54"/>
    <w:bookmarkStart w:id="55" w:name="market-comparables-ridgemont"/>
    <w:p>
      <w:pPr>
        <w:pStyle w:val="Heading2"/>
      </w:pPr>
      <w:r>
        <w:t xml:space="preserve">10. Market Comparables (Ridgemont)</w:t>
      </w:r>
    </w:p>
    <w:p>
      <w:pPr>
        <w:pStyle w:val="FirstParagraph"/>
      </w:pPr>
      <w:r>
        <w:t xml:space="preserve">Ridgemont assembled eight anonymized comparable transactions (2022–2024) from the Clarendon database and published industry surveys: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Category</w:t>
            </w:r>
          </w:p>
        </w:tc>
        <w:tc>
          <w:tcPr/>
          <w:p>
            <w:pPr>
              <w:pStyle w:val="Compact"/>
              <w:jc w:val="left"/>
            </w:pPr>
            <w:r>
              <w:t xml:space="preserve">Range</w:t>
            </w:r>
          </w:p>
        </w:tc>
        <w:tc>
          <w:tcPr/>
          <w:p>
            <w:pPr>
              <w:pStyle w:val="Compact"/>
              <w:jc w:val="left"/>
            </w:pPr>
            <w:r>
              <w:t xml:space="preserve">Median</w:t>
            </w:r>
          </w:p>
        </w:tc>
        <w:tc>
          <w:tcPr/>
          <w:p>
            <w:pPr>
              <w:pStyle w:val="Compact"/>
              <w:jc w:val="left"/>
            </w:pPr>
            <w:r>
              <w:t xml:space="preserve">Mean</w:t>
            </w:r>
          </w:p>
        </w:tc>
        <w:tc>
          <w:tcPr/>
          <w:p>
            <w:pPr>
              <w:pStyle w:val="Compact"/>
              <w:jc w:val="left"/>
            </w:pPr>
            <w:r>
              <w:t xml:space="preserve">NovaTrait proposed</w:t>
            </w:r>
          </w:p>
        </w:tc>
      </w:tr>
      <w:tr>
        <w:tc>
          <w:tcPr/>
          <w:p>
            <w:pPr>
              <w:pStyle w:val="Compact"/>
              <w:jc w:val="left"/>
            </w:pPr>
            <w:r>
              <w:t xml:space="preserve">Gene-editing platforms (Comps 1–3)</w:t>
            </w:r>
          </w:p>
        </w:tc>
        <w:tc>
          <w:tcPr/>
          <w:p>
            <w:pPr>
              <w:pStyle w:val="Compact"/>
              <w:jc w:val="left"/>
            </w:pPr>
            <w:r>
              <w:t xml:space="preserve">3.5%–5.5%</w:t>
            </w:r>
          </w:p>
        </w:tc>
        <w:tc>
          <w:tcPr/>
          <w:p>
            <w:pPr>
              <w:pStyle w:val="Compact"/>
              <w:jc w:val="left"/>
            </w:pPr>
            <w:r>
              <w:t xml:space="preserve">4.0%</w:t>
            </w:r>
          </w:p>
        </w:tc>
        <w:tc>
          <w:tcPr/>
          <w:p>
            <w:pPr>
              <w:pStyle w:val="Compact"/>
              <w:jc w:val="left"/>
            </w:pPr>
            <w:r>
              <w:t xml:space="preserve">4.33%</w:t>
            </w:r>
          </w:p>
        </w:tc>
        <w:tc>
          <w:tcPr/>
          <w:p>
            <w:pPr>
              <w:pStyle w:val="Compact"/>
              <w:jc w:val="left"/>
            </w:pPr>
            <w:r>
              <w:rPr>
                <w:b/>
                <w:bCs/>
              </w:rPr>
              <w:t xml:space="preserve">6.25%</w:t>
            </w:r>
            <w:r>
              <w:t xml:space="preserve"> </w:t>
            </w:r>
            <w:r>
              <w:t xml:space="preserve">(above high)</w:t>
            </w:r>
          </w:p>
        </w:tc>
      </w:tr>
      <w:tr>
        <w:tc>
          <w:tcPr/>
          <w:p>
            <w:pPr>
              <w:pStyle w:val="Compact"/>
              <w:jc w:val="left"/>
            </w:pPr>
            <w:r>
              <w:t xml:space="preserve">Trait-expression platforms (Comps 4–6)</w:t>
            </w:r>
          </w:p>
        </w:tc>
        <w:tc>
          <w:tcPr/>
          <w:p>
            <w:pPr>
              <w:pStyle w:val="Compact"/>
              <w:jc w:val="left"/>
            </w:pPr>
            <w:r>
              <w:t xml:space="preserve">3.0%–4.5%</w:t>
            </w:r>
          </w:p>
        </w:tc>
        <w:tc>
          <w:tcPr/>
          <w:p>
            <w:pPr>
              <w:pStyle w:val="Compact"/>
              <w:jc w:val="left"/>
            </w:pPr>
            <w:r>
              <w:t xml:space="preserve">3.25%</w:t>
            </w:r>
          </w:p>
        </w:tc>
        <w:tc>
          <w:tcPr/>
          <w:p>
            <w:pPr>
              <w:pStyle w:val="Compact"/>
              <w:jc w:val="left"/>
            </w:pPr>
            <w:r>
              <w:t xml:space="preserve">3.58%</w:t>
            </w:r>
          </w:p>
        </w:tc>
        <w:tc>
          <w:tcPr/>
          <w:p>
            <w:pPr>
              <w:pStyle w:val="Compact"/>
              <w:jc w:val="left"/>
            </w:pPr>
            <w:r>
              <w:rPr>
                <w:b/>
                <w:bCs/>
              </w:rPr>
              <w:t xml:space="preserve">5.0%</w:t>
            </w:r>
            <w:r>
              <w:t xml:space="preserve"> </w:t>
            </w:r>
            <w:r>
              <w:t xml:space="preserve">(above high)</w:t>
            </w:r>
          </w:p>
        </w:tc>
      </w:tr>
      <w:tr>
        <w:tc>
          <w:tcPr/>
          <w:p>
            <w:pPr>
              <w:pStyle w:val="Compact"/>
              <w:jc w:val="left"/>
            </w:pPr>
            <w:r>
              <w:t xml:space="preserve">Bioinformatics software (Comps 7–8)</w:t>
            </w:r>
          </w:p>
        </w:tc>
        <w:tc>
          <w:tcPr/>
          <w:p>
            <w:pPr>
              <w:pStyle w:val="Compact"/>
              <w:jc w:val="left"/>
            </w:pPr>
            <w:r>
              <w:t xml:space="preserve">$2.9M–$3.2M</w:t>
            </w:r>
          </w:p>
        </w:tc>
        <w:tc>
          <w:tcPr/>
          <w:p>
            <w:pPr>
              <w:pStyle w:val="Compact"/>
              <w:jc w:val="left"/>
            </w:pPr>
            <w:r>
              <w:t xml:space="preserve">—</w:t>
            </w:r>
          </w:p>
        </w:tc>
        <w:tc>
          <w:tcPr/>
          <w:p>
            <w:pPr>
              <w:pStyle w:val="Compact"/>
              <w:jc w:val="left"/>
            </w:pPr>
            <w:r>
              <w:t xml:space="preserve">$3.05M</w:t>
            </w:r>
          </w:p>
        </w:tc>
        <w:tc>
          <w:tcPr/>
          <w:p>
            <w:pPr>
              <w:pStyle w:val="Compact"/>
              <w:jc w:val="left"/>
            </w:pPr>
            <w:r>
              <w:rPr>
                <w:b/>
                <w:bCs/>
              </w:rPr>
              <w:t xml:space="preserve">~$5.28M</w:t>
            </w:r>
            <w:r>
              <w:t xml:space="preserve"> </w:t>
            </w:r>
            <w:r>
              <w:t xml:space="preserve">(65% above mean)</w:t>
            </w:r>
          </w:p>
        </w:tc>
      </w:tr>
    </w:tbl>
    <w:p>
      <w:pPr>
        <w:pStyle w:val="BodyText"/>
      </w:pPr>
      <w:r>
        <w:rPr>
          <w:b/>
          <w:bCs/>
        </w:rPr>
        <w:t xml:space="preserve">NovaTrait’s proposed rates exceed the market medians and upper ranges for all three license categories.</w:t>
      </w:r>
      <w:r>
        <w:t xml:space="preserve"> </w:t>
      </w:r>
      <w:r>
        <w:t xml:space="preserve">Additionally,</w:t>
      </w:r>
      <w:r>
        <w:t xml:space="preserve"> </w:t>
      </w:r>
      <w:r>
        <w:rPr>
          <w:b/>
          <w:bCs/>
        </w:rPr>
        <w:t xml:space="preserve">modified Net Sales definitions</w:t>
      </w:r>
      <w:r>
        <w:t xml:space="preserve"> </w:t>
      </w:r>
      <w:r>
        <w:t xml:space="preserve">(removing standard deductions) are uncommon — only 1 of 6 rate-based comparables uses a modified definition, and that comparable removes returns only (not freight, insurance, and bad debt, as NovaTrait proposes). This supports Greenfield’s position that the Net Sales redefinition is non-standard and should be resisted or offset by a lower nominal rate.</w:t>
      </w:r>
    </w:p>
    <w:p>
      <w:r>
        <w:pict>
          <v:rect style="width:0;height:1.5pt" o:hralign="center" o:hrstd="t" o:hr="t"/>
        </w:pict>
      </w:r>
    </w:p>
    <w:bookmarkEnd w:id="55"/>
    <w:bookmarkStart w:id="59" w:name="X5a210e4711ad572f57a80e9f4b3e699e12b539c"/>
    <w:p>
      <w:pPr>
        <w:pStyle w:val="Heading2"/>
      </w:pPr>
      <w:r>
        <w:t xml:space="preserve">11. Recommended Negotiation Strategy and Counter-Positions</w:t>
      </w:r>
    </w:p>
    <w:bookmarkStart w:id="56" w:name="overarching-strategy"/>
    <w:p>
      <w:pPr>
        <w:pStyle w:val="Heading3"/>
      </w:pPr>
      <w:r>
        <w:t xml:space="preserve">11.1 Overarching Strategy</w:t>
      </w:r>
    </w:p>
    <w:p>
      <w:pPr>
        <w:pStyle w:val="Compact"/>
        <w:numPr>
          <w:ilvl w:val="0"/>
          <w:numId w:val="1009"/>
        </w:numPr>
      </w:pPr>
      <w:r>
        <w:rPr>
          <w:b/>
          <w:bCs/>
        </w:rPr>
        <w:t xml:space="preserve">Renew all three, but reprice and re-scope.</w:t>
      </w:r>
      <w:r>
        <w:t xml:space="preserve"> </w:t>
      </w:r>
      <w:r>
        <w:t xml:space="preserve">The technology stack is operationally interdependent and switching is not economic for A and B in the near term; renewal is the rational path. But the Package as proposed overpays and over-concedes.</w:t>
      </w:r>
    </w:p>
    <w:p>
      <w:pPr>
        <w:pStyle w:val="Compact"/>
        <w:numPr>
          <w:ilvl w:val="0"/>
          <w:numId w:val="1009"/>
        </w:numPr>
      </w:pPr>
      <w:r>
        <w:rPr>
          <w:b/>
          <w:bCs/>
        </w:rPr>
        <w:t xml:space="preserve">Decouple the three negotiations where leverage differs.</w:t>
      </w:r>
      <w:r>
        <w:t xml:space="preserve"> </w:t>
      </w:r>
      <w:r>
        <w:t xml:space="preserve">Lead with License C (strongest leverage, credible switching) to establish a disciplined pricing posture; handle License B with urgency given the standstill deadline but limited leverage; handle License A with the rate-cap, patent-expiry, and scope-reduction arguments.</w:t>
      </w:r>
    </w:p>
    <w:p>
      <w:pPr>
        <w:pStyle w:val="Compact"/>
        <w:numPr>
          <w:ilvl w:val="0"/>
          <w:numId w:val="1009"/>
        </w:numPr>
      </w:pPr>
      <w:r>
        <w:rPr>
          <w:b/>
          <w:bCs/>
        </w:rPr>
        <w:t xml:space="preserve">Sequence the standstill first.</w:t>
      </w:r>
      <w:r>
        <w:t xml:space="preserve"> </w:t>
      </w:r>
      <w:r>
        <w:t xml:space="preserve">Secure the License B standstill extension (to December 31, 2025) and confirm the License C holdover before negotiating economics — remove the time pressure NovaTrait is using to extract concessions.</w:t>
      </w:r>
    </w:p>
    <w:p>
      <w:pPr>
        <w:pStyle w:val="Compact"/>
        <w:numPr>
          <w:ilvl w:val="0"/>
          <w:numId w:val="1009"/>
        </w:numPr>
      </w:pPr>
      <w:r>
        <w:rPr>
          <w:b/>
          <w:bCs/>
        </w:rPr>
        <w:t xml:space="preserve">Bundled vs. unbundled.</w:t>
      </w:r>
      <w:r>
        <w:t xml:space="preserve"> </w:t>
      </w:r>
      <w:r>
        <w:t xml:space="preserve">NovaTrait proposes a</w:t>
      </w:r>
      <w:r>
        <w:t xml:space="preserve"> </w:t>
      </w:r>
      <w:r>
        <w:t xml:space="preserve">“</w:t>
      </w:r>
      <w:r>
        <w:t xml:space="preserve">coordinated</w:t>
      </w:r>
      <w:r>
        <w:t xml:space="preserve">”</w:t>
      </w:r>
      <w:r>
        <w:t xml:space="preserve"> </w:t>
      </w:r>
      <w:r>
        <w:t xml:space="preserve">package (single quarterly payment statement, cross-license term alignment). Greenfield should resist any framing that conditions concessions in one license on acceptance of adverse terms in another. Each license’s economics should stand on its own market and IP-value merits.</w:t>
      </w:r>
    </w:p>
    <w:p>
      <w:pPr>
        <w:pStyle w:val="Compact"/>
        <w:numPr>
          <w:ilvl w:val="0"/>
          <w:numId w:val="1009"/>
        </w:numPr>
      </w:pPr>
      <w:r>
        <w:rPr>
          <w:b/>
          <w:bCs/>
        </w:rPr>
        <w:t xml:space="preserve">Condition acceptance on diligence.</w:t>
      </w:r>
      <w:r>
        <w:t xml:space="preserve"> </w:t>
      </w:r>
      <w:r>
        <w:t xml:space="preserve">Reconcile the patent-term discrepancy (Section 5.8), verify the MFL clause (Section 5.9), confirm renewal-notice delivery (Section 3), and commission an updated IP landscape (Section 9) before finalizing.</w:t>
      </w:r>
    </w:p>
    <w:bookmarkEnd w:id="56"/>
    <w:bookmarkStart w:id="57" w:name="prioritized-counter-positions"/>
    <w:p>
      <w:pPr>
        <w:pStyle w:val="Heading3"/>
      </w:pPr>
      <w:r>
        <w:t xml:space="preserve">11.2 Prioritized Counter-Positions</w:t>
      </w:r>
    </w:p>
    <w:p>
      <w:pPr>
        <w:pStyle w:val="FirstParagraph"/>
      </w:pPr>
      <w:r>
        <w:t xml:space="preserve">The following matrix adapts Ridgemont’s negotiation-priorities analysis into recommended counter-positions, ranked by risk.</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License</w:t>
            </w:r>
          </w:p>
        </w:tc>
        <w:tc>
          <w:tcPr/>
          <w:p>
            <w:pPr>
              <w:pStyle w:val="Compact"/>
              <w:jc w:val="left"/>
            </w:pPr>
            <w:r>
              <w:t xml:space="preserve">Issue</w:t>
            </w:r>
          </w:p>
        </w:tc>
        <w:tc>
          <w:tcPr/>
          <w:p>
            <w:pPr>
              <w:pStyle w:val="Compact"/>
              <w:jc w:val="left"/>
            </w:pPr>
            <w:r>
              <w:t xml:space="preserve">NovaTrait proposal</w:t>
            </w:r>
          </w:p>
        </w:tc>
        <w:tc>
          <w:tcPr/>
          <w:p>
            <w:pPr>
              <w:pStyle w:val="Compact"/>
              <w:jc w:val="left"/>
            </w:pPr>
            <w:r>
              <w:t xml:space="preserve">Greenfield position</w:t>
            </w:r>
          </w:p>
        </w:tc>
        <w:tc>
          <w:tcPr/>
          <w:p>
            <w:pPr>
              <w:pStyle w:val="Compact"/>
              <w:jc w:val="left"/>
            </w:pPr>
            <w:r>
              <w:t xml:space="preserve">Recommended counter</w:t>
            </w:r>
          </w:p>
        </w:tc>
        <w:tc>
          <w:tcPr/>
          <w:p>
            <w:pPr>
              <w:pStyle w:val="Compact"/>
              <w:jc w:val="left"/>
            </w:pPr>
            <w:r>
              <w:t xml:space="preserve">Risk</w:t>
            </w:r>
          </w:p>
        </w:tc>
      </w:tr>
      <w:tr>
        <w:tc>
          <w:tcPr/>
          <w:p>
            <w:pPr>
              <w:pStyle w:val="Compact"/>
              <w:jc w:val="left"/>
            </w:pPr>
            <w:r>
              <w:t xml:space="preserve">1</w:t>
            </w:r>
          </w:p>
        </w:tc>
        <w:tc>
          <w:tcPr/>
          <w:p>
            <w:pPr>
              <w:pStyle w:val="Compact"/>
              <w:jc w:val="left"/>
            </w:pPr>
            <w:r>
              <w:t xml:space="preserve">B</w:t>
            </w:r>
          </w:p>
        </w:tc>
        <w:tc>
          <w:tcPr/>
          <w:p>
            <w:pPr>
              <w:pStyle w:val="Compact"/>
              <w:jc w:val="left"/>
            </w:pPr>
            <w:r>
              <w:t xml:space="preserve">Standstill expiration (Jun 29, 2025)</w:t>
            </w:r>
          </w:p>
        </w:tc>
        <w:tc>
          <w:tcPr/>
          <w:p>
            <w:pPr>
              <w:pStyle w:val="Compact"/>
              <w:jc w:val="left"/>
            </w:pPr>
            <w:r>
              <w:t xml:space="preserve">Renewal effective 1/1/2025; standstill to 6/30/2025</w:t>
            </w:r>
          </w:p>
        </w:tc>
        <w:tc>
          <w:tcPr/>
          <w:p>
            <w:pPr>
              <w:pStyle w:val="Compact"/>
              <w:jc w:val="left"/>
            </w:pPr>
            <w:r>
              <w:t xml:space="preserve">Must resolve or extend</w:t>
            </w:r>
          </w:p>
        </w:tc>
        <w:tc>
          <w:tcPr/>
          <w:p>
            <w:pPr>
              <w:pStyle w:val="Compact"/>
              <w:jc w:val="left"/>
            </w:pPr>
            <w:r>
              <w:rPr>
                <w:b/>
                <w:bCs/>
              </w:rPr>
              <w:t xml:space="preserve">Written standstill extension to 12/31/2025</w:t>
            </w:r>
            <w:r>
              <w:t xml:space="preserve"> </w:t>
            </w:r>
            <w:r>
              <w:t xml:space="preserve">as condition of continued negotiation</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C</w:t>
            </w:r>
          </w:p>
        </w:tc>
        <w:tc>
          <w:tcPr/>
          <w:p>
            <w:pPr>
              <w:pStyle w:val="Compact"/>
              <w:jc w:val="left"/>
            </w:pPr>
            <w:r>
              <w:t xml:space="preserve">Derivative/output-data ownership</w:t>
            </w:r>
          </w:p>
        </w:tc>
        <w:tc>
          <w:tcPr/>
          <w:p>
            <w:pPr>
              <w:pStyle w:val="Compact"/>
              <w:jc w:val="left"/>
            </w:pPr>
            <w:r>
              <w:t xml:space="preserve">NovaTrait owns; Greenfield non-exclusive license</w:t>
            </w:r>
          </w:p>
        </w:tc>
        <w:tc>
          <w:tcPr/>
          <w:p>
            <w:pPr>
              <w:pStyle w:val="Compact"/>
              <w:jc w:val="left"/>
            </w:pPr>
            <w:r>
              <w:t xml:space="preserve">Greenfield must own all output/derived data</w:t>
            </w:r>
          </w:p>
        </w:tc>
        <w:tc>
          <w:tcPr/>
          <w:p>
            <w:pPr>
              <w:pStyle w:val="Compact"/>
              <w:jc w:val="left"/>
            </w:pPr>
            <w:r>
              <w:rPr>
                <w:b/>
                <w:bCs/>
              </w:rPr>
              <w:t xml:space="preserve">All output data solely owned by Greenfield</w:t>
            </w:r>
            <w:r>
              <w:t xml:space="preserve"> </w:t>
            </w:r>
            <w:r>
              <w:t xml:space="preserve">(per §9.2 principle)</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A</w:t>
            </w:r>
          </w:p>
        </w:tc>
        <w:tc>
          <w:tcPr/>
          <w:p>
            <w:pPr>
              <w:pStyle w:val="Compact"/>
              <w:jc w:val="left"/>
            </w:pPr>
            <w:r>
              <w:t xml:space="preserve">Improvement ownership</w:t>
            </w:r>
          </w:p>
        </w:tc>
        <w:tc>
          <w:tcPr/>
          <w:p>
            <w:pPr>
              <w:pStyle w:val="Compact"/>
              <w:jc w:val="left"/>
            </w:pPr>
            <w:r>
              <w:t xml:space="preserve">Joint ownership; royalty-free grant to NovaTrait</w:t>
            </w:r>
          </w:p>
        </w:tc>
        <w:tc>
          <w:tcPr/>
          <w:p>
            <w:pPr>
              <w:pStyle w:val="Compact"/>
              <w:jc w:val="left"/>
            </w:pPr>
            <w:r>
              <w:t xml:space="preserve">Retain sole Greenfield ownership (§8.1)</w:t>
            </w:r>
          </w:p>
        </w:tc>
        <w:tc>
          <w:tcPr/>
          <w:p>
            <w:pPr>
              <w:pStyle w:val="Compact"/>
              <w:jc w:val="left"/>
            </w:pPr>
            <w:r>
              <w:rPr>
                <w:b/>
                <w:bCs/>
              </w:rPr>
              <w:t xml:space="preserve">Greenfield sole ownership retained</w:t>
            </w:r>
            <w:r>
              <w:t xml:space="preserve">; non-exclusive license to NovaTrait at defined reduced royalty</w:t>
            </w:r>
          </w:p>
        </w:tc>
        <w:tc>
          <w:tcPr/>
          <w:p>
            <w:pPr>
              <w:pStyle w:val="Compact"/>
              <w:jc w:val="left"/>
            </w:pPr>
            <w:r>
              <w:t xml:space="preserve">HIGH</w:t>
            </w:r>
          </w:p>
        </w:tc>
      </w:tr>
      <w:tr>
        <w:tc>
          <w:tcPr/>
          <w:p>
            <w:pPr>
              <w:pStyle w:val="Compact"/>
              <w:jc w:val="left"/>
            </w:pPr>
            <w:r>
              <w:t xml:space="preserve">4</w:t>
            </w:r>
          </w:p>
        </w:tc>
        <w:tc>
          <w:tcPr/>
          <w:p>
            <w:pPr>
              <w:pStyle w:val="Compact"/>
              <w:jc w:val="left"/>
            </w:pPr>
            <w:r>
              <w:t xml:space="preserve">A</w:t>
            </w:r>
          </w:p>
        </w:tc>
        <w:tc>
          <w:tcPr/>
          <w:p>
            <w:pPr>
              <w:pStyle w:val="Compact"/>
              <w:jc w:val="left"/>
            </w:pPr>
            <w:r>
              <w:t xml:space="preserve">Royalty rate + Net Sales redefinition (combined)</w:t>
            </w:r>
          </w:p>
        </w:tc>
        <w:tc>
          <w:tcPr/>
          <w:p>
            <w:pPr>
              <w:pStyle w:val="Compact"/>
              <w:jc w:val="left"/>
            </w:pPr>
            <w:r>
              <w:t xml:space="preserve">6.25% on redefined NS (eff. ~6.70%)</w:t>
            </w:r>
          </w:p>
        </w:tc>
        <w:tc>
          <w:tcPr/>
          <w:p>
            <w:pPr>
              <w:pStyle w:val="Compact"/>
              <w:jc w:val="left"/>
            </w:pPr>
            <w:r>
              <w:t xml:space="preserve">Current 4.5% on standard NS</w:t>
            </w:r>
          </w:p>
        </w:tc>
        <w:tc>
          <w:tcPr/>
          <w:p>
            <w:pPr>
              <w:pStyle w:val="Compact"/>
              <w:jc w:val="left"/>
            </w:pPr>
            <w:r>
              <w:rPr>
                <w:b/>
                <w:bCs/>
              </w:rPr>
              <w:t xml:space="preserve">5.0% on original NS definition, or 4.75% on redefined definition</w:t>
            </w:r>
            <w:r>
              <w:t xml:space="preserve">; argue combined effect vs. 150% cap</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B</w:t>
            </w:r>
          </w:p>
        </w:tc>
        <w:tc>
          <w:tcPr/>
          <w:p>
            <w:pPr>
              <w:pStyle w:val="Compact"/>
              <w:jc w:val="left"/>
            </w:pPr>
            <w:r>
              <w:t xml:space="preserve">Royalty rate</w:t>
            </w:r>
          </w:p>
        </w:tc>
        <w:tc>
          <w:tcPr/>
          <w:p>
            <w:pPr>
              <w:pStyle w:val="Compact"/>
              <w:jc w:val="left"/>
            </w:pPr>
            <w:r>
              <w:t xml:space="preserve">5.0% (above 3.0–4.5% market)</w:t>
            </w:r>
          </w:p>
        </w:tc>
        <w:tc>
          <w:tcPr/>
          <w:p>
            <w:pPr>
              <w:pStyle w:val="Compact"/>
              <w:jc w:val="left"/>
            </w:pPr>
            <w:r>
              <w:t xml:space="preserve">Current 3.75%</w:t>
            </w:r>
          </w:p>
        </w:tc>
        <w:tc>
          <w:tcPr/>
          <w:p>
            <w:pPr>
              <w:pStyle w:val="Compact"/>
              <w:jc w:val="left"/>
            </w:pPr>
            <w:r>
              <w:rPr>
                <w:b/>
                <w:bCs/>
              </w:rPr>
              <w:t xml:space="preserve">4.25% on original NS definition</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C</w:t>
            </w:r>
          </w:p>
        </w:tc>
        <w:tc>
          <w:tcPr/>
          <w:p>
            <w:pPr>
              <w:pStyle w:val="Compact"/>
              <w:jc w:val="left"/>
            </w:pPr>
            <w:r>
              <w:t xml:space="preserve">Source-code access</w:t>
            </w:r>
          </w:p>
        </w:tc>
        <w:tc>
          <w:tcPr/>
          <w:p>
            <w:pPr>
              <w:pStyle w:val="Compact"/>
              <w:jc w:val="left"/>
            </w:pPr>
            <w:r>
              <w:t xml:space="preserve">Eliminated; object code only</w:t>
            </w:r>
          </w:p>
        </w:tc>
        <w:tc>
          <w:tcPr/>
          <w:p>
            <w:pPr>
              <w:pStyle w:val="Compact"/>
              <w:jc w:val="left"/>
            </w:pPr>
            <w:r>
              <w:t xml:space="preserve">Retain full access (§5.2)</w:t>
            </w:r>
          </w:p>
        </w:tc>
        <w:tc>
          <w:tcPr/>
          <w:p>
            <w:pPr>
              <w:pStyle w:val="Compact"/>
              <w:jc w:val="left"/>
            </w:pPr>
            <w:r>
              <w:rPr>
                <w:b/>
                <w:bCs/>
              </w:rPr>
              <w:t xml:space="preserve">Retain source-code access</w:t>
            </w:r>
            <w:r>
              <w:t xml:space="preserve">; accept reasonable security/escrow</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B</w:t>
            </w:r>
          </w:p>
        </w:tc>
        <w:tc>
          <w:tcPr/>
          <w:p>
            <w:pPr>
              <w:pStyle w:val="Compact"/>
              <w:jc w:val="left"/>
            </w:pPr>
            <w:r>
              <w:t xml:space="preserve">Biological-materials return</w:t>
            </w:r>
          </w:p>
        </w:tc>
        <w:tc>
          <w:tcPr/>
          <w:p>
            <w:pPr>
              <w:pStyle w:val="Compact"/>
              <w:jc w:val="left"/>
            </w:pPr>
            <w:r>
              <w:t xml:space="preserve">30-day return/destroy, no wind-down</w:t>
            </w:r>
          </w:p>
        </w:tc>
        <w:tc>
          <w:tcPr/>
          <w:p>
            <w:pPr>
              <w:pStyle w:val="Compact"/>
              <w:jc w:val="left"/>
            </w:pPr>
            <w:r>
              <w:t xml:space="preserve">Inadequate for continuity</w:t>
            </w:r>
          </w:p>
        </w:tc>
        <w:tc>
          <w:tcPr/>
          <w:p>
            <w:pPr>
              <w:pStyle w:val="Compact"/>
              <w:jc w:val="left"/>
            </w:pPr>
            <w:r>
              <w:rPr>
                <w:b/>
                <w:bCs/>
              </w:rPr>
              <w:t xml:space="preserve">180-day wind-down</w:t>
            </w:r>
            <w:r>
              <w:t xml:space="preserve"> </w:t>
            </w:r>
            <w:r>
              <w:t xml:space="preserve">with right to use materials in ongoing trials</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C</w:t>
            </w:r>
          </w:p>
        </w:tc>
        <w:tc>
          <w:tcPr/>
          <w:p>
            <w:pPr>
              <w:pStyle w:val="Compact"/>
              <w:jc w:val="left"/>
            </w:pPr>
            <w:r>
              <w:t xml:space="preserve">Annual fee + user cap</w:t>
            </w:r>
          </w:p>
        </w:tc>
        <w:tc>
          <w:tcPr/>
          <w:p>
            <w:pPr>
              <w:pStyle w:val="Compact"/>
              <w:jc w:val="left"/>
            </w:pPr>
            <w:r>
              <w:t xml:space="preserve">$4.85M + 50-user cap ($5.28M total)</w:t>
            </w:r>
          </w:p>
        </w:tc>
        <w:tc>
          <w:tcPr/>
          <w:p>
            <w:pPr>
              <w:pStyle w:val="Compact"/>
              <w:jc w:val="left"/>
            </w:pPr>
            <w:r>
              <w:t xml:space="preserve">Current $3.14M (unlimited)</w:t>
            </w:r>
          </w:p>
        </w:tc>
        <w:tc>
          <w:tcPr/>
          <w:p>
            <w:pPr>
              <w:pStyle w:val="Compact"/>
              <w:jc w:val="left"/>
            </w:pPr>
            <w:r>
              <w:rPr>
                <w:b/>
                <w:bCs/>
              </w:rPr>
              <w:t xml:space="preserve">$3.75M with 80-user cap</w:t>
            </w:r>
            <w:r>
              <w:t xml:space="preserve">; overage $12,000/user</w:t>
            </w:r>
          </w:p>
        </w:tc>
        <w:tc>
          <w:tcPr/>
          <w:p>
            <w:pPr>
              <w:pStyle w:val="Compact"/>
              <w:jc w:val="left"/>
            </w:pPr>
            <w:r>
              <w:t xml:space="preserve">MEDIUM</w:t>
            </w:r>
          </w:p>
        </w:tc>
      </w:tr>
      <w:tr>
        <w:tc>
          <w:tcPr/>
          <w:p>
            <w:pPr>
              <w:pStyle w:val="Compact"/>
              <w:jc w:val="left"/>
            </w:pPr>
            <w:r>
              <w:t xml:space="preserve">9</w:t>
            </w:r>
          </w:p>
        </w:tc>
        <w:tc>
          <w:tcPr/>
          <w:p>
            <w:pPr>
              <w:pStyle w:val="Compact"/>
              <w:jc w:val="left"/>
            </w:pPr>
            <w:r>
              <w:t xml:space="preserve">A</w:t>
            </w:r>
          </w:p>
        </w:tc>
        <w:tc>
          <w:tcPr/>
          <w:p>
            <w:pPr>
              <w:pStyle w:val="Compact"/>
              <w:jc w:val="left"/>
            </w:pPr>
            <w:r>
              <w:t xml:space="preserve">Sublicense pass-through</w:t>
            </w:r>
          </w:p>
        </w:tc>
        <w:tc>
          <w:tcPr/>
          <w:p>
            <w:pPr>
              <w:pStyle w:val="Compact"/>
              <w:jc w:val="left"/>
            </w:pPr>
            <w:r>
              <w:t xml:space="preserve">35% → 50%</w:t>
            </w:r>
          </w:p>
        </w:tc>
        <w:tc>
          <w:tcPr/>
          <w:p>
            <w:pPr>
              <w:pStyle w:val="Compact"/>
              <w:jc w:val="left"/>
            </w:pPr>
            <w:r>
              <w:t xml:space="preserve">35% already above median</w:t>
            </w:r>
          </w:p>
        </w:tc>
        <w:tc>
          <w:tcPr/>
          <w:p>
            <w:pPr>
              <w:pStyle w:val="Compact"/>
              <w:jc w:val="left"/>
            </w:pPr>
            <w:r>
              <w:rPr>
                <w:b/>
                <w:bCs/>
              </w:rPr>
              <w:t xml:space="preserve">Retain 35%</w:t>
            </w:r>
            <w:r>
              <w:t xml:space="preserve">, or 40% with volume discount above $2M</w:t>
            </w:r>
          </w:p>
        </w:tc>
        <w:tc>
          <w:tcPr/>
          <w:p>
            <w:pPr>
              <w:pStyle w:val="Compact"/>
              <w:jc w:val="left"/>
            </w:pPr>
            <w:r>
              <w:t xml:space="preserve">MEDIUM</w:t>
            </w:r>
          </w:p>
        </w:tc>
      </w:tr>
      <w:tr>
        <w:tc>
          <w:tcPr/>
          <w:p>
            <w:pPr>
              <w:pStyle w:val="Compact"/>
              <w:jc w:val="left"/>
            </w:pPr>
            <w:r>
              <w:t xml:space="preserve">10</w:t>
            </w:r>
          </w:p>
        </w:tc>
        <w:tc>
          <w:tcPr/>
          <w:p>
            <w:pPr>
              <w:pStyle w:val="Compact"/>
              <w:jc w:val="left"/>
            </w:pPr>
            <w:r>
              <w:t xml:space="preserve">B</w:t>
            </w:r>
          </w:p>
        </w:tc>
        <w:tc>
          <w:tcPr/>
          <w:p>
            <w:pPr>
              <w:pStyle w:val="Compact"/>
              <w:jc w:val="left"/>
            </w:pPr>
            <w:r>
              <w:t xml:space="preserve">Prairielands pass-through</w:t>
            </w:r>
          </w:p>
        </w:tc>
        <w:tc>
          <w:tcPr/>
          <w:p>
            <w:pPr>
              <w:pStyle w:val="Compact"/>
              <w:jc w:val="left"/>
            </w:pPr>
            <w:r>
              <w:t xml:space="preserve">40% within 6 months</w:t>
            </w:r>
          </w:p>
        </w:tc>
        <w:tc>
          <w:tcPr/>
          <w:p>
            <w:pPr>
              <w:pStyle w:val="Compact"/>
              <w:jc w:val="left"/>
            </w:pPr>
            <w:r>
              <w:t xml:space="preserve">No current obligation</w:t>
            </w:r>
          </w:p>
        </w:tc>
        <w:tc>
          <w:tcPr/>
          <w:p>
            <w:pPr>
              <w:pStyle w:val="Compact"/>
              <w:jc w:val="left"/>
            </w:pPr>
            <w:r>
              <w:rPr>
                <w:b/>
                <w:bCs/>
              </w:rPr>
              <w:t xml:space="preserve">20% with 12-month phase-in</w:t>
            </w:r>
            <w:r>
              <w:t xml:space="preserve">, prospective only</w:t>
            </w:r>
          </w:p>
        </w:tc>
        <w:tc>
          <w:tcPr/>
          <w:p>
            <w:pPr>
              <w:pStyle w:val="Compact"/>
              <w:jc w:val="left"/>
            </w:pPr>
            <w:r>
              <w:t xml:space="preserve">MEDIUM</w:t>
            </w:r>
          </w:p>
        </w:tc>
      </w:tr>
      <w:tr>
        <w:tc>
          <w:tcPr/>
          <w:p>
            <w:pPr>
              <w:pStyle w:val="Compact"/>
              <w:jc w:val="left"/>
            </w:pPr>
            <w:r>
              <w:t xml:space="preserve">11</w:t>
            </w:r>
          </w:p>
        </w:tc>
        <w:tc>
          <w:tcPr/>
          <w:p>
            <w:pPr>
              <w:pStyle w:val="Compact"/>
              <w:jc w:val="left"/>
            </w:pPr>
            <w:r>
              <w:t xml:space="preserve">A</w:t>
            </w:r>
          </w:p>
        </w:tc>
        <w:tc>
          <w:tcPr/>
          <w:p>
            <w:pPr>
              <w:pStyle w:val="Compact"/>
              <w:jc w:val="left"/>
            </w:pPr>
            <w:r>
              <w:t xml:space="preserve">Insect-resistance removal from FOV</w:t>
            </w:r>
          </w:p>
        </w:tc>
        <w:tc>
          <w:tcPr/>
          <w:p>
            <w:pPr>
              <w:pStyle w:val="Compact"/>
              <w:jc w:val="left"/>
            </w:pPr>
            <w:r>
              <w:t xml:space="preserve">Removes IR; adds wheat</w:t>
            </w:r>
          </w:p>
        </w:tc>
        <w:tc>
          <w:tcPr/>
          <w:p>
            <w:pPr>
              <w:pStyle w:val="Compact"/>
              <w:jc w:val="left"/>
            </w:pPr>
            <w:r>
              <w:t xml:space="preserve">IR is ~30% of License A revenue</w:t>
            </w:r>
          </w:p>
        </w:tc>
        <w:tc>
          <w:tcPr/>
          <w:p>
            <w:pPr>
              <w:pStyle w:val="Compact"/>
              <w:jc w:val="left"/>
            </w:pPr>
            <w:r>
              <w:rPr>
                <w:b/>
                <w:bCs/>
              </w:rPr>
              <w:t xml:space="preserve">Retain IR AND add wheat</w:t>
            </w:r>
            <w:r>
              <w:t xml:space="preserve">; if IR must go, transitional license + rate/MAR reduction</w:t>
            </w:r>
          </w:p>
        </w:tc>
        <w:tc>
          <w:tcPr/>
          <w:p>
            <w:pPr>
              <w:pStyle w:val="Compact"/>
              <w:jc w:val="left"/>
            </w:pPr>
            <w:r>
              <w:t xml:space="preserve">MEDIUM</w:t>
            </w:r>
          </w:p>
        </w:tc>
      </w:tr>
      <w:tr>
        <w:tc>
          <w:tcPr/>
          <w:p>
            <w:pPr>
              <w:pStyle w:val="Compact"/>
              <w:jc w:val="left"/>
            </w:pPr>
            <w:r>
              <w:t xml:space="preserve">12</w:t>
            </w:r>
          </w:p>
        </w:tc>
        <w:tc>
          <w:tcPr/>
          <w:p>
            <w:pPr>
              <w:pStyle w:val="Compact"/>
              <w:jc w:val="left"/>
            </w:pPr>
            <w:r>
              <w:t xml:space="preserve">B</w:t>
            </w:r>
          </w:p>
        </w:tc>
        <w:tc>
          <w:tcPr/>
          <w:p>
            <w:pPr>
              <w:pStyle w:val="Compact"/>
              <w:jc w:val="left"/>
            </w:pPr>
            <w:r>
              <w:t xml:space="preserve">Audit rights</w:t>
            </w:r>
          </w:p>
        </w:tc>
        <w:tc>
          <w:tcPr/>
          <w:p>
            <w:pPr>
              <w:pStyle w:val="Compact"/>
              <w:jc w:val="left"/>
            </w:pPr>
            <w:r>
              <w:t xml:space="preserve">2x/year, 15 business days</w:t>
            </w:r>
          </w:p>
        </w:tc>
        <w:tc>
          <w:tcPr/>
          <w:p>
            <w:pPr>
              <w:pStyle w:val="Compact"/>
              <w:jc w:val="left"/>
            </w:pPr>
            <w:r>
              <w:t xml:space="preserve">Current 1x/year, 30 days</w:t>
            </w:r>
          </w:p>
        </w:tc>
        <w:tc>
          <w:tcPr/>
          <w:p>
            <w:pPr>
              <w:pStyle w:val="Compact"/>
              <w:jc w:val="left"/>
            </w:pPr>
            <w:r>
              <w:rPr>
                <w:b/>
                <w:bCs/>
              </w:rPr>
              <w:t xml:space="preserve">Retain 1x/year</w:t>
            </w:r>
            <w:r>
              <w:t xml:space="preserve">; accept 20 business days’ notice</w:t>
            </w:r>
          </w:p>
        </w:tc>
        <w:tc>
          <w:tcPr/>
          <w:p>
            <w:pPr>
              <w:pStyle w:val="Compact"/>
              <w:jc w:val="left"/>
            </w:pPr>
            <w:r>
              <w:t xml:space="preserve">LOW</w:t>
            </w:r>
          </w:p>
        </w:tc>
      </w:tr>
      <w:tr>
        <w:tc>
          <w:tcPr/>
          <w:p>
            <w:pPr>
              <w:pStyle w:val="Compact"/>
              <w:jc w:val="left"/>
            </w:pPr>
            <w:r>
              <w:t xml:space="preserve">13</w:t>
            </w:r>
          </w:p>
        </w:tc>
        <w:tc>
          <w:tcPr/>
          <w:p>
            <w:pPr>
              <w:pStyle w:val="Compact"/>
              <w:jc w:val="left"/>
            </w:pPr>
            <w:r>
              <w:t xml:space="preserve">A</w:t>
            </w:r>
          </w:p>
        </w:tc>
        <w:tc>
          <w:tcPr/>
          <w:p>
            <w:pPr>
              <w:pStyle w:val="Compact"/>
              <w:jc w:val="left"/>
            </w:pPr>
            <w:r>
              <w:t xml:space="preserve">Anti-stacking floor</w:t>
            </w:r>
          </w:p>
        </w:tc>
        <w:tc>
          <w:tcPr/>
          <w:p>
            <w:pPr>
              <w:pStyle w:val="Compact"/>
              <w:jc w:val="left"/>
            </w:pPr>
            <w:r>
              <w:t xml:space="preserve">25% offset; floor at MAR</w:t>
            </w:r>
          </w:p>
        </w:tc>
        <w:tc>
          <w:tcPr/>
          <w:p>
            <w:pPr>
              <w:pStyle w:val="Compact"/>
              <w:jc w:val="left"/>
            </w:pPr>
            <w:r>
              <w:t xml:space="preserve">Beneficial but floor limits utility</w:t>
            </w:r>
          </w:p>
        </w:tc>
        <w:tc>
          <w:tcPr/>
          <w:p>
            <w:pPr>
              <w:pStyle w:val="Compact"/>
              <w:jc w:val="left"/>
            </w:pPr>
            <w:r>
              <w:rPr>
                <w:b/>
                <w:bCs/>
              </w:rPr>
              <w:t xml:space="preserve">Accept with floor at 75% of calculated (not minimum) royalty</w:t>
            </w:r>
          </w:p>
        </w:tc>
        <w:tc>
          <w:tcPr/>
          <w:p>
            <w:pPr>
              <w:pStyle w:val="Compact"/>
              <w:jc w:val="left"/>
            </w:pPr>
            <w:r>
              <w:t xml:space="preserve">LOW</w:t>
            </w:r>
          </w:p>
        </w:tc>
      </w:tr>
      <w:tr>
        <w:tc>
          <w:tcPr/>
          <w:p>
            <w:pPr>
              <w:pStyle w:val="Compact"/>
              <w:jc w:val="left"/>
            </w:pPr>
            <w:r>
              <w:t xml:space="preserve">14</w:t>
            </w:r>
          </w:p>
        </w:tc>
        <w:tc>
          <w:tcPr/>
          <w:p>
            <w:pPr>
              <w:pStyle w:val="Compact"/>
              <w:jc w:val="left"/>
            </w:pPr>
            <w:r>
              <w:t xml:space="preserve">C</w:t>
            </w:r>
          </w:p>
        </w:tc>
        <w:tc>
          <w:tcPr/>
          <w:p>
            <w:pPr>
              <w:pStyle w:val="Compact"/>
              <w:jc w:val="left"/>
            </w:pPr>
            <w:r>
              <w:t xml:space="preserve">Version 5.x conversion tool</w:t>
            </w:r>
          </w:p>
        </w:tc>
        <w:tc>
          <w:tcPr/>
          <w:p>
            <w:pPr>
              <w:pStyle w:val="Compact"/>
              <w:jc w:val="left"/>
            </w:pPr>
            <w:r>
              <w:t xml:space="preserve">$175K additional</w:t>
            </w:r>
          </w:p>
        </w:tc>
        <w:tc>
          <w:tcPr/>
          <w:p>
            <w:pPr>
              <w:pStyle w:val="Compact"/>
              <w:jc w:val="left"/>
            </w:pPr>
            <w:r>
              <w:t xml:space="preserve">Should be included</w:t>
            </w:r>
          </w:p>
        </w:tc>
        <w:tc>
          <w:tcPr/>
          <w:p>
            <w:pPr>
              <w:pStyle w:val="Compact"/>
              <w:jc w:val="left"/>
            </w:pPr>
            <w:r>
              <w:rPr>
                <w:b/>
                <w:bCs/>
              </w:rPr>
              <w:t xml:space="preserve">Included at no cost</w:t>
            </w:r>
            <w:r>
              <w:t xml:space="preserve"> </w:t>
            </w:r>
            <w:r>
              <w:t xml:space="preserve">as condition of renewal</w:t>
            </w:r>
          </w:p>
        </w:tc>
        <w:tc>
          <w:tcPr/>
          <w:p>
            <w:pPr>
              <w:pStyle w:val="Compact"/>
              <w:jc w:val="left"/>
            </w:pPr>
            <w:r>
              <w:t xml:space="preserve">LOW</w:t>
            </w:r>
          </w:p>
        </w:tc>
      </w:tr>
    </w:tbl>
    <w:bookmarkEnd w:id="57"/>
    <w:bookmarkStart w:id="58" w:name="additional-recommended-terms"/>
    <w:p>
      <w:pPr>
        <w:pStyle w:val="Heading3"/>
      </w:pPr>
      <w:r>
        <w:t xml:space="preserve">11.3 Additional Recommended Terms</w:t>
      </w:r>
    </w:p>
    <w:p>
      <w:pPr>
        <w:pStyle w:val="Compact"/>
        <w:numPr>
          <w:ilvl w:val="0"/>
          <w:numId w:val="1010"/>
        </w:numPr>
      </w:pPr>
      <w:r>
        <w:rPr>
          <w:b/>
          <w:bCs/>
        </w:rPr>
        <w:t xml:space="preserve">License A post-2028 step-down:</w:t>
      </w:r>
      <w:r>
        <w:t xml:space="preserve"> </w:t>
      </w:r>
      <w:r>
        <w:t xml:space="preserve">Insert a royalty step-down (target 2.0–3.5%) or rate-renegotiation trigger effective upon expiry of U.S. 9,234,117 (March 12, 2028), reflecting the ~60% portfolio-value loss.</w:t>
      </w:r>
    </w:p>
    <w:p>
      <w:pPr>
        <w:pStyle w:val="Compact"/>
        <w:numPr>
          <w:ilvl w:val="0"/>
          <w:numId w:val="1010"/>
        </w:numPr>
      </w:pPr>
      <w:r>
        <w:rPr>
          <w:b/>
          <w:bCs/>
        </w:rPr>
        <w:t xml:space="preserve">License B term:</w:t>
      </w:r>
      <w:r>
        <w:t xml:space="preserve"> </w:t>
      </w:r>
      <w:r>
        <w:t xml:space="preserve">Seek the longest practical renewal term (the proposed 5 years, plus the 3-year further-renewal option) to lock in rates before NovaTrait can seek further increases, given TraitForge’s irreplaceability.</w:t>
      </w:r>
    </w:p>
    <w:p>
      <w:pPr>
        <w:pStyle w:val="Compact"/>
        <w:numPr>
          <w:ilvl w:val="0"/>
          <w:numId w:val="1010"/>
        </w:numPr>
      </w:pPr>
      <w:r>
        <w:rPr>
          <w:b/>
          <w:bCs/>
        </w:rPr>
        <w:t xml:space="preserve">License C term/optionality:</w:t>
      </w:r>
      <w:r>
        <w:t xml:space="preserve"> </w:t>
      </w:r>
      <w:r>
        <w:t xml:space="preserve">Retain a renewal option; begin alternative-platform evaluation no later than mid-2027 to preserve switching optionality at the 2028 renewal.</w:t>
      </w:r>
    </w:p>
    <w:p>
      <w:pPr>
        <w:pStyle w:val="Compact"/>
        <w:numPr>
          <w:ilvl w:val="0"/>
          <w:numId w:val="1010"/>
        </w:numPr>
      </w:pPr>
      <w:r>
        <w:rPr>
          <w:b/>
          <w:bCs/>
        </w:rPr>
        <w:t xml:space="preserve">MFL clauses:</w:t>
      </w:r>
      <w:r>
        <w:t xml:space="preserve"> </w:t>
      </w:r>
      <w:r>
        <w:t xml:space="preserve">If MFL clauses exist (verify per Section 5.9), ensure they are calculated on an agreement-by-agreement basis (as NovaTrait proposes) and that Greenfield understands and can invoke them.</w:t>
      </w:r>
    </w:p>
    <w:p>
      <w:pPr>
        <w:pStyle w:val="Compact"/>
        <w:numPr>
          <w:ilvl w:val="0"/>
          <w:numId w:val="1010"/>
        </w:numPr>
      </w:pPr>
      <w:r>
        <w:rPr>
          <w:b/>
          <w:bCs/>
        </w:rPr>
        <w:t xml:space="preserve">Prairielands sublicense:</w:t>
      </w:r>
      <w:r>
        <w:t xml:space="preserve"> </w:t>
      </w:r>
      <w:r>
        <w:t xml:space="preserve">Renew/amend the Prairielands sublicense in parallel with License B (it expired 12/31/2024); use NovaTrait’s required consent under §12.4 as a reciprocal lever on the pass-through economics.</w:t>
      </w:r>
    </w:p>
    <w:p>
      <w:r>
        <w:pict>
          <v:rect style="width:0;height:1.5pt" o:hralign="center" o:hrstd="t" o:hr="t"/>
        </w:pict>
      </w:r>
    </w:p>
    <w:bookmarkEnd w:id="58"/>
    <w:bookmarkEnd w:id="59"/>
    <w:bookmarkStart w:id="60" w:name="diligence-and-open-items"/>
    <w:p>
      <w:pPr>
        <w:pStyle w:val="Heading2"/>
      </w:pPr>
      <w:r>
        <w:t xml:space="preserve">12. Diligence and Open Items</w:t>
      </w:r>
    </w:p>
    <w:p>
      <w:pPr>
        <w:pStyle w:val="FirstParagraph"/>
      </w:pPr>
      <w:r>
        <w:t xml:space="preserve">Before transmitting the counter-proposal (target April 15, 2025), the following should be resolved:</w:t>
      </w:r>
    </w:p>
    <w:p>
      <w:pPr>
        <w:pStyle w:val="Compact"/>
        <w:numPr>
          <w:ilvl w:val="0"/>
          <w:numId w:val="1011"/>
        </w:numPr>
      </w:pPr>
      <w:r>
        <w:rPr>
          <w:b/>
          <w:bCs/>
        </w:rPr>
        <w:t xml:space="preserve">Renewal-notice delivery (Licenses B &amp; C).</w:t>
      </w:r>
      <w:r>
        <w:t xml:space="preserve"> </w:t>
      </w:r>
      <w:r>
        <w:t xml:space="preserve">Confirm with documentary evidence (date-stamped delivery) that timely renewal notices were delivered by September 30, 2024 (License B) and November 30, 2024 (License C). If not delivered, assess exposure and remediate.</w:t>
      </w:r>
    </w:p>
    <w:p>
      <w:pPr>
        <w:pStyle w:val="Compact"/>
        <w:numPr>
          <w:ilvl w:val="0"/>
          <w:numId w:val="1011"/>
        </w:numPr>
      </w:pPr>
      <w:r>
        <w:rPr>
          <w:b/>
          <w:bCs/>
        </w:rPr>
        <w:t xml:space="preserve">License A patent-term reconciliation.</w:t>
      </w:r>
      <w:r>
        <w:t xml:space="preserve"> </w:t>
      </w:r>
      <w:r>
        <w:t xml:space="preserve">Reconcile the discrepancy between the original Exhibit A, the Clarendon (2020) report, and the renewal Proposal Appendix A regarding the expiration dates of U.S. 9,234,118, 9,651,002, and 10,112,445. Obtain current file histories and confirm whether terminal disclaimers were filed. Update the Licensed Patents schedule. (This bears directly on the post-2028 step-down and IFMV arguments.)</w:t>
      </w:r>
    </w:p>
    <w:p>
      <w:pPr>
        <w:pStyle w:val="Compact"/>
        <w:numPr>
          <w:ilvl w:val="0"/>
          <w:numId w:val="1011"/>
        </w:numPr>
      </w:pPr>
      <w:r>
        <w:rPr>
          <w:b/>
          <w:bCs/>
        </w:rPr>
        <w:t xml:space="preserve">MFL clause verification (License A).</w:t>
      </w:r>
      <w:r>
        <w:t xml:space="preserve"> </w:t>
      </w:r>
      <w:r>
        <w:t xml:space="preserve">Determine whether a Section 14.5 MFL clause exists (via amendment or otherwise). If it exists, obtain its exact terms and carve-outs; if not, correct NovaTrait’s reference.</w:t>
      </w:r>
    </w:p>
    <w:p>
      <w:pPr>
        <w:pStyle w:val="Compact"/>
        <w:numPr>
          <w:ilvl w:val="0"/>
          <w:numId w:val="1011"/>
        </w:numPr>
      </w:pPr>
      <w:r>
        <w:rPr>
          <w:b/>
          <w:bCs/>
        </w:rPr>
        <w:t xml:space="preserve">Updated IP landscape analysis.</w:t>
      </w:r>
      <w:r>
        <w:t xml:space="preserve"> </w:t>
      </w:r>
      <w:r>
        <w:t xml:space="preserve">Commission an updated Clarendon (or equivalent) landscape analysis, particularly on the AgriGenome Solutions and CropTech Innovations portfolios, to support the IFMV argument and the post-2028 step-down.</w:t>
      </w:r>
    </w:p>
    <w:p>
      <w:pPr>
        <w:pStyle w:val="Compact"/>
        <w:numPr>
          <w:ilvl w:val="0"/>
          <w:numId w:val="1011"/>
        </w:numPr>
      </w:pPr>
      <w:r>
        <w:rPr>
          <w:b/>
          <w:bCs/>
        </w:rPr>
        <w:t xml:space="preserve">License C holdover arrangement.</w:t>
      </w:r>
      <w:r>
        <w:t xml:space="preserve"> </w:t>
      </w:r>
      <w:r>
        <w:t xml:space="preserve">Put in place an interim access/holdover arrangement to bridge the February 28, 2025 expiration pending renewal execution.</w:t>
      </w:r>
    </w:p>
    <w:p>
      <w:pPr>
        <w:pStyle w:val="Compact"/>
        <w:numPr>
          <w:ilvl w:val="0"/>
          <w:numId w:val="1011"/>
        </w:numPr>
      </w:pPr>
      <w:r>
        <w:rPr>
          <w:b/>
          <w:bCs/>
        </w:rPr>
        <w:t xml:space="preserve">Competitive bioinformatics quotes.</w:t>
      </w:r>
      <w:r>
        <w:t xml:space="preserve"> </w:t>
      </w:r>
      <w:r>
        <w:t xml:space="preserve">Obtain indicative quotes/proposals from BioSphere Analytics, PlantLogic Suite, and TraitView Pro to support the License C counter and maintain a credible Plan B.</w:t>
      </w:r>
    </w:p>
    <w:p>
      <w:pPr>
        <w:pStyle w:val="Compact"/>
        <w:numPr>
          <w:ilvl w:val="0"/>
          <w:numId w:val="1011"/>
        </w:numPr>
      </w:pPr>
      <w:r>
        <w:rPr>
          <w:b/>
          <w:bCs/>
        </w:rPr>
        <w:t xml:space="preserve">Insect-resistance third-party license.</w:t>
      </w:r>
      <w:r>
        <w:t xml:space="preserve"> </w:t>
      </w:r>
      <w:r>
        <w:t xml:space="preserve">Request that NovaTrait disclose the scope and terms of the exclusive insect-resistance license it has granted to a third party, to assess the bona fides of the FOV removal and the availability of a transitional license.</w:t>
      </w:r>
    </w:p>
    <w:p>
      <w:pPr>
        <w:pStyle w:val="Compact"/>
        <w:numPr>
          <w:ilvl w:val="0"/>
          <w:numId w:val="1011"/>
        </w:numPr>
      </w:pPr>
      <w:r>
        <w:rPr>
          <w:b/>
          <w:bCs/>
        </w:rPr>
        <w:t xml:space="preserve">Counsel-of-record confirmation.</w:t>
      </w:r>
      <w:r>
        <w:t xml:space="preserve"> </w:t>
      </w:r>
      <w:r>
        <w:t xml:space="preserve">NovaTrait’s October 14, 2024 cover letter refers to</w:t>
      </w:r>
      <w:r>
        <w:t xml:space="preserve"> </w:t>
      </w:r>
      <w:r>
        <w:t xml:space="preserve">“</w:t>
      </w:r>
      <w:r>
        <w:t xml:space="preserve">Bergerac Whitlock LLP</w:t>
      </w:r>
      <w:r>
        <w:t xml:space="preserve">”</w:t>
      </w:r>
      <w:r>
        <w:t xml:space="preserve"> </w:t>
      </w:r>
      <w:r>
        <w:t xml:space="preserve">as Greenfield’s counsel; Greenfield’s IP counsel of record is</w:t>
      </w:r>
      <w:r>
        <w:t xml:space="preserve"> </w:t>
      </w:r>
      <w:r>
        <w:rPr>
          <w:b/>
          <w:bCs/>
        </w:rPr>
        <w:t xml:space="preserve">Ashworth &amp; Calder LLP</w:t>
      </w:r>
      <w:r>
        <w:t xml:space="preserve"> </w:t>
      </w:r>
      <w:r>
        <w:t xml:space="preserve">(Victoria Chen), as reflected in the License C notice provisions and the Clarendon engagement. Ensure all formal notices and the counter-proposal are correctly routed.</w:t>
      </w:r>
    </w:p>
    <w:p>
      <w:r>
        <w:pict>
          <v:rect style="width:0;height:1.5pt" o:hralign="center" o:hrstd="t" o:hr="t"/>
        </w:pict>
      </w:r>
    </w:p>
    <w:bookmarkEnd w:id="60"/>
    <w:bookmarkStart w:id="61" w:name="recommended-next-steps-and-timeline"/>
    <w:p>
      <w:pPr>
        <w:pStyle w:val="Heading2"/>
      </w:pPr>
      <w:r>
        <w:t xml:space="preserve">13. Recommended Next Steps and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Target date</w:t>
            </w:r>
          </w:p>
        </w:tc>
        <w:tc>
          <w:tcPr/>
          <w:p>
            <w:pPr>
              <w:pStyle w:val="Compact"/>
              <w:jc w:val="left"/>
            </w:pPr>
            <w:r>
              <w:t xml:space="preserve">Action</w:t>
            </w:r>
          </w:p>
        </w:tc>
        <w:tc>
          <w:tcPr/>
          <w:p>
            <w:pPr>
              <w:pStyle w:val="Compact"/>
              <w:jc w:val="left"/>
            </w:pPr>
            <w:r>
              <w:t xml:space="preserve">Owner</w:t>
            </w:r>
          </w:p>
        </w:tc>
      </w:tr>
      <w:tr>
        <w:tc>
          <w:tcPr/>
          <w:p>
            <w:pPr>
              <w:pStyle w:val="Compact"/>
              <w:jc w:val="left"/>
            </w:pPr>
            <w:r>
              <w:t xml:space="preserve">Immediately</w:t>
            </w:r>
          </w:p>
        </w:tc>
        <w:tc>
          <w:tcPr/>
          <w:p>
            <w:pPr>
              <w:pStyle w:val="Compact"/>
              <w:jc w:val="left"/>
            </w:pPr>
            <w:r>
              <w:t xml:space="preserve">Confirm renewal-notice delivery (Licenses B &amp; C) with documentation</w:t>
            </w:r>
          </w:p>
        </w:tc>
        <w:tc>
          <w:tcPr/>
          <w:p>
            <w:pPr>
              <w:pStyle w:val="Compact"/>
              <w:jc w:val="left"/>
            </w:pPr>
            <w:r>
              <w:t xml:space="preserve">GC / Ashworth &amp; Calder</w:t>
            </w:r>
          </w:p>
        </w:tc>
      </w:tr>
      <w:tr>
        <w:tc>
          <w:tcPr/>
          <w:p>
            <w:pPr>
              <w:pStyle w:val="Compact"/>
              <w:jc w:val="left"/>
            </w:pPr>
            <w:r>
              <w:t xml:space="preserve">Immediately</w:t>
            </w:r>
          </w:p>
        </w:tc>
        <w:tc>
          <w:tcPr/>
          <w:p>
            <w:pPr>
              <w:pStyle w:val="Compact"/>
              <w:jc w:val="left"/>
            </w:pPr>
            <w:r>
              <w:t xml:space="preserve">Secure written License B standstill extension to 12/31/2025</w:t>
            </w:r>
          </w:p>
        </w:tc>
        <w:tc>
          <w:tcPr/>
          <w:p>
            <w:pPr>
              <w:pStyle w:val="Compact"/>
              <w:jc w:val="left"/>
            </w:pPr>
            <w:r>
              <w:t xml:space="preserve">GC / Ashworth &amp; Calder</w:t>
            </w:r>
          </w:p>
        </w:tc>
      </w:tr>
      <w:tr>
        <w:tc>
          <w:tcPr/>
          <w:p>
            <w:pPr>
              <w:pStyle w:val="Compact"/>
              <w:jc w:val="left"/>
            </w:pPr>
            <w:r>
              <w:t xml:space="preserve">By Feb 28, 2025</w:t>
            </w:r>
          </w:p>
        </w:tc>
        <w:tc>
          <w:tcPr/>
          <w:p>
            <w:pPr>
              <w:pStyle w:val="Compact"/>
              <w:jc w:val="left"/>
            </w:pPr>
            <w:r>
              <w:t xml:space="preserve">Put License C holdover/interim access in place</w:t>
            </w:r>
          </w:p>
        </w:tc>
        <w:tc>
          <w:tcPr/>
          <w:p>
            <w:pPr>
              <w:pStyle w:val="Compact"/>
              <w:jc w:val="left"/>
            </w:pPr>
            <w:r>
              <w:t xml:space="preserve">GC / IT</w:t>
            </w:r>
          </w:p>
        </w:tc>
      </w:tr>
      <w:tr>
        <w:tc>
          <w:tcPr/>
          <w:p>
            <w:pPr>
              <w:pStyle w:val="Compact"/>
              <w:jc w:val="left"/>
            </w:pPr>
            <w:r>
              <w:t xml:space="preserve">By Mar 15, 2025</w:t>
            </w:r>
          </w:p>
        </w:tc>
        <w:tc>
          <w:tcPr/>
          <w:p>
            <w:pPr>
              <w:pStyle w:val="Compact"/>
              <w:jc w:val="left"/>
            </w:pPr>
            <w:r>
              <w:t xml:space="preserve">Deliver License A renewal notice (deadline 3/31/2025)</w:t>
            </w:r>
          </w:p>
        </w:tc>
        <w:tc>
          <w:tcPr/>
          <w:p>
            <w:pPr>
              <w:pStyle w:val="Compact"/>
              <w:jc w:val="left"/>
            </w:pPr>
            <w:r>
              <w:t xml:space="preserve">GC / Ashworth &amp; Calder</w:t>
            </w:r>
          </w:p>
        </w:tc>
      </w:tr>
      <w:tr>
        <w:tc>
          <w:tcPr/>
          <w:p>
            <w:pPr>
              <w:pStyle w:val="Compact"/>
              <w:jc w:val="left"/>
            </w:pPr>
            <w:r>
              <w:t xml:space="preserve">By Mar 15, 2025</w:t>
            </w:r>
          </w:p>
        </w:tc>
        <w:tc>
          <w:tcPr/>
          <w:p>
            <w:pPr>
              <w:pStyle w:val="Compact"/>
              <w:jc w:val="left"/>
            </w:pPr>
            <w:r>
              <w:t xml:space="preserve">Commission updated IP landscape analysis</w:t>
            </w:r>
          </w:p>
        </w:tc>
        <w:tc>
          <w:tcPr/>
          <w:p>
            <w:pPr>
              <w:pStyle w:val="Compact"/>
              <w:jc w:val="left"/>
            </w:pPr>
            <w:r>
              <w:t xml:space="preserve">GC / Clarendon</w:t>
            </w:r>
          </w:p>
        </w:tc>
      </w:tr>
      <w:tr>
        <w:tc>
          <w:tcPr/>
          <w:p>
            <w:pPr>
              <w:pStyle w:val="Compact"/>
              <w:jc w:val="left"/>
            </w:pPr>
            <w:r>
              <w:t xml:space="preserve">By Mar 31, 2025</w:t>
            </w:r>
          </w:p>
        </w:tc>
        <w:tc>
          <w:tcPr/>
          <w:p>
            <w:pPr>
              <w:pStyle w:val="Compact"/>
              <w:jc w:val="left"/>
            </w:pPr>
            <w:r>
              <w:t xml:space="preserve">Obtain competitive bioinformatics quotes</w:t>
            </w:r>
          </w:p>
        </w:tc>
        <w:tc>
          <w:tcPr/>
          <w:p>
            <w:pPr>
              <w:pStyle w:val="Compact"/>
              <w:jc w:val="left"/>
            </w:pPr>
            <w:r>
              <w:t xml:space="preserve">CTO / BD</w:t>
            </w:r>
          </w:p>
        </w:tc>
      </w:tr>
      <w:tr>
        <w:tc>
          <w:tcPr/>
          <w:p>
            <w:pPr>
              <w:pStyle w:val="Compact"/>
              <w:jc w:val="left"/>
            </w:pPr>
            <w:r>
              <w:t xml:space="preserve">By Apr 15, 2025</w:t>
            </w:r>
          </w:p>
        </w:tc>
        <w:tc>
          <w:tcPr/>
          <w:p>
            <w:pPr>
              <w:pStyle w:val="Compact"/>
              <w:jc w:val="left"/>
            </w:pPr>
            <w:r>
              <w:t xml:space="preserve">Transmit comprehensive counter-proposal to NovaTrait</w:t>
            </w:r>
          </w:p>
        </w:tc>
        <w:tc>
          <w:tcPr/>
          <w:p>
            <w:pPr>
              <w:pStyle w:val="Compact"/>
              <w:jc w:val="left"/>
            </w:pPr>
            <w:r>
              <w:t xml:space="preserve">Ashworth &amp; Calder</w:t>
            </w:r>
          </w:p>
        </w:tc>
      </w:tr>
      <w:tr>
        <w:tc>
          <w:tcPr/>
          <w:p>
            <w:pPr>
              <w:pStyle w:val="Compact"/>
              <w:jc w:val="left"/>
            </w:pPr>
            <w:r>
              <w:t xml:space="preserve">Ongoing</w:t>
            </w:r>
          </w:p>
        </w:tc>
        <w:tc>
          <w:tcPr/>
          <w:p>
            <w:pPr>
              <w:pStyle w:val="Compact"/>
              <w:jc w:val="left"/>
            </w:pPr>
            <w:r>
              <w:t xml:space="preserve">Reconcile patent-term discrepancy; verify MFL clause</w:t>
            </w:r>
          </w:p>
        </w:tc>
        <w:tc>
          <w:tcPr/>
          <w:p>
            <w:pPr>
              <w:pStyle w:val="Compact"/>
              <w:jc w:val="left"/>
            </w:pPr>
            <w:r>
              <w:t xml:space="preserve">GC / Ashworth &amp; Calder</w:t>
            </w:r>
          </w:p>
        </w:tc>
      </w:tr>
      <w:tr>
        <w:tc>
          <w:tcPr/>
          <w:p>
            <w:pPr>
              <w:pStyle w:val="Compact"/>
              <w:jc w:val="left"/>
            </w:pPr>
            <w:r>
              <w:t xml:space="preserve">By Jun 29, 2025</w:t>
            </w:r>
          </w:p>
        </w:tc>
        <w:tc>
          <w:tcPr/>
          <w:p>
            <w:pPr>
              <w:pStyle w:val="Compact"/>
              <w:jc w:val="left"/>
            </w:pPr>
            <w:r>
              <w:t xml:space="preserve">Execute License B renewal (or standstill extension)</w:t>
            </w:r>
          </w:p>
        </w:tc>
        <w:tc>
          <w:tcPr/>
          <w:p>
            <w:pPr>
              <w:pStyle w:val="Compact"/>
              <w:jc w:val="left"/>
            </w:pPr>
            <w:r>
              <w:t xml:space="preserve">GC / Ashworth &amp; Calder</w:t>
            </w:r>
          </w:p>
        </w:tc>
      </w:tr>
      <w:tr>
        <w:tc>
          <w:tcPr/>
          <w:p>
            <w:pPr>
              <w:pStyle w:val="Compact"/>
              <w:jc w:val="left"/>
            </w:pPr>
            <w:r>
              <w:t xml:space="preserve">By Jun 30, 2025</w:t>
            </w:r>
          </w:p>
        </w:tc>
        <w:tc>
          <w:tcPr/>
          <w:p>
            <w:pPr>
              <w:pStyle w:val="Compact"/>
              <w:jc w:val="left"/>
            </w:pPr>
            <w:r>
              <w:t xml:space="preserve">Execute License A renewal</w:t>
            </w:r>
          </w:p>
        </w:tc>
        <w:tc>
          <w:tcPr/>
          <w:p>
            <w:pPr>
              <w:pStyle w:val="Compact"/>
              <w:jc w:val="left"/>
            </w:pPr>
            <w:r>
              <w:t xml:space="preserve">GC / Ashworth &amp; Calder</w:t>
            </w:r>
          </w:p>
        </w:tc>
      </w:tr>
    </w:tbl>
    <w:p>
      <w:r>
        <w:pict>
          <v:rect style="width:0;height:1.5pt" o:hralign="center" o:hrstd="t" o:hr="t"/>
        </w:pict>
      </w:r>
    </w:p>
    <w:bookmarkEnd w:id="61"/>
    <w:bookmarkStart w:id="62" w:name="conclusion"/>
    <w:p>
      <w:pPr>
        <w:pStyle w:val="Heading2"/>
      </w:pPr>
      <w:r>
        <w:t xml:space="preserve">14. Conclusion</w:t>
      </w:r>
    </w:p>
    <w:p>
      <w:pPr>
        <w:pStyle w:val="FirstParagraph"/>
      </w:pPr>
      <w:r>
        <w:t xml:space="preserve">NovaTrait’s consolidated renewal Proposal would increase Greenfield’s aggregate annual IP cost by roughly 50% (to ~$28M, or 7.22% of FY 2024 revenue) while narrowing Greenfield’s rights in several material respects — and it does so against IP value that is</w:t>
      </w:r>
      <w:r>
        <w:t xml:space="preserve"> </w:t>
      </w:r>
      <w:r>
        <w:rPr>
          <w:b/>
          <w:bCs/>
        </w:rPr>
        <w:t xml:space="preserve">declining</w:t>
      </w:r>
      <w:r>
        <w:t xml:space="preserve"> </w:t>
      </w:r>
      <w:r>
        <w:t xml:space="preserve">for License A (foundational patent expiring mid-term),</w:t>
      </w:r>
      <w:r>
        <w:t xml:space="preserve"> </w:t>
      </w:r>
      <w:r>
        <w:rPr>
          <w:b/>
          <w:bCs/>
        </w:rPr>
        <w:t xml:space="preserve">irreplaceable but already above-market</w:t>
      </w:r>
      <w:r>
        <w:t xml:space="preserve"> </w:t>
      </w:r>
      <w:r>
        <w:t xml:space="preserve">for License B, and</w:t>
      </w:r>
      <w:r>
        <w:t xml:space="preserve"> </w:t>
      </w:r>
      <w:r>
        <w:rPr>
          <w:b/>
          <w:bCs/>
        </w:rPr>
        <w:t xml:space="preserve">substitutable</w:t>
      </w:r>
      <w:r>
        <w:t xml:space="preserve"> </w:t>
      </w:r>
      <w:r>
        <w:t xml:space="preserve">for License C. The proposed rates and fees exceed market comparables in all three categories, and several proposed term changes (insect-resistance removal, source-code elimination, output-data ownership transfer, improvement-ownership reversal, shortened bio-materials wind-down, new Prairielands pass-through) are not justified by the underlying IP value and should be resisted.</w:t>
      </w:r>
    </w:p>
    <w:p>
      <w:pPr>
        <w:pStyle w:val="BodyText"/>
      </w:pPr>
      <w:r>
        <w:t xml:space="preserve">Greenfield should</w:t>
      </w:r>
      <w:r>
        <w:t xml:space="preserve"> </w:t>
      </w:r>
      <w:r>
        <w:rPr>
          <w:b/>
          <w:bCs/>
        </w:rPr>
        <w:t xml:space="preserve">pursue renewal of all three licenses</w:t>
      </w:r>
      <w:r>
        <w:t xml:space="preserve"> </w:t>
      </w:r>
      <w:r>
        <w:t xml:space="preserve">— switching is not economic for A and B in the near term, and the technology stack is operationally interdependent — but should do so on</w:t>
      </w:r>
      <w:r>
        <w:t xml:space="preserve"> </w:t>
      </w:r>
      <w:r>
        <w:rPr>
          <w:b/>
          <w:bCs/>
        </w:rPr>
        <w:t xml:space="preserve">substantially revised terms</w:t>
      </w:r>
      <w:r>
        <w:t xml:space="preserve"> </w:t>
      </w:r>
      <w:r>
        <w:t xml:space="preserve">anchored to (i) the Section 14.3 rate-cap and effective-rate arguments, (ii) the ’117 patent expiry and post-2028 step-down, (iii) market comparables, (iv) the FOV scope reductions, and (v) Greenfield’s IP-ownership and data-ownership protections. The two most urgent actions are securing the License B standstill extension and confirming the missed renewal-notice deliveries; the License A renewal-notice deadline of March 31, 2025 must be met.</w:t>
      </w:r>
    </w:p>
    <w:p>
      <w:pPr>
        <w:pStyle w:val="BodyText"/>
      </w:pPr>
      <w:r>
        <w:t xml:space="preserve">We are available to discuss this analysis and to prepare the comprehensive counter-proposal for transmission by April 15, 2025.</w:t>
      </w:r>
    </w:p>
    <w:p>
      <w:r>
        <w:pict>
          <v:rect style="width:0;height:1.5pt" o:hralign="center" o:hrstd="t" o:hr="t"/>
        </w:pict>
      </w:r>
    </w:p>
    <w:p>
      <w:pPr>
        <w:pStyle w:val="FirstParagraph"/>
      </w:pPr>
      <w:r>
        <w:rPr>
          <w:i/>
          <w:iCs/>
        </w:rPr>
        <w:t xml:space="preserve">This memorandum is privileged and confidential, prepared in anticipation of litigation and for the purpose of facilitating legal and business advice. It synthesizes the Clarendon IP Consulting patent-landscape analysis (Sept 14, 2020) and the Ridgemont/Oakvale financial-impact analysis (Feb 2025), together with the underlying license agreements, the Prairielands sublicense, and NovaTrait’s renewal Proposal. It does not constitute a final legal opinion on any specific provision; definitive legal analysis of individual contractual provisions is provided by Ashworth &amp; Calder LLP. Financial projections are based on management estimates and are inherently uncertain.</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2026-06-23T05:42:12Z</dcterms:created>
  <dcterms:modified xsi:type="dcterms:W3CDTF">2026-06-23T05:42:12Z</dcterms:modified>
</cp:coreProperties>
</file>

<file path=docProps/custom.xml><?xml version="1.0" encoding="utf-8"?>
<Properties xmlns="http://schemas.openxmlformats.org/officeDocument/2006/custom-properties" xmlns:vt="http://schemas.openxmlformats.org/officeDocument/2006/docPropsVTypes"/>
</file>