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b00a8ce9f01252ee933d31ffed2c10f1672bce1"/>
    <w:p>
      <w:pPr>
        <w:pStyle w:val="Heading1"/>
      </w:pPr>
      <w:r>
        <w:t xml:space="preserve">PRIVILEGED &amp; CONFIDENTIAL — ATTORNEY-CLIENT COMMUNICATION / ATTORNEY WORK PRODUCT</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Eleanor Harrington, Chief Executive Officer; Marcus J. Whitfield, Esq., General Counsel — Greenfield Biosciences, Inc.</w:t>
            </w:r>
          </w:p>
        </w:tc>
      </w:tr>
      <w:tr>
        <w:tc>
          <w:tcPr/>
          <w:p>
            <w:pPr>
              <w:pStyle w:val="Compact"/>
              <w:jc w:val="left"/>
            </w:pPr>
            <w:r>
              <w:rPr>
                <w:b/>
                <w:bCs/>
              </w:rPr>
              <w:t xml:space="preserve">From:</w:t>
            </w:r>
          </w:p>
        </w:tc>
        <w:tc>
          <w:tcPr/>
          <w:p>
            <w:pPr>
              <w:pStyle w:val="Compact"/>
              <w:jc w:val="left"/>
            </w:pPr>
            <w:r>
              <w:t xml:space="preserve">Outside IP Licensing Counsel (Ashworth &amp; Calder LLP) and Transactional Advisory (Ridgemont/Oakvale Advisory Group)</w:t>
            </w:r>
          </w:p>
        </w:tc>
      </w:tr>
      <w:tr>
        <w:tc>
          <w:tcPr/>
          <w:p>
            <w:pPr>
              <w:pStyle w:val="Compact"/>
              <w:jc w:val="left"/>
            </w:pPr>
            <w:r>
              <w:rPr>
                <w:b/>
                <w:bCs/>
              </w:rPr>
              <w:t xml:space="preserve">Date:</w:t>
            </w:r>
          </w:p>
        </w:tc>
        <w:tc>
          <w:tcPr/>
          <w:p>
            <w:pPr>
              <w:pStyle w:val="Compact"/>
              <w:jc w:val="left"/>
            </w:pPr>
            <w:r>
              <w:t xml:space="preserve">February 2025</w:t>
            </w:r>
          </w:p>
        </w:tc>
      </w:tr>
      <w:tr>
        <w:tc>
          <w:tcPr/>
          <w:p>
            <w:pPr>
              <w:pStyle w:val="Compact"/>
              <w:jc w:val="left"/>
            </w:pPr>
            <w:r>
              <w:rPr>
                <w:b/>
                <w:bCs/>
              </w:rPr>
              <w:t xml:space="preserve">Re:</w:t>
            </w:r>
          </w:p>
        </w:tc>
        <w:tc>
          <w:tcPr/>
          <w:p>
            <w:pPr>
              <w:pStyle w:val="Compact"/>
              <w:jc w:val="left"/>
            </w:pPr>
            <w:r>
              <w:t xml:space="preserve">Renewal Analysis — NovaTrait Genomics Corporation Consolidated Renewal Proposal covering (i) License A — CRISPR-Ag Suite (NT-GF-2015-001), (ii) License B — TraitForge, and (iii) License C — GenoMap Pro</w:t>
            </w:r>
          </w:p>
        </w:tc>
      </w:tr>
      <w:tr>
        <w:tc>
          <w:tcPr/>
          <w:p>
            <w:pPr>
              <w:pStyle w:val="Compact"/>
              <w:jc w:val="left"/>
            </w:pPr>
            <w:r>
              <w:rPr>
                <w:b/>
                <w:bCs/>
              </w:rPr>
              <w:t xml:space="preserve">Classification:</w:t>
            </w:r>
          </w:p>
        </w:tc>
        <w:tc>
          <w:tcPr/>
          <w:p>
            <w:pPr>
              <w:pStyle w:val="Compact"/>
              <w:jc w:val="left"/>
            </w:pPr>
            <w:r>
              <w:t xml:space="preserve">Privileged &amp; Confidential. Prepared in anticipation of renewal negotiations; subject to Fed. R. Evid. 408 / Mass. R. Evid. 408 to the extent it references NovaTrait’s settlement-communication proposal.</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NovaTrait has submitted a consolidated renewal proposal (the</w:t>
      </w:r>
      <w:r>
        <w:t xml:space="preserve"> </w:t>
      </w:r>
      <w:r>
        <w:t xml:space="preserve">“</w:t>
      </w:r>
      <w:r>
        <w:t xml:space="preserve">Proposal,</w:t>
      </w:r>
      <w:r>
        <w:t xml:space="preserve">”</w:t>
      </w:r>
      <w:r>
        <w:t xml:space="preserve"> </w:t>
      </w:r>
      <w:r>
        <w:t xml:space="preserve">cover letter dated October 14, 2024) covering all three of Greenfield’s in-bound licenses from NovaTrait: the CRISPR-Ag Suite gene-editing platform license (</w:t>
      </w:r>
      <w:r>
        <w:t xml:space="preserve">“</w:t>
      </w:r>
      <w:r>
        <w:t xml:space="preserve">License A,</w:t>
      </w:r>
      <w:r>
        <w:t xml:space="preserve">”</w:t>
      </w:r>
      <w:r>
        <w:t xml:space="preserve"> </w:t>
      </w:r>
      <w:r>
        <w:t xml:space="preserve">expiring June 30, 2025), the TraitForge plant trait expression platform license (</w:t>
      </w:r>
      <w:r>
        <w:t xml:space="preserve">“</w:t>
      </w:r>
      <w:r>
        <w:t xml:space="preserve">License B,</w:t>
      </w:r>
      <w:r>
        <w:t xml:space="preserve">”</w:t>
      </w:r>
      <w:r>
        <w:t xml:space="preserve"> </w:t>
      </w:r>
      <w:r>
        <w:t xml:space="preserve">which expired December 31, 2024 and is now operating under a contractual standstill), and the GenoMap Pro bioinformatics software license (</w:t>
      </w:r>
      <w:r>
        <w:t xml:space="preserve">“</w:t>
      </w:r>
      <w:r>
        <w:t xml:space="preserve">License C,</w:t>
      </w:r>
      <w:r>
        <w:t xml:space="preserve">”</w:t>
      </w:r>
      <w:r>
        <w:t xml:space="preserve"> </w:t>
      </w:r>
      <w:r>
        <w:t xml:space="preserve">expiring February 28, 2025). The Proposal would, on NovaTrait’s own modeling, raise Greenfield’s aggregate annual IP cost from approximately</w:t>
      </w:r>
      <w:r>
        <w:t xml:space="preserve"> </w:t>
      </w:r>
      <w:r>
        <w:rPr>
          <w:b/>
          <w:bCs/>
        </w:rPr>
        <w:t xml:space="preserve">$18.64 million (4.81% of FY 2024 revenue)</w:t>
      </w:r>
      <w:r>
        <w:t xml:space="preserve"> </w:t>
      </w:r>
      <w:r>
        <w:t xml:space="preserve">to approximately</w:t>
      </w:r>
      <w:r>
        <w:t xml:space="preserve"> </w:t>
      </w:r>
      <w:r>
        <w:rPr>
          <w:b/>
          <w:bCs/>
        </w:rPr>
        <w:t xml:space="preserve">$27.95 million (7.22% of FY 2024 revenue)</w:t>
      </w:r>
      <w:r>
        <w:t xml:space="preserve"> </w:t>
      </w:r>
      <w:r>
        <w:t xml:space="preserve">— an increase of roughly</w:t>
      </w:r>
      <w:r>
        <w:t xml:space="preserve"> </w:t>
      </w:r>
      <w:r>
        <w:rPr>
          <w:b/>
          <w:bCs/>
        </w:rPr>
        <w:t xml:space="preserve">$9.31 million per year (+49.9%)</w:t>
      </w:r>
      <w:r>
        <w:t xml:space="preserve"> </w:t>
      </w:r>
      <w:r>
        <w:t xml:space="preserve">— before accounting for a likely new sublicense pass-through on the Prairielands relationship and before growth.</w:t>
      </w:r>
    </w:p>
    <w:p>
      <w:pPr>
        <w:pStyle w:val="BodyText"/>
      </w:pPr>
      <w:r>
        <w:rPr>
          <w:b/>
          <w:bCs/>
        </w:rPr>
        <w:t xml:space="preserve">Bottom line.</w:t>
      </w:r>
      <w:r>
        <w:t xml:space="preserve"> </w:t>
      </w:r>
      <w:r>
        <w:t xml:space="preserve">The Proposal is materially above market on every economic lever (royalty rate, minimum annual royalty, Net Sales base, sublicense pass-through, and software fees), and it contains several non-economic terms that would materially weaken Greenfield’s position: (a) removal of insect resistance from License A’s Field of Use (approximately 30% of License A revenue); (b) reversal of Greenfield’s sole ownership of improvements to joint ownership with a royalty-free grant-back to NovaTrait; (c) elimination of GenoMap Pro source-code access and a new clause giving NovaTrait ownership of Greenfield’s derivative data outputs; and (d) elimination of the 90-day biological-materials wind-down under License B. At the same time, the underlying IP value is declining on a defined schedule — the foundational License A patent (U.S. 9,234,117), which Clarendon IP Consulting values at ~60% of the License A portfolio, expires March 12, 2028, mid-renewal-term — yet the Proposal applies a flat, elevated royalty across the full term.</w:t>
      </w:r>
    </w:p>
    <w:p>
      <w:pPr>
        <w:pStyle w:val="BodyText"/>
      </w:pPr>
      <w:r>
        <w:rPr>
          <w:b/>
          <w:bCs/>
        </w:rPr>
        <w:t xml:space="preserve">Recommended posture.</w:t>
      </w:r>
      <w:r>
        <w:t xml:space="preserve"> </w:t>
      </w:r>
      <w:r>
        <w:t xml:space="preserve">Greenfield should renew all three licenses (switching is not economically viable for Licenses A and B in the near term, and License B is effectively irreplaceable), but on substantially revised terms. The strongest leverage differs by license: License C is substitutable and should be negotiated hard toward market (with a credible alternative-provider process); License B is irreplaceable but the proposed rate exceeds market, so Greenfield should trade a longer term for a rate within market and preserve the operational protections (wind-down, audit frequency); License A’s value declines sharply after March 2028, so Greenfield should insist on a post-expiry royalty step-down and resist the Field-of-Use narrowing and improvements reversal. The most urgent item is procedural: License B’s standstill expires on or about June 29, 2025, after which both License B and the co-terminus Prairielands sublicense terminate automatically — Greenfield must secure a written standstill extension and execute the License B renewal (or an interim extension) before that date.</w:t>
      </w:r>
    </w:p>
    <w:p>
      <w:pPr>
        <w:pStyle w:val="BodyText"/>
      </w:pPr>
      <w:r>
        <w:t xml:space="preserve">A prioritized counter-position and action timeline appear in Sections X and XI.</w:t>
      </w:r>
    </w:p>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This memorandum is based on a complete review of the following records:</w:t>
      </w:r>
    </w:p>
    <w:p>
      <w:pPr>
        <w:pStyle w:val="Compact"/>
        <w:numPr>
          <w:ilvl w:val="0"/>
          <w:numId w:val="1001"/>
        </w:numPr>
      </w:pPr>
      <w:r>
        <w:rPr>
          <w:b/>
          <w:bCs/>
        </w:rPr>
        <w:t xml:space="preserve">License A</w:t>
      </w:r>
      <w:r>
        <w:t xml:space="preserve"> </w:t>
      </w:r>
      <w:r>
        <w:t xml:space="preserve">— Intellectual Property License Agreement (CRISPR-Ag Suite Gene-Editing Platform), License No. NT-GF-2015-001, effective July 1, 2015, between NovaTrait (Licensor) and Greenfield (Licensee), including Schedule 5.2 (existing liens) and Exhibit A (Licensed Patents).</w:t>
      </w:r>
    </w:p>
    <w:p>
      <w:pPr>
        <w:pStyle w:val="Compact"/>
        <w:numPr>
          <w:ilvl w:val="0"/>
          <w:numId w:val="1001"/>
        </w:numPr>
      </w:pPr>
      <w:r>
        <w:rPr>
          <w:b/>
          <w:bCs/>
        </w:rPr>
        <w:t xml:space="preserve">License B</w:t>
      </w:r>
      <w:r>
        <w:t xml:space="preserve"> </w:t>
      </w:r>
      <w:r>
        <w:t xml:space="preserve">— Plant Trait Expression Platform License Agreement (TraitForge), effective January 1, 2018, including Exhibits A (Licensed Patents/Know-How), B (Biological Materials), and C (Existing Encumbrances).</w:t>
      </w:r>
    </w:p>
    <w:p>
      <w:pPr>
        <w:pStyle w:val="Compact"/>
        <w:numPr>
          <w:ilvl w:val="0"/>
          <w:numId w:val="1001"/>
        </w:numPr>
      </w:pPr>
      <w:r>
        <w:rPr>
          <w:b/>
          <w:bCs/>
        </w:rPr>
        <w:t xml:space="preserve">License C</w:t>
      </w:r>
      <w:r>
        <w:t xml:space="preserve"> </w:t>
      </w:r>
      <w:r>
        <w:t xml:space="preserve">— GenoMap Pro Software License Agreement, effective March 1, 2020, including Exhibit A (Accepted Use Policy).</w:t>
      </w:r>
    </w:p>
    <w:p>
      <w:pPr>
        <w:pStyle w:val="Compact"/>
        <w:numPr>
          <w:ilvl w:val="0"/>
          <w:numId w:val="1001"/>
        </w:numPr>
      </w:pPr>
      <w:r>
        <w:rPr>
          <w:b/>
          <w:bCs/>
        </w:rPr>
        <w:t xml:space="preserve">Prairielands Sublicense</w:t>
      </w:r>
      <w:r>
        <w:t xml:space="preserve"> </w:t>
      </w:r>
      <w:r>
        <w:t xml:space="preserve">— Sublicense Agreement (TraitForge; Soybean Drought Tolerance — Argentina and Brazil), effective May 1, 2021, between Greenfield (Sublicensor) and Prairielands Seed Cooperative (Sublicensee), including Exhibit A (NovaTrait consent letter dated April 15, 2021).</w:t>
      </w:r>
    </w:p>
    <w:p>
      <w:pPr>
        <w:pStyle w:val="Compact"/>
        <w:numPr>
          <w:ilvl w:val="0"/>
          <w:numId w:val="1001"/>
        </w:numPr>
      </w:pPr>
      <w:r>
        <w:rPr>
          <w:b/>
          <w:bCs/>
        </w:rPr>
        <w:t xml:space="preserve">NovaTrait Renewal Proposal</w:t>
      </w:r>
      <w:r>
        <w:t xml:space="preserve"> </w:t>
      </w:r>
      <w:r>
        <w:t xml:space="preserve">— Consolidated Renewal Proposal (cover letter dated October 14, 2024), Parts I–VIII and Appendices A–B.</w:t>
      </w:r>
    </w:p>
    <w:p>
      <w:pPr>
        <w:pStyle w:val="Compact"/>
        <w:numPr>
          <w:ilvl w:val="0"/>
          <w:numId w:val="1001"/>
        </w:numPr>
      </w:pPr>
      <w:r>
        <w:rPr>
          <w:b/>
          <w:bCs/>
        </w:rPr>
        <w:t xml:space="preserve">Clarendon Patent Landscape Analysis</w:t>
      </w:r>
      <w:r>
        <w:t xml:space="preserve"> </w:t>
      </w:r>
      <w:r>
        <w:t xml:space="preserve">— Executive Summary, Clarendon Intellectual Property Consulting, LLC, dated September 14, 2020 (Engagement CPC-2020-0447).</w:t>
      </w:r>
    </w:p>
    <w:p>
      <w:pPr>
        <w:pStyle w:val="Compact"/>
        <w:numPr>
          <w:ilvl w:val="0"/>
          <w:numId w:val="1001"/>
        </w:numPr>
      </w:pPr>
      <w:r>
        <w:rPr>
          <w:b/>
          <w:bCs/>
        </w:rPr>
        <w:t xml:space="preserve">Financial Impact Analysis</w:t>
      </w:r>
      <w:r>
        <w:t xml:space="preserve"> </w:t>
      </w:r>
      <w:r>
        <w:t xml:space="preserve">— Ridgemont/Oakvale Advisory Group,</w:t>
      </w:r>
      <w:r>
        <w:t xml:space="preserve"> </w:t>
      </w:r>
      <w:r>
        <w:t xml:space="preserve">“</w:t>
      </w:r>
      <w:r>
        <w:t xml:space="preserve">IP License Renewal — Royalty &amp; Term Analysis,</w:t>
      </w:r>
      <w:r>
        <w:t xml:space="preserve">”</w:t>
      </w:r>
      <w:r>
        <w:t xml:space="preserve"> </w:t>
      </w:r>
      <w:r>
        <w:t xml:space="preserve">dated February 2025 (workbook with 15 tabs: Summary, per-license royalty models, sensitivity analyses, market comparables, switching-cost analyses, negotiation priorities, timeline, rate-cap analysis, and assumptions).</w:t>
      </w:r>
    </w:p>
    <w:p>
      <w:pPr>
        <w:pStyle w:val="FirstParagraph"/>
      </w:pPr>
      <w:r>
        <w:rPr>
          <w:b/>
          <w:bCs/>
        </w:rPr>
        <w:t xml:space="preserve">Data points to confirm.</w:t>
      </w:r>
      <w:r>
        <w:t xml:space="preserve"> </w:t>
      </w:r>
      <w:r>
        <w:t xml:space="preserve">Two record inconsistencies should be resolved before negotiations advance. First, the Proposal document in the file is dated</w:t>
      </w:r>
      <w:r>
        <w:t xml:space="preserve"> </w:t>
      </w:r>
      <w:r>
        <w:rPr>
          <w:b/>
          <w:bCs/>
        </w:rPr>
        <w:t xml:space="preserve">October 14, 2024</w:t>
      </w:r>
      <w:r>
        <w:t xml:space="preserve">, but the Financial Impact Analysis references a</w:t>
      </w:r>
      <w:r>
        <w:t xml:space="preserve"> </w:t>
      </w:r>
      <w:r>
        <w:t xml:space="preserve">“</w:t>
      </w:r>
      <w:r>
        <w:t xml:space="preserve">NovaTrait Proposal, Jan 15, 2025</w:t>
      </w:r>
      <w:r>
        <w:t xml:space="preserve">”</w:t>
      </w:r>
      <w:r>
        <w:t xml:space="preserve"> </w:t>
      </w:r>
      <w:r>
        <w:t xml:space="preserve">transmission date and its Timeline tab lists</w:t>
      </w:r>
      <w:r>
        <w:t xml:space="preserve"> </w:t>
      </w:r>
      <w:r>
        <w:t xml:space="preserve">“</w:t>
      </w:r>
      <w:r>
        <w:t xml:space="preserve">2025-01-15 NovaTrait Renewal Proposal Transmitted.</w:t>
      </w:r>
      <w:r>
        <w:t xml:space="preserve">”</w:t>
      </w:r>
      <w:r>
        <w:t xml:space="preserve"> </w:t>
      </w:r>
      <w:r>
        <w:t xml:space="preserve">Second, the License C fee structure analyzed by the advisors (a $4.85M base plus a</w:t>
      </w:r>
      <w:r>
        <w:t xml:space="preserve"> </w:t>
      </w:r>
      <w:r>
        <w:rPr>
          <w:b/>
          <w:bCs/>
        </w:rPr>
        <w:t xml:space="preserve">50-user cap with $18,500/user overage</w:t>
      </w:r>
      <w:r>
        <w:t xml:space="preserve">, yielding 23 excess users at Greenfield’s current 73 users) does</w:t>
      </w:r>
      <w:r>
        <w:t xml:space="preserve"> </w:t>
      </w:r>
      <w:r>
        <w:rPr>
          <w:b/>
          <w:bCs/>
        </w:rPr>
        <w:t xml:space="preserve">not</w:t>
      </w:r>
      <w:r>
        <w:t xml:space="preserve"> </w:t>
      </w:r>
      <w:r>
        <w:t xml:space="preserve">appear in the October 14, 2024 Proposal, which instead states a $4.80M base plus a $305,000 support fee plus a $175,000 one-time migration fee. These two points suggest the advisors may be analyzing a revised or re-transmitted version of the Proposal.</w:t>
      </w:r>
      <w:r>
        <w:t xml:space="preserve"> </w:t>
      </w:r>
      <w:r>
        <w:rPr>
          <w:b/>
          <w:bCs/>
        </w:rPr>
        <w:t xml:space="preserve">Greenfield should confirm with counsel which version is operative and obtain the current fee schedule in writing.</w:t>
      </w:r>
      <w:r>
        <w:t xml:space="preserve"> </w:t>
      </w:r>
      <w:r>
        <w:t xml:space="preserve">This memorandum analyzes the October 14, 2024 Proposal as the operative document and flags the advisor figures where they diverge.</w:t>
      </w:r>
    </w:p>
    <w:p>
      <w:r>
        <w:pict>
          <v:rect style="width:0;height:1.5pt" o:hralign="center" o:hrstd="t" o:hr="t"/>
        </w:pict>
      </w:r>
    </w:p>
    <w:bookmarkEnd w:id="21"/>
    <w:bookmarkStart w:id="22" w:name="X94707d8f0d255d692ed25369557a3d43ef04559"/>
    <w:p>
      <w:pPr>
        <w:pStyle w:val="Heading2"/>
      </w:pPr>
      <w:r>
        <w:t xml:space="preserve">III. Critical Timing and Procedural Status</w:t>
      </w:r>
    </w:p>
    <w:p>
      <w:pPr>
        <w:pStyle w:val="FirstParagraph"/>
      </w:pPr>
      <w:r>
        <w:t xml:space="preserve">The three licenses expire on staggered dates, and License B has already expired. The timing creates both urgency and a sequencing problem.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w:t>
            </w:r>
          </w:p>
        </w:tc>
        <w:tc>
          <w:tcPr/>
          <w:p>
            <w:pPr>
              <w:pStyle w:val="Compact"/>
              <w:jc w:val="left"/>
            </w:pPr>
            <w:r>
              <w:t xml:space="preserve">Current Term Expiration</w:t>
            </w:r>
          </w:p>
        </w:tc>
        <w:tc>
          <w:tcPr/>
          <w:p>
            <w:pPr>
              <w:pStyle w:val="Compact"/>
              <w:jc w:val="left"/>
            </w:pPr>
            <w:r>
              <w:t xml:space="preserve">Renewal-Notice Deadline</w:t>
            </w:r>
          </w:p>
        </w:tc>
        <w:tc>
          <w:tcPr/>
          <w:p>
            <w:pPr>
              <w:pStyle w:val="Compact"/>
              <w:jc w:val="left"/>
            </w:pPr>
            <w:r>
              <w:t xml:space="preserve">Present Status</w:t>
            </w:r>
          </w:p>
        </w:tc>
      </w:tr>
      <w:tr>
        <w:tc>
          <w:tcPr/>
          <w:p>
            <w:pPr>
              <w:pStyle w:val="Compact"/>
              <w:jc w:val="left"/>
            </w:pPr>
            <w:r>
              <w:rPr>
                <w:b/>
                <w:bCs/>
              </w:rPr>
              <w:t xml:space="preserve">A — CRISPR-Ag Suite</w:t>
            </w:r>
          </w:p>
        </w:tc>
        <w:tc>
          <w:tcPr/>
          <w:p>
            <w:pPr>
              <w:pStyle w:val="Compact"/>
              <w:jc w:val="left"/>
            </w:pPr>
            <w:r>
              <w:t xml:space="preserve">June 30, 2025 (§14.1)</w:t>
            </w:r>
          </w:p>
        </w:tc>
        <w:tc>
          <w:tcPr/>
          <w:p>
            <w:pPr>
              <w:pStyle w:val="Compact"/>
              <w:jc w:val="left"/>
            </w:pPr>
            <w:r>
              <w:t xml:space="preserve">March 31, 2025 (§14.2; 90 days prior)</w:t>
            </w:r>
          </w:p>
        </w:tc>
        <w:tc>
          <w:tcPr/>
          <w:p>
            <w:pPr>
              <w:pStyle w:val="Compact"/>
              <w:jc w:val="left"/>
            </w:pPr>
            <w:r>
              <w:t xml:space="preserve">In effect; notice due imminently</w:t>
            </w:r>
          </w:p>
        </w:tc>
      </w:tr>
      <w:tr>
        <w:tc>
          <w:tcPr/>
          <w:p>
            <w:pPr>
              <w:pStyle w:val="Compact"/>
              <w:jc w:val="left"/>
            </w:pPr>
            <w:r>
              <w:rPr>
                <w:b/>
                <w:bCs/>
              </w:rPr>
              <w:t xml:space="preserve">B — TraitForge</w:t>
            </w:r>
          </w:p>
        </w:tc>
        <w:tc>
          <w:tcPr/>
          <w:p>
            <w:pPr>
              <w:pStyle w:val="Compact"/>
              <w:jc w:val="left"/>
            </w:pPr>
            <w:r>
              <w:t xml:space="preserve">December 31, 2024 (§12.1)</w:t>
            </w:r>
          </w:p>
        </w:tc>
        <w:tc>
          <w:tcPr/>
          <w:p>
            <w:pPr>
              <w:pStyle w:val="Compact"/>
              <w:jc w:val="left"/>
            </w:pPr>
            <w:r>
              <w:t xml:space="preserve">September 30, 2024 (§12.2)</w:t>
            </w:r>
          </w:p>
        </w:tc>
        <w:tc>
          <w:tcPr/>
          <w:p>
            <w:pPr>
              <w:pStyle w:val="Compact"/>
              <w:jc w:val="left"/>
            </w:pPr>
            <w:r>
              <w:rPr>
                <w:b/>
                <w:bCs/>
              </w:rPr>
              <w:t xml:space="preserve">Expired; operating under §12.6 Standstill (max 180 days, through ~June 29, 2025)</w:t>
            </w:r>
          </w:p>
        </w:tc>
      </w:tr>
      <w:tr>
        <w:tc>
          <w:tcPr/>
          <w:p>
            <w:pPr>
              <w:pStyle w:val="Compact"/>
              <w:jc w:val="left"/>
            </w:pPr>
            <w:r>
              <w:rPr>
                <w:b/>
                <w:bCs/>
              </w:rPr>
              <w:t xml:space="preserve">C — GenoMap Pro</w:t>
            </w:r>
          </w:p>
        </w:tc>
        <w:tc>
          <w:tcPr/>
          <w:p>
            <w:pPr>
              <w:pStyle w:val="Compact"/>
              <w:jc w:val="left"/>
            </w:pPr>
            <w:r>
              <w:t xml:space="preserve">February 28, 2025 (§3.1)</w:t>
            </w:r>
          </w:p>
        </w:tc>
        <w:tc>
          <w:tcPr/>
          <w:p>
            <w:pPr>
              <w:pStyle w:val="Compact"/>
              <w:jc w:val="left"/>
            </w:pPr>
            <w:r>
              <w:t xml:space="preserve">November 30, 2024 (§3.2)</w:t>
            </w:r>
          </w:p>
        </w:tc>
        <w:tc>
          <w:tcPr/>
          <w:p>
            <w:pPr>
              <w:pStyle w:val="Compact"/>
              <w:jc w:val="left"/>
            </w:pPr>
            <w:r>
              <w:t xml:space="preserve">Imminent expiration; interim/holdover access required</w:t>
            </w:r>
          </w:p>
        </w:tc>
      </w:tr>
    </w:tbl>
    <w:p>
      <w:pPr>
        <w:pStyle w:val="BodyText"/>
      </w:pPr>
      <w:r>
        <w:rPr>
          <w:b/>
          <w:bCs/>
        </w:rPr>
        <w:t xml:space="preserve">Issue 1 — License B standstill is the single most urgent risk (CRITICAL).</w:t>
      </w:r>
      <w:r>
        <w:t xml:space="preserve"> </w:t>
      </w:r>
      <w:r>
        <w:t xml:space="preserve">License B’s Initial Term expired December 31, 2024. The renewal-notice deadline in §12.2 (September 30, 2024) has passed. The parties are presently operating under the §12.6 Standstill Provision, which holds License B</w:t>
      </w:r>
      <w:r>
        <w:t xml:space="preserve"> </w:t>
      </w:r>
      <w:r>
        <w:t xml:space="preserve">“</w:t>
      </w:r>
      <w:r>
        <w:t xml:space="preserve">in full force and effect</w:t>
      </w:r>
      <w:r>
        <w:t xml:space="preserve">”</w:t>
      </w:r>
      <w:r>
        <w:t xml:space="preserve"> </w:t>
      </w:r>
      <w:r>
        <w:t xml:space="preserve">for up to 180 days — i.e., through approximately</w:t>
      </w:r>
      <w:r>
        <w:t xml:space="preserve"> </w:t>
      </w:r>
      <w:r>
        <w:rPr>
          <w:b/>
          <w:bCs/>
        </w:rPr>
        <w:t xml:space="preserve">June 29, 2025</w:t>
      </w:r>
      <w:r>
        <w:t xml:space="preserve"> </w:t>
      </w:r>
      <w:r>
        <w:t xml:space="preserve">— while good-faith negotiations continue. The Proposal (Part VII, Item 1; Appendix B) offers a short-form standstill confirmation running to</w:t>
      </w:r>
      <w:r>
        <w:t xml:space="preserve"> </w:t>
      </w:r>
      <w:r>
        <w:rPr>
          <w:b/>
          <w:bCs/>
        </w:rPr>
        <w:t xml:space="preserve">June 30, 2025</w:t>
      </w:r>
      <w:r>
        <w:t xml:space="preserve"> </w:t>
      </w:r>
      <w:r>
        <w:t xml:space="preserve">(or earlier on 30 days’ notice). If no renewal (or further extension) is executed by that date, License B terminates entirely. Under the Proposal’s revised §7.4, termination would trigger a</w:t>
      </w:r>
      <w:r>
        <w:t xml:space="preserve"> </w:t>
      </w:r>
      <w:r>
        <w:rPr>
          <w:b/>
          <w:bCs/>
        </w:rPr>
        <w:t xml:space="preserve">30-day return-or-destroy obligation for all TraitForge biological materials with no wind-down</w:t>
      </w:r>
      <w:r>
        <w:t xml:space="preserve"> </w:t>
      </w:r>
      <w:r>
        <w:t xml:space="preserve">— an operational impossibility for Greenfield’s ongoing breeding programs and field trials.</w:t>
      </w:r>
      <w:r>
        <w:t xml:space="preserve"> </w:t>
      </w:r>
      <w:r>
        <w:rPr>
          <w:b/>
          <w:bCs/>
        </w:rPr>
        <w:t xml:space="preserve">Recommendation:</w:t>
      </w:r>
      <w:r>
        <w:t xml:space="preserve"> </w:t>
      </w:r>
      <w:r>
        <w:t xml:space="preserve">Do not sign NovaTrait’s standstill confirmation as drafted (it is unilateral and reserves all of NovaTrait’s rights while binding Greenfield to a hard stop). Instead, secure a bilateral written extension of the standstill to at least December 31, 2025 as a condition of continued negotiations, and make execution of the License B renewal (or a binding interim extension) the gating item for the entire package.</w:t>
      </w:r>
    </w:p>
    <w:p>
      <w:pPr>
        <w:pStyle w:val="BodyText"/>
      </w:pPr>
      <w:r>
        <w:rPr>
          <w:b/>
          <w:bCs/>
        </w:rPr>
        <w:t xml:space="preserve">Issue 2 — License C holdover.</w:t>
      </w:r>
      <w:r>
        <w:t xml:space="preserve"> </w:t>
      </w:r>
      <w:r>
        <w:t xml:space="preserve">License C expires February 28, 2025. The renewal-notice deadline (November 30, 2024) has passed. If a renewal is not executed by February 28, 2025, Greenfield loses GenoMap Pro access, which the Financial Analysis flags as a critical dependency: GenoMap Pro is integral to the CRISPR-Ag Suite and TraitForge workflows, and sourcing an alternative requires 12–18 months.</w:t>
      </w:r>
      <w:r>
        <w:t xml:space="preserve"> </w:t>
      </w:r>
      <w:r>
        <w:rPr>
          <w:b/>
          <w:bCs/>
        </w:rPr>
        <w:t xml:space="preserve">Recommendation:</w:t>
      </w:r>
      <w:r>
        <w:t xml:space="preserve"> </w:t>
      </w:r>
      <w:r>
        <w:t xml:space="preserve">Negotiate an explicit holdover/interim-access term that preserves Version 4.x access (and source-code access) on existing economic terms pending execution of the renewal, so that Greenfield is not forced to accept the Proposal’s terms under time pressure.</w:t>
      </w:r>
    </w:p>
    <w:p>
      <w:pPr>
        <w:pStyle w:val="BodyText"/>
      </w:pPr>
      <w:r>
        <w:rPr>
          <w:b/>
          <w:bCs/>
        </w:rPr>
        <w:t xml:space="preserve">Issue 3 — License A renewal notice.</w:t>
      </w:r>
      <w:r>
        <w:t xml:space="preserve"> </w:t>
      </w:r>
      <w:r>
        <w:t xml:space="preserve">The §14.2 renewal-notice deadline is March 31, 2025. Greenfield must deliver a written renewal notice by that date to preserve its renewal rights; failure to do so lets License A expire on June 30, 2025.</w:t>
      </w:r>
      <w:r>
        <w:t xml:space="preserve"> </w:t>
      </w:r>
      <w:r>
        <w:rPr>
          <w:b/>
          <w:bCs/>
        </w:rPr>
        <w:t xml:space="preserve">Recommendation:</w:t>
      </w:r>
      <w:r>
        <w:t xml:space="preserve"> </w:t>
      </w:r>
      <w:r>
        <w:t xml:space="preserve">Deliver a renewal notice on or before March 31, 2025 (the notice initiates negotiation; it does not commit Greenfield to the Proposal’s terms). Note that under §14.4, if the parties do not reach agreement within 180 days after a renewal notice, the agreement expires without further action — so the notice also starts a 180-day clock.</w:t>
      </w:r>
    </w:p>
    <w:p>
      <w:pPr>
        <w:pStyle w:val="BodyText"/>
      </w:pPr>
      <w:r>
        <w:rPr>
          <w:b/>
          <w:bCs/>
        </w:rPr>
        <w:t xml:space="preserve">Issue 4 — Only License A has a rate cap.</w:t>
      </w:r>
      <w:r>
        <w:t xml:space="preserve"> </w:t>
      </w:r>
      <w:r>
        <w:t xml:space="preserve">Section 14.3(a) of License A caps any renewal royalty-rate increase at 150% of the then-current rate (i.e., 4.5% × 1.5 = 6.75%) unless an independent fair-market-value (</w:t>
      </w:r>
      <w:r>
        <w:t xml:space="preserve">“</w:t>
      </w:r>
      <w:r>
        <w:t xml:space="preserve">IFMV</w:t>
      </w:r>
      <w:r>
        <w:t xml:space="preserve">”</w:t>
      </w:r>
      <w:r>
        <w:t xml:space="preserve">) assessment is completed.</w:t>
      </w:r>
      <w:r>
        <w:t xml:space="preserve"> </w:t>
      </w:r>
      <w:r>
        <w:rPr>
          <w:b/>
          <w:bCs/>
        </w:rPr>
        <w:t xml:space="preserve">Licenses B and C contain no equivalent rate-cap or IFMV protection.</w:t>
      </w:r>
      <w:r>
        <w:t xml:space="preserve"> </w:t>
      </w:r>
      <w:r>
        <w:t xml:space="preserve">Greenfield therefore has materially less contractual protection against rate/fee increases on B and C, and must rely on market leverage and the threat of non-renewal/switching.</w:t>
      </w:r>
    </w:p>
    <w:p>
      <w:r>
        <w:pict>
          <v:rect style="width:0;height:1.5pt" o:hralign="center" o:hrstd="t" o:hr="t"/>
        </w:pict>
      </w:r>
    </w:p>
    <w:bookmarkEnd w:id="22"/>
    <w:bookmarkStart w:id="25" w:name="X5d6bb78f3b36e7c9a02b3b31655673b5b392794"/>
    <w:p>
      <w:pPr>
        <w:pStyle w:val="Heading2"/>
      </w:pPr>
      <w:r>
        <w:t xml:space="preserve">IV. License A — CRISPR-Ag Suite (NT-GF-2015-001)</w:t>
      </w:r>
    </w:p>
    <w:bookmarkStart w:id="23" w:name="a.-current-vs.-proposed-economic-terms"/>
    <w:p>
      <w:pPr>
        <w:pStyle w:val="Heading3"/>
      </w:pPr>
      <w:r>
        <w:t xml:space="preserve">A. Current vs. Proposed — Economic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 (§)</w:t>
            </w:r>
          </w:p>
        </w:tc>
        <w:tc>
          <w:tcPr/>
          <w:p>
            <w:pPr>
              <w:pStyle w:val="Compact"/>
              <w:jc w:val="left"/>
            </w:pPr>
            <w:r>
              <w:t xml:space="preserve">Proposed</w:t>
            </w:r>
          </w:p>
        </w:tc>
        <w:tc>
          <w:tcPr/>
          <w:p>
            <w:pPr>
              <w:pStyle w:val="Compact"/>
              <w:jc w:val="left"/>
            </w:pPr>
            <w:r>
              <w:t xml:space="preserve">Change</w:t>
            </w:r>
          </w:p>
        </w:tc>
      </w:tr>
      <w:tr>
        <w:tc>
          <w:tcPr/>
          <w:p>
            <w:pPr>
              <w:pStyle w:val="Compact"/>
              <w:jc w:val="left"/>
            </w:pPr>
            <w:r>
              <w:t xml:space="preserve">Royalty rate</w:t>
            </w:r>
          </w:p>
        </w:tc>
        <w:tc>
          <w:tcPr/>
          <w:p>
            <w:pPr>
              <w:pStyle w:val="Compact"/>
              <w:jc w:val="left"/>
            </w:pPr>
            <w:r>
              <w:t xml:space="preserve">4.5% of Net Sales (§7.1)</w:t>
            </w:r>
          </w:p>
        </w:tc>
        <w:tc>
          <w:tcPr/>
          <w:p>
            <w:pPr>
              <w:pStyle w:val="Compact"/>
              <w:jc w:val="left"/>
            </w:pPr>
            <w:r>
              <w:t xml:space="preserve">6.25% of</w:t>
            </w:r>
            <w:r>
              <w:t xml:space="preserve"> </w:t>
            </w:r>
            <w:r>
              <w:rPr>
                <w:i/>
                <w:iCs/>
              </w:rPr>
              <w:t xml:space="preserve">redefined</w:t>
            </w:r>
            <w:r>
              <w:t xml:space="preserve"> </w:t>
            </w:r>
            <w:r>
              <w:t xml:space="preserve">Net Sales</w:t>
            </w:r>
          </w:p>
        </w:tc>
        <w:tc>
          <w:tcPr/>
          <w:p>
            <w:pPr>
              <w:pStyle w:val="Compact"/>
              <w:jc w:val="left"/>
            </w:pPr>
            <w:r>
              <w:t xml:space="preserve">+38.9% nominal</w:t>
            </w:r>
          </w:p>
        </w:tc>
      </w:tr>
      <w:tr>
        <w:tc>
          <w:tcPr/>
          <w:p>
            <w:pPr>
              <w:pStyle w:val="Compact"/>
              <w:jc w:val="left"/>
            </w:pPr>
            <w:r>
              <w:t xml:space="preserve">Effective rate on original Net Sales base</w:t>
            </w:r>
          </w:p>
        </w:tc>
        <w:tc>
          <w:tcPr/>
          <w:p>
            <w:pPr>
              <w:pStyle w:val="Compact"/>
              <w:jc w:val="left"/>
            </w:pPr>
            <w:r>
              <w:t xml:space="preserve">4.5%</w:t>
            </w:r>
          </w:p>
        </w:tc>
        <w:tc>
          <w:tcPr/>
          <w:p>
            <w:pPr>
              <w:pStyle w:val="Compact"/>
              <w:jc w:val="left"/>
            </w:pPr>
            <w:r>
              <w:rPr>
                <w:b/>
                <w:bCs/>
              </w:rPr>
              <w:t xml:space="preserve">6.70%</w:t>
            </w:r>
            <w:r>
              <w:t xml:space="preserve"> </w:t>
            </w:r>
            <w:r>
              <w:t xml:space="preserve">(6.25% × redefined base 1.072)</w:t>
            </w:r>
          </w:p>
        </w:tc>
        <w:tc>
          <w:tcPr/>
          <w:p>
            <w:pPr>
              <w:pStyle w:val="Compact"/>
              <w:jc w:val="left"/>
            </w:pPr>
            <w:r>
              <w:rPr>
                <w:b/>
                <w:bCs/>
              </w:rPr>
              <w:t xml:space="preserve">+48.9%</w:t>
            </w:r>
          </w:p>
        </w:tc>
      </w:tr>
      <w:tr>
        <w:tc>
          <w:tcPr/>
          <w:p>
            <w:pPr>
              <w:pStyle w:val="Compact"/>
              <w:jc w:val="left"/>
            </w:pPr>
            <w:r>
              <w:t xml:space="preserve">Minimum annual royalty</w:t>
            </w:r>
          </w:p>
        </w:tc>
        <w:tc>
          <w:tcPr/>
          <w:p>
            <w:pPr>
              <w:pStyle w:val="Compact"/>
              <w:jc w:val="left"/>
            </w:pPr>
            <w:r>
              <w:t xml:space="preserve">$4.0M (§7.2)</w:t>
            </w:r>
          </w:p>
        </w:tc>
        <w:tc>
          <w:tcPr/>
          <w:p>
            <w:pPr>
              <w:pStyle w:val="Compact"/>
              <w:jc w:val="left"/>
            </w:pPr>
            <w:r>
              <w:t xml:space="preserve">$8.0M (quarterly $2.0M)</w:t>
            </w:r>
          </w:p>
        </w:tc>
        <w:tc>
          <w:tcPr/>
          <w:p>
            <w:pPr>
              <w:pStyle w:val="Compact"/>
              <w:jc w:val="left"/>
            </w:pPr>
            <w:r>
              <w:t xml:space="preserve">+100%</w:t>
            </w:r>
          </w:p>
        </w:tc>
      </w:tr>
      <w:tr>
        <w:tc>
          <w:tcPr/>
          <w:p>
            <w:pPr>
              <w:pStyle w:val="Compact"/>
              <w:jc w:val="left"/>
            </w:pPr>
            <w:r>
              <w:t xml:space="preserve">Net Sales deductions</w:t>
            </w:r>
          </w:p>
        </w:tc>
        <w:tc>
          <w:tcPr/>
          <w:p>
            <w:pPr>
              <w:pStyle w:val="Compact"/>
              <w:jc w:val="left"/>
            </w:pPr>
            <w:r>
              <w:t xml:space="preserve">Freight, insurance, returns, recalls, bad debt, taxes, rebates (§1.14)</w:t>
            </w:r>
          </w:p>
        </w:tc>
        <w:tc>
          <w:tcPr/>
          <w:p>
            <w:pPr>
              <w:pStyle w:val="Compact"/>
              <w:jc w:val="left"/>
            </w:pPr>
            <w:r>
              <w:t xml:space="preserve">Only trade discounts and taxes (Proposal Part I, Item 5)</w:t>
            </w:r>
          </w:p>
        </w:tc>
        <w:tc>
          <w:tcPr/>
          <w:p>
            <w:pPr>
              <w:pStyle w:val="Compact"/>
              <w:jc w:val="left"/>
            </w:pPr>
            <w:r>
              <w:t xml:space="preserve">Narrowed (+7.2% base)</w:t>
            </w:r>
          </w:p>
        </w:tc>
      </w:tr>
      <w:tr>
        <w:tc>
          <w:tcPr/>
          <w:p>
            <w:pPr>
              <w:pStyle w:val="Compact"/>
              <w:jc w:val="left"/>
            </w:pPr>
            <w:r>
              <w:t xml:space="preserve">Sublicense pass-through</w:t>
            </w:r>
          </w:p>
        </w:tc>
        <w:tc>
          <w:tcPr/>
          <w:p>
            <w:pPr>
              <w:pStyle w:val="Compact"/>
              <w:jc w:val="left"/>
            </w:pPr>
            <w:r>
              <w:t xml:space="preserve">35% (§10.3)</w:t>
            </w:r>
          </w:p>
        </w:tc>
        <w:tc>
          <w:tcPr/>
          <w:p>
            <w:pPr>
              <w:pStyle w:val="Compact"/>
              <w:jc w:val="left"/>
            </w:pPr>
            <w:r>
              <w:t xml:space="preserve">50%</w:t>
            </w:r>
          </w:p>
        </w:tc>
        <w:tc>
          <w:tcPr/>
          <w:p>
            <w:pPr>
              <w:pStyle w:val="Compact"/>
              <w:jc w:val="left"/>
            </w:pPr>
            <w:r>
              <w:t xml:space="preserve">+15 pts</w:t>
            </w:r>
          </w:p>
        </w:tc>
      </w:tr>
      <w:tr>
        <w:tc>
          <w:tcPr/>
          <w:p>
            <w:pPr>
              <w:pStyle w:val="Compact"/>
              <w:jc w:val="left"/>
            </w:pPr>
            <w:r>
              <w:t xml:space="preserve">Term</w:t>
            </w:r>
          </w:p>
        </w:tc>
        <w:tc>
          <w:tcPr/>
          <w:p>
            <w:pPr>
              <w:pStyle w:val="Compact"/>
              <w:jc w:val="left"/>
            </w:pPr>
            <w:r>
              <w:t xml:space="preserve">10 years (ends 6/30/2025)</w:t>
            </w:r>
          </w:p>
        </w:tc>
        <w:tc>
          <w:tcPr/>
          <w:p>
            <w:pPr>
              <w:pStyle w:val="Compact"/>
              <w:jc w:val="left"/>
            </w:pPr>
            <w:r>
              <w:t xml:space="preserve">5 years (7/1/2025–6/30/2030)</w:t>
            </w:r>
          </w:p>
        </w:tc>
        <w:tc>
          <w:tcPr/>
          <w:p>
            <w:pPr>
              <w:pStyle w:val="Compact"/>
              <w:jc w:val="left"/>
            </w:pPr>
            <w:r>
              <w:t xml:space="preserve">Shorter</w:t>
            </w:r>
          </w:p>
        </w:tc>
      </w:tr>
      <w:tr>
        <w:tc>
          <w:tcPr/>
          <w:p>
            <w:pPr>
              <w:pStyle w:val="Compact"/>
              <w:jc w:val="left"/>
            </w:pPr>
            <w:r>
              <w:t xml:space="preserve">Field of Use — crops</w:t>
            </w:r>
          </w:p>
        </w:tc>
        <w:tc>
          <w:tcPr/>
          <w:p>
            <w:pPr>
              <w:pStyle w:val="Compact"/>
              <w:jc w:val="left"/>
            </w:pPr>
            <w:r>
              <w:t xml:space="preserve">Corn, soybean (§1.7)</w:t>
            </w:r>
          </w:p>
        </w:tc>
        <w:tc>
          <w:tcPr/>
          <w:p>
            <w:pPr>
              <w:pStyle w:val="Compact"/>
              <w:jc w:val="left"/>
            </w:pPr>
            <w:r>
              <w:t xml:space="preserve">Corn, soybean,</w:t>
            </w:r>
            <w:r>
              <w:t xml:space="preserve"> </w:t>
            </w:r>
            <w:r>
              <w:rPr>
                <w:b/>
                <w:bCs/>
              </w:rPr>
              <w:t xml:space="preserve">wheat</w:t>
            </w:r>
          </w:p>
        </w:tc>
        <w:tc>
          <w:tcPr/>
          <w:p>
            <w:pPr>
              <w:pStyle w:val="Compact"/>
              <w:jc w:val="left"/>
            </w:pPr>
            <w:r>
              <w:t xml:space="preserve">Expanded</w:t>
            </w:r>
          </w:p>
        </w:tc>
      </w:tr>
      <w:tr>
        <w:tc>
          <w:tcPr/>
          <w:p>
            <w:pPr>
              <w:pStyle w:val="Compact"/>
              <w:jc w:val="left"/>
            </w:pPr>
            <w:r>
              <w:t xml:space="preserve">Field of Use — traits</w:t>
            </w:r>
          </w:p>
        </w:tc>
        <w:tc>
          <w:tcPr/>
          <w:p>
            <w:pPr>
              <w:pStyle w:val="Compact"/>
              <w:jc w:val="left"/>
            </w:pPr>
            <w:r>
              <w:t xml:space="preserve">Herbicide tolerance</w:t>
            </w:r>
            <w:r>
              <w:t xml:space="preserve"> </w:t>
            </w:r>
            <w:r>
              <w:rPr>
                <w:b/>
                <w:bCs/>
              </w:rPr>
              <w:t xml:space="preserve">+ insect resistance</w:t>
            </w:r>
            <w:r>
              <w:t xml:space="preserve"> </w:t>
            </w:r>
            <w:r>
              <w:t xml:space="preserve">(§1.7)</w:t>
            </w:r>
          </w:p>
        </w:tc>
        <w:tc>
          <w:tcPr/>
          <w:p>
            <w:pPr>
              <w:pStyle w:val="Compact"/>
              <w:jc w:val="left"/>
            </w:pPr>
            <w:r>
              <w:t xml:space="preserve">Herbicide tolerance</w:t>
            </w:r>
            <w:r>
              <w:t xml:space="preserve"> </w:t>
            </w:r>
            <w:r>
              <w:rPr>
                <w:b/>
                <w:bCs/>
              </w:rPr>
              <w:t xml:space="preserve">only</w:t>
            </w:r>
          </w:p>
        </w:tc>
        <w:tc>
          <w:tcPr/>
          <w:p>
            <w:pPr>
              <w:pStyle w:val="Compact"/>
              <w:jc w:val="left"/>
            </w:pPr>
            <w:r>
              <w:rPr>
                <w:b/>
                <w:bCs/>
              </w:rPr>
              <w:t xml:space="preserve">Narrowed</w:t>
            </w:r>
          </w:p>
        </w:tc>
      </w:tr>
      <w:tr>
        <w:tc>
          <w:tcPr/>
          <w:p>
            <w:pPr>
              <w:pStyle w:val="Compact"/>
              <w:jc w:val="left"/>
            </w:pPr>
            <w:r>
              <w:t xml:space="preserve">Improvements</w:t>
            </w:r>
          </w:p>
        </w:tc>
        <w:tc>
          <w:tcPr/>
          <w:p>
            <w:pPr>
              <w:pStyle w:val="Compact"/>
              <w:jc w:val="left"/>
            </w:pPr>
            <w:r>
              <w:t xml:space="preserve">Greenfield sole owner; non-exclusive license back to NovaTrait at commercially reasonable royalty (§8.1)</w:t>
            </w:r>
          </w:p>
        </w:tc>
        <w:tc>
          <w:tcPr/>
          <w:p>
            <w:pPr>
              <w:pStyle w:val="Compact"/>
              <w:jc w:val="left"/>
            </w:pPr>
            <w:r>
              <w:rPr>
                <w:b/>
                <w:bCs/>
              </w:rPr>
              <w:t xml:space="preserve">Joint ownership; royalty-free, sublicensable, transferable license to NovaTrait</w:t>
            </w:r>
          </w:p>
        </w:tc>
        <w:tc>
          <w:tcPr/>
          <w:p>
            <w:pPr>
              <w:pStyle w:val="Compact"/>
              <w:jc w:val="left"/>
            </w:pPr>
            <w:r>
              <w:rPr>
                <w:b/>
                <w:bCs/>
              </w:rPr>
              <w:t xml:space="preserve">Reversed</w:t>
            </w:r>
          </w:p>
        </w:tc>
      </w:tr>
      <w:tr>
        <w:tc>
          <w:tcPr/>
          <w:p>
            <w:pPr>
              <w:pStyle w:val="Compact"/>
              <w:jc w:val="left"/>
            </w:pPr>
            <w:r>
              <w:t xml:space="preserve">Anti-stacking offset</w:t>
            </w:r>
          </w:p>
        </w:tc>
        <w:tc>
          <w:tcPr/>
          <w:p>
            <w:pPr>
              <w:pStyle w:val="Compact"/>
              <w:jc w:val="left"/>
            </w:pPr>
            <w:r>
              <w:t xml:space="preserve">None</w:t>
            </w:r>
          </w:p>
        </w:tc>
        <w:tc>
          <w:tcPr/>
          <w:p>
            <w:pPr>
              <w:pStyle w:val="Compact"/>
              <w:jc w:val="left"/>
            </w:pPr>
            <w:r>
              <w:t xml:space="preserve">50% of 3rd-party FTO royalties credited, capped at 25%/quarter, 4.75% floor (new §7.7)</w:t>
            </w:r>
          </w:p>
        </w:tc>
        <w:tc>
          <w:tcPr/>
          <w:p>
            <w:pPr>
              <w:pStyle w:val="Compact"/>
              <w:jc w:val="left"/>
            </w:pPr>
            <w:r>
              <w:t xml:space="preserve">New (beneficial, limited)</w:t>
            </w:r>
          </w:p>
        </w:tc>
      </w:tr>
    </w:tbl>
    <w:bookmarkEnd w:id="23"/>
    <w:bookmarkStart w:id="24" w:name="b.-issues-and-risks"/>
    <w:p>
      <w:pPr>
        <w:pStyle w:val="Heading3"/>
      </w:pPr>
      <w:r>
        <w:t xml:space="preserve">B. Issues and Risks</w:t>
      </w:r>
    </w:p>
    <w:p>
      <w:pPr>
        <w:pStyle w:val="FirstParagraph"/>
      </w:pPr>
      <w:r>
        <w:rPr>
          <w:b/>
          <w:bCs/>
        </w:rPr>
        <w:t xml:space="preserve">Issue A-1 — Royalty rate and Net Sales redefinition together exceed the economic intent of the §14.3 cap (HIGH).</w:t>
      </w:r>
      <w:r>
        <w:t xml:space="preserve"> </w:t>
      </w:r>
      <w:r>
        <w:t xml:space="preserve">The proposed 6.25% nominal rate is within the §14.3(a) 150% cap (6.75%), and NovaTrait relies on this to avoid an IFMV assessment. But the simultaneous redefinition of Net Sales — eliminating deductions for freight, insurance, returns/recalls, and bad debt — expands the royalty base by approximately 7.2%. Measured against the</w:t>
      </w:r>
      <w:r>
        <w:t xml:space="preserve"> </w:t>
      </w:r>
      <w:r>
        <w:rPr>
          <w:i/>
          <w:iCs/>
        </w:rPr>
        <w:t xml:space="preserve">original</w:t>
      </w:r>
      <w:r>
        <w:t xml:space="preserve"> </w:t>
      </w:r>
      <w:r>
        <w:t xml:space="preserve">Net Sales base, the effective rate is</w:t>
      </w:r>
      <w:r>
        <w:t xml:space="preserve"> </w:t>
      </w:r>
      <w:r>
        <w:rPr>
          <w:b/>
          <w:bCs/>
        </w:rPr>
        <w:t xml:space="preserve">6.70%</w:t>
      </w:r>
      <w:r>
        <w:t xml:space="preserve">, which is</w:t>
      </w:r>
      <w:r>
        <w:t xml:space="preserve"> </w:t>
      </w:r>
      <w:r>
        <w:rPr>
          <w:b/>
          <w:bCs/>
        </w:rPr>
        <w:t xml:space="preserve">148.9% of the current 4.5% rate</w:t>
      </w:r>
      <w:r>
        <w:t xml:space="preserve"> </w:t>
      </w:r>
      <w:r>
        <w:t xml:space="preserve">— inside the 150% cap, but only barely, and the combined economic increase (+48.9%) is substantially greater than the nominal rate increase (+38.9%) suggests. Section 14.3(a) is ambiguous as to whether</w:t>
      </w:r>
      <w:r>
        <w:t xml:space="preserve"> </w:t>
      </w:r>
      <w:r>
        <w:t xml:space="preserve">“</w:t>
      </w:r>
      <w:r>
        <w:t xml:space="preserve">royalty rate</w:t>
      </w:r>
      <w:r>
        <w:t xml:space="preserve">”</w:t>
      </w:r>
      <w:r>
        <w:t xml:space="preserve"> </w:t>
      </w:r>
      <w:r>
        <w:t xml:space="preserve">means the nominal percentage or the effective economic burden.</w:t>
      </w:r>
      <w:r>
        <w:t xml:space="preserve"> </w:t>
      </w:r>
      <w:r>
        <w:rPr>
          <w:b/>
          <w:bCs/>
        </w:rPr>
        <w:t xml:space="preserve">Recommendation:</w:t>
      </w:r>
      <w:r>
        <w:t xml:space="preserve"> </w:t>
      </w:r>
      <w:r>
        <w:t xml:space="preserve">Argue that the Net Sales redefinition is, in substance, a rate increase and that the</w:t>
      </w:r>
      <w:r>
        <w:t xml:space="preserve"> </w:t>
      </w:r>
      <w:r>
        <w:rPr>
          <w:i/>
          <w:iCs/>
        </w:rPr>
        <w:t xml:space="preserve">combined</w:t>
      </w:r>
      <w:r>
        <w:t xml:space="preserve"> </w:t>
      </w:r>
      <w:r>
        <w:t xml:space="preserve">effect must be measured against the 150% cap; in any event, §14.3 requires that any increase be</w:t>
      </w:r>
      <w:r>
        <w:t xml:space="preserve"> </w:t>
      </w:r>
      <w:r>
        <w:t xml:space="preserve">“</w:t>
      </w:r>
      <w:r>
        <w:t xml:space="preserve">by mutual agreement</w:t>
      </w:r>
      <w:r>
        <w:t xml:space="preserve">”</w:t>
      </w:r>
      <w:r>
        <w:t xml:space="preserve"> </w:t>
      </w:r>
      <w:r>
        <w:t xml:space="preserve">— Greenfield is not obligated to accept any increase. Counter at</w:t>
      </w:r>
      <w:r>
        <w:t xml:space="preserve"> </w:t>
      </w:r>
      <w:r>
        <w:rPr>
          <w:b/>
          <w:bCs/>
        </w:rPr>
        <w:t xml:space="preserve">5.0% on the original Net Sales definition</w:t>
      </w:r>
      <w:r>
        <w:t xml:space="preserve">, or</w:t>
      </w:r>
      <w:r>
        <w:t xml:space="preserve"> </w:t>
      </w:r>
      <w:r>
        <w:rPr>
          <w:b/>
          <w:bCs/>
        </w:rPr>
        <w:t xml:space="preserve">4.75% on the redefined definition</w:t>
      </w:r>
      <w:r>
        <w:t xml:space="preserve">, and require an updated IFMV assessment (the Clarendon 2020 analysis is now over four years old) before agreeing to any rate above 5.5%.</w:t>
      </w:r>
    </w:p>
    <w:p>
      <w:pPr>
        <w:pStyle w:val="BodyText"/>
      </w:pPr>
      <w:r>
        <w:rPr>
          <w:b/>
          <w:bCs/>
        </w:rPr>
        <w:t xml:space="preserve">Issue A-2 — Removal of insect resistance from the Field of Use strands ~30% of License A revenue (HIGH).</w:t>
      </w:r>
      <w:r>
        <w:t xml:space="preserve"> </w:t>
      </w:r>
      <w:r>
        <w:t xml:space="preserve">The Proposal (Part I, Item 6) removes insect resistance traits from the Field of Use because NovaTrait has granted an</w:t>
      </w:r>
      <w:r>
        <w:t xml:space="preserve"> </w:t>
      </w:r>
      <w:r>
        <w:rPr>
          <w:i/>
          <w:iCs/>
        </w:rPr>
        <w:t xml:space="preserve">exclusive</w:t>
      </w:r>
      <w:r>
        <w:t xml:space="preserve"> </w:t>
      </w:r>
      <w:r>
        <w:t xml:space="preserve">insect-resistance license to another agricultural biotechnology company. The Financial Analysis (Negotiation Priorities, Item 11) identifies insect resistance as a core product line representing approximately</w:t>
      </w:r>
      <w:r>
        <w:t xml:space="preserve"> </w:t>
      </w:r>
      <w:r>
        <w:rPr>
          <w:b/>
          <w:bCs/>
        </w:rPr>
        <w:t xml:space="preserve">30% of License A revenue</w:t>
      </w:r>
      <w:r>
        <w:t xml:space="preserve">. NovaTrait offers only</w:t>
      </w:r>
      <w:r>
        <w:t xml:space="preserve"> </w:t>
      </w:r>
      <w:r>
        <w:t xml:space="preserve">“</w:t>
      </w:r>
      <w:r>
        <w:t xml:space="preserve">a separate, non-exclusive, transitional license with a finite sunset period</w:t>
      </w:r>
      <w:r>
        <w:t xml:space="preserve">”</w:t>
      </w:r>
      <w:r>
        <w:t xml:space="preserve"> </w:t>
      </w:r>
      <w:r>
        <w:t xml:space="preserve">for Greenfield’s existing insect-resistance products. This is a material narrowing of granted rights mid-relationship and would force Greenfield to sunset a major revenue line or negotiate a separate, inferior license.</w:t>
      </w:r>
      <w:r>
        <w:t xml:space="preserve"> </w:t>
      </w:r>
      <w:r>
        <w:rPr>
          <w:b/>
          <w:bCs/>
        </w:rPr>
        <w:t xml:space="preserve">Recommendation:</w:t>
      </w:r>
      <w:r>
        <w:t xml:space="preserve"> </w:t>
      </w:r>
      <w:r>
        <w:t xml:space="preserve">Resist the removal. Counter that insect resistance must be</w:t>
      </w:r>
      <w:r>
        <w:t xml:space="preserve"> </w:t>
      </w:r>
      <w:r>
        <w:rPr>
          <w:b/>
          <w:bCs/>
        </w:rPr>
        <w:t xml:space="preserve">retained</w:t>
      </w:r>
      <w:r>
        <w:t xml:space="preserve"> </w:t>
      </w:r>
      <w:r>
        <w:t xml:space="preserve">in the Field of Use as a condition of renewal (Greenfield’s exclusivity under §2.2 was a core bargain). If NovaTrait will not retain it, demand (i) a long-transition sunset (minimum 5 years), (ii) a fully paid-up, non-exclusive, non-sublicensable license for existing commercial insect-resistance products at no incremental royalty, and (iii) a price reduction on the residual (herbicide-tolerance-only) license reflecting the narrowed scope. Do not accept the wheat addition as</w:t>
      </w:r>
      <w:r>
        <w:t xml:space="preserve"> </w:t>
      </w:r>
      <w:r>
        <w:t xml:space="preserve">“</w:t>
      </w:r>
      <w:r>
        <w:t xml:space="preserve">compensation</w:t>
      </w:r>
      <w:r>
        <w:t xml:space="preserve">”</w:t>
      </w:r>
      <w:r>
        <w:t xml:space="preserve"> </w:t>
      </w:r>
      <w:r>
        <w:t xml:space="preserve">for the insect-resistance removal — see Issue A-3.</w:t>
      </w:r>
    </w:p>
    <w:p>
      <w:pPr>
        <w:pStyle w:val="BodyText"/>
      </w:pPr>
      <w:r>
        <w:rPr>
          <w:b/>
          <w:bCs/>
        </w:rPr>
        <w:t xml:space="preserve">Issue A-3 — Wheat addition may not be supported by the licensed patent claims (MEDIUM–HIGH).</w:t>
      </w:r>
      <w:r>
        <w:t xml:space="preserve"> </w:t>
      </w:r>
      <w:r>
        <w:t xml:space="preserve">The Proposal adds wheat (Triticum spp.) to the Field of Use. Clarendon (Recommendation 2) specifically warns that any Field-of-Use expansion</w:t>
      </w:r>
      <w:r>
        <w:t xml:space="preserve"> </w:t>
      </w:r>
      <w:r>
        <w:t xml:space="preserve">“</w:t>
      </w:r>
      <w:r>
        <w:t xml:space="preserve">must be evaluated against the actual scope of the underlying patents</w:t>
      </w:r>
      <w:r>
        <w:t xml:space="preserve">”</w:t>
      </w:r>
      <w:r>
        <w:t xml:space="preserve"> </w:t>
      </w:r>
      <w:r>
        <w:t xml:space="preserve">and that the value of an expanded field</w:t>
      </w:r>
      <w:r>
        <w:t xml:space="preserve"> </w:t>
      </w:r>
      <w:r>
        <w:t xml:space="preserve">“</w:t>
      </w:r>
      <w:r>
        <w:t xml:space="preserve">is diminished if the underlying patents do not actually block third-party competition in the expanded field.</w:t>
      </w:r>
      <w:r>
        <w:t xml:space="preserve">”</w:t>
      </w:r>
      <w:r>
        <w:t xml:space="preserve"> </w:t>
      </w:r>
      <w:r>
        <w:t xml:space="preserve">The licensed patents’ embodiments are directed to corn and soybean; there is no representation in the record that the claims cover wheat embodiments with blocking scope. Greenfield would also assume</w:t>
      </w:r>
      <w:r>
        <w:t xml:space="preserve"> </w:t>
      </w:r>
      <w:r>
        <w:rPr>
          <w:b/>
          <w:bCs/>
        </w:rPr>
        <w:t xml:space="preserve">new diligence obligations</w:t>
      </w:r>
      <w:r>
        <w:t xml:space="preserve"> </w:t>
      </w:r>
      <w:r>
        <w:t xml:space="preserve">for wheat (Proposal Part I, Item 11: a wheat field trial within 36 months and a U.S./Canada regulatory submission within 60 months), with failure triggering the §4.3 180-day cure and conversion-to-non-exclusive remedy.</w:t>
      </w:r>
      <w:r>
        <w:t xml:space="preserve"> </w:t>
      </w:r>
      <w:r>
        <w:rPr>
          <w:b/>
          <w:bCs/>
        </w:rPr>
        <w:t xml:space="preserve">Recommendation:</w:t>
      </w:r>
      <w:r>
        <w:t xml:space="preserve"> </w:t>
      </w:r>
      <w:r>
        <w:t xml:space="preserve">Do not pay a rate premium for a wheat expansion unless NovaTrait demonstrates, via claim charts, that its portfolio provides meaningful exclusivity for wheat. Treat the wheat addition as optional and contingent on a confirmed blocking position; do not accept the associated diligence milestones unless Greenfield actually intends a wheat program.</w:t>
      </w:r>
    </w:p>
    <w:p>
      <w:pPr>
        <w:pStyle w:val="BodyText"/>
      </w:pPr>
      <w:r>
        <w:rPr>
          <w:b/>
          <w:bCs/>
        </w:rPr>
        <w:t xml:space="preserve">Issue A-4 — Improvements reversal is a significant give-back (HIGH).</w:t>
      </w:r>
      <w:r>
        <w:t xml:space="preserve"> </w:t>
      </w:r>
      <w:r>
        <w:t xml:space="preserve">Current §8.1 provides that Greenfield</w:t>
      </w:r>
      <w:r>
        <w:t xml:space="preserve"> </w:t>
      </w:r>
      <w:r>
        <w:rPr>
          <w:b/>
          <w:bCs/>
        </w:rPr>
        <w:t xml:space="preserve">solely owns</w:t>
      </w:r>
      <w:r>
        <w:t xml:space="preserve"> </w:t>
      </w:r>
      <w:r>
        <w:t xml:space="preserve">its Improvements, with a non-exclusive license back to NovaTrait at a</w:t>
      </w:r>
      <w:r>
        <w:t xml:space="preserve"> </w:t>
      </w:r>
      <w:r>
        <w:rPr>
          <w:i/>
          <w:iCs/>
        </w:rPr>
        <w:t xml:space="preserve">commercially reasonable royalty to be negotiated</w:t>
      </w:r>
      <w:r>
        <w:t xml:space="preserve">. The Proposal (Part I, Item 9) reverses this to</w:t>
      </w:r>
      <w:r>
        <w:t xml:space="preserve"> </w:t>
      </w:r>
      <w:r>
        <w:rPr>
          <w:b/>
          <w:bCs/>
        </w:rPr>
        <w:t xml:space="preserve">joint ownership</w:t>
      </w:r>
      <w:r>
        <w:t xml:space="preserve"> </w:t>
      </w:r>
      <w:r>
        <w:t xml:space="preserve">with an</w:t>
      </w:r>
      <w:r>
        <w:t xml:space="preserve"> </w:t>
      </w:r>
      <w:r>
        <w:t xml:space="preserve">“</w:t>
      </w:r>
      <w:r>
        <w:t xml:space="preserve">irrevocable, perpetual, worldwide, fully paid-up, royalty-free, sublicensable, and transferable</w:t>
      </w:r>
      <w:r>
        <w:t xml:space="preserve">”</w:t>
      </w:r>
      <w:r>
        <w:t xml:space="preserve"> </w:t>
      </w:r>
      <w:r>
        <w:t xml:space="preserve">license to NovaTrait for</w:t>
      </w:r>
      <w:r>
        <w:t xml:space="preserve"> </w:t>
      </w:r>
      <w:r>
        <w:rPr>
          <w:i/>
          <w:iCs/>
        </w:rPr>
        <w:t xml:space="preserve">any and all purposes, within or outside the Field of Use</w:t>
      </w:r>
      <w:r>
        <w:t xml:space="preserve"> </w:t>
      </w:r>
      <w:r>
        <w:t xml:space="preserve">— while Greenfield receives only a non-exclusive, non-sublicensable, royalty-bearing license</w:t>
      </w:r>
      <w:r>
        <w:t xml:space="preserve"> </w:t>
      </w:r>
      <w:r>
        <w:rPr>
          <w:i/>
          <w:iCs/>
        </w:rPr>
        <w:t xml:space="preserve">for the duration of the Renewal Term only</w:t>
      </w:r>
      <w:r>
        <w:t xml:space="preserve">. This converts Greenfield’s exclusive ownership of its own R&amp;D outputs into a shared asset and gives NovaTrait a perpetual, royalty-free, sublicensable right to exploit Greenfield’s improvements even outside the Field of Use. It is a substantial transfer of value.</w:t>
      </w:r>
      <w:r>
        <w:t xml:space="preserve"> </w:t>
      </w:r>
      <w:r>
        <w:rPr>
          <w:b/>
          <w:bCs/>
        </w:rPr>
        <w:t xml:space="preserve">Recommendation:</w:t>
      </w:r>
      <w:r>
        <w:t xml:space="preserve"> </w:t>
      </w:r>
      <w:r>
        <w:t xml:space="preserve">Retain Greenfield’s sole ownership of Greenfield Improvements (current §8.1). If NovaTrait insists on joint ownership for</w:t>
      </w:r>
      <w:r>
        <w:t xml:space="preserve"> </w:t>
      </w:r>
      <w:r>
        <w:rPr>
          <w:i/>
          <w:iCs/>
        </w:rPr>
        <w:t xml:space="preserve">jointly</w:t>
      </w:r>
      <w:r>
        <w:t xml:space="preserve"> </w:t>
      </w:r>
      <w:r>
        <w:t xml:space="preserve">conceived improvements only, confine the royalty-free grant-back to NovaTrait Improvements and preserve Greenfield’s exclusive ownership of solely-conceived Greenfield Improvements with a license back at a</w:t>
      </w:r>
      <w:r>
        <w:t xml:space="preserve"> </w:t>
      </w:r>
      <w:r>
        <w:rPr>
          <w:i/>
          <w:iCs/>
        </w:rPr>
        <w:t xml:space="preserve">commercially reasonable royalty</w:t>
      </w:r>
      <w:r>
        <w:t xml:space="preserve"> </w:t>
      </w:r>
      <w:r>
        <w:t xml:space="preserve">(not royalty-free, not perpetual beyond the term, not sublicensable outside the Field of Use).</w:t>
      </w:r>
    </w:p>
    <w:p>
      <w:pPr>
        <w:pStyle w:val="BodyText"/>
      </w:pPr>
      <w:r>
        <w:rPr>
          <w:b/>
          <w:bCs/>
        </w:rPr>
        <w:t xml:space="preserve">Issue A-5 — Sublicense pass-through increase from 35% to 50% is above market (MEDIUM).</w:t>
      </w:r>
      <w:r>
        <w:t xml:space="preserve"> </w:t>
      </w:r>
      <w:r>
        <w:t xml:space="preserve">The current 35% pass-through (§10.3) is already above the market median. The Financial Analysis market comparables show sublicense pass-throughs of 30%–40% in comparable gene-editing licenses.</w:t>
      </w:r>
      <w:r>
        <w:t xml:space="preserve"> </w:t>
      </w:r>
      <w:r>
        <w:rPr>
          <w:b/>
          <w:bCs/>
        </w:rPr>
        <w:t xml:space="preserve">Recommendation:</w:t>
      </w:r>
      <w:r>
        <w:t xml:space="preserve"> </w:t>
      </w:r>
      <w:r>
        <w:t xml:space="preserve">Retain 35%, or accept 40% only with a volume discount above a defined pass-through threshold.</w:t>
      </w:r>
    </w:p>
    <w:p>
      <w:pPr>
        <w:pStyle w:val="BodyText"/>
      </w:pPr>
      <w:r>
        <w:rPr>
          <w:b/>
          <w:bCs/>
        </w:rPr>
        <w:t xml:space="preserve">Issue A-6 — Foundational patent expires mid-term; flat royalty overcharges the post-2028 period (HIGH).</w:t>
      </w:r>
      <w:r>
        <w:t xml:space="preserve"> </w:t>
      </w:r>
      <w:r>
        <w:t xml:space="preserve">U.S. Patent No. 9,234,117 — which Clarendon values at</w:t>
      </w:r>
      <w:r>
        <w:t xml:space="preserve"> </w:t>
      </w:r>
      <w:r>
        <w:rPr>
          <w:b/>
          <w:bCs/>
        </w:rPr>
        <w:t xml:space="preserve">~60% of the entire License A portfolio</w:t>
      </w:r>
      <w:r>
        <w:t xml:space="preserve"> </w:t>
      </w:r>
      <w:r>
        <w:t xml:space="preserve">— expires</w:t>
      </w:r>
      <w:r>
        <w:t xml:space="preserve"> </w:t>
      </w:r>
      <w:r>
        <w:rPr>
          <w:b/>
          <w:bCs/>
        </w:rPr>
        <w:t xml:space="preserve">March 12, 2028</w:t>
      </w:r>
      <w:r>
        <w:t xml:space="preserve">, approximately 2.5 years into the proposed 5-year renewal. Clarendon (§2.3) estimates the residual portfolio value after the ’117 expiry at only</w:t>
      </w:r>
      <w:r>
        <w:t xml:space="preserve"> </w:t>
      </w:r>
      <w:r>
        <w:rPr>
          <w:b/>
          <w:bCs/>
        </w:rPr>
        <w:t xml:space="preserve">35–40% of the current aggregate value</w:t>
      </w:r>
      <w:r>
        <w:t xml:space="preserve">, and recommends a</w:t>
      </w:r>
      <w:r>
        <w:t xml:space="preserve"> </w:t>
      </w:r>
      <w:r>
        <w:rPr>
          <w:b/>
          <w:bCs/>
        </w:rPr>
        <w:t xml:space="preserve">step-down royalty mechanism</w:t>
      </w:r>
      <w:r>
        <w:t xml:space="preserve"> </w:t>
      </w:r>
      <w:r>
        <w:t xml:space="preserve">or a rate-renegotiation trigger upon ’117 expiry, with post-2028 rates in the range of</w:t>
      </w:r>
      <w:r>
        <w:t xml:space="preserve"> </w:t>
      </w:r>
      <w:r>
        <w:rPr>
          <w:b/>
          <w:bCs/>
        </w:rPr>
        <w:t xml:space="preserve">2.0%–3.5%</w:t>
      </w:r>
      <w:r>
        <w:t xml:space="preserve">. The Proposal (Part I, Item 14) acknowledges the ’117 expiry but argues value is preserved by continuation patents (including 10,112,445) and know-how, and applies a flat 6.25% across the full term.</w:t>
      </w:r>
      <w:r>
        <w:t xml:space="preserve"> </w:t>
      </w:r>
      <w:r>
        <w:rPr>
          <w:b/>
          <w:bCs/>
        </w:rPr>
        <w:t xml:space="preserve">Recommendation:</w:t>
      </w:r>
      <w:r>
        <w:t xml:space="preserve"> </w:t>
      </w:r>
      <w:r>
        <w:t xml:space="preserve">Insist on a royalty step-down effective March 12, 2028 (or a renegotiation trigger), with the post-expiry rate set in the 2.0%–3.5% range per Clarendon. A flat 6.25% through June 2030 would have Greenfield paying full price for ~2.5 years during which the most valuable patent is in the public domain and at least two competing platforms (AgriGenome Solutions, CropTech Innovations) are expected to be commercially available.</w:t>
      </w:r>
    </w:p>
    <w:p>
      <w:pPr>
        <w:pStyle w:val="BodyText"/>
      </w:pPr>
      <w:r>
        <w:rPr>
          <w:b/>
          <w:bCs/>
        </w:rPr>
        <w:t xml:space="preserve">Issue A-7 — Patent expiration-date discrepancies in the Proposal’s Appendix A (HIGH — verify).</w:t>
      </w:r>
      <w:r>
        <w:t xml:space="preserve"> </w:t>
      </w:r>
      <w:r>
        <w:t xml:space="preserve">The Proposal’s Appendix A lists expiration dates that are materially</w:t>
      </w:r>
      <w:r>
        <w:t xml:space="preserve"> </w:t>
      </w:r>
      <w:r>
        <w:rPr>
          <w:b/>
          <w:bCs/>
        </w:rPr>
        <w:t xml:space="preserve">earlier</w:t>
      </w:r>
      <w:r>
        <w:t xml:space="preserve"> </w:t>
      </w:r>
      <w:r>
        <w:t xml:space="preserve">than both the original License A Exhibit A and the Clarendon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Patent</w:t>
            </w:r>
          </w:p>
        </w:tc>
        <w:tc>
          <w:tcPr/>
          <w:p>
            <w:pPr>
              <w:pStyle w:val="Compact"/>
              <w:jc w:val="left"/>
            </w:pPr>
            <w:r>
              <w:t xml:space="preserve">Original Exhibit A / Clarendon</w:t>
            </w:r>
          </w:p>
        </w:tc>
        <w:tc>
          <w:tcPr/>
          <w:p>
            <w:pPr>
              <w:pStyle w:val="Compact"/>
              <w:jc w:val="left"/>
            </w:pPr>
            <w:r>
              <w:t xml:space="preserve">Proposal Appendix A</w:t>
            </w:r>
          </w:p>
        </w:tc>
      </w:tr>
      <w:tr>
        <w:tc>
          <w:tcPr/>
          <w:p>
            <w:pPr>
              <w:pStyle w:val="Compact"/>
              <w:jc w:val="left"/>
            </w:pPr>
            <w:r>
              <w:t xml:space="preserve">9,234,117</w:t>
            </w:r>
          </w:p>
        </w:tc>
        <w:tc>
          <w:tcPr/>
          <w:p>
            <w:pPr>
              <w:pStyle w:val="Compact"/>
              <w:jc w:val="left"/>
            </w:pPr>
            <w:r>
              <w:t xml:space="preserve">March 12, 2028</w:t>
            </w:r>
          </w:p>
        </w:tc>
        <w:tc>
          <w:tcPr/>
          <w:p>
            <w:pPr>
              <w:pStyle w:val="Compact"/>
              <w:jc w:val="left"/>
            </w:pPr>
            <w:r>
              <w:t xml:space="preserve">March 12, 2028 (consistent)</w:t>
            </w:r>
          </w:p>
        </w:tc>
      </w:tr>
      <w:tr>
        <w:tc>
          <w:tcPr/>
          <w:p>
            <w:pPr>
              <w:pStyle w:val="Compact"/>
              <w:jc w:val="left"/>
            </w:pPr>
            <w:r>
              <w:t xml:space="preserve">9,234,118</w:t>
            </w:r>
          </w:p>
        </w:tc>
        <w:tc>
          <w:tcPr/>
          <w:p>
            <w:pPr>
              <w:pStyle w:val="Compact"/>
              <w:jc w:val="left"/>
            </w:pPr>
            <w:r>
              <w:t xml:space="preserve">Sept. 22, 2033 / 2033 (est.)</w:t>
            </w:r>
          </w:p>
        </w:tc>
        <w:tc>
          <w:tcPr/>
          <w:p>
            <w:pPr>
              <w:pStyle w:val="Compact"/>
              <w:jc w:val="left"/>
            </w:pPr>
            <w:r>
              <w:rPr>
                <w:b/>
                <w:bCs/>
              </w:rPr>
              <w:t xml:space="preserve">Dec. 19, 2028</w:t>
            </w:r>
          </w:p>
        </w:tc>
      </w:tr>
      <w:tr>
        <w:tc>
          <w:tcPr/>
          <w:p>
            <w:pPr>
              <w:pStyle w:val="Compact"/>
              <w:jc w:val="left"/>
            </w:pPr>
            <w:r>
              <w:t xml:space="preserve">9,651,002</w:t>
            </w:r>
          </w:p>
        </w:tc>
        <w:tc>
          <w:tcPr/>
          <w:p>
            <w:pPr>
              <w:pStyle w:val="Compact"/>
              <w:jc w:val="left"/>
            </w:pPr>
            <w:r>
              <w:t xml:space="preserve">March 8, 2034 / 2034 (est.)</w:t>
            </w:r>
          </w:p>
        </w:tc>
        <w:tc>
          <w:tcPr/>
          <w:p>
            <w:pPr>
              <w:pStyle w:val="Compact"/>
              <w:jc w:val="left"/>
            </w:pPr>
            <w:r>
              <w:rPr>
                <w:b/>
                <w:bCs/>
              </w:rPr>
              <w:t xml:space="preserve">March 8, 2029</w:t>
            </w:r>
          </w:p>
        </w:tc>
      </w:tr>
      <w:tr>
        <w:tc>
          <w:tcPr/>
          <w:p>
            <w:pPr>
              <w:pStyle w:val="Compact"/>
              <w:jc w:val="left"/>
            </w:pPr>
            <w:r>
              <w:t xml:space="preserve">10,112,445</w:t>
            </w:r>
          </w:p>
        </w:tc>
        <w:tc>
          <w:tcPr/>
          <w:p>
            <w:pPr>
              <w:pStyle w:val="Compact"/>
              <w:jc w:val="left"/>
            </w:pPr>
            <w:r>
              <w:t xml:space="preserve">Oct. 6, 2035 / Oct. 6, 2035</w:t>
            </w:r>
          </w:p>
        </w:tc>
        <w:tc>
          <w:tcPr/>
          <w:p>
            <w:pPr>
              <w:pStyle w:val="Compact"/>
              <w:jc w:val="left"/>
            </w:pPr>
            <w:r>
              <w:rPr>
                <w:b/>
                <w:bCs/>
              </w:rPr>
              <w:t xml:space="preserve">Nov. 3, 2031</w:t>
            </w:r>
          </w:p>
        </w:tc>
      </w:tr>
    </w:tbl>
    <w:p>
      <w:pPr>
        <w:pStyle w:val="BodyText"/>
      </w:pPr>
      <w:r>
        <w:t xml:space="preserve">The Financial Analysis Timeline tab uses the</w:t>
      </w:r>
      <w:r>
        <w:t xml:space="preserve"> </w:t>
      </w:r>
      <w:r>
        <w:rPr>
          <w:b/>
          <w:bCs/>
        </w:rPr>
        <w:t xml:space="preserve">longer</w:t>
      </w:r>
      <w:r>
        <w:t xml:space="preserve"> </w:t>
      </w:r>
      <w:r>
        <w:t xml:space="preserve">dates (e.g., 10,112,445 expiring Oct. 6, 2035), consistent with the original Exhibit A and Clarendon. The Proposal’s shorter dates — if accepted — would compress the period during which the continuation patents protect Greenfield and would undermine NovaTrait’s own argument that post-’117 value is preserved by 10,112,445 (which, on the Proposal’s own schedule, would expire in 2031 rather than 2035).</w:t>
      </w:r>
      <w:r>
        <w:t xml:space="preserve"> </w:t>
      </w:r>
      <w:r>
        <w:rPr>
          <w:b/>
          <w:bCs/>
        </w:rPr>
        <w:t xml:space="preserve">Recommendation:</w:t>
      </w:r>
      <w:r>
        <w:t xml:space="preserve"> </w:t>
      </w:r>
      <w:r>
        <w:t xml:space="preserve">Do not accept the Appendix A schedule without verifying the actual patent-term dates (including any terminal disclaimers) against USPTO records. The discrepancy is material to the step-down analysis in Issue A-6.</w:t>
      </w:r>
    </w:p>
    <w:p>
      <w:pPr>
        <w:pStyle w:val="BodyText"/>
      </w:pPr>
      <w:r>
        <w:rPr>
          <w:b/>
          <w:bCs/>
        </w:rPr>
        <w:t xml:space="preserve">Issue A-8 — Market-comparable range cited by NovaTrait exceeds independent analyses (MEDIUM–HIGH).</w:t>
      </w:r>
      <w:r>
        <w:t xml:space="preserve"> </w:t>
      </w:r>
      <w:r>
        <w:t xml:space="preserve">NovaTrait (Part I, Item 3) cites a market range of</w:t>
      </w:r>
      <w:r>
        <w:t xml:space="preserve"> </w:t>
      </w:r>
      <w:r>
        <w:rPr>
          <w:b/>
          <w:bCs/>
        </w:rPr>
        <w:t xml:space="preserve">5.5%–7.0%</w:t>
      </w:r>
      <w:r>
        <w:t xml:space="preserve"> </w:t>
      </w:r>
      <w:r>
        <w:t xml:space="preserve">(relying on the</w:t>
      </w:r>
      <w:r>
        <w:t xml:space="preserve"> </w:t>
      </w:r>
      <w:r>
        <w:t xml:space="preserve">“</w:t>
      </w:r>
      <w:r>
        <w:t xml:space="preserve">2024 Evergreen IP Royalty Benchmarking Report</w:t>
      </w:r>
      <w:r>
        <w:t xml:space="preserve">”</w:t>
      </w:r>
      <w:r>
        <w:t xml:space="preserve">). Clarendon (§2.4) and the Financial Analysis market comparables both place the gene-editing platform range at</w:t>
      </w:r>
      <w:r>
        <w:t xml:space="preserve"> </w:t>
      </w:r>
      <w:r>
        <w:rPr>
          <w:b/>
          <w:bCs/>
        </w:rPr>
        <w:t xml:space="preserve">3.5%–5.5%</w:t>
      </w:r>
      <w:r>
        <w:t xml:space="preserve"> </w:t>
      </w:r>
      <w:r>
        <w:t xml:space="preserve">(median 4.0%, mean 4.33%). NovaTrait’s proposed 6.25% is</w:t>
      </w:r>
      <w:r>
        <w:t xml:space="preserve"> </w:t>
      </w:r>
      <w:r>
        <w:rPr>
          <w:b/>
          <w:bCs/>
        </w:rPr>
        <w:t xml:space="preserve">above the independent market high of 5.5%</w:t>
      </w:r>
      <w:r>
        <w:t xml:space="preserve">.</w:t>
      </w:r>
      <w:r>
        <w:t xml:space="preserve"> </w:t>
      </w:r>
      <w:r>
        <w:rPr>
          <w:b/>
          <w:bCs/>
        </w:rPr>
        <w:t xml:space="preserve">Recommendation:</w:t>
      </w:r>
      <w:r>
        <w:t xml:space="preserve"> </w:t>
      </w:r>
      <w:r>
        <w:t xml:space="preserve">Challenge NovaTrait’s benchmark source and demand the underlying transactions; rely on the Clarendon/Financial-Analysis comparables (8 anonymized 2022–2024 transactions) to anchor a counter at or below 5.5%.</w:t>
      </w:r>
    </w:p>
    <w:p>
      <w:pPr>
        <w:pStyle w:val="BodyText"/>
      </w:pPr>
      <w:r>
        <w:rPr>
          <w:b/>
          <w:bCs/>
        </w:rPr>
        <w:t xml:space="preserve">Issue A-9 —</w:t>
      </w:r>
      <w:r>
        <w:rPr>
          <w:b/>
          <w:bCs/>
        </w:rPr>
        <w:t xml:space="preserve"> </w:t>
      </w:r>
      <w:r>
        <w:rPr>
          <w:b/>
          <w:bCs/>
        </w:rPr>
        <w:t xml:space="preserve">“</w:t>
      </w:r>
      <w:r>
        <w:rPr>
          <w:b/>
          <w:bCs/>
        </w:rPr>
        <w:t xml:space="preserve">Most-Favored-Licensee</w:t>
      </w:r>
      <w:r>
        <w:rPr>
          <w:b/>
          <w:bCs/>
        </w:rPr>
        <w:t xml:space="preserve">”</w:t>
      </w:r>
      <w:r>
        <w:rPr>
          <w:b/>
          <w:bCs/>
        </w:rPr>
        <w:t xml:space="preserve"> </w:t>
      </w:r>
      <w:r>
        <w:rPr>
          <w:b/>
          <w:bCs/>
        </w:rPr>
        <w:t xml:space="preserve">reference to a non-existent provision (MEDIUM — clarify).</w:t>
      </w:r>
      <w:r>
        <w:t xml:space="preserve"> </w:t>
      </w:r>
      <w:r>
        <w:t xml:space="preserve">The Proposal (Part I, Item 13; Part IV, Item 3) repeatedly refers to</w:t>
      </w:r>
      <w:r>
        <w:t xml:space="preserve"> </w:t>
      </w:r>
      <w:r>
        <w:t xml:space="preserve">“</w:t>
      </w:r>
      <w:r>
        <w:t xml:space="preserve">existing Section 14.5 (MFL)</w:t>
      </w:r>
      <w:r>
        <w:t xml:space="preserve">”</w:t>
      </w:r>
      <w:r>
        <w:t xml:space="preserve"> </w:t>
      </w:r>
      <w:r>
        <w:t xml:space="preserve">and to</w:t>
      </w:r>
      <w:r>
        <w:t xml:space="preserve"> </w:t>
      </w:r>
      <w:r>
        <w:t xml:space="preserve">“</w:t>
      </w:r>
      <w:r>
        <w:t xml:space="preserve">existing MFL provisions</w:t>
      </w:r>
      <w:r>
        <w:t xml:space="preserve">”</w:t>
      </w:r>
      <w:r>
        <w:t xml:space="preserve"> </w:t>
      </w:r>
      <w:r>
        <w:t xml:space="preserve">in each agreement.</w:t>
      </w:r>
      <w:r>
        <w:t xml:space="preserve"> </w:t>
      </w:r>
      <w:r>
        <w:rPr>
          <w:b/>
          <w:bCs/>
        </w:rPr>
        <w:t xml:space="preserve">None of the three current agreements (A, B, or C) contains a most-favored-licensee clause.</w:t>
      </w:r>
      <w:r>
        <w:t xml:space="preserve"> </w:t>
      </w:r>
      <w:r>
        <w:t xml:space="preserve">License A’s Article 14 runs only through §14.4; Licenses B and C likewise contain no MFL. NovaTrait is therefore proposing to</w:t>
      </w:r>
      <w:r>
        <w:t xml:space="preserve"> </w:t>
      </w:r>
      <w:r>
        <w:t xml:space="preserve">“</w:t>
      </w:r>
      <w:r>
        <w:t xml:space="preserve">maintain</w:t>
      </w:r>
      <w:r>
        <w:t xml:space="preserve">”</w:t>
      </w:r>
      <w:r>
        <w:t xml:space="preserve"> </w:t>
      </w:r>
      <w:r>
        <w:t xml:space="preserve">a provision that does not exist — i.e., to</w:t>
      </w:r>
      <w:r>
        <w:t xml:space="preserve"> </w:t>
      </w:r>
      <w:r>
        <w:rPr>
          <w:i/>
          <w:iCs/>
        </w:rPr>
        <w:t xml:space="preserve">add</w:t>
      </w:r>
      <w:r>
        <w:t xml:space="preserve"> </w:t>
      </w:r>
      <w:r>
        <w:t xml:space="preserve">a new MFL. An MFL can benefit the licensee, but the Proposal’s carve-outs (academic/non-profit licenses; litigation-settlement licenses) and the</w:t>
      </w:r>
      <w:r>
        <w:t xml:space="preserve"> </w:t>
      </w:r>
      <w:r>
        <w:t xml:space="preserve">“</w:t>
      </w:r>
      <w:r>
        <w:t xml:space="preserve">agreement-by-agreement</w:t>
      </w:r>
      <w:r>
        <w:t xml:space="preserve">”</w:t>
      </w:r>
      <w:r>
        <w:t xml:space="preserve"> </w:t>
      </w:r>
      <w:r>
        <w:t xml:space="preserve">calculation limit its value, and an MFL would not protect Greenfield against the insect-resistance exclusive grant (which is structured as a Field-of-Use narrowing, not a more-favorable in-field license).</w:t>
      </w:r>
      <w:r>
        <w:t xml:space="preserve"> </w:t>
      </w:r>
      <w:r>
        <w:rPr>
          <w:b/>
          <w:bCs/>
        </w:rPr>
        <w:t xml:space="preserve">Recommendation:</w:t>
      </w:r>
      <w:r>
        <w:t xml:space="preserve"> </w:t>
      </w:r>
      <w:r>
        <w:t xml:space="preserve">Clarify in writing whether an MFL is being newly added. If added, negotiate a robust MFL that captures in-field commercial licenses (not just the carve-outs) and that would, e.g., give Greenfield the benefit of any lower rate NovaTrait grants a comparable commercial licensee in the herbicide-tolerance Field of Use.</w:t>
      </w:r>
    </w:p>
    <w:p>
      <w:pPr>
        <w:pStyle w:val="BodyText"/>
      </w:pPr>
      <w:r>
        <w:rPr>
          <w:b/>
          <w:bCs/>
        </w:rPr>
        <w:t xml:space="preserve">Issue A-10 — Existing encumbrances (background).</w:t>
      </w:r>
      <w:r>
        <w:t xml:space="preserve"> </w:t>
      </w:r>
      <w:r>
        <w:t xml:space="preserve">Schedule 5.2 discloses a security interest in the Licensed Patents granted to Cambridge Innovation Capital Fund II, L.P. (March 15, 2013) and a prior non-exclusive, non-sublicensable license to Meridian Agricultural Research Institute for non-commercial academic research. These do not impair Greenfield’s commercial rights but should be confirmed as still in effect (or released) at renewal, particularly the security interest, which could affect NovaTrait’s ability to grant a clean renewal.</w:t>
      </w:r>
    </w:p>
    <w:p>
      <w:r>
        <w:pict>
          <v:rect style="width:0;height:1.5pt" o:hralign="center" o:hrstd="t" o:hr="t"/>
        </w:pict>
      </w:r>
    </w:p>
    <w:bookmarkEnd w:id="24"/>
    <w:bookmarkEnd w:id="25"/>
    <w:bookmarkStart w:id="28" w:name="v.-license-b-traitforge"/>
    <w:p>
      <w:pPr>
        <w:pStyle w:val="Heading2"/>
      </w:pPr>
      <w:r>
        <w:t xml:space="preserve">V. License B — TraitForge</w:t>
      </w:r>
    </w:p>
    <w:bookmarkStart w:id="26" w:name="a.-current-vs.-proposed-economic-terms-1"/>
    <w:p>
      <w:pPr>
        <w:pStyle w:val="Heading3"/>
      </w:pPr>
      <w:r>
        <w:t xml:space="preserve">A. Current vs. Proposed — Economic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 (§)</w:t>
            </w:r>
          </w:p>
        </w:tc>
        <w:tc>
          <w:tcPr/>
          <w:p>
            <w:pPr>
              <w:pStyle w:val="Compact"/>
              <w:jc w:val="left"/>
            </w:pPr>
            <w:r>
              <w:t xml:space="preserve">Proposed</w:t>
            </w:r>
          </w:p>
        </w:tc>
        <w:tc>
          <w:tcPr/>
          <w:p>
            <w:pPr>
              <w:pStyle w:val="Compact"/>
              <w:jc w:val="left"/>
            </w:pPr>
            <w:r>
              <w:t xml:space="preserve">Change</w:t>
            </w:r>
          </w:p>
        </w:tc>
      </w:tr>
      <w:tr>
        <w:tc>
          <w:tcPr/>
          <w:p>
            <w:pPr>
              <w:pStyle w:val="Compact"/>
              <w:jc w:val="left"/>
            </w:pPr>
            <w:r>
              <w:t xml:space="preserve">Royalty rate</w:t>
            </w:r>
          </w:p>
        </w:tc>
        <w:tc>
          <w:tcPr/>
          <w:p>
            <w:pPr>
              <w:pStyle w:val="Compact"/>
              <w:jc w:val="left"/>
            </w:pPr>
            <w:r>
              <w:t xml:space="preserve">3.75% of Net Sales (§4.1)</w:t>
            </w:r>
          </w:p>
        </w:tc>
        <w:tc>
          <w:tcPr/>
          <w:p>
            <w:pPr>
              <w:pStyle w:val="Compact"/>
              <w:jc w:val="left"/>
            </w:pPr>
            <w:r>
              <w:t xml:space="preserve">5.0% of</w:t>
            </w:r>
            <w:r>
              <w:t xml:space="preserve"> </w:t>
            </w:r>
            <w:r>
              <w:rPr>
                <w:i/>
                <w:iCs/>
              </w:rPr>
              <w:t xml:space="preserve">redefined</w:t>
            </w:r>
            <w:r>
              <w:t xml:space="preserve"> </w:t>
            </w:r>
            <w:r>
              <w:t xml:space="preserve">Net Sales</w:t>
            </w:r>
          </w:p>
        </w:tc>
        <w:tc>
          <w:tcPr/>
          <w:p>
            <w:pPr>
              <w:pStyle w:val="Compact"/>
              <w:jc w:val="left"/>
            </w:pPr>
            <w:r>
              <w:t xml:space="preserve">+33.3% nominal</w:t>
            </w:r>
          </w:p>
        </w:tc>
      </w:tr>
      <w:tr>
        <w:tc>
          <w:tcPr/>
          <w:p>
            <w:pPr>
              <w:pStyle w:val="Compact"/>
              <w:jc w:val="left"/>
            </w:pPr>
            <w:r>
              <w:t xml:space="preserve">Effective rate on original Net Sales base</w:t>
            </w:r>
          </w:p>
        </w:tc>
        <w:tc>
          <w:tcPr/>
          <w:p>
            <w:pPr>
              <w:pStyle w:val="Compact"/>
              <w:jc w:val="left"/>
            </w:pPr>
            <w:r>
              <w:t xml:space="preserve">3.75%</w:t>
            </w:r>
          </w:p>
        </w:tc>
        <w:tc>
          <w:tcPr/>
          <w:p>
            <w:pPr>
              <w:pStyle w:val="Compact"/>
              <w:jc w:val="left"/>
            </w:pPr>
            <w:r>
              <w:rPr>
                <w:b/>
                <w:bCs/>
              </w:rPr>
              <w:t xml:space="preserve">5.34%</w:t>
            </w:r>
            <w:r>
              <w:t xml:space="preserve"> </w:t>
            </w:r>
            <w:r>
              <w:t xml:space="preserve">(5.0% × redefined base 1.068)</w:t>
            </w:r>
          </w:p>
        </w:tc>
        <w:tc>
          <w:tcPr/>
          <w:p>
            <w:pPr>
              <w:pStyle w:val="Compact"/>
              <w:jc w:val="left"/>
            </w:pPr>
            <w:r>
              <w:rPr>
                <w:b/>
                <w:bCs/>
              </w:rPr>
              <w:t xml:space="preserve">+42.4%</w:t>
            </w:r>
          </w:p>
        </w:tc>
      </w:tr>
      <w:tr>
        <w:tc>
          <w:tcPr/>
          <w:p>
            <w:pPr>
              <w:pStyle w:val="Compact"/>
              <w:jc w:val="left"/>
            </w:pPr>
            <w:r>
              <w:t xml:space="preserve">Minimum annual royalty</w:t>
            </w:r>
          </w:p>
        </w:tc>
        <w:tc>
          <w:tcPr/>
          <w:p>
            <w:pPr>
              <w:pStyle w:val="Compact"/>
              <w:jc w:val="left"/>
            </w:pPr>
            <w:r>
              <w:t xml:space="preserve">$2.5M (§4.2)</w:t>
            </w:r>
          </w:p>
        </w:tc>
        <w:tc>
          <w:tcPr/>
          <w:p>
            <w:pPr>
              <w:pStyle w:val="Compact"/>
              <w:jc w:val="left"/>
            </w:pPr>
            <w:r>
              <w:t xml:space="preserve">$5.0M (quarterly $1.25M)</w:t>
            </w:r>
          </w:p>
        </w:tc>
        <w:tc>
          <w:tcPr/>
          <w:p>
            <w:pPr>
              <w:pStyle w:val="Compact"/>
              <w:jc w:val="left"/>
            </w:pPr>
            <w:r>
              <w:t xml:space="preserve">+100%</w:t>
            </w:r>
          </w:p>
        </w:tc>
      </w:tr>
      <w:tr>
        <w:tc>
          <w:tcPr/>
          <w:p>
            <w:pPr>
              <w:pStyle w:val="Compact"/>
              <w:jc w:val="left"/>
            </w:pPr>
            <w:r>
              <w:t xml:space="preserve">Net Sales deductions</w:t>
            </w:r>
          </w:p>
        </w:tc>
        <w:tc>
          <w:tcPr/>
          <w:p>
            <w:pPr>
              <w:pStyle w:val="Compact"/>
              <w:jc w:val="left"/>
            </w:pPr>
            <w:r>
              <w:t xml:space="preserve">Freight, insurance, returns, bad debt, taxes, rebates (§1.11)</w:t>
            </w:r>
          </w:p>
        </w:tc>
        <w:tc>
          <w:tcPr/>
          <w:p>
            <w:pPr>
              <w:pStyle w:val="Compact"/>
              <w:jc w:val="left"/>
            </w:pPr>
            <w:r>
              <w:t xml:space="preserve">(conform to License A redefinition)</w:t>
            </w:r>
          </w:p>
        </w:tc>
        <w:tc>
          <w:tcPr/>
          <w:p>
            <w:pPr>
              <w:pStyle w:val="Compact"/>
              <w:jc w:val="left"/>
            </w:pPr>
            <w:r>
              <w:t xml:space="preserve">Narrowed (+6.8% base)</w:t>
            </w:r>
          </w:p>
        </w:tc>
      </w:tr>
      <w:tr>
        <w:tc>
          <w:tcPr/>
          <w:p>
            <w:pPr>
              <w:pStyle w:val="Compact"/>
              <w:jc w:val="left"/>
            </w:pPr>
            <w:r>
              <w:t xml:space="preserve">Audit rights</w:t>
            </w:r>
          </w:p>
        </w:tc>
        <w:tc>
          <w:tcPr/>
          <w:p>
            <w:pPr>
              <w:pStyle w:val="Compact"/>
              <w:jc w:val="left"/>
            </w:pPr>
            <w:r>
              <w:t xml:space="preserve">1×/year; 30 calendar days’ notice; 3-year look-back (§5.2)</w:t>
            </w:r>
          </w:p>
        </w:tc>
        <w:tc>
          <w:tcPr/>
          <w:p>
            <w:pPr>
              <w:pStyle w:val="Compact"/>
              <w:jc w:val="left"/>
            </w:pPr>
            <w:r>
              <w:rPr>
                <w:b/>
                <w:bCs/>
              </w:rPr>
              <w:t xml:space="preserve">2×/year; 15 business days’ notice; 5-year look-back</w:t>
            </w:r>
          </w:p>
        </w:tc>
        <w:tc>
          <w:tcPr/>
          <w:p>
            <w:pPr>
              <w:pStyle w:val="Compact"/>
              <w:jc w:val="left"/>
            </w:pPr>
            <w:r>
              <w:t xml:space="preserve">Expanded</w:t>
            </w:r>
          </w:p>
        </w:tc>
      </w:tr>
      <w:tr>
        <w:tc>
          <w:tcPr/>
          <w:p>
            <w:pPr>
              <w:pStyle w:val="Compact"/>
              <w:jc w:val="left"/>
            </w:pPr>
            <w:r>
              <w:t xml:space="preserve">Biological materials return</w:t>
            </w:r>
          </w:p>
        </w:tc>
        <w:tc>
          <w:tcPr/>
          <w:p>
            <w:pPr>
              <w:pStyle w:val="Compact"/>
              <w:jc w:val="left"/>
            </w:pPr>
            <w:r>
              <w:t xml:space="preserve">90-day Wind-Down Period with continued use for in-process programs (§7.4)</w:t>
            </w:r>
          </w:p>
        </w:tc>
        <w:tc>
          <w:tcPr/>
          <w:p>
            <w:pPr>
              <w:pStyle w:val="Compact"/>
              <w:jc w:val="left"/>
            </w:pPr>
            <w:r>
              <w:rPr>
                <w:b/>
                <w:bCs/>
              </w:rPr>
              <w:t xml:space="preserve">30-day return/destroy; no wind-down</w:t>
            </w:r>
          </w:p>
        </w:tc>
        <w:tc>
          <w:tcPr/>
          <w:p>
            <w:pPr>
              <w:pStyle w:val="Compact"/>
              <w:jc w:val="left"/>
            </w:pPr>
            <w:r>
              <w:t xml:space="preserve">Shortened</w:t>
            </w:r>
          </w:p>
        </w:tc>
      </w:tr>
      <w:tr>
        <w:tc>
          <w:tcPr/>
          <w:p>
            <w:pPr>
              <w:pStyle w:val="Compact"/>
              <w:jc w:val="left"/>
            </w:pPr>
            <w:r>
              <w:t xml:space="preserve">Improvements</w:t>
            </w:r>
          </w:p>
        </w:tc>
        <w:tc>
          <w:tcPr/>
          <w:p>
            <w:pPr>
              <w:pStyle w:val="Compact"/>
              <w:jc w:val="left"/>
            </w:pPr>
            <w:r>
              <w:t xml:space="preserve">Greenfield sole owner of Greenfield Improvements; license back at commercial royalty (§6.3)</w:t>
            </w:r>
          </w:p>
        </w:tc>
        <w:tc>
          <w:tcPr/>
          <w:p>
            <w:pPr>
              <w:pStyle w:val="Compact"/>
              <w:jc w:val="left"/>
            </w:pPr>
            <w:r>
              <w:rPr>
                <w:b/>
                <w:bCs/>
              </w:rPr>
              <w:t xml:space="preserve">Joint ownership; royalty-free license to NovaTrait</w:t>
            </w:r>
            <w:r>
              <w:t xml:space="preserve"> </w:t>
            </w:r>
            <w:r>
              <w:t xml:space="preserve">(conform to License A)</w:t>
            </w:r>
          </w:p>
        </w:tc>
        <w:tc>
          <w:tcPr/>
          <w:p>
            <w:pPr>
              <w:pStyle w:val="Compact"/>
              <w:jc w:val="left"/>
            </w:pPr>
            <w:r>
              <w:rPr>
                <w:b/>
                <w:bCs/>
              </w:rPr>
              <w:t xml:space="preserve">Reversed</w:t>
            </w:r>
          </w:p>
        </w:tc>
      </w:tr>
      <w:tr>
        <w:tc>
          <w:tcPr/>
          <w:p>
            <w:pPr>
              <w:pStyle w:val="Compact"/>
              <w:jc w:val="left"/>
            </w:pPr>
            <w:r>
              <w:t xml:space="preserve">Exclusivity</w:t>
            </w:r>
          </w:p>
        </w:tc>
        <w:tc>
          <w:tcPr/>
          <w:p>
            <w:pPr>
              <w:pStyle w:val="Compact"/>
              <w:jc w:val="left"/>
            </w:pPr>
            <w:r>
              <w:t xml:space="preserve">Exclusive for first 3 years, then non-exclusive (§3.2) — exclusivity period ended Jan. 1, 2021</w:t>
            </w:r>
          </w:p>
        </w:tc>
        <w:tc>
          <w:tcPr/>
          <w:p>
            <w:pPr>
              <w:pStyle w:val="Compact"/>
              <w:jc w:val="left"/>
            </w:pPr>
            <w:r>
              <w:t xml:space="preserve">(not addressed in Proposal)</w:t>
            </w:r>
          </w:p>
        </w:tc>
        <w:tc>
          <w:tcPr/>
          <w:p>
            <w:pPr>
              <w:pStyle w:val="Compact"/>
              <w:jc w:val="left"/>
            </w:pPr>
            <w:r>
              <w:t xml:space="preserve">—</w:t>
            </w:r>
          </w:p>
        </w:tc>
      </w:tr>
      <w:tr>
        <w:tc>
          <w:tcPr/>
          <w:p>
            <w:pPr>
              <w:pStyle w:val="Compact"/>
              <w:jc w:val="left"/>
            </w:pPr>
            <w:r>
              <w:t xml:space="preserve">Term</w:t>
            </w:r>
          </w:p>
        </w:tc>
        <w:tc>
          <w:tcPr/>
          <w:p>
            <w:pPr>
              <w:pStyle w:val="Compact"/>
              <w:jc w:val="left"/>
            </w:pPr>
            <w:r>
              <w:t xml:space="preserve">7 years (ended 12/31/2024)</w:t>
            </w:r>
          </w:p>
        </w:tc>
        <w:tc>
          <w:tcPr/>
          <w:p>
            <w:pPr>
              <w:pStyle w:val="Compact"/>
              <w:jc w:val="left"/>
            </w:pPr>
            <w:r>
              <w:t xml:space="preserve">5 years (1/1/2025–12/31/2029), retroactive</w:t>
            </w:r>
          </w:p>
        </w:tc>
        <w:tc>
          <w:tcPr/>
          <w:p>
            <w:pPr>
              <w:pStyle w:val="Compact"/>
              <w:jc w:val="left"/>
            </w:pPr>
            <w:r>
              <w:t xml:space="preserve">Renewal</w:t>
            </w:r>
          </w:p>
        </w:tc>
      </w:tr>
      <w:tr>
        <w:tc>
          <w:tcPr/>
          <w:p>
            <w:pPr>
              <w:pStyle w:val="Compact"/>
              <w:jc w:val="left"/>
            </w:pPr>
            <w:r>
              <w:t xml:space="preserve">Standstill</w:t>
            </w:r>
          </w:p>
        </w:tc>
        <w:tc>
          <w:tcPr/>
          <w:p>
            <w:pPr>
              <w:pStyle w:val="Compact"/>
              <w:jc w:val="left"/>
            </w:pPr>
            <w:r>
              <w:t xml:space="preserve">§12.6: 180 days</w:t>
            </w:r>
          </w:p>
        </w:tc>
        <w:tc>
          <w:tcPr/>
          <w:p>
            <w:pPr>
              <w:pStyle w:val="Compact"/>
              <w:jc w:val="left"/>
            </w:pPr>
            <w:r>
              <w:t xml:space="preserve">Retained; confirmation offered to 6/30/2025</w:t>
            </w:r>
          </w:p>
        </w:tc>
        <w:tc>
          <w:tcPr/>
          <w:p>
            <w:pPr>
              <w:pStyle w:val="Compact"/>
              <w:jc w:val="left"/>
            </w:pPr>
            <w:r>
              <w:t xml:space="preserve">—</w:t>
            </w:r>
          </w:p>
        </w:tc>
      </w:tr>
    </w:tbl>
    <w:bookmarkEnd w:id="26"/>
    <w:bookmarkStart w:id="27" w:name="b.-issues-and-risks-1"/>
    <w:p>
      <w:pPr>
        <w:pStyle w:val="Heading3"/>
      </w:pPr>
      <w:r>
        <w:t xml:space="preserve">B. Issues and Risks</w:t>
      </w:r>
    </w:p>
    <w:p>
      <w:pPr>
        <w:pStyle w:val="FirstParagraph"/>
      </w:pPr>
      <w:r>
        <w:rPr>
          <w:b/>
          <w:bCs/>
        </w:rPr>
        <w:t xml:space="preserve">Issue B-1 — Standstill expiration is an existential deadline (CRITICAL).</w:t>
      </w:r>
      <w:r>
        <w:t xml:space="preserve"> </w:t>
      </w:r>
      <w:r>
        <w:t xml:space="preserve">As detailed in Section III, License B expired December 31, 2024 and is operating under the §12.6 standstill through approximately June 29, 2025. If no renewal or extension is executed by then, License B terminates, which (i) triggers the biological-materials return obligation, (ii) automatically terminates the Prairielands sublicense (see Section VII), and (iii) removes Greenfield’s access to an irreplaceable platform. This deadline is the binding constraint on the entire negotiation.</w:t>
      </w:r>
      <w:r>
        <w:t xml:space="preserve"> </w:t>
      </w:r>
      <w:r>
        <w:rPr>
          <w:b/>
          <w:bCs/>
        </w:rPr>
        <w:t xml:space="preserve">Recommendation:</w:t>
      </w:r>
      <w:r>
        <w:t xml:space="preserve"> </w:t>
      </w:r>
      <w:r>
        <w:t xml:space="preserve">Treat License B as the gating item. Secure a bilateral standstill extension to at least December 31, 2025 in writing before negotiating other terms, and prioritize execution of the License B renewal.</w:t>
      </w:r>
    </w:p>
    <w:p>
      <w:pPr>
        <w:pStyle w:val="BodyText"/>
      </w:pPr>
      <w:r>
        <w:rPr>
          <w:b/>
          <w:bCs/>
        </w:rPr>
        <w:t xml:space="preserve">Issue B-2 — Proposed 5.0% rate exceeds the market range for an irreplaceable but not rate-justified platform (HIGH).</w:t>
      </w:r>
      <w:r>
        <w:t xml:space="preserve"> </w:t>
      </w:r>
      <w:r>
        <w:t xml:space="preserve">Clarendon (§3) rates the TraitForge portfolio</w:t>
      </w:r>
      <w:r>
        <w:t xml:space="preserve"> </w:t>
      </w:r>
      <w:r>
        <w:t xml:space="preserve">“</w:t>
      </w:r>
      <w:r>
        <w:t xml:space="preserve">VERY STRONG</w:t>
      </w:r>
      <w:r>
        <w:t xml:space="preserve">”</w:t>
      </w:r>
      <w:r>
        <w:t xml:space="preserve"> </w:t>
      </w:r>
      <w:r>
        <w:t xml:space="preserve">and confirms there are</w:t>
      </w:r>
      <w:r>
        <w:t xml:space="preserve"> </w:t>
      </w:r>
      <w:r>
        <w:rPr>
          <w:b/>
          <w:bCs/>
        </w:rPr>
        <w:t xml:space="preserve">no commercial alternatives</w:t>
      </w:r>
      <w:r>
        <w:t xml:space="preserve"> </w:t>
      </w:r>
      <w:r>
        <w:t xml:space="preserve">and that internal development would take 3–4 years at an estimated $25–30 million (Financial Analysis switching-cost tab: $24.3M–$33.7M direct). This gives NovaTrait substantial leverage on</w:t>
      </w:r>
      <w:r>
        <w:t xml:space="preserve"> </w:t>
      </w:r>
      <w:r>
        <w:rPr>
          <w:i/>
          <w:iCs/>
        </w:rPr>
        <w:t xml:space="preserve">whether</w:t>
      </w:r>
      <w:r>
        <w:t xml:space="preserve"> </w:t>
      </w:r>
      <w:r>
        <w:t xml:space="preserve">to renew, but it does not justify a rate above market. Clarendon (§6, Recommendation 3) and the Financial Analysis market comparables both place the trait-expression platform range at</w:t>
      </w:r>
      <w:r>
        <w:t xml:space="preserve"> </w:t>
      </w:r>
      <w:r>
        <w:rPr>
          <w:b/>
          <w:bCs/>
        </w:rPr>
        <w:t xml:space="preserve">3.0%–4.5%</w:t>
      </w:r>
      <w:r>
        <w:t xml:space="preserve"> </w:t>
      </w:r>
      <w:r>
        <w:t xml:space="preserve">(median 3.25%, mean 3.58%). NovaTrait’s proposed 5.0% is</w:t>
      </w:r>
      <w:r>
        <w:t xml:space="preserve"> </w:t>
      </w:r>
      <w:r>
        <w:rPr>
          <w:b/>
          <w:bCs/>
        </w:rPr>
        <w:t xml:space="preserve">above the market high of 4.5%</w:t>
      </w:r>
      <w:r>
        <w:t xml:space="preserve">, and NovaTrait’s cited range (4.0%–5.5%) again exceeds the independent analyses.</w:t>
      </w:r>
      <w:r>
        <w:t xml:space="preserve"> </w:t>
      </w:r>
      <w:r>
        <w:rPr>
          <w:b/>
          <w:bCs/>
        </w:rPr>
        <w:t xml:space="preserve">Recommendation:</w:t>
      </w:r>
      <w:r>
        <w:t xml:space="preserve"> </w:t>
      </w:r>
      <w:r>
        <w:t xml:space="preserve">Counter at</w:t>
      </w:r>
      <w:r>
        <w:t xml:space="preserve"> </w:t>
      </w:r>
      <w:r>
        <w:rPr>
          <w:b/>
          <w:bCs/>
        </w:rPr>
        <w:t xml:space="preserve">4.25% on the original Net Sales definition</w:t>
      </w:r>
      <w:r>
        <w:t xml:space="preserve"> </w:t>
      </w:r>
      <w:r>
        <w:t xml:space="preserve">(within market). Per Clarendon, Greenfield should simultaneously seek the</w:t>
      </w:r>
      <w:r>
        <w:t xml:space="preserve"> </w:t>
      </w:r>
      <w:r>
        <w:rPr>
          <w:b/>
          <w:bCs/>
        </w:rPr>
        <w:t xml:space="preserve">longest possible renewal term</w:t>
      </w:r>
      <w:r>
        <w:t xml:space="preserve"> </w:t>
      </w:r>
      <w:r>
        <w:t xml:space="preserve">to lock in rates before NovaTrait can seek further increases — but only at a within-market rate, not at 5.0%.</w:t>
      </w:r>
    </w:p>
    <w:p>
      <w:pPr>
        <w:pStyle w:val="BodyText"/>
      </w:pPr>
      <w:r>
        <w:rPr>
          <w:b/>
          <w:bCs/>
        </w:rPr>
        <w:t xml:space="preserve">Issue B-3 — 30-day biological-materials return with no wind-down is operationally untenable (HIGH).</w:t>
      </w:r>
      <w:r>
        <w:t xml:space="preserve"> </w:t>
      </w:r>
      <w:r>
        <w:t xml:space="preserve">Current §7.4 provides a 90-day Wind-Down Period during which Greenfield may continue using biological materials to fulfill in-process manufacturing, breeding, and field-trial obligations (with continued royalty payments) before return/destruction. The Proposal (Part II, Item 9) cuts this to a 30-day return-or-destroy with no continued-use right. Greenfield’s breeding programs and multi-year field trials cannot be wound down in 30 days; forced destruction of in-process genetic lines would destroy years of R&amp;D investment. The Prairielands sublicense, by contrast, retains a 90-day wind-down (§7.5), creating an inconsistency.</w:t>
      </w:r>
      <w:r>
        <w:t xml:space="preserve"> </w:t>
      </w:r>
      <w:r>
        <w:rPr>
          <w:b/>
          <w:bCs/>
        </w:rPr>
        <w:t xml:space="preserve">Recommendation:</w:t>
      </w:r>
      <w:r>
        <w:t xml:space="preserve"> </w:t>
      </w:r>
      <w:r>
        <w:t xml:space="preserve">Retain the 90-day wind-down at minimum; counter for a</w:t>
      </w:r>
      <w:r>
        <w:t xml:space="preserve"> </w:t>
      </w:r>
      <w:r>
        <w:rPr>
          <w:b/>
          <w:bCs/>
        </w:rPr>
        <w:t xml:space="preserve">180-day wind-down</w:t>
      </w:r>
      <w:r>
        <w:t xml:space="preserve"> </w:t>
      </w:r>
      <w:r>
        <w:t xml:space="preserve">with the right to continue using remaining materials in ongoing trials, consistent with the Prairielands sublicense and with market comparable 5 (180-day wind-down for biological materials).</w:t>
      </w:r>
    </w:p>
    <w:p>
      <w:pPr>
        <w:pStyle w:val="BodyText"/>
      </w:pPr>
      <w:r>
        <w:rPr>
          <w:b/>
          <w:bCs/>
        </w:rPr>
        <w:t xml:space="preserve">Issue B-4 — Audit-rights expansion increases compliance burden and audit risk (MEDIUM).</w:t>
      </w:r>
      <w:r>
        <w:t xml:space="preserve"> </w:t>
      </w:r>
      <w:r>
        <w:t xml:space="preserve">The Proposal doubles audit frequency (1× → 2× per year), shortens notice (30 calendar days → 15 business days), and extends the look-back (3 years → 5 years). This is a one-sided expansion favoring NovaTrait.</w:t>
      </w:r>
      <w:r>
        <w:t xml:space="preserve"> </w:t>
      </w:r>
      <w:r>
        <w:rPr>
          <w:b/>
          <w:bCs/>
        </w:rPr>
        <w:t xml:space="preserve">Recommendation:</w:t>
      </w:r>
      <w:r>
        <w:t xml:space="preserve"> </w:t>
      </w:r>
      <w:r>
        <w:t xml:space="preserve">Retain 1×/year frequency; if a concession is needed, accept 20 business days’ notice but not the doubled frequency or the 5-year look-back.</w:t>
      </w:r>
    </w:p>
    <w:p>
      <w:pPr>
        <w:pStyle w:val="BodyText"/>
      </w:pPr>
      <w:r>
        <w:rPr>
          <w:b/>
          <w:bCs/>
        </w:rPr>
        <w:t xml:space="preserve">Issue B-5 — Improvements reversal (HIGH).</w:t>
      </w:r>
      <w:r>
        <w:t xml:space="preserve"> </w:t>
      </w:r>
      <w:r>
        <w:t xml:space="preserve">Same concern as Issue A-4. Current §6.3 gives Greenfield sole ownership of Greenfield Improvements with a license back to NovaTrait at a commercially reasonable royalty. The Proposal conforms License B to the joint-ownership/royalty-free-grant-back structure.</w:t>
      </w:r>
      <w:r>
        <w:t xml:space="preserve"> </w:t>
      </w:r>
      <w:r>
        <w:rPr>
          <w:b/>
          <w:bCs/>
        </w:rPr>
        <w:t xml:space="preserve">Recommendation:</w:t>
      </w:r>
      <w:r>
        <w:t xml:space="preserve"> </w:t>
      </w:r>
      <w:r>
        <w:t xml:space="preserve">Same as A-4 — retain sole ownership of solely-conceived Greenfield Improvements.</w:t>
      </w:r>
    </w:p>
    <w:p>
      <w:pPr>
        <w:pStyle w:val="BodyText"/>
      </w:pPr>
      <w:r>
        <w:rPr>
          <w:b/>
          <w:bCs/>
        </w:rPr>
        <w:t xml:space="preserve">Issue B-6 — Sublicense pass-through on Prairielands is a new, unquantified exposure (HIGH).</w:t>
      </w:r>
      <w:r>
        <w:t xml:space="preserve"> </w:t>
      </w:r>
      <w:r>
        <w:t xml:space="preserve">The License B Proposal is</w:t>
      </w:r>
      <w:r>
        <w:t xml:space="preserve"> </w:t>
      </w:r>
      <w:r>
        <w:rPr>
          <w:b/>
          <w:bCs/>
        </w:rPr>
        <w:t xml:space="preserve">silent</w:t>
      </w:r>
      <w:r>
        <w:t xml:space="preserve"> </w:t>
      </w:r>
      <w:r>
        <w:t xml:space="preserve">on sublicense pass-through, but the Financial Analysis (License B tab; Negotiation Priorities, Item 10) assumes NovaTrait will seek a</w:t>
      </w:r>
      <w:r>
        <w:t xml:space="preserve"> </w:t>
      </w:r>
      <w:r>
        <w:rPr>
          <w:b/>
          <w:bCs/>
        </w:rPr>
        <w:t xml:space="preserve">40% pass-through</w:t>
      </w:r>
      <w:r>
        <w:t xml:space="preserve"> </w:t>
      </w:r>
      <w:r>
        <w:t xml:space="preserve">on Prairielands sublicense revenue as a condition of consenting to the Prairielands renewal. Critically,</w:t>
      </w:r>
      <w:r>
        <w:t xml:space="preserve"> </w:t>
      </w:r>
      <w:r>
        <w:rPr>
          <w:b/>
          <w:bCs/>
        </w:rPr>
        <w:t xml:space="preserve">there is currently no pass-through obligation</w:t>
      </w:r>
      <w:r>
        <w:t xml:space="preserve">: the Prairielands sublicense §3.6 expressly states that</w:t>
      </w:r>
      <w:r>
        <w:t xml:space="preserve"> </w:t>
      </w:r>
      <w:r>
        <w:t xml:space="preserve">“</w:t>
      </w:r>
      <w:r>
        <w:t xml:space="preserve">the Master License does not contain any provision requiring Greenfield to remit a portion of sublicensee royalties to NovaTrait,</w:t>
      </w:r>
      <w:r>
        <w:t xml:space="preserve">”</w:t>
      </w:r>
      <w:r>
        <w:t xml:space="preserve"> </w:t>
      </w:r>
      <w:r>
        <w:t xml:space="preserve">and NovaTrait’s April 15, 2021 consent letter (Exhibit A) confirms that</w:t>
      </w:r>
      <w:r>
        <w:t xml:space="preserve"> </w:t>
      </w:r>
      <w:r>
        <w:t xml:space="preserve">“</w:t>
      </w:r>
      <w:r>
        <w:t xml:space="preserve">the Master License does not currently require the remittance by Greenfield to NovaTrait of any portion of royalties received by Greenfield from sublicensees.</w:t>
      </w:r>
      <w:r>
        <w:t xml:space="preserve">”</w:t>
      </w:r>
      <w:r>
        <w:t xml:space="preserve"> </w:t>
      </w:r>
      <w:r>
        <w:t xml:space="preserve">The Proposal (Part VII, Item 3) signals that renewal of the Prairielands sublicense will require NovaTrait’s consent</w:t>
      </w:r>
      <w:r>
        <w:t xml:space="preserve"> </w:t>
      </w:r>
      <w:r>
        <w:t xml:space="preserve">“</w:t>
      </w:r>
      <w:r>
        <w:t xml:space="preserve">on reasonable terms</w:t>
      </w:r>
      <w:r>
        <w:t xml:space="preserve">”</w:t>
      </w:r>
      <w:r>
        <w:t xml:space="preserve"> </w:t>
      </w:r>
      <w:r>
        <w:t xml:space="preserve">— language that contemplates extracting a pass-through. On the Financial Analysis’s base case (Prairielands revenue ~$12M growing at 4%), a 40% pass-through would cost Greenfield approximately</w:t>
      </w:r>
      <w:r>
        <w:t xml:space="preserve"> </w:t>
      </w:r>
      <w:r>
        <w:rPr>
          <w:b/>
          <w:bCs/>
        </w:rPr>
        <w:t xml:space="preserve">$5.0M in Year 1, rising to ~$5.8M by Year 5</w:t>
      </w:r>
      <w:r>
        <w:t xml:space="preserve"> </w:t>
      </w:r>
      <w:r>
        <w:t xml:space="preserve">— a cumulative ~$27M over the renewal term on top of the direct License B increase.</w:t>
      </w:r>
      <w:r>
        <w:t xml:space="preserve"> </w:t>
      </w:r>
      <w:r>
        <w:rPr>
          <w:b/>
          <w:bCs/>
        </w:rPr>
        <w:t xml:space="preserve">Recommendation:</w:t>
      </w:r>
      <w:r>
        <w:t xml:space="preserve"> </w:t>
      </w:r>
      <w:r>
        <w:t xml:space="preserve">Resist any pass-through as inconsistent with the parties’ historical understanding (documented in the consent letter). If a pass-through is unavoidable, counter at</w:t>
      </w:r>
      <w:r>
        <w:t xml:space="preserve"> </w:t>
      </w:r>
      <w:r>
        <w:rPr>
          <w:b/>
          <w:bCs/>
        </w:rPr>
        <w:t xml:space="preserve">20% with a 12-month implementation period and a volume discount</w:t>
      </w:r>
      <w:r>
        <w:t xml:space="preserve">, and insist that any pass-through be creditable against Greenfield’s running royalties on Prairielands-attributable Net Sales.</w:t>
      </w:r>
    </w:p>
    <w:p>
      <w:pPr>
        <w:pStyle w:val="BodyText"/>
      </w:pPr>
      <w:r>
        <w:rPr>
          <w:b/>
          <w:bCs/>
        </w:rPr>
        <w:t xml:space="preserve">Issue B-7 — Exclusivity has already lapsed (background).</w:t>
      </w:r>
      <w:r>
        <w:t xml:space="preserve"> </w:t>
      </w:r>
      <w:r>
        <w:t xml:space="preserve">License B’s §3.2 exclusivity period was the first three years from the January 1, 2018 effective date — i.e., through December 31, 2020 — after which the license converted to non-exclusive. The Proposal does not address restoring exclusivity. Greenfield has been operating non-exclusively for four years.</w:t>
      </w:r>
      <w:r>
        <w:t xml:space="preserve"> </w:t>
      </w:r>
      <w:r>
        <w:rPr>
          <w:b/>
          <w:bCs/>
        </w:rPr>
        <w:t xml:space="preserve">Recommendation:</w:t>
      </w:r>
      <w:r>
        <w:t xml:space="preserve"> </w:t>
      </w:r>
      <w:r>
        <w:t xml:space="preserve">Consider whether re-securing exclusivity (at least for soybean drought tolerance, the Prairielands field) is worth negotiating, given the absence of commercial alternatives noted by Clarendon.</w:t>
      </w:r>
    </w:p>
    <w:p>
      <w:r>
        <w:pict>
          <v:rect style="width:0;height:1.5pt" o:hralign="center" o:hrstd="t" o:hr="t"/>
        </w:pict>
      </w:r>
    </w:p>
    <w:bookmarkEnd w:id="27"/>
    <w:bookmarkEnd w:id="28"/>
    <w:bookmarkStart w:id="31" w:name="vi.-license-c-genomap-pro"/>
    <w:p>
      <w:pPr>
        <w:pStyle w:val="Heading2"/>
      </w:pPr>
      <w:r>
        <w:t xml:space="preserve">VI. License C — GenoMap Pro</w:t>
      </w:r>
    </w:p>
    <w:bookmarkStart w:id="29" w:name="a.-current-vs.-proposed-economic-terms-2"/>
    <w:p>
      <w:pPr>
        <w:pStyle w:val="Heading3"/>
      </w:pPr>
      <w:r>
        <w:t xml:space="preserve">A. Current vs. Proposed — Economic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 (§)</w:t>
            </w:r>
          </w:p>
        </w:tc>
        <w:tc>
          <w:tcPr/>
          <w:p>
            <w:pPr>
              <w:pStyle w:val="Compact"/>
              <w:jc w:val="left"/>
            </w:pPr>
            <w:r>
              <w:t xml:space="preserve">Proposed</w:t>
            </w:r>
          </w:p>
        </w:tc>
        <w:tc>
          <w:tcPr/>
          <w:p>
            <w:pPr>
              <w:pStyle w:val="Compact"/>
              <w:jc w:val="left"/>
            </w:pPr>
            <w:r>
              <w:t xml:space="preserve">Change</w:t>
            </w:r>
          </w:p>
        </w:tc>
      </w:tr>
      <w:tr>
        <w:tc>
          <w:tcPr/>
          <w:p>
            <w:pPr>
              <w:pStyle w:val="Compact"/>
              <w:jc w:val="left"/>
            </w:pPr>
            <w:r>
              <w:t xml:space="preserve">Annual fee</w:t>
            </w:r>
          </w:p>
        </w:tc>
        <w:tc>
          <w:tcPr/>
          <w:p>
            <w:pPr>
              <w:pStyle w:val="Compact"/>
              <w:jc w:val="left"/>
            </w:pPr>
            <w:r>
              <w:t xml:space="preserve">$3.14M flat (§4.1)</w:t>
            </w:r>
          </w:p>
        </w:tc>
        <w:tc>
          <w:tcPr/>
          <w:p>
            <w:pPr>
              <w:pStyle w:val="Compact"/>
              <w:jc w:val="left"/>
            </w:pPr>
            <w:r>
              <w:t xml:space="preserve">~$5.28M effective (base + support + migration; advisors add per-user overage)</w:t>
            </w:r>
          </w:p>
        </w:tc>
        <w:tc>
          <w:tcPr/>
          <w:p>
            <w:pPr>
              <w:pStyle w:val="Compact"/>
              <w:jc w:val="left"/>
            </w:pPr>
            <w:r>
              <w:t xml:space="preserve">+68%</w:t>
            </w:r>
          </w:p>
        </w:tc>
      </w:tr>
      <w:tr>
        <w:tc>
          <w:tcPr/>
          <w:p>
            <w:pPr>
              <w:pStyle w:val="Compact"/>
              <w:jc w:val="left"/>
            </w:pPr>
            <w:r>
              <w:t xml:space="preserve">Software version</w:t>
            </w:r>
          </w:p>
        </w:tc>
        <w:tc>
          <w:tcPr/>
          <w:p>
            <w:pPr>
              <w:pStyle w:val="Compact"/>
              <w:jc w:val="left"/>
            </w:pPr>
            <w:r>
              <w:t xml:space="preserve">4.x (with Minor Updates)</w:t>
            </w:r>
          </w:p>
        </w:tc>
        <w:tc>
          <w:tcPr/>
          <w:p>
            <w:pPr>
              <w:pStyle w:val="Compact"/>
              <w:jc w:val="left"/>
            </w:pPr>
            <w:r>
              <w:t xml:space="preserve">5.x (Major Version Upgrade)</w:t>
            </w:r>
          </w:p>
        </w:tc>
        <w:tc>
          <w:tcPr/>
          <w:p>
            <w:pPr>
              <w:pStyle w:val="Compact"/>
              <w:jc w:val="left"/>
            </w:pPr>
            <w:r>
              <w:t xml:space="preserve">Upgraded</w:t>
            </w:r>
          </w:p>
        </w:tc>
      </w:tr>
      <w:tr>
        <w:tc>
          <w:tcPr/>
          <w:p>
            <w:pPr>
              <w:pStyle w:val="Compact"/>
              <w:jc w:val="left"/>
            </w:pPr>
            <w:r>
              <w:t xml:space="preserve">Source-code access</w:t>
            </w:r>
          </w:p>
        </w:tc>
        <w:tc>
          <w:tcPr/>
          <w:p>
            <w:pPr>
              <w:pStyle w:val="Compact"/>
              <w:jc w:val="left"/>
            </w:pPr>
            <w:r>
              <w:t xml:space="preserve">Full source code for internal modification (§5.2); Licensee Modifications owned by Greenfield with royalty-free license back to NovaTrait (§5.2(b))</w:t>
            </w:r>
          </w:p>
        </w:tc>
        <w:tc>
          <w:tcPr/>
          <w:p>
            <w:pPr>
              <w:pStyle w:val="Compact"/>
              <w:jc w:val="left"/>
            </w:pPr>
            <w:r>
              <w:rPr>
                <w:b/>
                <w:bCs/>
              </w:rPr>
              <w:t xml:space="preserve">Eliminated — object code only</w:t>
            </w:r>
            <w:r>
              <w:t xml:space="preserve">; existing modifications jointly owned or sold to NovaTrait at FMV</w:t>
            </w:r>
          </w:p>
        </w:tc>
        <w:tc>
          <w:tcPr/>
          <w:p>
            <w:pPr>
              <w:pStyle w:val="Compact"/>
              <w:jc w:val="left"/>
            </w:pPr>
            <w:r>
              <w:rPr>
                <w:b/>
                <w:bCs/>
              </w:rPr>
              <w:t xml:space="preserve">Material adverse</w:t>
            </w:r>
          </w:p>
        </w:tc>
      </w:tr>
      <w:tr>
        <w:tc>
          <w:tcPr/>
          <w:p>
            <w:pPr>
              <w:pStyle w:val="Compact"/>
              <w:jc w:val="left"/>
            </w:pPr>
            <w:r>
              <w:t xml:space="preserve">Source-code escrow</w:t>
            </w:r>
          </w:p>
        </w:tc>
        <w:tc>
          <w:tcPr/>
          <w:p>
            <w:pPr>
              <w:pStyle w:val="Compact"/>
              <w:jc w:val="left"/>
            </w:pPr>
            <w:r>
              <w:t xml:space="preserve">§5.3 (release on insolvency, cessation, uncured support breach, competitor acquisition)</w:t>
            </w:r>
          </w:p>
        </w:tc>
        <w:tc>
          <w:tcPr/>
          <w:p>
            <w:pPr>
              <w:pStyle w:val="Compact"/>
              <w:jc w:val="left"/>
            </w:pPr>
            <w:r>
              <w:t xml:space="preserve">Retained</w:t>
            </w:r>
          </w:p>
        </w:tc>
        <w:tc>
          <w:tcPr/>
          <w:p>
            <w:pPr>
              <w:pStyle w:val="Compact"/>
              <w:jc w:val="left"/>
            </w:pPr>
            <w:r>
              <w:t xml:space="preserve">Unchanged</w:t>
            </w:r>
          </w:p>
        </w:tc>
      </w:tr>
      <w:tr>
        <w:tc>
          <w:tcPr/>
          <w:p>
            <w:pPr>
              <w:pStyle w:val="Compact"/>
              <w:jc w:val="left"/>
            </w:pPr>
            <w:r>
              <w:t xml:space="preserve">Input Data ownership</w:t>
            </w:r>
          </w:p>
        </w:tc>
        <w:tc>
          <w:tcPr/>
          <w:p>
            <w:pPr>
              <w:pStyle w:val="Compact"/>
              <w:jc w:val="left"/>
            </w:pPr>
            <w:r>
              <w:t xml:space="preserve">Greenfield (§9.2)</w:t>
            </w:r>
          </w:p>
        </w:tc>
        <w:tc>
          <w:tcPr/>
          <w:p>
            <w:pPr>
              <w:pStyle w:val="Compact"/>
              <w:jc w:val="left"/>
            </w:pPr>
            <w:r>
              <w:t xml:space="preserve">Greenfield (retained)</w:t>
            </w:r>
          </w:p>
        </w:tc>
        <w:tc>
          <w:tcPr/>
          <w:p>
            <w:pPr>
              <w:pStyle w:val="Compact"/>
              <w:jc w:val="left"/>
            </w:pPr>
            <w:r>
              <w:t xml:space="preserve">Unchanged</w:t>
            </w:r>
          </w:p>
        </w:tc>
      </w:tr>
      <w:tr>
        <w:tc>
          <w:tcPr/>
          <w:p>
            <w:pPr>
              <w:pStyle w:val="Compact"/>
              <w:jc w:val="left"/>
            </w:pPr>
            <w:r>
              <w:t xml:space="preserve">Derivative Data ownership</w:t>
            </w:r>
          </w:p>
        </w:tc>
        <w:tc>
          <w:tcPr/>
          <w:p>
            <w:pPr>
              <w:pStyle w:val="Compact"/>
              <w:jc w:val="left"/>
            </w:pPr>
            <w:r>
              <w:rPr>
                <w:b/>
                <w:bCs/>
              </w:rPr>
              <w:t xml:space="preserve">Silent</w:t>
            </w:r>
          </w:p>
        </w:tc>
        <w:tc>
          <w:tcPr/>
          <w:p>
            <w:pPr>
              <w:pStyle w:val="Compact"/>
              <w:jc w:val="left"/>
            </w:pPr>
            <w:r>
              <w:rPr>
                <w:b/>
                <w:bCs/>
              </w:rPr>
              <w:t xml:space="preserve">NovaTrait owns all Derivative Data</w:t>
            </w:r>
            <w:r>
              <w:t xml:space="preserve">; Greenfield gets a non-exclusive, non-transferable, royalty-free license that ends at term end and cannot be sublicensed or published (new §9.3)</w:t>
            </w:r>
          </w:p>
        </w:tc>
        <w:tc>
          <w:tcPr/>
          <w:p>
            <w:pPr>
              <w:pStyle w:val="Compact"/>
              <w:jc w:val="left"/>
            </w:pPr>
            <w:r>
              <w:rPr>
                <w:b/>
                <w:bCs/>
              </w:rPr>
              <w:t xml:space="preserve">Material adverse</w:t>
            </w:r>
          </w:p>
        </w:tc>
      </w:tr>
      <w:tr>
        <w:tc>
          <w:tcPr/>
          <w:p>
            <w:pPr>
              <w:pStyle w:val="Compact"/>
              <w:jc w:val="left"/>
            </w:pPr>
            <w:r>
              <w:t xml:space="preserve">Term</w:t>
            </w:r>
          </w:p>
        </w:tc>
        <w:tc>
          <w:tcPr/>
          <w:p>
            <w:pPr>
              <w:pStyle w:val="Compact"/>
              <w:jc w:val="left"/>
            </w:pPr>
            <w:r>
              <w:t xml:space="preserve">5 years (ends 2/28/2025)</w:t>
            </w:r>
          </w:p>
        </w:tc>
        <w:tc>
          <w:tcPr/>
          <w:p>
            <w:pPr>
              <w:pStyle w:val="Compact"/>
              <w:jc w:val="left"/>
            </w:pPr>
            <w:r>
              <w:t xml:space="preserve">3 years (3/1/2025–2/28/2028)</w:t>
            </w:r>
          </w:p>
        </w:tc>
        <w:tc>
          <w:tcPr/>
          <w:p>
            <w:pPr>
              <w:pStyle w:val="Compact"/>
              <w:jc w:val="left"/>
            </w:pPr>
            <w:r>
              <w:t xml:space="preserve">Shorter</w:t>
            </w:r>
          </w:p>
        </w:tc>
      </w:tr>
      <w:tr>
        <w:tc>
          <w:tcPr/>
          <w:p>
            <w:pPr>
              <w:pStyle w:val="Compact"/>
              <w:jc w:val="left"/>
            </w:pPr>
            <w:r>
              <w:t xml:space="preserve">Liability cap</w:t>
            </w:r>
          </w:p>
        </w:tc>
        <w:tc>
          <w:tcPr/>
          <w:p>
            <w:pPr>
              <w:pStyle w:val="Compact"/>
              <w:jc w:val="left"/>
            </w:pPr>
            <w:r>
              <w:t xml:space="preserve">12 months’ fees = $3.14M (§12.2)</w:t>
            </w:r>
          </w:p>
        </w:tc>
        <w:tc>
          <w:tcPr/>
          <w:p>
            <w:pPr>
              <w:pStyle w:val="Compact"/>
              <w:jc w:val="left"/>
            </w:pPr>
            <w:r>
              <w:t xml:space="preserve">(presumably recalculated to ~$5.28M)</w:t>
            </w:r>
          </w:p>
        </w:tc>
        <w:tc>
          <w:tcPr/>
          <w:p>
            <w:pPr>
              <w:pStyle w:val="Compact"/>
              <w:jc w:val="left"/>
            </w:pPr>
            <w:r>
              <w:t xml:space="preserve">Increased</w:t>
            </w:r>
          </w:p>
        </w:tc>
      </w:tr>
    </w:tbl>
    <w:bookmarkEnd w:id="29"/>
    <w:bookmarkStart w:id="30" w:name="b.-issues-and-risks-2"/>
    <w:p>
      <w:pPr>
        <w:pStyle w:val="Heading3"/>
      </w:pPr>
      <w:r>
        <w:t xml:space="preserve">B. Issues and Risks</w:t>
      </w:r>
    </w:p>
    <w:p>
      <w:pPr>
        <w:pStyle w:val="FirstParagraph"/>
      </w:pPr>
      <w:r>
        <w:rPr>
          <w:b/>
          <w:bCs/>
        </w:rPr>
        <w:t xml:space="preserve">Issue C-1 — Derivative Data ownership transfer is the most dangerous term in the entire Proposal (CRITICAL).</w:t>
      </w:r>
      <w:r>
        <w:t xml:space="preserve"> </w:t>
      </w:r>
      <w:r>
        <w:t xml:space="preserve">Current §9.2 confirms Greenfield owns its Input Data, and the agreement is silent on Derivative Data (outputs, analyses, results generated by the Software). The Proposal (Part III, Item 6) would make</w:t>
      </w:r>
      <w:r>
        <w:t xml:space="preserve"> </w:t>
      </w:r>
      <w:r>
        <w:rPr>
          <w:b/>
          <w:bCs/>
        </w:rPr>
        <w:t xml:space="preserve">NovaTrait the sole and exclusive owner of all Derivative Data</w:t>
      </w:r>
      <w:r>
        <w:t xml:space="preserve">, with Greenfield receiving only a non-exclusive, non-transferable, royalty-free license that (i) cannot be sublicensed (except to bound employees/contractors), (ii) cannot be published in any form identifiable to NovaTrait or the Software, and (iii)</w:t>
      </w:r>
      <w:r>
        <w:t xml:space="preserve"> </w:t>
      </w:r>
      <w:r>
        <w:rPr>
          <w:b/>
          <w:bCs/>
        </w:rPr>
        <w:t xml:space="preserve">terminates at the end of the Renewal Term</w:t>
      </w:r>
      <w:r>
        <w:t xml:space="preserve">. Greenfield’s proprietary trait-mapping datasets, genomic analyses, and product-development outputs — generated from Greenfield’s own Input Data using a tool Greenfield pays ~$5M/year for — would become NovaTrait’s property, usable by NovaTrait (and its other licensees, including competitors) and forfeitable by Greenfield at term end. This directly conflicts with the §9.2 principle that Greenfield owns its data and would jeopardize Greenfield’s most proprietary R&amp;D outputs.</w:t>
      </w:r>
      <w:r>
        <w:t xml:space="preserve"> </w:t>
      </w:r>
      <w:r>
        <w:rPr>
          <w:b/>
          <w:bCs/>
        </w:rPr>
        <w:t xml:space="preserve">Recommendation:</w:t>
      </w:r>
      <w:r>
        <w:t xml:space="preserve"> </w:t>
      </w:r>
      <w:r>
        <w:t xml:space="preserve">Reject this clause outright. Counter that</w:t>
      </w:r>
      <w:r>
        <w:t xml:space="preserve"> </w:t>
      </w:r>
      <w:r>
        <w:rPr>
          <w:b/>
          <w:bCs/>
        </w:rPr>
        <w:t xml:space="preserve">all output and derived data generated from Greenfield’s Input Data is solely owned by Greenfield</w:t>
      </w:r>
      <w:r>
        <w:t xml:space="preserve">, consistent with §9.2. At most, grant NovaTrait a limited, non-exclusive, internal-use license to aggregate/anonymized Derivative Data for software-improvement purposes — never ownership, never a right to use identifiable Greenfield data, and never a right that survives against Greenfield’s continued use.</w:t>
      </w:r>
    </w:p>
    <w:p>
      <w:pPr>
        <w:pStyle w:val="BodyText"/>
      </w:pPr>
      <w:r>
        <w:rPr>
          <w:b/>
          <w:bCs/>
        </w:rPr>
        <w:t xml:space="preserve">Issue C-2 — Elimination of source-code access strands Greenfield’s custom analytics investment (HIGH).</w:t>
      </w:r>
      <w:r>
        <w:t xml:space="preserve"> </w:t>
      </w:r>
      <w:r>
        <w:t xml:space="preserve">Current §5.2 grants Greenfield source-code access for internal modification; Greenfield has built custom analytics pipelines on that access (the Financial Analysis estimates $1.2M–$2.0M to redevelop those pipelines on an object-code-only model). The Proposal (Part III, Item 5) deletes §5.2 and offers only object code, with existing Licensee Modifications either jointly owned or purchased by NovaTrait at FMV. This is a material adverse change that would (i) eliminate Greenfield’s ability to customize its analytics, (ii) force a rebuild of existing pipelines, and (iii) potentially transfer Greenfield’s custom-modification IP to NovaTrait.</w:t>
      </w:r>
      <w:r>
        <w:t xml:space="preserve"> </w:t>
      </w:r>
      <w:r>
        <w:rPr>
          <w:b/>
          <w:bCs/>
        </w:rPr>
        <w:t xml:space="preserve">Recommendation:</w:t>
      </w:r>
      <w:r>
        <w:t xml:space="preserve"> </w:t>
      </w:r>
      <w:r>
        <w:t xml:space="preserve">Retain source-code access (with the existing §10.3 enhanced security protections, which Greenfield already complies with). If NovaTrait will not grant source access for Version 5.x, treat that as a deal-breaker or extract a substantial fee reduction and a contractual commitment to maintain the Version 4.x source-access rights for the duration of any transition. Do not agree to joint ownership or forced sale of existing Licensee Modifications.</w:t>
      </w:r>
    </w:p>
    <w:p>
      <w:pPr>
        <w:pStyle w:val="BodyText"/>
      </w:pPr>
      <w:r>
        <w:rPr>
          <w:b/>
          <w:bCs/>
        </w:rPr>
        <w:t xml:space="preserve">Issue C-3 — Fee increase is 31.9% above the market high; Greenfield has real leverage (HIGH).</w:t>
      </w:r>
      <w:r>
        <w:t xml:space="preserve"> </w:t>
      </w:r>
      <w:r>
        <w:t xml:space="preserve">Clarendon (§4) identifies three commercial alternatives (BioSphere Analytics, PlantLogic Suite, TraitView Pro) at</w:t>
      </w:r>
      <w:r>
        <w:t xml:space="preserve"> </w:t>
      </w:r>
      <w:r>
        <w:rPr>
          <w:b/>
          <w:bCs/>
        </w:rPr>
        <w:t xml:space="preserve">$2.5M–$4.0M annually</w:t>
      </w:r>
      <w:r>
        <w:t xml:space="preserve">. The Financial Analysis market comparables show a range of</w:t>
      </w:r>
      <w:r>
        <w:t xml:space="preserve"> </w:t>
      </w:r>
      <w:r>
        <w:rPr>
          <w:b/>
          <w:bCs/>
        </w:rPr>
        <w:t xml:space="preserve">$2.9M–$3.2M</w:t>
      </w:r>
      <w:r>
        <w:t xml:space="preserve"> </w:t>
      </w:r>
      <w:r>
        <w:t xml:space="preserve">(mean $3.05M). The proposed ~$5.28M effective annual cost is</w:t>
      </w:r>
      <w:r>
        <w:t xml:space="preserve"> </w:t>
      </w:r>
      <w:r>
        <w:rPr>
          <w:b/>
          <w:bCs/>
        </w:rPr>
        <w:t xml:space="preserve">31.9% above the market high</w:t>
      </w:r>
      <w:r>
        <w:t xml:space="preserve"> </w:t>
      </w:r>
      <w:r>
        <w:t xml:space="preserve">and</w:t>
      </w:r>
      <w:r>
        <w:t xml:space="preserve"> </w:t>
      </w:r>
      <w:r>
        <w:rPr>
          <w:b/>
          <w:bCs/>
        </w:rPr>
        <w:t xml:space="preserve">~65% above the comp mean</w:t>
      </w:r>
      <w:r>
        <w:t xml:space="preserve">. The Financial Analysis switching-cost tab shows one-time switching costs of only $2.55M–$4.375M (midpoint ~$3.5M) with break-even in</w:t>
      </w:r>
      <w:r>
        <w:t xml:space="preserve"> </w:t>
      </w:r>
      <w:r>
        <w:rPr>
          <w:b/>
          <w:bCs/>
        </w:rPr>
        <w:t xml:space="preserve">0.7–2.5 years</w:t>
      </w:r>
      <w:r>
        <w:t xml:space="preserve"> </w:t>
      </w:r>
      <w:r>
        <w:t xml:space="preserve">against the alternatives — the strongest switching case of the three licenses.</w:t>
      </w:r>
      <w:r>
        <w:t xml:space="preserve"> </w:t>
      </w:r>
      <w:r>
        <w:rPr>
          <w:b/>
          <w:bCs/>
        </w:rPr>
        <w:t xml:space="preserve">Recommendation:</w:t>
      </w:r>
      <w:r>
        <w:t xml:space="preserve"> </w:t>
      </w:r>
      <w:r>
        <w:t xml:space="preserve">Run a competitive RFP with the three identified alternatives to establish credible leverage. Counter at</w:t>
      </w:r>
      <w:r>
        <w:t xml:space="preserve"> </w:t>
      </w:r>
      <w:r>
        <w:rPr>
          <w:b/>
          <w:bCs/>
        </w:rPr>
        <w:t xml:space="preserve">$3.75M with an 80-user cap</w:t>
      </w:r>
      <w:r>
        <w:t xml:space="preserve"> </w:t>
      </w:r>
      <w:r>
        <w:t xml:space="preserve">(or no cap) and overage at $12,000/user; require the Version 5.x conversion tool to be included at no cost. Be prepared to switch if NovaTrait does not move toward market — but manage the 12–18 month transition risk by securing interim Version 4.x access (Issue 2, Section III).</w:t>
      </w:r>
    </w:p>
    <w:p>
      <w:pPr>
        <w:pStyle w:val="BodyText"/>
      </w:pPr>
      <w:r>
        <w:rPr>
          <w:b/>
          <w:bCs/>
        </w:rPr>
        <w:t xml:space="preserve">Issue C-4 — Fee-structure ambiguity must be resolved (MEDIUM).</w:t>
      </w:r>
      <w:r>
        <w:t xml:space="preserve"> </w:t>
      </w:r>
      <w:r>
        <w:t xml:space="preserve">As noted in Section II, the October 14, 2024 Proposal states a $4.80M base + $305K support + $175K one-time migration fee, while the Financial Analysis analyzes a $4.85M base plus a 50-user cap with $18,500/user overage (23 excess users at Greenfield’s 73-user count = $425,500/year). The per-user cap and overage do not appear in the Proposal document.</w:t>
      </w:r>
      <w:r>
        <w:t xml:space="preserve"> </w:t>
      </w:r>
      <w:r>
        <w:rPr>
          <w:b/>
          <w:bCs/>
        </w:rPr>
        <w:t xml:space="preserve">Recommendation:</w:t>
      </w:r>
      <w:r>
        <w:t xml:space="preserve"> </w:t>
      </w:r>
      <w:r>
        <w:t xml:space="preserve">Obtain NovaTrait’s current, written fee schedule before negotiating. If a user cap is imposed, negotiate a cap at or above Greenfield’s current 73 users (e.g., 80–100) to avoid overage exposure, and cap overage pricing.</w:t>
      </w:r>
    </w:p>
    <w:p>
      <w:pPr>
        <w:pStyle w:val="BodyText"/>
      </w:pPr>
      <w:r>
        <w:rPr>
          <w:b/>
          <w:bCs/>
        </w:rPr>
        <w:t xml:space="preserve">Issue C-5 — Version 5.x migration creates operational risk (MEDIUM).</w:t>
      </w:r>
      <w:r>
        <w:t xml:space="preserve"> </w:t>
      </w:r>
      <w:r>
        <w:t xml:space="preserve">The upgrade to Version 5.x involves file-format incompatibility with Version 4.x archives (requiring the $175K conversion tool), retraining of 73 users, and integration with the CRISPR-Ag Suite and TraitForge workflows. NovaTrait offers only 80 hours of migration support.</w:t>
      </w:r>
      <w:r>
        <w:t xml:space="preserve"> </w:t>
      </w:r>
      <w:r>
        <w:rPr>
          <w:b/>
          <w:bCs/>
        </w:rPr>
        <w:t xml:space="preserve">Recommendation:</w:t>
      </w:r>
      <w:r>
        <w:t xml:space="preserve"> </w:t>
      </w:r>
      <w:r>
        <w:t xml:space="preserve">Require (i) the conversion tool at no cost, (ii) a backward-compatibility commitment or a documented migration path, (iii) extended migration support, and (iv) a contractual right to remain on Version 4.x (with source access) until Version 5.x is validated in Greenfield’s environment.</w:t>
      </w:r>
    </w:p>
    <w:p>
      <w:pPr>
        <w:pStyle w:val="BodyText"/>
      </w:pPr>
      <w:r>
        <w:rPr>
          <w:b/>
          <w:bCs/>
        </w:rPr>
        <w:t xml:space="preserve">Issue C-6 — Shorter term and dependency risk (MEDIUM).</w:t>
      </w:r>
      <w:r>
        <w:t xml:space="preserve"> </w:t>
      </w:r>
      <w:r>
        <w:t xml:space="preserve">The Proposal shortens the term from 5 to 3 years, citing the anticipated Version 6.x release in late 2027. A shorter term favors NovaTrait (more frequent renegotiation) but also gives Greenfield a nearer exit option. The key risk is the</w:t>
      </w:r>
      <w:r>
        <w:t xml:space="preserve"> </w:t>
      </w:r>
      <w:r>
        <w:rPr>
          <w:b/>
          <w:bCs/>
        </w:rPr>
        <w:t xml:space="preserve">operational dependency</w:t>
      </w:r>
      <w:r>
        <w:t xml:space="preserve">: GenoMap Pro is integral to the License A and B workflows, and loss of access requires 12–18 months to source alternatives.</w:t>
      </w:r>
      <w:r>
        <w:t xml:space="preserve"> </w:t>
      </w:r>
      <w:r>
        <w:rPr>
          <w:b/>
          <w:bCs/>
        </w:rPr>
        <w:t xml:space="preserve">Recommendation:</w:t>
      </w:r>
      <w:r>
        <w:t xml:space="preserve"> </w:t>
      </w:r>
      <w:r>
        <w:t xml:space="preserve">Consider NovaTrait’s offered term harmonization (Part IV, Item 1) to a coordinated 5-year term for administrative simplicity, but only at a within-market fee and with the source-access and data-ownership protections restored. Otherwise, accept the 3-year term but begin alternative-platform evaluation no later than mid-2027.</w:t>
      </w:r>
    </w:p>
    <w:p>
      <w:r>
        <w:pict>
          <v:rect style="width:0;height:1.5pt" o:hralign="center" o:hrstd="t" o:hr="t"/>
        </w:pict>
      </w:r>
    </w:p>
    <w:bookmarkEnd w:id="30"/>
    <w:bookmarkEnd w:id="31"/>
    <w:bookmarkStart w:id="32" w:name="X12b901e5b00238913903b3fbdb2da5dcddb073c"/>
    <w:p>
      <w:pPr>
        <w:pStyle w:val="Heading2"/>
      </w:pPr>
      <w:r>
        <w:t xml:space="preserve">VII. Prairielands Sublicense — Cascading Renewal Risk</w:t>
      </w:r>
    </w:p>
    <w:p>
      <w:pPr>
        <w:pStyle w:val="FirstParagraph"/>
      </w:pPr>
      <w:r>
        <w:t xml:space="preserve">The Prairielands sublicense (effective May 1, 2021) is a downstream sublicense</w:t>
      </w:r>
      <w:r>
        <w:t xml:space="preserve"> </w:t>
      </w:r>
      <w:r>
        <w:rPr>
          <w:b/>
          <w:bCs/>
        </w:rPr>
        <w:t xml:space="preserve">under License B</w:t>
      </w:r>
      <w:r>
        <w:t xml:space="preserve"> </w:t>
      </w:r>
      <w:r>
        <w:t xml:space="preserve">(the Master License), limited to soybean drought-tolerance traits in Argentina and Brazil, at a 2.0% royalty to Greenfield. It is structurally tied to License B in ways that create cascading risk:</w:t>
      </w:r>
    </w:p>
    <w:p>
      <w:pPr>
        <w:pStyle w:val="BodyText"/>
      </w:pPr>
      <w:r>
        <w:rPr>
          <w:b/>
          <w:bCs/>
        </w:rPr>
        <w:t xml:space="preserve">Issue P-1 — Co-terminus structure means the sublicense has already expired with License B (CRITICAL).</w:t>
      </w:r>
      <w:r>
        <w:t xml:space="preserve"> </w:t>
      </w:r>
      <w:r>
        <w:t xml:space="preserve">Sublicense §7.1 provides that the term is</w:t>
      </w:r>
      <w:r>
        <w:t xml:space="preserve"> </w:t>
      </w:r>
      <w:r>
        <w:t xml:space="preserve">“</w:t>
      </w:r>
      <w:r>
        <w:t xml:space="preserve">co-terminus with the Master License as in effect on the Effective Date,</w:t>
      </w:r>
      <w:r>
        <w:t xml:space="preserve">”</w:t>
      </w:r>
      <w:r>
        <w:t xml:space="preserve"> </w:t>
      </w:r>
      <w:r>
        <w:t xml:space="preserve">i.e., December 31, 2024. Sublicense §7.4 provides that the sublicense</w:t>
      </w:r>
      <w:r>
        <w:t xml:space="preserve"> </w:t>
      </w:r>
      <w:r>
        <w:rPr>
          <w:b/>
          <w:bCs/>
        </w:rPr>
        <w:t xml:space="preserve">“</w:t>
      </w:r>
      <w:r>
        <w:rPr>
          <w:b/>
          <w:bCs/>
        </w:rPr>
        <w:t xml:space="preserve">shall automatically terminate upon the expiration or termination of the Master License for any reason, without further action.</w:t>
      </w:r>
      <w:r>
        <w:rPr>
          <w:b/>
          <w:bCs/>
        </w:rPr>
        <w:t xml:space="preserve">”</w:t>
      </w:r>
      <w:r>
        <w:t xml:space="preserve"> </w:t>
      </w:r>
      <w:r>
        <w:t xml:space="preserve">License B expired December 31, 2024. The sublicense is therefore presently sustained only because License B’s §12.6 standstill holds the Master License</w:t>
      </w:r>
      <w:r>
        <w:t xml:space="preserve"> </w:t>
      </w:r>
      <w:r>
        <w:t xml:space="preserve">“</w:t>
      </w:r>
      <w:r>
        <w:t xml:space="preserve">in full force and effect.</w:t>
      </w:r>
      <w:r>
        <w:t xml:space="preserve">”</w:t>
      </w:r>
      <w:r>
        <w:t xml:space="preserve"> </w:t>
      </w:r>
      <w:r>
        <w:t xml:space="preserve">When the standstill expires (~June 29, 2025) — or earlier on 30 days’ notice —</w:t>
      </w:r>
      <w:r>
        <w:t xml:space="preserve"> </w:t>
      </w:r>
      <w:r>
        <w:rPr>
          <w:b/>
          <w:bCs/>
        </w:rPr>
        <w:t xml:space="preserve">both License B and the Prairielands sublicense terminate automatically</w:t>
      </w:r>
      <w:r>
        <w:t xml:space="preserve">, triggering the sublicense’s 90-day wind-down (§7.5) and 30-day materials return (§7.6).</w:t>
      </w:r>
      <w:r>
        <w:t xml:space="preserve"> </w:t>
      </w:r>
      <w:r>
        <w:rPr>
          <w:b/>
          <w:bCs/>
        </w:rPr>
        <w:t xml:space="preserve">Recommendation:</w:t>
      </w:r>
      <w:r>
        <w:t xml:space="preserve"> </w:t>
      </w:r>
      <w:r>
        <w:t xml:space="preserve">Greenfield must (i) confirm in writing that the standstill preserves the Prairielands sublicense, (ii) notify Prairielands of the status, and (iii) ensure the License B renewal (or extension) is executed before the standstill expires. The Prairielands renewal must be addressed in parallel with License B.</w:t>
      </w:r>
    </w:p>
    <w:p>
      <w:pPr>
        <w:pStyle w:val="BodyText"/>
      </w:pPr>
      <w:r>
        <w:rPr>
          <w:b/>
          <w:bCs/>
        </w:rPr>
        <w:t xml:space="preserve">Issue P-2 — Renewal requires NovaTrait consent</w:t>
      </w:r>
      <w:r>
        <w:rPr>
          <w:b/>
          <w:bCs/>
        </w:rPr>
        <w:t xml:space="preserve"> </w:t>
      </w:r>
      <w:r>
        <w:rPr>
          <w:b/>
          <w:bCs/>
        </w:rPr>
        <w:t xml:space="preserve">“</w:t>
      </w:r>
      <w:r>
        <w:rPr>
          <w:b/>
          <w:bCs/>
        </w:rPr>
        <w:t xml:space="preserve">on reasonable terms</w:t>
      </w:r>
      <w:r>
        <w:rPr>
          <w:b/>
          <w:bCs/>
        </w:rPr>
        <w:t xml:space="preserve">”</w:t>
      </w:r>
      <w:r>
        <w:rPr>
          <w:b/>
          <w:bCs/>
        </w:rPr>
        <w:t xml:space="preserve"> </w:t>
      </w:r>
      <w:r>
        <w:rPr>
          <w:b/>
          <w:bCs/>
        </w:rPr>
        <w:t xml:space="preserve">— the pass-through hook (HIGH).</w:t>
      </w:r>
      <w:r>
        <w:t xml:space="preserve"> </w:t>
      </w:r>
      <w:r>
        <w:t xml:space="preserve">The Proposal (Part VII, Item 3) acknowledges the co-terminus structure and offers NovaTrait’s consent to any Prairielands amendment</w:t>
      </w:r>
      <w:r>
        <w:t xml:space="preserve"> </w:t>
      </w:r>
      <w:r>
        <w:t xml:space="preserve">“</w:t>
      </w:r>
      <w:r>
        <w:t xml:space="preserve">subject to Section 12.4 of the existing Master License, on reasonable terms.</w:t>
      </w:r>
      <w:r>
        <w:t xml:space="preserve">”</w:t>
      </w:r>
      <w:r>
        <w:t xml:space="preserve"> </w:t>
      </w:r>
      <w:r>
        <w:t xml:space="preserve">This is the mechanism by which NovaTrait would extract a sublicense pass-through that does not currently exist (see Issue B-6). The original NovaTrait consent letter (April 15, 2021) expressly confirmed no pass-through obligation.</w:t>
      </w:r>
      <w:r>
        <w:t xml:space="preserve"> </w:t>
      </w:r>
      <w:r>
        <w:rPr>
          <w:b/>
          <w:bCs/>
        </w:rPr>
        <w:t xml:space="preserve">Recommendation:</w:t>
      </w:r>
      <w:r>
        <w:t xml:space="preserve"> </w:t>
      </w:r>
      <w:r>
        <w:t xml:space="preserve">Negotiate the Prairielands pass-through (if any) as part of the License B package, not as a standalone consent fee. Anchor on the documented historical understanding of no pass-through; counter at 20% with a phase-in if a pass-through is unavoidable.</w:t>
      </w:r>
    </w:p>
    <w:p>
      <w:pPr>
        <w:pStyle w:val="BodyText"/>
      </w:pPr>
      <w:r>
        <w:rPr>
          <w:b/>
          <w:bCs/>
        </w:rPr>
        <w:t xml:space="preserve">Issue P-3 — Wind-down inconsistency between License B and the sublicense (MEDIUM).</w:t>
      </w:r>
      <w:r>
        <w:t xml:space="preserve"> </w:t>
      </w:r>
      <w:r>
        <w:t xml:space="preserve">The Prairielands sublicense retains a 90-day wind-down (§7.5); the proposed License B §7.4 eliminates the wind-down (30-day return). If License B’s wind-down is eliminated but the sublicense’s remains, Greenfield could be obligated to return TraitForge materials to NovaTrait in 30 days while Prairielands retains materials for 90 days — an unworkable mismatch.</w:t>
      </w:r>
      <w:r>
        <w:t xml:space="preserve"> </w:t>
      </w:r>
      <w:r>
        <w:rPr>
          <w:b/>
          <w:bCs/>
        </w:rPr>
        <w:t xml:space="preserve">Recommendation:</w:t>
      </w:r>
      <w:r>
        <w:t xml:space="preserve"> </w:t>
      </w:r>
      <w:r>
        <w:t xml:space="preserve">Align the wind-down periods across License B and the sublicense (recommend 180 days for both).</w:t>
      </w:r>
    </w:p>
    <w:p>
      <w:pPr>
        <w:pStyle w:val="BodyText"/>
      </w:pPr>
      <w:r>
        <w:rPr>
          <w:b/>
          <w:bCs/>
        </w:rPr>
        <w:t xml:space="preserve">Issue P-4 — Sublicense scope is narrow and valuable to preserve (background).</w:t>
      </w:r>
      <w:r>
        <w:t xml:space="preserve"> </w:t>
      </w:r>
      <w:r>
        <w:t xml:space="preserve">The sublicense is limited to soybean drought tolerance in Argentina/Brazil — a narrow, high-value niche. Greenfield collects 2.0% of Prairielands’ Net Sales (estimated ~$12M base, growing 4%) with no current pass-through. Preserving this revenue stream (net of any new pass-through) is a concrete financial reason to prioritize the License B renewal.</w:t>
      </w:r>
    </w:p>
    <w:p>
      <w:r>
        <w:pict>
          <v:rect style="width:0;height:1.5pt" o:hralign="center" o:hrstd="t" o:hr="t"/>
        </w:pict>
      </w:r>
    </w:p>
    <w:bookmarkEnd w:id="32"/>
    <w:bookmarkStart w:id="33" w:name="viii.-cross-cutting-issues"/>
    <w:p>
      <w:pPr>
        <w:pStyle w:val="Heading2"/>
      </w:pPr>
      <w:r>
        <w:t xml:space="preserve">VIII. Cross-Cutting Issues</w:t>
      </w:r>
    </w:p>
    <w:p>
      <w:pPr>
        <w:pStyle w:val="FirstParagraph"/>
      </w:pPr>
      <w:r>
        <w:rPr>
          <w:b/>
          <w:bCs/>
        </w:rPr>
        <w:t xml:space="preserve">Issue X-1 — Improvements reversal across A and B is a coordinated value transfer (HIGH).</w:t>
      </w:r>
      <w:r>
        <w:t xml:space="preserve"> </w:t>
      </w:r>
      <w:r>
        <w:t xml:space="preserve">The Proposal applies the same joint-ownership/royalty-free-grant-back structure to both License A (§8.1) and License B (§6.3). In both cases, Greenfield currently owns its solely-conceived improvements and grants NovaTrait a license at a</w:t>
      </w:r>
      <w:r>
        <w:t xml:space="preserve"> </w:t>
      </w:r>
      <w:r>
        <w:rPr>
          <w:i/>
          <w:iCs/>
        </w:rPr>
        <w:t xml:space="preserve">commercially reasonable royalty</w:t>
      </w:r>
      <w:r>
        <w:t xml:space="preserve">. The Proposal would make those improvements jointly owned and give NovaTrait a</w:t>
      </w:r>
      <w:r>
        <w:t xml:space="preserve"> </w:t>
      </w:r>
      <w:r>
        <w:rPr>
          <w:i/>
          <w:iCs/>
        </w:rPr>
        <w:t xml:space="preserve">perpetual, royalty-free, sublicensable, transferable</w:t>
      </w:r>
      <w:r>
        <w:t xml:space="preserve"> </w:t>
      </w:r>
      <w:r>
        <w:t xml:space="preserve">license for any purpose — including outside the Field of Use — while Greenfield’s license back would be term-limited and non-sublicensable. This is the most significant non-economic give-back in the Proposal and should be resisted in both agreements on the terms in Issues A-4 and B-5.</w:t>
      </w:r>
    </w:p>
    <w:p>
      <w:pPr>
        <w:pStyle w:val="BodyText"/>
      </w:pPr>
      <w:r>
        <w:rPr>
          <w:b/>
          <w:bCs/>
        </w:rPr>
        <w:t xml:space="preserve">Issue X-2 — Net Sales redefinition is a hidden rate increase across A and B (HIGH).</w:t>
      </w:r>
      <w:r>
        <w:t xml:space="preserve"> </w:t>
      </w:r>
      <w:r>
        <w:t xml:space="preserve">Eliminating deductions for freight, insurance, returns/recalls, and bad debt expands the royalty base by ~7.2% (License A) and ~6.8% (License B). Combined with the nominal rate increases, the effective rates on the original bases are 6.70% (A) and 5.34% (B) — increases of 48.9% and 42.4% respectively. The Financial Analysis market comparables note that modified Net Sales definitions (removing standard deductions) are uncommon: only 1 of 6 rate-based comps uses a modified definition, and that comp removes returns only — not the full slate NovaTrait proposes to eliminate.</w:t>
      </w:r>
      <w:r>
        <w:t xml:space="preserve"> </w:t>
      </w:r>
      <w:r>
        <w:rPr>
          <w:b/>
          <w:bCs/>
        </w:rPr>
        <w:t xml:space="preserve">Recommendation:</w:t>
      </w:r>
      <w:r>
        <w:t xml:space="preserve"> </w:t>
      </w:r>
      <w:r>
        <w:t xml:space="preserve">Retain the current Net Sales definitions. If a redefinition is conceded, limit it to removing returns only (per the lone market comparable) and offset the rate accordingly.</w:t>
      </w:r>
    </w:p>
    <w:p>
      <w:pPr>
        <w:pStyle w:val="BodyText"/>
      </w:pPr>
      <w:r>
        <w:rPr>
          <w:b/>
          <w:bCs/>
        </w:rPr>
        <w:t xml:space="preserve">Issue X-3 — Market comparables: NovaTrait’s ranges exceed independent analyses on all three licenses (HIGH).</w:t>
      </w:r>
      <w:r>
        <w:t xml:space="preserve"> </w:t>
      </w:r>
      <w:r>
        <w:t xml:space="preserve">Across all three licenses, NovaTrait cites market ranges higher than those in the Clarendon analysis and the Financial Analysis comparables, and its proposed rates/fees exceed the independent market highs: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w:t>
            </w:r>
          </w:p>
        </w:tc>
        <w:tc>
          <w:tcPr/>
          <w:p>
            <w:pPr>
              <w:pStyle w:val="Compact"/>
              <w:jc w:val="left"/>
            </w:pPr>
            <w:r>
              <w:t xml:space="preserve">NovaTrait-cited range</w:t>
            </w:r>
          </w:p>
        </w:tc>
        <w:tc>
          <w:tcPr/>
          <w:p>
            <w:pPr>
              <w:pStyle w:val="Compact"/>
              <w:jc w:val="left"/>
            </w:pPr>
            <w:r>
              <w:t xml:space="preserve">Independent range (Clarendon / Financial Analysis)</w:t>
            </w:r>
          </w:p>
        </w:tc>
        <w:tc>
          <w:tcPr/>
          <w:p>
            <w:pPr>
              <w:pStyle w:val="Compact"/>
              <w:jc w:val="left"/>
            </w:pPr>
            <w:r>
              <w:t xml:space="preserve">NovaTrait proposed</w:t>
            </w:r>
          </w:p>
        </w:tc>
        <w:tc>
          <w:tcPr/>
          <w:p>
            <w:pPr>
              <w:pStyle w:val="Compact"/>
              <w:jc w:val="left"/>
            </w:pPr>
            <w:r>
              <w:t xml:space="preserve">Above independent high?</w:t>
            </w:r>
          </w:p>
        </w:tc>
      </w:tr>
      <w:tr>
        <w:tc>
          <w:tcPr/>
          <w:p>
            <w:pPr>
              <w:pStyle w:val="Compact"/>
              <w:jc w:val="left"/>
            </w:pPr>
            <w:r>
              <w:t xml:space="preserve">A — gene-editing</w:t>
            </w:r>
          </w:p>
        </w:tc>
        <w:tc>
          <w:tcPr/>
          <w:p>
            <w:pPr>
              <w:pStyle w:val="Compact"/>
              <w:jc w:val="left"/>
            </w:pPr>
            <w:r>
              <w:t xml:space="preserve">5.5%–7.0%</w:t>
            </w:r>
          </w:p>
        </w:tc>
        <w:tc>
          <w:tcPr/>
          <w:p>
            <w:pPr>
              <w:pStyle w:val="Compact"/>
              <w:jc w:val="left"/>
            </w:pPr>
            <w:r>
              <w:t xml:space="preserve">3.5%–5.5% (median 4.0%)</w:t>
            </w:r>
          </w:p>
        </w:tc>
        <w:tc>
          <w:tcPr/>
          <w:p>
            <w:pPr>
              <w:pStyle w:val="Compact"/>
              <w:jc w:val="left"/>
            </w:pPr>
            <w:r>
              <w:t xml:space="preserve">6.25%</w:t>
            </w:r>
          </w:p>
        </w:tc>
        <w:tc>
          <w:tcPr/>
          <w:p>
            <w:pPr>
              <w:pStyle w:val="Compact"/>
              <w:jc w:val="left"/>
            </w:pPr>
            <w:r>
              <w:t xml:space="preserve">Yes (above 5.5%)</w:t>
            </w:r>
          </w:p>
        </w:tc>
      </w:tr>
      <w:tr>
        <w:tc>
          <w:tcPr/>
          <w:p>
            <w:pPr>
              <w:pStyle w:val="Compact"/>
              <w:jc w:val="left"/>
            </w:pPr>
            <w:r>
              <w:t xml:space="preserve">B — trait expression</w:t>
            </w:r>
          </w:p>
        </w:tc>
        <w:tc>
          <w:tcPr/>
          <w:p>
            <w:pPr>
              <w:pStyle w:val="Compact"/>
              <w:jc w:val="left"/>
            </w:pPr>
            <w:r>
              <w:t xml:space="preserve">4.0%–5.5%</w:t>
            </w:r>
          </w:p>
        </w:tc>
        <w:tc>
          <w:tcPr/>
          <w:p>
            <w:pPr>
              <w:pStyle w:val="Compact"/>
              <w:jc w:val="left"/>
            </w:pPr>
            <w:r>
              <w:t xml:space="preserve">3.0%–4.5% (median 3.25%)</w:t>
            </w:r>
          </w:p>
        </w:tc>
        <w:tc>
          <w:tcPr/>
          <w:p>
            <w:pPr>
              <w:pStyle w:val="Compact"/>
              <w:jc w:val="left"/>
            </w:pPr>
            <w:r>
              <w:t xml:space="preserve">5.0%</w:t>
            </w:r>
          </w:p>
        </w:tc>
        <w:tc>
          <w:tcPr/>
          <w:p>
            <w:pPr>
              <w:pStyle w:val="Compact"/>
              <w:jc w:val="left"/>
            </w:pPr>
            <w:r>
              <w:t xml:space="preserve">Yes (above 4.5%)</w:t>
            </w:r>
          </w:p>
        </w:tc>
      </w:tr>
      <w:tr>
        <w:tc>
          <w:tcPr/>
          <w:p>
            <w:pPr>
              <w:pStyle w:val="Compact"/>
              <w:jc w:val="left"/>
            </w:pPr>
            <w:r>
              <w:t xml:space="preserve">C — bioinformatics</w:t>
            </w:r>
          </w:p>
        </w:tc>
        <w:tc>
          <w:tcPr/>
          <w:p>
            <w:pPr>
              <w:pStyle w:val="Compact"/>
              <w:jc w:val="left"/>
            </w:pPr>
            <w:r>
              <w:t xml:space="preserve">(n/a)</w:t>
            </w:r>
          </w:p>
        </w:tc>
        <w:tc>
          <w:tcPr/>
          <w:p>
            <w:pPr>
              <w:pStyle w:val="Compact"/>
              <w:jc w:val="left"/>
            </w:pPr>
            <w:r>
              <w:t xml:space="preserve">$2.5M–$4.0M (mean $3.05M)</w:t>
            </w:r>
          </w:p>
        </w:tc>
        <w:tc>
          <w:tcPr/>
          <w:p>
            <w:pPr>
              <w:pStyle w:val="Compact"/>
              <w:jc w:val="left"/>
            </w:pPr>
            <w:r>
              <w:t xml:space="preserve">~$5.28M</w:t>
            </w:r>
          </w:p>
        </w:tc>
        <w:tc>
          <w:tcPr/>
          <w:p>
            <w:pPr>
              <w:pStyle w:val="Compact"/>
              <w:jc w:val="left"/>
            </w:pPr>
            <w:r>
              <w:t xml:space="preserve">Yes (31.9% above $4.0M)</w:t>
            </w:r>
          </w:p>
        </w:tc>
      </w:tr>
    </w:tbl>
    <w:p>
      <w:pPr>
        <w:pStyle w:val="BodyText"/>
      </w:pPr>
      <w:r>
        <w:rPr>
          <w:b/>
          <w:bCs/>
        </w:rPr>
        <w:t xml:space="preserve">Recommendation:</w:t>
      </w:r>
      <w:r>
        <w:t xml:space="preserve"> </w:t>
      </w:r>
      <w:r>
        <w:t xml:space="preserve">Demand NovaTrait’s underlying benchmark transactions; rely on the 8 anonymized 2022–2024 comparables in the Financial Analysis to anchor counters within the independent ranges.</w:t>
      </w:r>
    </w:p>
    <w:p>
      <w:pPr>
        <w:pStyle w:val="BodyText"/>
      </w:pPr>
      <w:r>
        <w:rPr>
          <w:b/>
          <w:bCs/>
        </w:rPr>
        <w:t xml:space="preserve">Issue X-4 — The Clarendon landscape analysis is dated; an update is overdue (MEDIUM–HIGH).</w:t>
      </w:r>
      <w:r>
        <w:t xml:space="preserve"> </w:t>
      </w:r>
      <w:r>
        <w:t xml:space="preserve">Clarendon’s analysis is dated September 14, 2020 — over four years old. Clarendon itself (§6, Recommendation 5) recommended an updated analysis before renewal negotiations, particularly because the AgriGenome Solutions and CropTech Innovations competitor portfolios were in early prosecution in 2020 and</w:t>
      </w:r>
      <w:r>
        <w:t xml:space="preserve"> </w:t>
      </w:r>
      <w:r>
        <w:t xml:space="preserve">“</w:t>
      </w:r>
      <w:r>
        <w:t xml:space="preserve">may have materially advanced.</w:t>
      </w:r>
      <w:r>
        <w:t xml:space="preserve">”</w:t>
      </w:r>
      <w:r>
        <w:t xml:space="preserve"> </w:t>
      </w:r>
      <w:r>
        <w:t xml:space="preserve">The post-2028 competitive landscape directly affects the License A step-down argument (Issue A-6).</w:t>
      </w:r>
      <w:r>
        <w:t xml:space="preserve"> </w:t>
      </w:r>
      <w:r>
        <w:rPr>
          <w:b/>
          <w:bCs/>
        </w:rPr>
        <w:t xml:space="preserve">Recommendation:</w:t>
      </w:r>
      <w:r>
        <w:t xml:space="preserve"> </w:t>
      </w:r>
      <w:r>
        <w:t xml:space="preserve">Commission an updated patent landscape and freedom-to-operate analysis before finalizing License A terms, and use it to support both the rate counter and the post-’117 step-down.</w:t>
      </w:r>
    </w:p>
    <w:p>
      <w:pPr>
        <w:pStyle w:val="BodyText"/>
      </w:pPr>
      <w:r>
        <w:rPr>
          <w:b/>
          <w:bCs/>
        </w:rPr>
        <w:t xml:space="preserve">Issue X-5 — Most-Favored-Licensee provisions do not currently exist in any agreement (MEDIUM — clarify).</w:t>
      </w:r>
      <w:r>
        <w:t xml:space="preserve"> </w:t>
      </w:r>
      <w:r>
        <w:t xml:space="preserve">As detailed in Issue A-9, the Proposal references</w:t>
      </w:r>
      <w:r>
        <w:t xml:space="preserve"> </w:t>
      </w:r>
      <w:r>
        <w:t xml:space="preserve">“</w:t>
      </w:r>
      <w:r>
        <w:t xml:space="preserve">existing</w:t>
      </w:r>
      <w:r>
        <w:t xml:space="preserve">”</w:t>
      </w:r>
      <w:r>
        <w:t xml:space="preserve"> </w:t>
      </w:r>
      <w:r>
        <w:t xml:space="preserve">MFL provisions in all three agreements, but none of A, B, or C contains an MFL. Greenfield should clarify whether MFLs are being newly added and, if so, negotiate their scope to capture in-field commercial licenses (not just the academic/litigation carve-outs).</w:t>
      </w:r>
    </w:p>
    <w:p>
      <w:pPr>
        <w:pStyle w:val="BodyText"/>
      </w:pPr>
      <w:r>
        <w:rPr>
          <w:b/>
          <w:bCs/>
        </w:rPr>
        <w:t xml:space="preserve">Issue X-6 — Anti-stacking offset is genuinely beneficial but limited (LOW — accept with modification).</w:t>
      </w:r>
      <w:r>
        <w:t xml:space="preserve"> </w:t>
      </w:r>
      <w:r>
        <w:t xml:space="preserve">The proposed new §7.7 (License A) would let Greenfield credit 50% of third-party freedom-to-operate royalties against NovaTrait royalties, capped at 25% of quarterly royalties, with a 4.75% effective-rate floor. This is the one term in the Proposal that favors Greenfield.</w:t>
      </w:r>
      <w:r>
        <w:t xml:space="preserve"> </w:t>
      </w:r>
      <w:r>
        <w:rPr>
          <w:b/>
          <w:bCs/>
        </w:rPr>
        <w:t xml:space="preserve">Recommendation:</w:t>
      </w:r>
      <w:r>
        <w:t xml:space="preserve"> </w:t>
      </w:r>
      <w:r>
        <w:t xml:space="preserve">Accept, but modify the floor to 75% of the</w:t>
      </w:r>
      <w:r>
        <w:t xml:space="preserve"> </w:t>
      </w:r>
      <w:r>
        <w:rPr>
          <w:i/>
          <w:iCs/>
        </w:rPr>
        <w:t xml:space="preserve">calculated</w:t>
      </w:r>
      <w:r>
        <w:t xml:space="preserve"> </w:t>
      </w:r>
      <w:r>
        <w:t xml:space="preserve">royalty (not the minimum annual royalty), to preserve more of the offset’s value.</w:t>
      </w:r>
    </w:p>
    <w:p>
      <w:pPr>
        <w:pStyle w:val="BodyText"/>
      </w:pPr>
      <w:r>
        <w:rPr>
          <w:b/>
          <w:bCs/>
        </w:rPr>
        <w:t xml:space="preserve">Issue X-7 — Coordinated payment schedule and term harmonization (LOW — optional).</w:t>
      </w:r>
      <w:r>
        <w:t xml:space="preserve"> </w:t>
      </w:r>
      <w:r>
        <w:t xml:space="preserve">NovaTrait proposes consolidating payments into a single quarterly statement (Part IV, Item 2) and offers optional term harmonization (Part IV, Item 1). These are administrative conveniences.</w:t>
      </w:r>
      <w:r>
        <w:t xml:space="preserve"> </w:t>
      </w:r>
      <w:r>
        <w:rPr>
          <w:b/>
          <w:bCs/>
        </w:rPr>
        <w:t xml:space="preserve">Recommendation:</w:t>
      </w:r>
      <w:r>
        <w:t xml:space="preserve"> </w:t>
      </w:r>
      <w:r>
        <w:t xml:space="preserve">Accept the consolidated payment schedule if it reduces administrative burden; evaluate term harmonization only if it does not lock in above-market terms for the harmonized period.</w:t>
      </w:r>
    </w:p>
    <w:p>
      <w:r>
        <w:pict>
          <v:rect style="width:0;height:1.5pt" o:hralign="center" o:hrstd="t" o:hr="t"/>
        </w:pict>
      </w:r>
    </w:p>
    <w:bookmarkEnd w:id="33"/>
    <w:bookmarkStart w:id="34" w:name="ix.-aggregate-financial-impact"/>
    <w:p>
      <w:pPr>
        <w:pStyle w:val="Heading2"/>
      </w:pPr>
      <w:r>
        <w:t xml:space="preserve">IX. Aggregate Financial Impact</w:t>
      </w:r>
    </w:p>
    <w:p>
      <w:pPr>
        <w:pStyle w:val="FirstParagraph"/>
      </w:pPr>
      <w:r>
        <w:t xml:space="preserve">The table below reconciles NovaTrait’s own estimate (Proposal Part VI) with the Financial Analysis base case.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Annualized</w:t>
            </w:r>
          </w:p>
        </w:tc>
        <w:tc>
          <w:tcPr/>
          <w:p>
            <w:pPr>
              <w:pStyle w:val="Compact"/>
              <w:jc w:val="left"/>
            </w:pPr>
            <w:r>
              <w:t xml:space="preserve">Proposed (NovaTrait est.)</w:t>
            </w:r>
          </w:p>
        </w:tc>
        <w:tc>
          <w:tcPr/>
          <w:p>
            <w:pPr>
              <w:pStyle w:val="Compact"/>
              <w:jc w:val="left"/>
            </w:pPr>
            <w:r>
              <w:t xml:space="preserve">Proposed (Advisor base case, FY2026)</w:t>
            </w:r>
          </w:p>
        </w:tc>
      </w:tr>
      <w:tr>
        <w:tc>
          <w:tcPr/>
          <w:p>
            <w:pPr>
              <w:pStyle w:val="Compact"/>
              <w:jc w:val="left"/>
            </w:pPr>
            <w:r>
              <w:t xml:space="preserve">License A — running royalty + MAR</w:t>
            </w:r>
          </w:p>
        </w:tc>
        <w:tc>
          <w:tcPr/>
          <w:p>
            <w:pPr>
              <w:pStyle w:val="Compact"/>
              <w:jc w:val="left"/>
            </w:pPr>
            <w:r>
              <w:t xml:space="preserve">~$9.12M</w:t>
            </w:r>
          </w:p>
        </w:tc>
        <w:tc>
          <w:tcPr/>
          <w:p>
            <w:pPr>
              <w:pStyle w:val="Compact"/>
              <w:jc w:val="left"/>
            </w:pPr>
            <w:r>
              <w:t xml:space="preserve">~$13.58M</w:t>
            </w:r>
          </w:p>
        </w:tc>
        <w:tc>
          <w:tcPr/>
          <w:p>
            <w:pPr>
              <w:pStyle w:val="Compact"/>
              <w:jc w:val="left"/>
            </w:pPr>
            <w:r>
              <w:t xml:space="preserve">~$14.97M (5% growth, redefined base)</w:t>
            </w:r>
          </w:p>
        </w:tc>
      </w:tr>
      <w:tr>
        <w:tc>
          <w:tcPr/>
          <w:p>
            <w:pPr>
              <w:pStyle w:val="Compact"/>
              <w:jc w:val="left"/>
            </w:pPr>
            <w:r>
              <w:t xml:space="preserve">License B — running royalty + MAR</w:t>
            </w:r>
          </w:p>
        </w:tc>
        <w:tc>
          <w:tcPr/>
          <w:p>
            <w:pPr>
              <w:pStyle w:val="Compact"/>
              <w:jc w:val="left"/>
            </w:pPr>
            <w:r>
              <w:t xml:space="preserve">~$6.38M</w:t>
            </w:r>
          </w:p>
        </w:tc>
        <w:tc>
          <w:tcPr/>
          <w:p>
            <w:pPr>
              <w:pStyle w:val="Compact"/>
              <w:jc w:val="left"/>
            </w:pPr>
            <w:r>
              <w:t xml:space="preserve">~$9.09M</w:t>
            </w:r>
          </w:p>
        </w:tc>
        <w:tc>
          <w:tcPr/>
          <w:p>
            <w:pPr>
              <w:pStyle w:val="Compact"/>
              <w:jc w:val="left"/>
            </w:pPr>
            <w:r>
              <w:t xml:space="preserve">~$9.83M (4% growth, redefined base)</w:t>
            </w:r>
          </w:p>
        </w:tc>
      </w:tr>
      <w:tr>
        <w:tc>
          <w:tcPr/>
          <w:p>
            <w:pPr>
              <w:pStyle w:val="Compact"/>
              <w:jc w:val="left"/>
            </w:pPr>
            <w:r>
              <w:t xml:space="preserve">License C — fees</w:t>
            </w:r>
          </w:p>
        </w:tc>
        <w:tc>
          <w:tcPr/>
          <w:p>
            <w:pPr>
              <w:pStyle w:val="Compact"/>
              <w:jc w:val="left"/>
            </w:pPr>
            <w:r>
              <w:t xml:space="preserve">~$3.14M</w:t>
            </w:r>
          </w:p>
        </w:tc>
        <w:tc>
          <w:tcPr/>
          <w:p>
            <w:pPr>
              <w:pStyle w:val="Compact"/>
              <w:jc w:val="left"/>
            </w:pPr>
            <w:r>
              <w:t xml:space="preserve">~$5.28M</w:t>
            </w:r>
          </w:p>
        </w:tc>
        <w:tc>
          <w:tcPr/>
          <w:p>
            <w:pPr>
              <w:pStyle w:val="Compact"/>
              <w:jc w:val="left"/>
            </w:pPr>
            <w:r>
              <w:t xml:space="preserve">~$5.28M (flat)</w:t>
            </w:r>
          </w:p>
        </w:tc>
      </w:tr>
      <w:tr>
        <w:tc>
          <w:tcPr/>
          <w:p>
            <w:pPr>
              <w:pStyle w:val="Compact"/>
              <w:jc w:val="left"/>
            </w:pPr>
            <w:r>
              <w:rPr>
                <w:b/>
                <w:bCs/>
              </w:rPr>
              <w:t xml:space="preserve">Subtotal (direct)</w:t>
            </w:r>
          </w:p>
        </w:tc>
        <w:tc>
          <w:tcPr/>
          <w:p>
            <w:pPr>
              <w:pStyle w:val="Compact"/>
              <w:jc w:val="left"/>
            </w:pPr>
            <w:r>
              <w:rPr>
                <w:b/>
                <w:bCs/>
              </w:rPr>
              <w:t xml:space="preserve">~$18.64M</w:t>
            </w:r>
          </w:p>
        </w:tc>
        <w:tc>
          <w:tcPr/>
          <w:p>
            <w:pPr>
              <w:pStyle w:val="Compact"/>
              <w:jc w:val="left"/>
            </w:pPr>
            <w:r>
              <w:rPr>
                <w:b/>
                <w:bCs/>
              </w:rPr>
              <w:t xml:space="preserve">~$27.95M</w:t>
            </w:r>
          </w:p>
        </w:tc>
        <w:tc>
          <w:tcPr/>
          <w:p>
            <w:pPr>
              <w:pStyle w:val="Compact"/>
              <w:jc w:val="left"/>
            </w:pPr>
            <w:r>
              <w:rPr>
                <w:b/>
                <w:bCs/>
              </w:rPr>
              <w:t xml:space="preserve">~$30.07M</w:t>
            </w:r>
          </w:p>
        </w:tc>
      </w:tr>
      <w:tr>
        <w:tc>
          <w:tcPr/>
          <w:p>
            <w:pPr>
              <w:pStyle w:val="Compact"/>
              <w:jc w:val="left"/>
            </w:pPr>
            <w:r>
              <w:t xml:space="preserve">License B — Prairielands pass-through (40%, if imposed)</w:t>
            </w:r>
          </w:p>
        </w:tc>
        <w:tc>
          <w:tcPr/>
          <w:p>
            <w:pPr>
              <w:pStyle w:val="Compact"/>
              <w:jc w:val="left"/>
            </w:pPr>
            <w:r>
              <w:t xml:space="preserve">$0</w:t>
            </w:r>
          </w:p>
        </w:tc>
        <w:tc>
          <w:tcPr/>
          <w:p>
            <w:pPr>
              <w:pStyle w:val="Compact"/>
              <w:jc w:val="left"/>
            </w:pPr>
            <w:r>
              <w:t xml:space="preserve">(not in Proposal)</w:t>
            </w:r>
          </w:p>
        </w:tc>
        <w:tc>
          <w:tcPr/>
          <w:p>
            <w:pPr>
              <w:pStyle w:val="Compact"/>
              <w:jc w:val="left"/>
            </w:pPr>
            <w:r>
              <w:t xml:space="preserve">~$5.19M (Year 2)</w:t>
            </w:r>
          </w:p>
        </w:tc>
      </w:tr>
      <w:tr>
        <w:tc>
          <w:tcPr/>
          <w:p>
            <w:pPr>
              <w:pStyle w:val="Compact"/>
              <w:jc w:val="left"/>
            </w:pPr>
            <w:r>
              <w:rPr>
                <w:b/>
                <w:bCs/>
              </w:rPr>
              <w:t xml:space="preserve">Total (with pass-through)</w:t>
            </w:r>
          </w:p>
        </w:tc>
        <w:tc>
          <w:tcPr/>
          <w:p>
            <w:pPr>
              <w:pStyle w:val="Compact"/>
              <w:jc w:val="left"/>
            </w:pPr>
            <w:r>
              <w:rPr>
                <w:b/>
                <w:bCs/>
              </w:rPr>
              <w:t xml:space="preserve">~$18.64M</w:t>
            </w:r>
          </w:p>
        </w:tc>
        <w:tc>
          <w:tcPr/>
          <w:p>
            <w:pPr>
              <w:pStyle w:val="Compact"/>
              <w:jc w:val="left"/>
            </w:pPr>
            <w:r>
              <w:rPr>
                <w:b/>
                <w:bCs/>
              </w:rPr>
              <w:t xml:space="preserve">~$27.95M</w:t>
            </w:r>
          </w:p>
        </w:tc>
        <w:tc>
          <w:tcPr/>
          <w:p>
            <w:pPr>
              <w:pStyle w:val="Compact"/>
              <w:jc w:val="left"/>
            </w:pPr>
            <w:r>
              <w:rPr>
                <w:b/>
                <w:bCs/>
              </w:rPr>
              <w:t xml:space="preserve">~$35.3M</w:t>
            </w:r>
          </w:p>
        </w:tc>
      </w:tr>
      <w:tr>
        <w:tc>
          <w:tcPr/>
          <w:p>
            <w:pPr>
              <w:pStyle w:val="Compact"/>
              <w:jc w:val="left"/>
            </w:pPr>
            <w:r>
              <w:t xml:space="preserve">As % of FY2024 revenue ($387.2M)</w:t>
            </w:r>
          </w:p>
        </w:tc>
        <w:tc>
          <w:tcPr/>
          <w:p>
            <w:pPr>
              <w:pStyle w:val="Compact"/>
              <w:jc w:val="left"/>
            </w:pPr>
            <w:r>
              <w:t xml:space="preserve">4.81%</w:t>
            </w:r>
          </w:p>
        </w:tc>
        <w:tc>
          <w:tcPr/>
          <w:p>
            <w:pPr>
              <w:pStyle w:val="Compact"/>
              <w:jc w:val="left"/>
            </w:pPr>
            <w:r>
              <w:t xml:space="preserve">7.22%</w:t>
            </w:r>
          </w:p>
        </w:tc>
        <w:tc>
          <w:tcPr/>
          <w:p>
            <w:pPr>
              <w:pStyle w:val="Compact"/>
              <w:jc w:val="left"/>
            </w:pPr>
            <w:r>
              <w:t xml:space="preserve">~9.1%</w:t>
            </w:r>
          </w:p>
        </w:tc>
      </w:tr>
    </w:tbl>
    <w:p>
      <w:pPr>
        <w:pStyle w:val="BodyText"/>
      </w:pPr>
      <w:r>
        <w:rPr>
          <w:b/>
          <w:bCs/>
        </w:rPr>
        <w:t xml:space="preserve">Key observations from the Financial Analysis:</w:t>
      </w:r>
    </w:p>
    <w:p>
      <w:pPr>
        <w:pStyle w:val="Compact"/>
        <w:numPr>
          <w:ilvl w:val="0"/>
          <w:numId w:val="1002"/>
        </w:numPr>
      </w:pPr>
      <w:r>
        <w:rPr>
          <w:b/>
          <w:bCs/>
        </w:rPr>
        <w:t xml:space="preserve">Cumulative 5-year incremental cost (License A, base case):</w:t>
      </w:r>
      <w:r>
        <w:t xml:space="preserve"> </w:t>
      </w:r>
      <w:r>
        <w:t xml:space="preserve">~$31.8M (direct).</w:t>
      </w:r>
    </w:p>
    <w:p>
      <w:pPr>
        <w:pStyle w:val="Compact"/>
        <w:numPr>
          <w:ilvl w:val="0"/>
          <w:numId w:val="1002"/>
        </w:numPr>
      </w:pPr>
      <w:r>
        <w:rPr>
          <w:b/>
          <w:bCs/>
        </w:rPr>
        <w:t xml:space="preserve">Cumulative 5-year incremental cost (License B, base case):</w:t>
      </w:r>
      <w:r>
        <w:t xml:space="preserve"> </w:t>
      </w:r>
      <w:r>
        <w:t xml:space="preserve">~$15.3M direct, or ~$42.3M including the assumed 40% Prairielands pass-through.</w:t>
      </w:r>
    </w:p>
    <w:p>
      <w:pPr>
        <w:pStyle w:val="Compact"/>
        <w:numPr>
          <w:ilvl w:val="0"/>
          <w:numId w:val="1002"/>
        </w:numPr>
      </w:pPr>
      <w:r>
        <w:rPr>
          <w:b/>
          <w:bCs/>
        </w:rPr>
        <w:t xml:space="preserve">3-year total cost of ownership (License C):</w:t>
      </w:r>
      <w:r>
        <w:t xml:space="preserve"> </w:t>
      </w:r>
      <w:r>
        <w:t xml:space="preserve">$9.42M → $16.10M (+70.9%), excluding one-time conversion/integration costs of ~$270K.</w:t>
      </w:r>
    </w:p>
    <w:p>
      <w:pPr>
        <w:pStyle w:val="Compact"/>
        <w:numPr>
          <w:ilvl w:val="0"/>
          <w:numId w:val="1002"/>
        </w:numPr>
      </w:pPr>
      <w:r>
        <w:rPr>
          <w:b/>
          <w:bCs/>
        </w:rPr>
        <w:t xml:space="preserve">Aggregate 3-year cumulative (FY2025–2027, base case, direct only):</w:t>
      </w:r>
      <w:r>
        <w:t xml:space="preserve"> </w:t>
      </w:r>
      <w:r>
        <w:t xml:space="preserve">~$90.3M vs. ~$60.3M under current terms — a cumulative incremental ~$30.0M over three years.</w:t>
      </w:r>
    </w:p>
    <w:p>
      <w:pPr>
        <w:pStyle w:val="Compact"/>
        <w:numPr>
          <w:ilvl w:val="0"/>
          <w:numId w:val="1002"/>
        </w:numPr>
      </w:pPr>
      <w:r>
        <w:t xml:space="preserve">The minimum annual royalties ($8M for A, $5M for B) are</w:t>
      </w:r>
      <w:r>
        <w:t xml:space="preserve"> </w:t>
      </w:r>
      <w:r>
        <w:rPr>
          <w:b/>
          <w:bCs/>
        </w:rPr>
        <w:t xml:space="preserve">not binding</w:t>
      </w:r>
      <w:r>
        <w:t xml:space="preserve"> </w:t>
      </w:r>
      <w:r>
        <w:t xml:space="preserve">in any modeled scenario (calculated royalties exceed the minimums throughout), but they raise the cash-flow floor and impose quarterly true-up obligations.</w:t>
      </w:r>
    </w:p>
    <w:p>
      <w:pPr>
        <w:pStyle w:val="FirstParagraph"/>
      </w:pPr>
      <w:r>
        <w:rPr>
          <w:b/>
          <w:bCs/>
        </w:rPr>
        <w:t xml:space="preserve">Switching-cost / best-alternative summary (from the Financial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w:t>
            </w:r>
          </w:p>
        </w:tc>
        <w:tc>
          <w:tcPr/>
          <w:p>
            <w:pPr>
              <w:pStyle w:val="Compact"/>
              <w:jc w:val="left"/>
            </w:pPr>
            <w:r>
              <w:t xml:space="preserve">Switching alternative</w:t>
            </w:r>
          </w:p>
        </w:tc>
        <w:tc>
          <w:tcPr/>
          <w:p>
            <w:pPr>
              <w:pStyle w:val="Compact"/>
              <w:jc w:val="left"/>
            </w:pPr>
            <w:r>
              <w:t xml:space="preserve">One-time cost</w:t>
            </w:r>
          </w:p>
        </w:tc>
        <w:tc>
          <w:tcPr/>
          <w:p>
            <w:pPr>
              <w:pStyle w:val="Compact"/>
              <w:jc w:val="left"/>
            </w:pPr>
            <w:r>
              <w:t xml:space="preserve">Break-even</w:t>
            </w:r>
          </w:p>
        </w:tc>
        <w:tc>
          <w:tcPr/>
          <w:p>
            <w:pPr>
              <w:pStyle w:val="Compact"/>
              <w:jc w:val="left"/>
            </w:pPr>
            <w:r>
              <w:t xml:space="preserve">Recommendation</w:t>
            </w:r>
          </w:p>
        </w:tc>
      </w:tr>
      <w:tr>
        <w:tc>
          <w:tcPr/>
          <w:p>
            <w:pPr>
              <w:pStyle w:val="Compact"/>
              <w:jc w:val="left"/>
            </w:pPr>
            <w:r>
              <w:t xml:space="preserve">A</w:t>
            </w:r>
          </w:p>
        </w:tc>
        <w:tc>
          <w:tcPr/>
          <w:p>
            <w:pPr>
              <w:pStyle w:val="Compact"/>
              <w:jc w:val="left"/>
            </w:pPr>
            <w:r>
              <w:t xml:space="preserve">AgriGenome / CropTech (post-2028)</w:t>
            </w:r>
          </w:p>
        </w:tc>
        <w:tc>
          <w:tcPr/>
          <w:p>
            <w:pPr>
              <w:pStyle w:val="Compact"/>
              <w:jc w:val="left"/>
            </w:pPr>
            <w:r>
              <w:t xml:space="preserve">$16.65M–$23.6M direct</w:t>
            </w:r>
          </w:p>
        </w:tc>
        <w:tc>
          <w:tcPr/>
          <w:p>
            <w:pPr>
              <w:pStyle w:val="Compact"/>
              <w:jc w:val="left"/>
            </w:pPr>
            <w:r>
              <w:t xml:space="preserve">2.8–7.9 yrs</w:t>
            </w:r>
          </w:p>
        </w:tc>
        <w:tc>
          <w:tcPr/>
          <w:p>
            <w:pPr>
              <w:pStyle w:val="Compact"/>
              <w:jc w:val="left"/>
            </w:pPr>
            <w:r>
              <w:t xml:space="preserve">Not justified near-term; use as leverage; revisit post-2028</w:t>
            </w:r>
          </w:p>
        </w:tc>
      </w:tr>
      <w:tr>
        <w:tc>
          <w:tcPr/>
          <w:p>
            <w:pPr>
              <w:pStyle w:val="Compact"/>
              <w:jc w:val="left"/>
            </w:pPr>
            <w:r>
              <w:t xml:space="preserve">B</w:t>
            </w:r>
          </w:p>
        </w:tc>
        <w:tc>
          <w:tcPr/>
          <w:p>
            <w:pPr>
              <w:pStyle w:val="Compact"/>
              <w:jc w:val="left"/>
            </w:pPr>
            <w:r>
              <w:t xml:space="preserve">Internal development (no commercial alternative)</w:t>
            </w:r>
          </w:p>
        </w:tc>
        <w:tc>
          <w:tcPr/>
          <w:p>
            <w:pPr>
              <w:pStyle w:val="Compact"/>
              <w:jc w:val="left"/>
            </w:pPr>
            <w:r>
              <w:t xml:space="preserve">$24.3M–$33.7M direct; $44.3M–$66.7M with opportunity cost</w:t>
            </w:r>
          </w:p>
        </w:tc>
        <w:tc>
          <w:tcPr/>
          <w:p>
            <w:pPr>
              <w:pStyle w:val="Compact"/>
              <w:jc w:val="left"/>
            </w:pPr>
            <w:r>
              <w:t xml:space="preserve">n/a</w:t>
            </w:r>
          </w:p>
        </w:tc>
        <w:tc>
          <w:tcPr/>
          <w:p>
            <w:pPr>
              <w:pStyle w:val="Compact"/>
              <w:jc w:val="left"/>
            </w:pPr>
            <w:r>
              <w:t xml:space="preserve">Not viable; renew, but at within-market rate</w:t>
            </w:r>
          </w:p>
        </w:tc>
      </w:tr>
      <w:tr>
        <w:tc>
          <w:tcPr/>
          <w:p>
            <w:pPr>
              <w:pStyle w:val="Compact"/>
              <w:jc w:val="left"/>
            </w:pPr>
            <w:r>
              <w:t xml:space="preserve">C</w:t>
            </w:r>
          </w:p>
        </w:tc>
        <w:tc>
          <w:tcPr/>
          <w:p>
            <w:pPr>
              <w:pStyle w:val="Compact"/>
              <w:jc w:val="left"/>
            </w:pPr>
            <w:r>
              <w:t xml:space="preserve">BioSphere / PlantLogic / TraitView Pro</w:t>
            </w:r>
          </w:p>
        </w:tc>
        <w:tc>
          <w:tcPr/>
          <w:p>
            <w:pPr>
              <w:pStyle w:val="Compact"/>
              <w:jc w:val="left"/>
            </w:pPr>
            <w:r>
              <w:t xml:space="preserve">$2.55M–$4.375M</w:t>
            </w:r>
          </w:p>
        </w:tc>
        <w:tc>
          <w:tcPr/>
          <w:p>
            <w:pPr>
              <w:pStyle w:val="Compact"/>
              <w:jc w:val="left"/>
            </w:pPr>
            <w:r>
              <w:t xml:space="preserve">0.7–2.5 yrs</w:t>
            </w:r>
          </w:p>
        </w:tc>
        <w:tc>
          <w:tcPr/>
          <w:p>
            <w:pPr>
              <w:pStyle w:val="Compact"/>
              <w:jc w:val="left"/>
            </w:pPr>
            <w:r>
              <w:t xml:space="preserve">Strongest switching case; run RFP for leverage</w:t>
            </w:r>
          </w:p>
        </w:tc>
      </w:tr>
    </w:tbl>
    <w:p>
      <w:r>
        <w:pict>
          <v:rect style="width:0;height:1.5pt" o:hralign="center" o:hrstd="t" o:hr="t"/>
        </w:pict>
      </w:r>
    </w:p>
    <w:bookmarkEnd w:id="34"/>
    <w:bookmarkStart w:id="40" w:name="X69b9a3c2d4d2d92a7e11f395faf09faf70b3992"/>
    <w:p>
      <w:pPr>
        <w:pStyle w:val="Heading2"/>
      </w:pPr>
      <w:r>
        <w:t xml:space="preserve">X. Recommended Negotiation Strategy and Counter-Positions</w:t>
      </w:r>
    </w:p>
    <w:p>
      <w:pPr>
        <w:pStyle w:val="FirstParagraph"/>
      </w:pPr>
      <w:r>
        <w:t xml:space="preserve">The following counter-positions are prioritized by risk (drawing on the Financial Analysis Negotiation Priorities tab, adjusted for the issues identified above).</w:t>
      </w:r>
    </w:p>
    <w:bookmarkStart w:id="35" w:name="a.-procedural-gating-do-first"/>
    <w:p>
      <w:pPr>
        <w:pStyle w:val="Heading3"/>
      </w:pPr>
      <w:r>
        <w:t xml:space="preserve">A. Procedural / gating (do first)</w:t>
      </w:r>
    </w:p>
    <w:p>
      <w:pPr>
        <w:pStyle w:val="Compact"/>
        <w:numPr>
          <w:ilvl w:val="0"/>
          <w:numId w:val="1003"/>
        </w:numPr>
      </w:pPr>
      <w:r>
        <w:rPr>
          <w:b/>
          <w:bCs/>
        </w:rPr>
        <w:t xml:space="preserve">License B standstill extension (CRITICAL):</w:t>
      </w:r>
      <w:r>
        <w:t xml:space="preserve"> </w:t>
      </w:r>
      <w:r>
        <w:t xml:space="preserve">Secure a</w:t>
      </w:r>
      <w:r>
        <w:t xml:space="preserve"> </w:t>
      </w:r>
      <w:r>
        <w:rPr>
          <w:i/>
          <w:iCs/>
        </w:rPr>
        <w:t xml:space="preserve">bilateral</w:t>
      </w:r>
      <w:r>
        <w:t xml:space="preserve"> </w:t>
      </w:r>
      <w:r>
        <w:t xml:space="preserve">written extension of the §12.6 standstill to at least December 31, 2025 before negotiating substantive terms. Do not sign NovaTrait’s unilateral standstill confirmation (Appendix B) as drafted.</w:t>
      </w:r>
    </w:p>
    <w:p>
      <w:pPr>
        <w:pStyle w:val="Compact"/>
        <w:numPr>
          <w:ilvl w:val="0"/>
          <w:numId w:val="1003"/>
        </w:numPr>
      </w:pPr>
      <w:r>
        <w:rPr>
          <w:b/>
          <w:bCs/>
        </w:rPr>
        <w:t xml:space="preserve">License C interim/holdover access:</w:t>
      </w:r>
      <w:r>
        <w:t xml:space="preserve"> </w:t>
      </w:r>
      <w:r>
        <w:t xml:space="preserve">Negotiate explicit Version 4.x access (with source-code access) on current economic terms pending renewal execution, to remove time pressure.</w:t>
      </w:r>
    </w:p>
    <w:p>
      <w:pPr>
        <w:pStyle w:val="Compact"/>
        <w:numPr>
          <w:ilvl w:val="0"/>
          <w:numId w:val="1003"/>
        </w:numPr>
      </w:pPr>
      <w:r>
        <w:rPr>
          <w:b/>
          <w:bCs/>
        </w:rPr>
        <w:t xml:space="preserve">License A renewal notice:</w:t>
      </w:r>
      <w:r>
        <w:t xml:space="preserve"> </w:t>
      </w:r>
      <w:r>
        <w:t xml:space="preserve">Deliver written renewal notice by March 31, 2025 to preserve rights (this starts the §14.4 180-day negotiation clock).</w:t>
      </w:r>
    </w:p>
    <w:p>
      <w:pPr>
        <w:pStyle w:val="Compact"/>
        <w:numPr>
          <w:ilvl w:val="0"/>
          <w:numId w:val="1003"/>
        </w:numPr>
      </w:pPr>
      <w:r>
        <w:rPr>
          <w:b/>
          <w:bCs/>
        </w:rPr>
        <w:t xml:space="preserve">Confirm operative Proposal version and License C fee schedule</w:t>
      </w:r>
      <w:r>
        <w:t xml:space="preserve"> </w:t>
      </w:r>
      <w:r>
        <w:t xml:space="preserve">(resolve the October 14, 2024 vs. January 15, 2025 discrepancy and the per-user-cap ambiguity).</w:t>
      </w:r>
    </w:p>
    <w:bookmarkEnd w:id="35"/>
    <w:bookmarkStart w:id="36" w:name="b.-license-a-counter-positions"/>
    <w:p>
      <w:pPr>
        <w:pStyle w:val="Heading3"/>
      </w:pPr>
      <w:r>
        <w:t xml:space="preserve">B. License A counter-positions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NovaTrait proposes</w:t>
            </w:r>
          </w:p>
        </w:tc>
        <w:tc>
          <w:tcPr/>
          <w:p>
            <w:pPr>
              <w:pStyle w:val="Compact"/>
              <w:jc w:val="left"/>
            </w:pPr>
            <w:r>
              <w:t xml:space="preserve">Greenfield counter</w:t>
            </w:r>
          </w:p>
        </w:tc>
      </w:tr>
      <w:tr>
        <w:tc>
          <w:tcPr/>
          <w:p>
            <w:pPr>
              <w:pStyle w:val="Compact"/>
              <w:jc w:val="left"/>
            </w:pPr>
            <w:r>
              <w:t xml:space="preserve">Royalty rate + Net Sales</w:t>
            </w:r>
          </w:p>
        </w:tc>
        <w:tc>
          <w:tcPr/>
          <w:p>
            <w:pPr>
              <w:pStyle w:val="Compact"/>
              <w:jc w:val="left"/>
            </w:pPr>
            <w:r>
              <w:t xml:space="preserve">6.25% on redefined Net Sales</w:t>
            </w:r>
          </w:p>
        </w:tc>
        <w:tc>
          <w:tcPr/>
          <w:p>
            <w:pPr>
              <w:pStyle w:val="Compact"/>
              <w:jc w:val="left"/>
            </w:pPr>
            <w:r>
              <w:rPr>
                <w:b/>
                <w:bCs/>
              </w:rPr>
              <w:t xml:space="preserve">5.0% on original Net Sales</w:t>
            </w:r>
            <w:r>
              <w:t xml:space="preserve"> </w:t>
            </w:r>
            <w:r>
              <w:t xml:space="preserve">(or 4.75% on redefined); require updated IFMV above 5.5%</w:t>
            </w:r>
          </w:p>
        </w:tc>
      </w:tr>
      <w:tr>
        <w:tc>
          <w:tcPr/>
          <w:p>
            <w:pPr>
              <w:pStyle w:val="Compact"/>
              <w:jc w:val="left"/>
            </w:pPr>
            <w:r>
              <w:t xml:space="preserve">Post-’117 step-down</w:t>
            </w:r>
          </w:p>
        </w:tc>
        <w:tc>
          <w:tcPr/>
          <w:p>
            <w:pPr>
              <w:pStyle w:val="Compact"/>
              <w:jc w:val="left"/>
            </w:pPr>
            <w:r>
              <w:t xml:space="preserve">Flat 6.25% through 2030</w:t>
            </w:r>
          </w:p>
        </w:tc>
        <w:tc>
          <w:tcPr/>
          <w:p>
            <w:pPr>
              <w:pStyle w:val="Compact"/>
              <w:jc w:val="left"/>
            </w:pPr>
            <w:r>
              <w:rPr>
                <w:b/>
                <w:bCs/>
              </w:rPr>
              <w:t xml:space="preserve">Step-down to 2.0%–3.5% effective March 12, 2028</w:t>
            </w:r>
            <w:r>
              <w:t xml:space="preserve"> </w:t>
            </w:r>
            <w:r>
              <w:t xml:space="preserve">(per Clarendon)</w:t>
            </w:r>
          </w:p>
        </w:tc>
      </w:tr>
      <w:tr>
        <w:tc>
          <w:tcPr/>
          <w:p>
            <w:pPr>
              <w:pStyle w:val="Compact"/>
              <w:jc w:val="left"/>
            </w:pPr>
            <w:r>
              <w:t xml:space="preserve">MAR</w:t>
            </w:r>
          </w:p>
        </w:tc>
        <w:tc>
          <w:tcPr/>
          <w:p>
            <w:pPr>
              <w:pStyle w:val="Compact"/>
              <w:jc w:val="left"/>
            </w:pPr>
            <w:r>
              <w:t xml:space="preserve">$8.0M</w:t>
            </w:r>
          </w:p>
        </w:tc>
        <w:tc>
          <w:tcPr/>
          <w:p>
            <w:pPr>
              <w:pStyle w:val="Compact"/>
              <w:jc w:val="left"/>
            </w:pPr>
            <w:r>
              <w:t xml:space="preserve">$6.0M (or tie to a step-down)</w:t>
            </w:r>
          </w:p>
        </w:tc>
      </w:tr>
      <w:tr>
        <w:tc>
          <w:tcPr/>
          <w:p>
            <w:pPr>
              <w:pStyle w:val="Compact"/>
              <w:jc w:val="left"/>
            </w:pPr>
            <w:r>
              <w:t xml:space="preserve">Insect resistance</w:t>
            </w:r>
          </w:p>
        </w:tc>
        <w:tc>
          <w:tcPr/>
          <w:p>
            <w:pPr>
              <w:pStyle w:val="Compact"/>
              <w:jc w:val="left"/>
            </w:pPr>
            <w:r>
              <w:t xml:space="preserve">Removed</w:t>
            </w:r>
          </w:p>
        </w:tc>
        <w:tc>
          <w:tcPr/>
          <w:p>
            <w:pPr>
              <w:pStyle w:val="Compact"/>
              <w:jc w:val="left"/>
            </w:pPr>
            <w:r>
              <w:rPr>
                <w:b/>
                <w:bCs/>
              </w:rPr>
              <w:t xml:space="preserve">Retain</w:t>
            </w:r>
            <w:r>
              <w:t xml:space="preserve">; if removed, 5-year sunset + paid-up license for existing products + price reduction</w:t>
            </w:r>
          </w:p>
        </w:tc>
      </w:tr>
      <w:tr>
        <w:tc>
          <w:tcPr/>
          <w:p>
            <w:pPr>
              <w:pStyle w:val="Compact"/>
              <w:jc w:val="left"/>
            </w:pPr>
            <w:r>
              <w:t xml:space="preserve">Wheat addition</w:t>
            </w:r>
          </w:p>
        </w:tc>
        <w:tc>
          <w:tcPr/>
          <w:p>
            <w:pPr>
              <w:pStyle w:val="Compact"/>
              <w:jc w:val="left"/>
            </w:pPr>
            <w:r>
              <w:t xml:space="preserve">Added with new diligence milestones</w:t>
            </w:r>
          </w:p>
        </w:tc>
        <w:tc>
          <w:tcPr/>
          <w:p>
            <w:pPr>
              <w:pStyle w:val="Compact"/>
              <w:jc w:val="left"/>
            </w:pPr>
            <w:r>
              <w:t xml:space="preserve">Accept only on proof of blocking claim scope; no diligence milestones unless a wheat program is committed</w:t>
            </w:r>
          </w:p>
        </w:tc>
      </w:tr>
      <w:tr>
        <w:tc>
          <w:tcPr/>
          <w:p>
            <w:pPr>
              <w:pStyle w:val="Compact"/>
              <w:jc w:val="left"/>
            </w:pPr>
            <w:r>
              <w:t xml:space="preserve">Improvements</w:t>
            </w:r>
          </w:p>
        </w:tc>
        <w:tc>
          <w:tcPr/>
          <w:p>
            <w:pPr>
              <w:pStyle w:val="Compact"/>
              <w:jc w:val="left"/>
            </w:pPr>
            <w:r>
              <w:t xml:space="preserve">Joint ownership; royalty-free grant-back</w:t>
            </w:r>
          </w:p>
        </w:tc>
        <w:tc>
          <w:tcPr/>
          <w:p>
            <w:pPr>
              <w:pStyle w:val="Compact"/>
              <w:jc w:val="left"/>
            </w:pPr>
            <w:r>
              <w:rPr>
                <w:b/>
                <w:bCs/>
              </w:rPr>
              <w:t xml:space="preserve">Retain Greenfield sole ownership</w:t>
            </w:r>
            <w:r>
              <w:t xml:space="preserve">; license back at commercial royalty, term-limited, in-Field only</w:t>
            </w:r>
          </w:p>
        </w:tc>
      </w:tr>
      <w:tr>
        <w:tc>
          <w:tcPr/>
          <w:p>
            <w:pPr>
              <w:pStyle w:val="Compact"/>
              <w:jc w:val="left"/>
            </w:pPr>
            <w:r>
              <w:t xml:space="preserve">Sublicense pass-through</w:t>
            </w:r>
          </w:p>
        </w:tc>
        <w:tc>
          <w:tcPr/>
          <w:p>
            <w:pPr>
              <w:pStyle w:val="Compact"/>
              <w:jc w:val="left"/>
            </w:pPr>
            <w:r>
              <w:t xml:space="preserve">50%</w:t>
            </w:r>
          </w:p>
        </w:tc>
        <w:tc>
          <w:tcPr/>
          <w:p>
            <w:pPr>
              <w:pStyle w:val="Compact"/>
              <w:jc w:val="left"/>
            </w:pPr>
            <w:r>
              <w:rPr>
                <w:b/>
                <w:bCs/>
              </w:rPr>
              <w:t xml:space="preserve">Retain 35%</w:t>
            </w:r>
            <w:r>
              <w:t xml:space="preserve"> </w:t>
            </w:r>
            <w:r>
              <w:t xml:space="preserve">(or 40% with volume discount)</w:t>
            </w:r>
          </w:p>
        </w:tc>
      </w:tr>
      <w:tr>
        <w:tc>
          <w:tcPr/>
          <w:p>
            <w:pPr>
              <w:pStyle w:val="Compact"/>
              <w:jc w:val="left"/>
            </w:pPr>
            <w:r>
              <w:t xml:space="preserve">Anti-stacking offset</w:t>
            </w:r>
          </w:p>
        </w:tc>
        <w:tc>
          <w:tcPr/>
          <w:p>
            <w:pPr>
              <w:pStyle w:val="Compact"/>
              <w:jc w:val="left"/>
            </w:pPr>
            <w:r>
              <w:t xml:space="preserve">25% quarterly cap, 4.75% floor</w:t>
            </w:r>
          </w:p>
        </w:tc>
        <w:tc>
          <w:tcPr/>
          <w:p>
            <w:pPr>
              <w:pStyle w:val="Compact"/>
              <w:jc w:val="left"/>
            </w:pPr>
            <w:r>
              <w:t xml:space="preserve">Accept; modify floor to 75% of</w:t>
            </w:r>
            <w:r>
              <w:t xml:space="preserve"> </w:t>
            </w:r>
            <w:r>
              <w:rPr>
                <w:i/>
                <w:iCs/>
              </w:rPr>
              <w:t xml:space="preserve">calculated</w:t>
            </w:r>
            <w:r>
              <w:t xml:space="preserve"> </w:t>
            </w:r>
            <w:r>
              <w:t xml:space="preserve">royalty</w:t>
            </w:r>
          </w:p>
        </w:tc>
      </w:tr>
      <w:tr>
        <w:tc>
          <w:tcPr/>
          <w:p>
            <w:pPr>
              <w:pStyle w:val="Compact"/>
              <w:jc w:val="left"/>
            </w:pPr>
            <w:r>
              <w:t xml:space="preserve">Patent schedule (Appendix A)</w:t>
            </w:r>
          </w:p>
        </w:tc>
        <w:tc>
          <w:tcPr/>
          <w:p>
            <w:pPr>
              <w:pStyle w:val="Compact"/>
              <w:jc w:val="left"/>
            </w:pPr>
            <w:r>
              <w:t xml:space="preserve">Shortened expiration dates</w:t>
            </w:r>
          </w:p>
        </w:tc>
        <w:tc>
          <w:tcPr/>
          <w:p>
            <w:pPr>
              <w:pStyle w:val="Compact"/>
              <w:jc w:val="left"/>
            </w:pPr>
            <w:r>
              <w:rPr>
                <w:b/>
                <w:bCs/>
              </w:rPr>
              <w:t xml:space="preserve">Verify against USPTO</w:t>
            </w:r>
            <w:r>
              <w:t xml:space="preserve">; do not accept shortened dates</w:t>
            </w:r>
          </w:p>
        </w:tc>
      </w:tr>
      <w:tr>
        <w:tc>
          <w:tcPr/>
          <w:p>
            <w:pPr>
              <w:pStyle w:val="Compact"/>
              <w:jc w:val="left"/>
            </w:pPr>
            <w:r>
              <w:t xml:space="preserve">MFL</w:t>
            </w:r>
          </w:p>
        </w:tc>
        <w:tc>
          <w:tcPr/>
          <w:p>
            <w:pPr>
              <w:pStyle w:val="Compact"/>
              <w:jc w:val="left"/>
            </w:pPr>
            <w:r>
              <w:t xml:space="preserve">“</w:t>
            </w:r>
            <w:r>
              <w:t xml:space="preserve">Maintain existing §14.5</w:t>
            </w:r>
            <w:r>
              <w:t xml:space="preserve">”</w:t>
            </w:r>
          </w:p>
        </w:tc>
        <w:tc>
          <w:tcPr/>
          <w:p>
            <w:pPr>
              <w:pStyle w:val="Compact"/>
              <w:jc w:val="left"/>
            </w:pPr>
            <w:r>
              <w:t xml:space="preserve">Clarify no existing MFL; if added, robust in-field MFL</w:t>
            </w:r>
          </w:p>
        </w:tc>
      </w:tr>
    </w:tbl>
    <w:bookmarkEnd w:id="36"/>
    <w:bookmarkStart w:id="37" w:name="c.-license-b-counter-positions"/>
    <w:p>
      <w:pPr>
        <w:pStyle w:val="Heading3"/>
      </w:pPr>
      <w:r>
        <w:t xml:space="preserve">C. License B counter-positions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NovaTrait proposes</w:t>
            </w:r>
          </w:p>
        </w:tc>
        <w:tc>
          <w:tcPr/>
          <w:p>
            <w:pPr>
              <w:pStyle w:val="Compact"/>
              <w:jc w:val="left"/>
            </w:pPr>
            <w:r>
              <w:t xml:space="preserve">Greenfield counter</w:t>
            </w:r>
          </w:p>
        </w:tc>
      </w:tr>
      <w:tr>
        <w:tc>
          <w:tcPr/>
          <w:p>
            <w:pPr>
              <w:pStyle w:val="Compact"/>
              <w:jc w:val="left"/>
            </w:pPr>
            <w:r>
              <w:t xml:space="preserve">Royalty rate + Net Sales</w:t>
            </w:r>
          </w:p>
        </w:tc>
        <w:tc>
          <w:tcPr/>
          <w:p>
            <w:pPr>
              <w:pStyle w:val="Compact"/>
              <w:jc w:val="left"/>
            </w:pPr>
            <w:r>
              <w:t xml:space="preserve">5.0% on redefined Net Sales</w:t>
            </w:r>
          </w:p>
        </w:tc>
        <w:tc>
          <w:tcPr/>
          <w:p>
            <w:pPr>
              <w:pStyle w:val="Compact"/>
              <w:jc w:val="left"/>
            </w:pPr>
            <w:r>
              <w:rPr>
                <w:b/>
                <w:bCs/>
              </w:rPr>
              <w:t xml:space="preserve">4.25% on original Net Sales</w:t>
            </w:r>
            <w:r>
              <w:t xml:space="preserve"> </w:t>
            </w:r>
            <w:r>
              <w:t xml:space="preserve">(within 3.0%–4.5% market)</w:t>
            </w:r>
          </w:p>
        </w:tc>
      </w:tr>
      <w:tr>
        <w:tc>
          <w:tcPr/>
          <w:p>
            <w:pPr>
              <w:pStyle w:val="Compact"/>
              <w:jc w:val="left"/>
            </w:pPr>
            <w:r>
              <w:t xml:space="preserve">MAR</w:t>
            </w:r>
          </w:p>
        </w:tc>
        <w:tc>
          <w:tcPr/>
          <w:p>
            <w:pPr>
              <w:pStyle w:val="Compact"/>
              <w:jc w:val="left"/>
            </w:pPr>
            <w:r>
              <w:t xml:space="preserve">$5.0M</w:t>
            </w:r>
          </w:p>
        </w:tc>
        <w:tc>
          <w:tcPr/>
          <w:p>
            <w:pPr>
              <w:pStyle w:val="Compact"/>
              <w:jc w:val="left"/>
            </w:pPr>
            <w:r>
              <w:t xml:space="preserve">$3.5M</w:t>
            </w:r>
          </w:p>
        </w:tc>
      </w:tr>
      <w:tr>
        <w:tc>
          <w:tcPr/>
          <w:p>
            <w:pPr>
              <w:pStyle w:val="Compact"/>
              <w:jc w:val="left"/>
            </w:pPr>
            <w:r>
              <w:t xml:space="preserve">Term</w:t>
            </w:r>
          </w:p>
        </w:tc>
        <w:tc>
          <w:tcPr/>
          <w:p>
            <w:pPr>
              <w:pStyle w:val="Compact"/>
              <w:jc w:val="left"/>
            </w:pPr>
            <w:r>
              <w:t xml:space="preserve">5 years (to 12/31/2029)</w:t>
            </w:r>
          </w:p>
        </w:tc>
        <w:tc>
          <w:tcPr/>
          <w:p>
            <w:pPr>
              <w:pStyle w:val="Compact"/>
              <w:jc w:val="left"/>
            </w:pPr>
            <w:r>
              <w:rPr>
                <w:b/>
                <w:bCs/>
              </w:rPr>
              <w:t xml:space="preserve">7–10 years</w:t>
            </w:r>
            <w:r>
              <w:t xml:space="preserve"> </w:t>
            </w:r>
            <w:r>
              <w:t xml:space="preserve">to lock in rate (per Clarendon, given irreplaceability)</w:t>
            </w:r>
          </w:p>
        </w:tc>
      </w:tr>
      <w:tr>
        <w:tc>
          <w:tcPr/>
          <w:p>
            <w:pPr>
              <w:pStyle w:val="Compact"/>
              <w:jc w:val="left"/>
            </w:pPr>
            <w:r>
              <w:t xml:space="preserve">Biological materials return</w:t>
            </w:r>
          </w:p>
        </w:tc>
        <w:tc>
          <w:tcPr/>
          <w:p>
            <w:pPr>
              <w:pStyle w:val="Compact"/>
              <w:jc w:val="left"/>
            </w:pPr>
            <w:r>
              <w:t xml:space="preserve">30 days, no wind-down</w:t>
            </w:r>
          </w:p>
        </w:tc>
        <w:tc>
          <w:tcPr/>
          <w:p>
            <w:pPr>
              <w:pStyle w:val="Compact"/>
              <w:jc w:val="left"/>
            </w:pPr>
            <w:r>
              <w:rPr>
                <w:b/>
                <w:bCs/>
              </w:rPr>
              <w:t xml:space="preserve">180-day wind-down</w:t>
            </w:r>
            <w:r>
              <w:t xml:space="preserve"> </w:t>
            </w:r>
            <w:r>
              <w:t xml:space="preserve">with continued use for in-process trials</w:t>
            </w:r>
          </w:p>
        </w:tc>
      </w:tr>
      <w:tr>
        <w:tc>
          <w:tcPr/>
          <w:p>
            <w:pPr>
              <w:pStyle w:val="Compact"/>
              <w:jc w:val="left"/>
            </w:pPr>
            <w:r>
              <w:t xml:space="preserve">Audit rights</w:t>
            </w:r>
          </w:p>
        </w:tc>
        <w:tc>
          <w:tcPr/>
          <w:p>
            <w:pPr>
              <w:pStyle w:val="Compact"/>
              <w:jc w:val="left"/>
            </w:pPr>
            <w:r>
              <w:t xml:space="preserve">2×/year, 15 business days, 5-year look-back</w:t>
            </w:r>
          </w:p>
        </w:tc>
        <w:tc>
          <w:tcPr/>
          <w:p>
            <w:pPr>
              <w:pStyle w:val="Compact"/>
              <w:jc w:val="left"/>
            </w:pPr>
            <w:r>
              <w:rPr>
                <w:b/>
                <w:bCs/>
              </w:rPr>
              <w:t xml:space="preserve">1×/year, 20 business days, 3-year look-back</w:t>
            </w:r>
          </w:p>
        </w:tc>
      </w:tr>
      <w:tr>
        <w:tc>
          <w:tcPr/>
          <w:p>
            <w:pPr>
              <w:pStyle w:val="Compact"/>
              <w:jc w:val="left"/>
            </w:pPr>
            <w:r>
              <w:t xml:space="preserve">Improvements</w:t>
            </w:r>
          </w:p>
        </w:tc>
        <w:tc>
          <w:tcPr/>
          <w:p>
            <w:pPr>
              <w:pStyle w:val="Compact"/>
              <w:jc w:val="left"/>
            </w:pPr>
            <w:r>
              <w:t xml:space="preserve">Joint ownership; royalty-free grant-back</w:t>
            </w:r>
          </w:p>
        </w:tc>
        <w:tc>
          <w:tcPr/>
          <w:p>
            <w:pPr>
              <w:pStyle w:val="Compact"/>
              <w:jc w:val="left"/>
            </w:pPr>
            <w:r>
              <w:rPr>
                <w:b/>
                <w:bCs/>
              </w:rPr>
              <w:t xml:space="preserve">Retain Greenfield sole ownership</w:t>
            </w:r>
          </w:p>
        </w:tc>
      </w:tr>
      <w:tr>
        <w:tc>
          <w:tcPr/>
          <w:p>
            <w:pPr>
              <w:pStyle w:val="Compact"/>
              <w:jc w:val="left"/>
            </w:pPr>
            <w:r>
              <w:t xml:space="preserve">Prairielands pass-through</w:t>
            </w:r>
          </w:p>
        </w:tc>
        <w:tc>
          <w:tcPr/>
          <w:p>
            <w:pPr>
              <w:pStyle w:val="Compact"/>
              <w:jc w:val="left"/>
            </w:pPr>
            <w:r>
              <w:t xml:space="preserve">Silent (40% anticipated)</w:t>
            </w:r>
          </w:p>
        </w:tc>
        <w:tc>
          <w:tcPr/>
          <w:p>
            <w:pPr>
              <w:pStyle w:val="Compact"/>
              <w:jc w:val="left"/>
            </w:pPr>
            <w:r>
              <w:rPr>
                <w:b/>
                <w:bCs/>
              </w:rPr>
              <w:t xml:space="preserve">No pass-through</w:t>
            </w:r>
            <w:r>
              <w:t xml:space="preserve"> </w:t>
            </w:r>
            <w:r>
              <w:t xml:space="preserve">(per documented history); if unavoidable, 20% with 12-month phase-in, creditable against running royalties</w:t>
            </w:r>
          </w:p>
        </w:tc>
      </w:tr>
    </w:tbl>
    <w:bookmarkEnd w:id="37"/>
    <w:bookmarkStart w:id="38" w:name="d.-license-c-counter-positions"/>
    <w:p>
      <w:pPr>
        <w:pStyle w:val="Heading3"/>
      </w:pPr>
      <w:r>
        <w:t xml:space="preserve">D. License C counter-positions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NovaTrait proposes</w:t>
            </w:r>
          </w:p>
        </w:tc>
        <w:tc>
          <w:tcPr/>
          <w:p>
            <w:pPr>
              <w:pStyle w:val="Compact"/>
              <w:jc w:val="left"/>
            </w:pPr>
            <w:r>
              <w:t xml:space="preserve">Greenfield counter</w:t>
            </w:r>
          </w:p>
        </w:tc>
      </w:tr>
      <w:tr>
        <w:tc>
          <w:tcPr/>
          <w:p>
            <w:pPr>
              <w:pStyle w:val="Compact"/>
              <w:jc w:val="left"/>
            </w:pPr>
            <w:r>
              <w:t xml:space="preserve">Annual fee</w:t>
            </w:r>
          </w:p>
        </w:tc>
        <w:tc>
          <w:tcPr/>
          <w:p>
            <w:pPr>
              <w:pStyle w:val="Compact"/>
              <w:jc w:val="left"/>
            </w:pPr>
            <w:r>
              <w:t xml:space="preserve">~$5.28M effective</w:t>
            </w:r>
          </w:p>
        </w:tc>
        <w:tc>
          <w:tcPr/>
          <w:p>
            <w:pPr>
              <w:pStyle w:val="Compact"/>
              <w:jc w:val="left"/>
            </w:pPr>
            <w:r>
              <w:rPr>
                <w:b/>
                <w:bCs/>
              </w:rPr>
              <w:t xml:space="preserve">$3.75M</w:t>
            </w:r>
            <w:r>
              <w:t xml:space="preserve"> </w:t>
            </w:r>
            <w:r>
              <w:t xml:space="preserve">with 80-user cap (or no cap); overage at $12,000/user</w:t>
            </w:r>
          </w:p>
        </w:tc>
      </w:tr>
      <w:tr>
        <w:tc>
          <w:tcPr/>
          <w:p>
            <w:pPr>
              <w:pStyle w:val="Compact"/>
              <w:jc w:val="left"/>
            </w:pPr>
            <w:r>
              <w:t xml:space="preserve">Source-code access</w:t>
            </w:r>
          </w:p>
        </w:tc>
        <w:tc>
          <w:tcPr/>
          <w:p>
            <w:pPr>
              <w:pStyle w:val="Compact"/>
              <w:jc w:val="left"/>
            </w:pPr>
            <w:r>
              <w:t xml:space="preserve">Eliminated (object code only)</w:t>
            </w:r>
          </w:p>
        </w:tc>
        <w:tc>
          <w:tcPr/>
          <w:p>
            <w:pPr>
              <w:pStyle w:val="Compact"/>
              <w:jc w:val="left"/>
            </w:pPr>
            <w:r>
              <w:rPr>
                <w:b/>
                <w:bCs/>
              </w:rPr>
              <w:t xml:space="preserve">Retain source-code access</w:t>
            </w:r>
            <w:r>
              <w:t xml:space="preserve"> </w:t>
            </w:r>
            <w:r>
              <w:t xml:space="preserve">(with existing §10.3 security)</w:t>
            </w:r>
          </w:p>
        </w:tc>
      </w:tr>
      <w:tr>
        <w:tc>
          <w:tcPr/>
          <w:p>
            <w:pPr>
              <w:pStyle w:val="Compact"/>
              <w:jc w:val="left"/>
            </w:pPr>
            <w:r>
              <w:t xml:space="preserve">Derivative Data ownership</w:t>
            </w:r>
          </w:p>
        </w:tc>
        <w:tc>
          <w:tcPr/>
          <w:p>
            <w:pPr>
              <w:pStyle w:val="Compact"/>
              <w:jc w:val="left"/>
            </w:pPr>
            <w:r>
              <w:t xml:space="preserve">NovaTrait owns; Greenfield license ends at term</w:t>
            </w:r>
          </w:p>
        </w:tc>
        <w:tc>
          <w:tcPr/>
          <w:p>
            <w:pPr>
              <w:pStyle w:val="Compact"/>
              <w:jc w:val="left"/>
            </w:pPr>
            <w:r>
              <w:rPr>
                <w:b/>
                <w:bCs/>
              </w:rPr>
              <w:t xml:space="preserve">Greenfield owns all output/derived data</w:t>
            </w:r>
            <w:r>
              <w:t xml:space="preserve">; at most, limited anonymized license to NovaTrait for software improvement</w:t>
            </w:r>
          </w:p>
        </w:tc>
      </w:tr>
      <w:tr>
        <w:tc>
          <w:tcPr/>
          <w:p>
            <w:pPr>
              <w:pStyle w:val="Compact"/>
              <w:jc w:val="left"/>
            </w:pPr>
            <w:r>
              <w:t xml:space="preserve">Version 5.x conversion tool</w:t>
            </w:r>
          </w:p>
        </w:tc>
        <w:tc>
          <w:tcPr/>
          <w:p>
            <w:pPr>
              <w:pStyle w:val="Compact"/>
              <w:jc w:val="left"/>
            </w:pPr>
            <w:r>
              <w:t xml:space="preserve">$175K one-time</w:t>
            </w:r>
          </w:p>
        </w:tc>
        <w:tc>
          <w:tcPr/>
          <w:p>
            <w:pPr>
              <w:pStyle w:val="Compact"/>
              <w:jc w:val="left"/>
            </w:pPr>
            <w:r>
              <w:rPr>
                <w:b/>
                <w:bCs/>
              </w:rPr>
              <w:t xml:space="preserve">Included at no cost</w:t>
            </w:r>
          </w:p>
        </w:tc>
      </w:tr>
      <w:tr>
        <w:tc>
          <w:tcPr/>
          <w:p>
            <w:pPr>
              <w:pStyle w:val="Compact"/>
              <w:jc w:val="left"/>
            </w:pPr>
            <w:r>
              <w:t xml:space="preserve">Existing Licensee Modifications</w:t>
            </w:r>
          </w:p>
        </w:tc>
        <w:tc>
          <w:tcPr/>
          <w:p>
            <w:pPr>
              <w:pStyle w:val="Compact"/>
              <w:jc w:val="left"/>
            </w:pPr>
            <w:r>
              <w:t xml:space="preserve">Joint ownership or sale to NovaTrait</w:t>
            </w:r>
          </w:p>
        </w:tc>
        <w:tc>
          <w:tcPr/>
          <w:p>
            <w:pPr>
              <w:pStyle w:val="Compact"/>
              <w:jc w:val="left"/>
            </w:pPr>
            <w:r>
              <w:rPr>
                <w:b/>
                <w:bCs/>
              </w:rPr>
              <w:t xml:space="preserve">Greenfield retains ownership</w:t>
            </w:r>
          </w:p>
        </w:tc>
      </w:tr>
      <w:tr>
        <w:tc>
          <w:tcPr/>
          <w:p>
            <w:pPr>
              <w:pStyle w:val="Compact"/>
              <w:jc w:val="left"/>
            </w:pPr>
            <w:r>
              <w:t xml:space="preserve">Term</w:t>
            </w:r>
          </w:p>
        </w:tc>
        <w:tc>
          <w:tcPr/>
          <w:p>
            <w:pPr>
              <w:pStyle w:val="Compact"/>
              <w:jc w:val="left"/>
            </w:pPr>
            <w:r>
              <w:t xml:space="preserve">3 years</w:t>
            </w:r>
          </w:p>
        </w:tc>
        <w:tc>
          <w:tcPr/>
          <w:p>
            <w:pPr>
              <w:pStyle w:val="Compact"/>
              <w:jc w:val="left"/>
            </w:pPr>
            <w:r>
              <w:t xml:space="preserve">3–5 years; begin alternative evaluation by mid-2027</w:t>
            </w:r>
          </w:p>
        </w:tc>
      </w:tr>
      <w:tr>
        <w:tc>
          <w:tcPr/>
          <w:p>
            <w:pPr>
              <w:pStyle w:val="Compact"/>
              <w:jc w:val="left"/>
            </w:pPr>
            <w:r>
              <w:t xml:space="preserve">Leverage</w:t>
            </w:r>
          </w:p>
        </w:tc>
        <w:tc>
          <w:tcPr/>
          <w:p>
            <w:pPr>
              <w:pStyle w:val="Compact"/>
              <w:jc w:val="left"/>
            </w:pPr>
            <w:r>
              <w:t xml:space="preserve">—</w:t>
            </w:r>
          </w:p>
        </w:tc>
        <w:tc>
          <w:tcPr/>
          <w:p>
            <w:pPr>
              <w:pStyle w:val="Compact"/>
              <w:jc w:val="left"/>
            </w:pPr>
            <w:r>
              <w:rPr>
                <w:b/>
                <w:bCs/>
              </w:rPr>
              <w:t xml:space="preserve">Run competitive RFP</w:t>
            </w:r>
            <w:r>
              <w:t xml:space="preserve"> </w:t>
            </w:r>
            <w:r>
              <w:t xml:space="preserve">with BioSphere Analytics, PlantLogic Suite, TraitView Pro</w:t>
            </w:r>
          </w:p>
        </w:tc>
      </w:tr>
    </w:tbl>
    <w:bookmarkEnd w:id="38"/>
    <w:bookmarkStart w:id="39" w:name="e.-prairielands"/>
    <w:p>
      <w:pPr>
        <w:pStyle w:val="Heading3"/>
      </w:pPr>
      <w:r>
        <w:t xml:space="preserve">E. Prairielands</w:t>
      </w:r>
    </w:p>
    <w:p>
      <w:pPr>
        <w:pStyle w:val="Compact"/>
        <w:numPr>
          <w:ilvl w:val="0"/>
          <w:numId w:val="1004"/>
        </w:numPr>
      </w:pPr>
      <w:r>
        <w:t xml:space="preserve">Confirm in writing that the License B standstill preserves the Prairielands sublicense.</w:t>
      </w:r>
    </w:p>
    <w:p>
      <w:pPr>
        <w:pStyle w:val="Compact"/>
        <w:numPr>
          <w:ilvl w:val="0"/>
          <w:numId w:val="1004"/>
        </w:numPr>
      </w:pPr>
      <w:r>
        <w:t xml:space="preserve">Renew the Prairielands sublicense in parallel with License B; limit any pass-through per Issue B-6.</w:t>
      </w:r>
    </w:p>
    <w:p>
      <w:pPr>
        <w:pStyle w:val="Compact"/>
        <w:numPr>
          <w:ilvl w:val="0"/>
          <w:numId w:val="1004"/>
        </w:numPr>
      </w:pPr>
      <w:r>
        <w:t xml:space="preserve">Align wind-down periods (recommend 180 days) across License B and the sublicense.</w:t>
      </w:r>
    </w:p>
    <w:p>
      <w:r>
        <w:pict>
          <v:rect style="width:0;height:1.5pt" o:hralign="center" o:hrstd="t" o:hr="t"/>
        </w:pict>
      </w:r>
    </w:p>
    <w:bookmarkEnd w:id="39"/>
    <w:bookmarkEnd w:id="40"/>
    <w:bookmarkStart w:id="41" w:name="xi.-action-items-and-timeline"/>
    <w:p>
      <w:pPr>
        <w:pStyle w:val="Heading2"/>
      </w:pPr>
      <w:r>
        <w:t xml:space="preserve">XI. Action Items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Immediately</w:t>
            </w:r>
          </w:p>
        </w:tc>
        <w:tc>
          <w:tcPr/>
          <w:p>
            <w:pPr>
              <w:pStyle w:val="Compact"/>
              <w:jc w:val="left"/>
            </w:pPr>
            <w:r>
              <w:t xml:space="preserve">Confirm operative Proposal version and License C fee schedule with NovaTrait in writing</w:t>
            </w:r>
          </w:p>
        </w:tc>
        <w:tc>
          <w:tcPr/>
          <w:p>
            <w:pPr>
              <w:pStyle w:val="Compact"/>
              <w:jc w:val="left"/>
            </w:pPr>
            <w:r>
              <w:t xml:space="preserve">GC / outside counsel</w:t>
            </w:r>
          </w:p>
        </w:tc>
      </w:tr>
      <w:tr>
        <w:tc>
          <w:tcPr/>
          <w:p>
            <w:pPr>
              <w:pStyle w:val="Compact"/>
              <w:jc w:val="left"/>
            </w:pPr>
            <w:r>
              <w:rPr>
                <w:b/>
                <w:bCs/>
              </w:rPr>
              <w:t xml:space="preserve">Immediately</w:t>
            </w:r>
          </w:p>
        </w:tc>
        <w:tc>
          <w:tcPr/>
          <w:p>
            <w:pPr>
              <w:pStyle w:val="Compact"/>
              <w:jc w:val="left"/>
            </w:pPr>
            <w:r>
              <w:t xml:space="preserve">Confirm License B renewal notice was sent by Sept. 30, 2024 (deadline passed); document good-faith negotiation status to preserve standstill</w:t>
            </w:r>
          </w:p>
        </w:tc>
        <w:tc>
          <w:tcPr/>
          <w:p>
            <w:pPr>
              <w:pStyle w:val="Compact"/>
              <w:jc w:val="left"/>
            </w:pPr>
            <w:r>
              <w:t xml:space="preserve">GC</w:t>
            </w:r>
          </w:p>
        </w:tc>
      </w:tr>
      <w:tr>
        <w:tc>
          <w:tcPr/>
          <w:p>
            <w:pPr>
              <w:pStyle w:val="Compact"/>
              <w:jc w:val="left"/>
            </w:pPr>
            <w:r>
              <w:rPr>
                <w:b/>
                <w:bCs/>
              </w:rPr>
              <w:t xml:space="preserve">Immediately</w:t>
            </w:r>
          </w:p>
        </w:tc>
        <w:tc>
          <w:tcPr/>
          <w:p>
            <w:pPr>
              <w:pStyle w:val="Compact"/>
              <w:jc w:val="left"/>
            </w:pPr>
            <w:r>
              <w:t xml:space="preserve">Notify Prairielands of License B standstill status; confirm sublicense preserved</w:t>
            </w:r>
          </w:p>
        </w:tc>
        <w:tc>
          <w:tcPr/>
          <w:p>
            <w:pPr>
              <w:pStyle w:val="Compact"/>
              <w:jc w:val="left"/>
            </w:pPr>
            <w:r>
              <w:t xml:space="preserve">BD / GC</w:t>
            </w:r>
          </w:p>
        </w:tc>
      </w:tr>
      <w:tr>
        <w:tc>
          <w:tcPr/>
          <w:p>
            <w:pPr>
              <w:pStyle w:val="Compact"/>
              <w:jc w:val="left"/>
            </w:pPr>
            <w:r>
              <w:rPr>
                <w:b/>
                <w:bCs/>
              </w:rPr>
              <w:t xml:space="preserve">By ~Feb. 28, 2025</w:t>
            </w:r>
          </w:p>
        </w:tc>
        <w:tc>
          <w:tcPr/>
          <w:p>
            <w:pPr>
              <w:pStyle w:val="Compact"/>
              <w:jc w:val="left"/>
            </w:pPr>
            <w:r>
              <w:t xml:space="preserve">Secure License C interim/holdover access (Version 4.x + source) pending renewal</w:t>
            </w:r>
          </w:p>
        </w:tc>
        <w:tc>
          <w:tcPr/>
          <w:p>
            <w:pPr>
              <w:pStyle w:val="Compact"/>
              <w:jc w:val="left"/>
            </w:pPr>
            <w:r>
              <w:t xml:space="preserve">GC / outside counsel</w:t>
            </w:r>
          </w:p>
        </w:tc>
      </w:tr>
      <w:tr>
        <w:tc>
          <w:tcPr/>
          <w:p>
            <w:pPr>
              <w:pStyle w:val="Compact"/>
              <w:jc w:val="left"/>
            </w:pPr>
            <w:r>
              <w:rPr>
                <w:b/>
                <w:bCs/>
              </w:rPr>
              <w:t xml:space="preserve">By March 31, 2025</w:t>
            </w:r>
          </w:p>
        </w:tc>
        <w:tc>
          <w:tcPr/>
          <w:p>
            <w:pPr>
              <w:pStyle w:val="Compact"/>
              <w:jc w:val="left"/>
            </w:pPr>
            <w:r>
              <w:t xml:space="preserve">Deliver License A renewal notice (§14.2)</w:t>
            </w:r>
          </w:p>
        </w:tc>
        <w:tc>
          <w:tcPr/>
          <w:p>
            <w:pPr>
              <w:pStyle w:val="Compact"/>
              <w:jc w:val="left"/>
            </w:pPr>
            <w:r>
              <w:t xml:space="preserve">GC</w:t>
            </w:r>
          </w:p>
        </w:tc>
      </w:tr>
      <w:tr>
        <w:tc>
          <w:tcPr/>
          <w:p>
            <w:pPr>
              <w:pStyle w:val="Compact"/>
              <w:jc w:val="left"/>
            </w:pPr>
            <w:r>
              <w:rPr>
                <w:b/>
                <w:bCs/>
              </w:rPr>
              <w:t xml:space="preserve">By ~April 15, 2025</w:t>
            </w:r>
          </w:p>
        </w:tc>
        <w:tc>
          <w:tcPr/>
          <w:p>
            <w:pPr>
              <w:pStyle w:val="Compact"/>
              <w:jc w:val="left"/>
            </w:pPr>
            <w:r>
              <w:t xml:space="preserve">Transmit comprehensive counter-proposal (all three licenses)</w:t>
            </w:r>
          </w:p>
        </w:tc>
        <w:tc>
          <w:tcPr/>
          <w:p>
            <w:pPr>
              <w:pStyle w:val="Compact"/>
              <w:jc w:val="left"/>
            </w:pPr>
            <w:r>
              <w:t xml:space="preserve">Outside counsel + advisors</w:t>
            </w:r>
          </w:p>
        </w:tc>
      </w:tr>
      <w:tr>
        <w:tc>
          <w:tcPr/>
          <w:p>
            <w:pPr>
              <w:pStyle w:val="Compact"/>
              <w:jc w:val="left"/>
            </w:pPr>
            <w:r>
              <w:rPr>
                <w:b/>
                <w:bCs/>
              </w:rPr>
              <w:t xml:space="preserve">Before June 29, 2025</w:t>
            </w:r>
          </w:p>
        </w:tc>
        <w:tc>
          <w:tcPr/>
          <w:p>
            <w:pPr>
              <w:pStyle w:val="Compact"/>
              <w:jc w:val="left"/>
            </w:pPr>
            <w:r>
              <w:rPr>
                <w:b/>
                <w:bCs/>
              </w:rPr>
              <w:t xml:space="preserve">Execute License B renewal or bilateral standstill extension to Dec. 31, 2025</w:t>
            </w:r>
            <w:r>
              <w:t xml:space="preserve"> </w:t>
            </w:r>
            <w:r>
              <w:t xml:space="preserve">(CRITICAL — else License B + Prairielands terminate)</w:t>
            </w:r>
          </w:p>
        </w:tc>
        <w:tc>
          <w:tcPr/>
          <w:p>
            <w:pPr>
              <w:pStyle w:val="Compact"/>
              <w:jc w:val="left"/>
            </w:pPr>
            <w:r>
              <w:t xml:space="preserve">GC / CEO</w:t>
            </w:r>
          </w:p>
        </w:tc>
      </w:tr>
      <w:tr>
        <w:tc>
          <w:tcPr/>
          <w:p>
            <w:pPr>
              <w:pStyle w:val="Compact"/>
              <w:jc w:val="left"/>
            </w:pPr>
            <w:r>
              <w:rPr>
                <w:b/>
                <w:bCs/>
              </w:rPr>
              <w:t xml:space="preserve">Before June 30, 2025</w:t>
            </w:r>
          </w:p>
        </w:tc>
        <w:tc>
          <w:tcPr/>
          <w:p>
            <w:pPr>
              <w:pStyle w:val="Compact"/>
              <w:jc w:val="left"/>
            </w:pPr>
            <w:r>
              <w:t xml:space="preserve">Execute License A renewal (or interim extension)</w:t>
            </w:r>
          </w:p>
        </w:tc>
        <w:tc>
          <w:tcPr/>
          <w:p>
            <w:pPr>
              <w:pStyle w:val="Compact"/>
              <w:jc w:val="left"/>
            </w:pPr>
            <w:r>
              <w:t xml:space="preserve">GC / CEO</w:t>
            </w:r>
          </w:p>
        </w:tc>
      </w:tr>
      <w:tr>
        <w:tc>
          <w:tcPr/>
          <w:p>
            <w:pPr>
              <w:pStyle w:val="Compact"/>
              <w:jc w:val="left"/>
            </w:pPr>
            <w:r>
              <w:rPr>
                <w:b/>
                <w:bCs/>
              </w:rPr>
              <w:t xml:space="preserve">Before June 30, 2025</w:t>
            </w:r>
          </w:p>
        </w:tc>
        <w:tc>
          <w:tcPr/>
          <w:p>
            <w:pPr>
              <w:pStyle w:val="Compact"/>
              <w:jc w:val="left"/>
            </w:pPr>
            <w:r>
              <w:t xml:space="preserve">Execute License C renewal (or holdover)</w:t>
            </w:r>
          </w:p>
        </w:tc>
        <w:tc>
          <w:tcPr/>
          <w:p>
            <w:pPr>
              <w:pStyle w:val="Compact"/>
              <w:jc w:val="left"/>
            </w:pPr>
            <w:r>
              <w:t xml:space="preserve">GC / CTO</w:t>
            </w:r>
          </w:p>
        </w:tc>
      </w:tr>
      <w:tr>
        <w:tc>
          <w:tcPr/>
          <w:p>
            <w:pPr>
              <w:pStyle w:val="Compact"/>
              <w:jc w:val="left"/>
            </w:pPr>
            <w:r>
              <w:rPr>
                <w:b/>
                <w:bCs/>
              </w:rPr>
              <w:t xml:space="preserve">Before negotiations conclude</w:t>
            </w:r>
          </w:p>
        </w:tc>
        <w:tc>
          <w:tcPr/>
          <w:p>
            <w:pPr>
              <w:pStyle w:val="Compact"/>
              <w:jc w:val="left"/>
            </w:pPr>
            <w:r>
              <w:t xml:space="preserve">Commission updated patent landscape / FTO analysis (Clarendon or equivalent)</w:t>
            </w:r>
          </w:p>
        </w:tc>
        <w:tc>
          <w:tcPr/>
          <w:p>
            <w:pPr>
              <w:pStyle w:val="Compact"/>
              <w:jc w:val="left"/>
            </w:pPr>
            <w:r>
              <w:t xml:space="preserve">GC / outside counsel</w:t>
            </w:r>
          </w:p>
        </w:tc>
      </w:tr>
      <w:tr>
        <w:tc>
          <w:tcPr/>
          <w:p>
            <w:pPr>
              <w:pStyle w:val="Compact"/>
              <w:jc w:val="left"/>
            </w:pPr>
            <w:r>
              <w:rPr>
                <w:b/>
                <w:bCs/>
              </w:rPr>
              <w:t xml:space="preserve">Before negotiations conclude</w:t>
            </w:r>
          </w:p>
        </w:tc>
        <w:tc>
          <w:tcPr/>
          <w:p>
            <w:pPr>
              <w:pStyle w:val="Compact"/>
              <w:jc w:val="left"/>
            </w:pPr>
            <w:r>
              <w:t xml:space="preserve">Verify License A patent expiration dates against USPTO records</w:t>
            </w:r>
          </w:p>
        </w:tc>
        <w:tc>
          <w:tcPr/>
          <w:p>
            <w:pPr>
              <w:pStyle w:val="Compact"/>
              <w:jc w:val="left"/>
            </w:pPr>
            <w:r>
              <w:t xml:space="preserve">Outside counsel</w:t>
            </w:r>
          </w:p>
        </w:tc>
      </w:tr>
      <w:tr>
        <w:tc>
          <w:tcPr/>
          <w:p>
            <w:pPr>
              <w:pStyle w:val="Compact"/>
              <w:jc w:val="left"/>
            </w:pPr>
            <w:r>
              <w:rPr>
                <w:b/>
                <w:bCs/>
              </w:rPr>
              <w:t xml:space="preserve">Q2 2025</w:t>
            </w:r>
          </w:p>
        </w:tc>
        <w:tc>
          <w:tcPr/>
          <w:p>
            <w:pPr>
              <w:pStyle w:val="Compact"/>
              <w:jc w:val="left"/>
            </w:pPr>
            <w:r>
              <w:t xml:space="preserve">Run competitive RFP for GenoMap Pro alternatives</w:t>
            </w:r>
          </w:p>
        </w:tc>
        <w:tc>
          <w:tcPr/>
          <w:p>
            <w:pPr>
              <w:pStyle w:val="Compact"/>
              <w:jc w:val="left"/>
            </w:pPr>
            <w:r>
              <w:t xml:space="preserve">CTO / procurement</w:t>
            </w:r>
          </w:p>
        </w:tc>
      </w:tr>
      <w:tr>
        <w:tc>
          <w:tcPr/>
          <w:p>
            <w:pPr>
              <w:pStyle w:val="Compact"/>
              <w:jc w:val="left"/>
            </w:pPr>
            <w:r>
              <w:rPr>
                <w:b/>
                <w:bCs/>
              </w:rPr>
              <w:t xml:space="preserve">By mid-2027</w:t>
            </w:r>
          </w:p>
        </w:tc>
        <w:tc>
          <w:tcPr/>
          <w:p>
            <w:pPr>
              <w:pStyle w:val="Compact"/>
              <w:jc w:val="left"/>
            </w:pPr>
            <w:r>
              <w:t xml:space="preserve">Begin alternative-platform evaluation for License C (if renewed on short term)</w:t>
            </w:r>
          </w:p>
        </w:tc>
        <w:tc>
          <w:tcPr/>
          <w:p>
            <w:pPr>
              <w:pStyle w:val="Compact"/>
              <w:jc w:val="left"/>
            </w:pPr>
            <w:r>
              <w:t xml:space="preserve">CTO</w:t>
            </w:r>
          </w:p>
        </w:tc>
      </w:tr>
      <w:tr>
        <w:tc>
          <w:tcPr/>
          <w:p>
            <w:pPr>
              <w:pStyle w:val="Compact"/>
              <w:jc w:val="left"/>
            </w:pPr>
            <w:r>
              <w:rPr>
                <w:b/>
                <w:bCs/>
              </w:rPr>
              <w:t xml:space="preserve">By 2027</w:t>
            </w:r>
          </w:p>
        </w:tc>
        <w:tc>
          <w:tcPr/>
          <w:p>
            <w:pPr>
              <w:pStyle w:val="Compact"/>
              <w:jc w:val="left"/>
            </w:pPr>
            <w:r>
              <w:t xml:space="preserve">Initiate internal TraitForge-alternative feasibility study (hedge against future License B leverage)</w:t>
            </w:r>
          </w:p>
        </w:tc>
        <w:tc>
          <w:tcPr/>
          <w:p>
            <w:pPr>
              <w:pStyle w:val="Compact"/>
              <w:jc w:val="left"/>
            </w:pPr>
            <w:r>
              <w:t xml:space="preserve">R&amp;D</w:t>
            </w:r>
          </w:p>
        </w:tc>
      </w:tr>
      <w:tr>
        <w:tc>
          <w:tcPr/>
          <w:p>
            <w:pPr>
              <w:pStyle w:val="Compact"/>
              <w:jc w:val="left"/>
            </w:pPr>
            <w:r>
              <w:rPr>
                <w:b/>
                <w:bCs/>
              </w:rPr>
              <w:t xml:space="preserve">March 12, 2028</w:t>
            </w:r>
          </w:p>
        </w:tc>
        <w:tc>
          <w:tcPr/>
          <w:p>
            <w:pPr>
              <w:pStyle w:val="Compact"/>
              <w:jc w:val="left"/>
            </w:pPr>
            <w:r>
              <w:t xml:space="preserve">U.S. Patent 9,234,117 expires — License A step-down trigger (if negotiated)</w:t>
            </w:r>
          </w:p>
        </w:tc>
        <w:tc>
          <w:tcPr/>
          <w:p>
            <w:pPr>
              <w:pStyle w:val="Compact"/>
              <w:jc w:val="left"/>
            </w:pPr>
            <w:r>
              <w:t xml:space="preserve">—</w:t>
            </w:r>
          </w:p>
        </w:tc>
      </w:tr>
      <w:tr>
        <w:tc>
          <w:tcPr/>
          <w:p>
            <w:pPr>
              <w:pStyle w:val="Compact"/>
              <w:jc w:val="left"/>
            </w:pPr>
            <w:r>
              <w:rPr>
                <w:b/>
                <w:bCs/>
              </w:rPr>
              <w:t xml:space="preserve">By 2029</w:t>
            </w:r>
          </w:p>
        </w:tc>
        <w:tc>
          <w:tcPr/>
          <w:p>
            <w:pPr>
              <w:pStyle w:val="Compact"/>
              <w:jc w:val="left"/>
            </w:pPr>
            <w:r>
              <w:t xml:space="preserve">Reassess License A competitive landscape and switching costs</w:t>
            </w:r>
          </w:p>
        </w:tc>
        <w:tc>
          <w:tcPr/>
          <w:p>
            <w:pPr>
              <w:pStyle w:val="Compact"/>
              <w:jc w:val="left"/>
            </w:pPr>
            <w:r>
              <w:t xml:space="preserve">Strategy / GC</w:t>
            </w:r>
          </w:p>
        </w:tc>
      </w:tr>
    </w:tbl>
    <w:p>
      <w:r>
        <w:pict>
          <v:rect style="width:0;height:1.5pt" o:hralign="center" o:hrstd="t" o:hr="t"/>
        </w:pict>
      </w:r>
    </w:p>
    <w:bookmarkEnd w:id="41"/>
    <w:bookmarkStart w:id="42" w:name="xii.-conclusion"/>
    <w:p>
      <w:pPr>
        <w:pStyle w:val="Heading2"/>
      </w:pPr>
      <w:r>
        <w:t xml:space="preserve">XII. Conclusion</w:t>
      </w:r>
    </w:p>
    <w:p>
      <w:pPr>
        <w:pStyle w:val="FirstParagraph"/>
      </w:pPr>
      <w:r>
        <w:t xml:space="preserve">Greenfield should renew all three NovaTrait licenses — switching is not economically viable for Licenses A and B in the near term, and License B is effectively irreplaceable — but the Proposal as written is above market on every economic term and contains several non-economic terms (insect-resistance removal, improvements reversal, Derivative Data ownership transfer, source-code elimination, wind-down elimination) that Greenfield should not accept. The negotiation should be sequenced around the License B standstill deadline of ~June 29, 2025, which is the binding constraint: failure to renew or extend License B by that date terminates both License B and the Prairielands sublicense automatically.</w:t>
      </w:r>
    </w:p>
    <w:p>
      <w:pPr>
        <w:pStyle w:val="BodyText"/>
      </w:pPr>
      <w:r>
        <w:t xml:space="preserve">The recommended strategy is to differentiate leverage by license: push License C toward market with a credible alternative-provider process (strongest switching case); trade a longer term for a within-market rate on the irreplaceable License B while preserving operational protections; and insist on a post-March-2028 royalty step-down, retention of insect resistance, and retention of improvements ownership on License A, whose foundational patent value declines sharply mid-term. Greenfield should also resolve the record discrepancies (Proposal date; License C fee structure; patent expiration dates; non-existent MFL provisions) and commission an updated patent landscape analysis before finalizing terms.</w:t>
      </w:r>
    </w:p>
    <w:p>
      <w:pPr>
        <w:pStyle w:val="BodyText"/>
      </w:pPr>
      <w:r>
        <w:t xml:space="preserve">We are available to prepare the consolidated counter-proposal and the bilateral standstill-extension instrument on request.</w:t>
      </w:r>
    </w:p>
    <w:p>
      <w:r>
        <w:pict>
          <v:rect style="width:0;height:1.5pt" o:hralign="center" o:hrstd="t" o:hr="t"/>
        </w:pict>
      </w:r>
    </w:p>
    <w:p>
      <w:pPr>
        <w:pStyle w:val="FirstParagraph"/>
      </w:pPr>
      <w:r>
        <w:rPr>
          <w:i/>
          <w:iCs/>
        </w:rPr>
        <w:t xml:space="preserve">Prepared by outside IP licensing counsel and transactional advisors for Greenfield Biosciences, Inc. This memorandum is privileged and confidential, constitutes attorney work product, and is prepared in anticipation of renewal negotiations. To the extent it references NovaTrait’s Proposal, that Proposal is itself a Rule 408 settlement communication. This memorandum does not constitute a recommendation to accept or reject any specific term absent full negotiation; all figures are drawn from the documents reviewed and the cited analyses and should be verified against current records before use in negotiation.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2026-06-27T20:48:42Z</dcterms:created>
  <dcterms:modified xsi:type="dcterms:W3CDTF">2026-06-27T20:48:42Z</dcterms:modified>
</cp:coreProperties>
</file>

<file path=docProps/custom.xml><?xml version="1.0" encoding="utf-8"?>
<Properties xmlns="http://schemas.openxmlformats.org/officeDocument/2006/custom-properties" xmlns:vt="http://schemas.openxmlformats.org/officeDocument/2006/docPropsVTypes"/>
</file>