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memorandum"/>
    <w:p>
      <w:pPr>
        <w:pStyle w:val="Heading1"/>
      </w:pPr>
      <w:r>
        <w:t xml:space="preserve">ISSUES 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Catherine R. Bellingham, Partner</w:t>
      </w:r>
      <w:r>
        <w:t xml:space="preserve"> </w:t>
      </w:r>
      <w:r>
        <w:rPr>
          <w:b/>
          <w:bCs/>
        </w:rPr>
        <w:t xml:space="preserve">TO:</w:t>
      </w:r>
      <w:r>
        <w:t xml:space="preserve"> </w:t>
      </w:r>
      <w:r>
        <w:t xml:space="preserve">Jonathan D. Halsted, General Counsel, Meridian Biotech Solutions, Inc.</w:t>
      </w:r>
      <w:r>
        <w:t xml:space="preserve"> </w:t>
      </w:r>
      <w:r>
        <w:rPr>
          <w:b/>
          <w:bCs/>
        </w:rPr>
        <w:t xml:space="preserve">FROM:</w:t>
      </w:r>
      <w:r>
        <w:t xml:space="preserve"> </w:t>
      </w:r>
      <w:r>
        <w:t xml:space="preserve">David Osei-Mensah, Senior Associate, Ashford &amp; Whitmore LLP</w:t>
      </w:r>
      <w:r>
        <w:t xml:space="preserve"> </w:t>
      </w:r>
      <w:r>
        <w:rPr>
          <w:b/>
          <w:bCs/>
        </w:rPr>
        <w:t xml:space="preserve">DATE:</w:t>
      </w:r>
      <w:r>
        <w:t xml:space="preserve"> </w:t>
      </w:r>
      <w:r>
        <w:t xml:space="preserve">July 8, 2024</w:t>
      </w:r>
      <w:r>
        <w:t xml:space="preserve"> </w:t>
      </w:r>
      <w:r>
        <w:rPr>
          <w:b/>
          <w:bCs/>
        </w:rPr>
        <w:t xml:space="preserve">RE:</w:t>
      </w:r>
      <w:r>
        <w:t xml:space="preserve"> </w:t>
      </w:r>
      <w:r>
        <w:t xml:space="preserve">Legal Issues and Recommended Approach — Proposed OFAC Specific License Application for Export of Cancer Diagnostic Supplies and Training Services to Damascus Central University Hospital, Damascus, Syria</w:t>
      </w:r>
    </w:p>
    <w:bookmarkStart w:id="20" w:name="i.-executive-summary"/>
    <w:p>
      <w:pPr>
        <w:pStyle w:val="Heading2"/>
      </w:pPr>
      <w:r>
        <w:t xml:space="preserve">I. Executive Summary</w:t>
      </w:r>
    </w:p>
    <w:p>
      <w:pPr>
        <w:pStyle w:val="FirstParagraph"/>
      </w:pPr>
      <w:r>
        <w:t xml:space="preserve">This memorandum analyzes the legal issues presented by Meridian Biotech Solutions, Inc.’s (</w:t>
      </w:r>
      <w:r>
        <w:t xml:space="preserve">“</w:t>
      </w:r>
      <w:r>
        <w:t xml:space="preserve">Meridian</w:t>
      </w:r>
      <w:r>
        <w:t xml:space="preserve">”</w:t>
      </w:r>
      <w:r>
        <w:t xml:space="preserve">) proposed export of cancer diagnostic reagent kits, calibration instruments, and remote training services to Damascus Central University Hospital (</w:t>
      </w:r>
      <w:r>
        <w:t xml:space="preserve">“</w:t>
      </w:r>
      <w:r>
        <w:t xml:space="preserve">DCUH</w:t>
      </w:r>
      <w:r>
        <w:t xml:space="preserve">”</w:t>
      </w:r>
      <w:r>
        <w:t xml:space="preserve">) in Damascus, Syria, and recommends the approach we have taken in the specific license application filed concurrently with this memorandum.</w:t>
      </w:r>
    </w:p>
    <w:p>
      <w:pPr>
        <w:pStyle w:val="BodyText"/>
      </w:pPr>
      <w:r>
        <w:t xml:space="preserve">The transaction is a humanitarian medical export with strong merits: it delivers the only FDA-cleared reagent kit validated for DCUH’s installed staining platform, addresses a critical diagnostic gap identified by the World Health Organization (</w:t>
      </w:r>
      <w:r>
        <w:t xml:space="preserve">“</w:t>
      </w:r>
      <w:r>
        <w:t xml:space="preserve">WHO</w:t>
      </w:r>
      <w:r>
        <w:t xml:space="preserve">”</w:t>
      </w:r>
      <w:r>
        <w:t xml:space="preserve">), and is supported by Meridian’s clean compliance record and successful prior OFAC specific license (SYR-2021-384712). We assess the likelihood of license issuance as reasonably favorable, provided that two sanctions screening findings are satisfactorily resolved before filing.</w:t>
      </w:r>
    </w:p>
    <w:p>
      <w:pPr>
        <w:pStyle w:val="BodyText"/>
      </w:pPr>
      <w:r>
        <w:t xml:space="preserve">Pre-transaction screening by Meridian’s Compliance Department identified two material issues, both of which we have addressed by restructuring the transaction before submission:</w:t>
      </w:r>
    </w:p>
    <w:p>
      <w:pPr>
        <w:numPr>
          <w:ilvl w:val="0"/>
          <w:numId w:val="1001"/>
        </w:numPr>
      </w:pPr>
      <w:r>
        <w:rPr>
          <w:b/>
          <w:bCs/>
        </w:rPr>
        <w:t xml:space="preserve">SDN-listed shareholder of the original customs agent.</w:t>
      </w:r>
      <w:r>
        <w:t xml:space="preserve"> </w:t>
      </w:r>
      <w:r>
        <w:t xml:space="preserve">The customs clearance agent designated in DCUH’s purchase order, Al-Rashid Medical Procurement Company (</w:t>
      </w:r>
      <w:r>
        <w:t xml:space="preserve">“</w:t>
      </w:r>
      <w:r>
        <w:t xml:space="preserve">ARMPC</w:t>
      </w:r>
      <w:r>
        <w:t xml:space="preserve">”</w:t>
      </w:r>
      <w:r>
        <w:t xml:space="preserve">), is 30% owned by Samir Daoud Khoury, who was added to the SDN List on April 15, 2024. Although ARMPC is not blocked under OFAC’s 50 Percent Rule (the stake is below 50%), the SDN nexus is a material risk.</w:t>
      </w:r>
      <w:r>
        <w:t xml:space="preserve"> </w:t>
      </w:r>
      <w:r>
        <w:rPr>
          <w:b/>
          <w:bCs/>
        </w:rPr>
        <w:t xml:space="preserve">Recommendation: remove ARMPC from the transaction and substitute an alternative customs agent with no SDN nexus.</w:t>
      </w:r>
      <w:r>
        <w:t xml:space="preserve"> </w:t>
      </w:r>
      <w:r>
        <w:t xml:space="preserve">This is the approach taken in the application.</w:t>
      </w:r>
    </w:p>
    <w:p>
      <w:pPr>
        <w:numPr>
          <w:ilvl w:val="0"/>
          <w:numId w:val="1001"/>
        </w:numPr>
      </w:pPr>
      <w:r>
        <w:rPr>
          <w:b/>
          <w:bCs/>
        </w:rPr>
        <w:t xml:space="preserve">SDN-listed remitting bank.</w:t>
      </w:r>
      <w:r>
        <w:t xml:space="preserve"> </w:t>
      </w:r>
      <w:r>
        <w:t xml:space="preserve">The purchase order designated the Central Bank of Calverley (</w:t>
      </w:r>
      <w:r>
        <w:t xml:space="preserve">“</w:t>
      </w:r>
      <w:r>
        <w:t xml:space="preserve">CBS</w:t>
      </w:r>
      <w:r>
        <w:t xml:space="preserve">”</w:t>
      </w:r>
      <w:r>
        <w:t xml:space="preserve">) as the remitting bank. CBS has been on the SDN List since August 10, 2011. Payment through CBS is prohibited and would subject any funds received to blocking.</w:t>
      </w:r>
      <w:r>
        <w:t xml:space="preserve"> </w:t>
      </w:r>
      <w:r>
        <w:rPr>
          <w:b/>
          <w:bCs/>
        </w:rPr>
        <w:t xml:space="preserve">Recommendation: restructure payment to route through a non-SDN-listed Syrian commercial bank</w:t>
      </w:r>
      <w:r>
        <w:t xml:space="preserve">, consistent with the terms of Meridian’s prior license. This is the approach taken in the application.</w:t>
      </w:r>
    </w:p>
    <w:p>
      <w:pPr>
        <w:pStyle w:val="FirstParagraph"/>
      </w:pPr>
      <w:r>
        <w:t xml:space="preserve">Additional issues — the governmental end-user status of DCUH, technology-transfer considerations arising from the embedded firmware and the training curriculum, end-use monitoring and diversion risk, and processing timing — are analyzed below and addressed in the application. We recommend filing the application promptly to preserve the client’s target effective date of September 1, 2024, given OFAC processing times of 90–180 days.</w: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Applicant / exporter</w:t>
            </w:r>
          </w:p>
        </w:tc>
        <w:tc>
          <w:tcPr/>
          <w:p>
            <w:pPr>
              <w:pStyle w:val="Compact"/>
              <w:jc w:val="left"/>
            </w:pPr>
            <w:r>
              <w:t xml:space="preserve">Meridian Biotech Solutions, Inc. (Cambridge, MA; EIN 47-3928104; DUNS 08-471-3920)</w:t>
            </w:r>
          </w:p>
        </w:tc>
      </w:tr>
      <w:tr>
        <w:tc>
          <w:tcPr/>
          <w:p>
            <w:pPr>
              <w:pStyle w:val="Compact"/>
              <w:jc w:val="left"/>
            </w:pPr>
            <w:r>
              <w:t xml:space="preserve">End-user</w:t>
            </w:r>
          </w:p>
        </w:tc>
        <w:tc>
          <w:tcPr/>
          <w:p>
            <w:pPr>
              <w:pStyle w:val="Compact"/>
              <w:jc w:val="left"/>
            </w:pPr>
            <w:r>
              <w:t xml:space="preserve">Damascus Central University Hospital (DCUH), Damascus, Syria</w:t>
            </w:r>
          </w:p>
        </w:tc>
      </w:tr>
      <w:tr>
        <w:tc>
          <w:tcPr/>
          <w:p>
            <w:pPr>
              <w:pStyle w:val="Compact"/>
              <w:jc w:val="left"/>
            </w:pPr>
            <w:r>
              <w:t xml:space="preserve">Goods</w:t>
            </w:r>
          </w:p>
        </w:tc>
        <w:tc>
          <w:tcPr/>
          <w:p>
            <w:pPr>
              <w:pStyle w:val="Compact"/>
              <w:jc w:val="left"/>
            </w:pPr>
            <w:r>
              <w:t xml:space="preserve">500 CancerDetect RX-700 Reagent Kits ($1,170,000); 4 CalibPro 3100 Calibration Units ($75,000)</w:t>
            </w:r>
          </w:p>
        </w:tc>
      </w:tr>
      <w:tr>
        <w:tc>
          <w:tcPr/>
          <w:p>
            <w:pPr>
              <w:pStyle w:val="Compact"/>
              <w:jc w:val="left"/>
            </w:pPr>
            <w:r>
              <w:t xml:space="preserve">Services</w:t>
            </w:r>
          </w:p>
        </w:tc>
        <w:tc>
          <w:tcPr/>
          <w:p>
            <w:pPr>
              <w:pStyle w:val="Compact"/>
              <w:jc w:val="left"/>
            </w:pPr>
            <w:r>
              <w:t xml:space="preserve">~40 hours remote installation &amp; calibration training ($35,000)</w:t>
            </w:r>
          </w:p>
        </w:tc>
      </w:tr>
      <w:tr>
        <w:tc>
          <w:tcPr/>
          <w:p>
            <w:pPr>
              <w:pStyle w:val="Compact"/>
              <w:jc w:val="left"/>
            </w:pPr>
            <w:r>
              <w:t xml:space="preserve">Total value</w:t>
            </w:r>
          </w:p>
        </w:tc>
        <w:tc>
          <w:tcPr/>
          <w:p>
            <w:pPr>
              <w:pStyle w:val="Compact"/>
              <w:jc w:val="left"/>
            </w:pPr>
            <w:r>
              <w:t xml:space="preserve">$1,280,000</w:t>
            </w:r>
          </w:p>
        </w:tc>
      </w:tr>
      <w:tr>
        <w:tc>
          <w:tcPr/>
          <w:p>
            <w:pPr>
              <w:pStyle w:val="Compact"/>
              <w:jc w:val="left"/>
            </w:pPr>
            <w:r>
              <w:t xml:space="preserve">Export classification</w:t>
            </w:r>
          </w:p>
        </w:tc>
        <w:tc>
          <w:tcPr/>
          <w:p>
            <w:pPr>
              <w:pStyle w:val="Compact"/>
              <w:jc w:val="left"/>
            </w:pPr>
            <w:r>
              <w:t xml:space="preserve">EAR99 (both physical products)</w:t>
            </w:r>
          </w:p>
        </w:tc>
      </w:tr>
      <w:tr>
        <w:tc>
          <w:tcPr/>
          <w:p>
            <w:pPr>
              <w:pStyle w:val="Compact"/>
              <w:jc w:val="left"/>
            </w:pPr>
            <w:r>
              <w:t xml:space="preserve">Shipping route</w:t>
            </w:r>
          </w:p>
        </w:tc>
        <w:tc>
          <w:tcPr/>
          <w:p>
            <w:pPr>
              <w:pStyle w:val="Compact"/>
              <w:jc w:val="left"/>
            </w:pPr>
            <w:r>
              <w:t xml:space="preserve">Cambridge, MA → Port Newark, NJ → Mersin Port, Turkey → Ankara (AMTW) → Bab al-Hawa → Damascus</w:t>
            </w:r>
          </w:p>
        </w:tc>
      </w:tr>
      <w:tr>
        <w:tc>
          <w:tcPr/>
          <w:p>
            <w:pPr>
              <w:pStyle w:val="Compact"/>
              <w:jc w:val="left"/>
            </w:pPr>
            <w:r>
              <w:t xml:space="preserve">Requested license period</w:t>
            </w:r>
          </w:p>
        </w:tc>
        <w:tc>
          <w:tcPr/>
          <w:p>
            <w:pPr>
              <w:pStyle w:val="Compact"/>
              <w:jc w:val="left"/>
            </w:pPr>
            <w:r>
              <w:t xml:space="preserve">September 1, 2024 – February 28, 2026</w:t>
            </w:r>
          </w:p>
        </w:tc>
      </w:tr>
      <w:tr>
        <w:tc>
          <w:tcPr/>
          <w:p>
            <w:pPr>
              <w:pStyle w:val="Compact"/>
              <w:jc w:val="left"/>
            </w:pPr>
            <w:r>
              <w:t xml:space="preserve">Prior license</w:t>
            </w:r>
          </w:p>
        </w:tc>
        <w:tc>
          <w:tcPr/>
          <w:p>
            <w:pPr>
              <w:pStyle w:val="Compact"/>
              <w:jc w:val="left"/>
            </w:pPr>
            <w:r>
              <w:t xml:space="preserve">SYR-2021-384712 (TB diagnostic kits to Al-Mujtahid Hospital, Damascus; completed Jan 2023; no violations)</w:t>
            </w:r>
          </w:p>
        </w:tc>
      </w:tr>
    </w:tbl>
    <w:p>
      <w:pPr>
        <w:pStyle w:val="BodyText"/>
      </w:pPr>
      <w:r>
        <w:t xml:space="preserve">The transaction is documented in DCUH Purchase Order No. PO-DCUH-2024-0743 (June 17, 2024), Meridian’s product technical data sheets (TDS-2024-0347), Pinnacle Freight International’s shipping and logistics plan (June 25, 2024), and the WHO Syria needs assessment (January 2024).</w:t>
      </w:r>
    </w:p>
    <w:bookmarkEnd w:id="21"/>
    <w:bookmarkStart w:id="22" w:name="iii.-legal-framework"/>
    <w:p>
      <w:pPr>
        <w:pStyle w:val="Heading2"/>
      </w:pPr>
      <w:r>
        <w:t xml:space="preserve">III. Legal Framework</w:t>
      </w:r>
    </w:p>
    <w:p>
      <w:pPr>
        <w:pStyle w:val="FirstParagraph"/>
      </w:pPr>
      <w:r>
        <w:t xml:space="preserve">The proposed transaction is governed principally by the following authorities:</w:t>
      </w:r>
    </w:p>
    <w:p>
      <w:pPr>
        <w:pStyle w:val="Compact"/>
        <w:numPr>
          <w:ilvl w:val="0"/>
          <w:numId w:val="1002"/>
        </w:numPr>
      </w:pPr>
      <w:r>
        <w:rPr>
          <w:b/>
          <w:bCs/>
        </w:rPr>
        <w:t xml:space="preserve">Executive Order 13582</w:t>
      </w:r>
      <w:r>
        <w:t xml:space="preserve"> </w:t>
      </w:r>
      <w:r>
        <w:t xml:space="preserve">(August 17, 2011), which blocks the property and interests in property of the Government of Syria, including its instrumentalities and controlled entities.</w:t>
      </w:r>
    </w:p>
    <w:p>
      <w:pPr>
        <w:pStyle w:val="Compact"/>
        <w:numPr>
          <w:ilvl w:val="0"/>
          <w:numId w:val="1002"/>
        </w:numPr>
      </w:pPr>
      <w:r>
        <w:rPr>
          <w:b/>
          <w:bCs/>
        </w:rPr>
        <w:t xml:space="preserve">The Syrian Sanctions Regulations</w:t>
      </w:r>
      <w:r>
        <w:t xml:space="preserve">, 31 C.F.R. Part 542 (</w:t>
      </w:r>
      <w:r>
        <w:t xml:space="preserve">“</w:t>
      </w:r>
      <w:r>
        <w:t xml:space="preserve">SySR</w:t>
      </w:r>
      <w:r>
        <w:t xml:space="preserve">”</w:t>
      </w:r>
      <w:r>
        <w:t xml:space="preserve">), which implement E.O. 13582. Relevant provisions include:</w:t>
      </w:r>
    </w:p>
    <w:p>
      <w:pPr>
        <w:pStyle w:val="Compact"/>
        <w:numPr>
          <w:ilvl w:val="1"/>
          <w:numId w:val="1003"/>
        </w:numPr>
      </w:pPr>
      <w:r>
        <w:rPr>
          <w:b/>
          <w:bCs/>
        </w:rPr>
        <w:t xml:space="preserve">31 C.F.R. § 542.201</w:t>
      </w:r>
      <w:r>
        <w:t xml:space="preserve"> </w:t>
      </w:r>
      <w:r>
        <w:t xml:space="preserve">— blocks the Government of Syria, including the Central Bank of Syria and any entity owned or controlled by the Government of Syria.</w:t>
      </w:r>
    </w:p>
    <w:p>
      <w:pPr>
        <w:pStyle w:val="Compact"/>
        <w:numPr>
          <w:ilvl w:val="1"/>
          <w:numId w:val="1003"/>
        </w:numPr>
      </w:pPr>
      <w:r>
        <w:rPr>
          <w:b/>
          <w:bCs/>
        </w:rPr>
        <w:t xml:space="preserve">31 C.F.R. § 542.206</w:t>
      </w:r>
      <w:r>
        <w:t xml:space="preserve"> </w:t>
      </w:r>
      <w:r>
        <w:t xml:space="preserve">— generally prohibits the exportation, re-exportation, sale, or supply of goods, services, or technology to Syria or the Government of Syria.</w:t>
      </w:r>
    </w:p>
    <w:p>
      <w:pPr>
        <w:pStyle w:val="Compact"/>
        <w:numPr>
          <w:ilvl w:val="1"/>
          <w:numId w:val="1003"/>
        </w:numPr>
      </w:pPr>
      <w:r>
        <w:rPr>
          <w:b/>
          <w:bCs/>
        </w:rPr>
        <w:t xml:space="preserve">31 C.F.R. § 542.207</w:t>
      </w:r>
      <w:r>
        <w:t xml:space="preserve"> </w:t>
      </w:r>
      <w:r>
        <w:t xml:space="preserve">— prohibits new investment in Syria.</w:t>
      </w:r>
    </w:p>
    <w:p>
      <w:pPr>
        <w:pStyle w:val="Compact"/>
        <w:numPr>
          <w:ilvl w:val="0"/>
          <w:numId w:val="1002"/>
        </w:numPr>
      </w:pPr>
      <w:r>
        <w:rPr>
          <w:b/>
          <w:bCs/>
        </w:rPr>
        <w:t xml:space="preserve">OFAC’s 50 Percent Rule</w:t>
      </w:r>
      <w:r>
        <w:t xml:space="preserve">, as articulated in OFAC’s</w:t>
      </w:r>
      <w:r>
        <w:t xml:space="preserve"> </w:t>
      </w:r>
      <w:r>
        <w:t xml:space="preserve">“</w:t>
      </w:r>
      <w:r>
        <w:t xml:space="preserve">Revised Guidance on Entities Owned by Persons Whose Property and Interests in Property Are Blocked</w:t>
      </w:r>
      <w:r>
        <w:t xml:space="preserve">”</w:t>
      </w:r>
      <w:r>
        <w:t xml:space="preserve"> </w:t>
      </w:r>
      <w:r>
        <w:t xml:space="preserve">(August 13, 2014): an entity is considered blocked where one or more SDN-listed persons own, individually or in the aggregate, 50% or more of the entity. Entities below the 50% threshold are not automatically blocked, but OFAC guidance warns that dealings with such entities may present elevated sanctions risk.</w:t>
      </w:r>
    </w:p>
    <w:p>
      <w:pPr>
        <w:pStyle w:val="Compact"/>
        <w:numPr>
          <w:ilvl w:val="0"/>
          <w:numId w:val="1002"/>
        </w:numPr>
      </w:pPr>
      <w:r>
        <w:rPr>
          <w:b/>
          <w:bCs/>
        </w:rPr>
        <w:t xml:space="preserve">31 C.F.R. § 501.601</w:t>
      </w:r>
      <w:r>
        <w:t xml:space="preserve"> </w:t>
      </w:r>
      <w:r>
        <w:t xml:space="preserve">— five-year recordkeeping requirement.</w:t>
      </w:r>
    </w:p>
    <w:p>
      <w:pPr>
        <w:pStyle w:val="Compact"/>
        <w:numPr>
          <w:ilvl w:val="0"/>
          <w:numId w:val="1002"/>
        </w:numPr>
      </w:pPr>
      <w:r>
        <w:rPr>
          <w:b/>
          <w:bCs/>
        </w:rPr>
        <w:t xml:space="preserve">31 C.F.R. § 501.801</w:t>
      </w:r>
      <w:r>
        <w:t xml:space="preserve"> </w:t>
      </w:r>
      <w:r>
        <w:t xml:space="preserve">— procedures for the submission of license applications to OFAC.</w:t>
      </w:r>
    </w:p>
    <w:p>
      <w:pPr>
        <w:pStyle w:val="Compact"/>
        <w:numPr>
          <w:ilvl w:val="0"/>
          <w:numId w:val="1002"/>
        </w:numPr>
      </w:pPr>
      <w:r>
        <w:rPr>
          <w:b/>
          <w:bCs/>
        </w:rPr>
        <w:t xml:space="preserve">The Export Administration Regulations</w:t>
      </w:r>
      <w:r>
        <w:t xml:space="preserve">, 15 C.F.R. Parts 730–774 (</w:t>
      </w:r>
      <w:r>
        <w:t xml:space="preserve">“</w:t>
      </w:r>
      <w:r>
        <w:t xml:space="preserve">EAR</w:t>
      </w:r>
      <w:r>
        <w:t xml:space="preserve">”</w:t>
      </w:r>
      <w:r>
        <w:t xml:space="preserve">), administered by BIS, which govern the export classification of the goods (both EAR99) but do not themselves authorize the sanctions-prohibited transaction.</w:t>
      </w:r>
    </w:p>
    <w:p>
      <w:pPr>
        <w:pStyle w:val="FirstParagraph"/>
      </w:pPr>
      <w:r>
        <w:t xml:space="preserve">Because DCUH is an instrumentality of the Government of Syria, the export of goods and the provision of services to DCUH are prohibited under 31 C.F.R. § 542.206 absent OFAC authorization. No general license of which we are aware authorizes a commercial export of this nature to a governmental end-user in Syria; a specific license is therefore required. OFAC has historically been willing to license humanitarian medical exports to Syrian governmental hospitals under appropriate conditions, as evidenced by Meridian’s prior license and OFAC’s broader humanitarian licensing practice.</w:t>
      </w:r>
    </w:p>
    <w:bookmarkEnd w:id="22"/>
    <w:bookmarkStart w:id="30" w:name="iv.-issue-analysis"/>
    <w:p>
      <w:pPr>
        <w:pStyle w:val="Heading2"/>
      </w:pPr>
      <w:r>
        <w:t xml:space="preserve">IV. Issue Analysis</w:t>
      </w:r>
    </w:p>
    <w:bookmarkStart w:id="23" w:name="Xb099c3aaae92359508bb876874465f1c9a04e1d"/>
    <w:p>
      <w:pPr>
        <w:pStyle w:val="Heading3"/>
      </w:pPr>
      <w:r>
        <w:t xml:space="preserve">A. SDN-Listed Shareholder of the Original Customs Clearance Agent (ARMPC / Samir Daoud Khoury)</w:t>
      </w:r>
    </w:p>
    <w:p>
      <w:pPr>
        <w:pStyle w:val="FirstParagraph"/>
      </w:pPr>
      <w:r>
        <w:rPr>
          <w:b/>
          <w:bCs/>
        </w:rPr>
        <w:t xml:space="preserve">Facts.</w:t>
      </w:r>
      <w:r>
        <w:t xml:space="preserve"> </w:t>
      </w:r>
      <w:r>
        <w:t xml:space="preserve">DCUH’s purchase order designated ARMPC as the customs clearance and import logistics agent. ARMPC is not on the SDN List, and its Managing Director, Tariq Nabil Hammoud, returned no matches. However, Meridian’s enhanced beneficial ownership screening (implemented January 2024) identified that Samir Daoud Khoury holds a 30% ownership interest in ARMPC. Mr. Khoury was added to the SDN List on April 15, 2024, on the basis of acting on behalf of a sanctioned Syrian military procurement network (DOB March 12, 1971; Syrian national; Passport S-0048712).</w:t>
      </w:r>
    </w:p>
    <w:p>
      <w:pPr>
        <w:pStyle w:val="BodyText"/>
      </w:pPr>
      <w:r>
        <w:rPr>
          <w:b/>
          <w:bCs/>
        </w:rPr>
        <w:t xml:space="preserve">Analysis.</w:t>
      </w:r>
      <w:r>
        <w:t xml:space="preserve"> </w:t>
      </w:r>
      <w:r>
        <w:t xml:space="preserve">Under the 50 Percent Rule, ARMPC is not automatically a blocked entity because Mr. Khoury’s 30% stake is below the 50% threshold. Meridian therefore would not, on that basis alone, be prohibited from dealing with ARMPC. However, several considerations counsel against retaining ARMPC:</w:t>
      </w:r>
    </w:p>
    <w:p>
      <w:pPr>
        <w:pStyle w:val="Compact"/>
        <w:numPr>
          <w:ilvl w:val="0"/>
          <w:numId w:val="1004"/>
        </w:numPr>
      </w:pPr>
      <w:r>
        <w:rPr>
          <w:b/>
          <w:bCs/>
        </w:rPr>
        <w:t xml:space="preserve">OFAC guidance and enforcement posture.</w:t>
      </w:r>
      <w:r>
        <w:t xml:space="preserve"> </w:t>
      </w:r>
      <w:r>
        <w:t xml:space="preserve">OFAC has repeatedly warned that dealings with entities in which SDN-listed persons hold significant minority interests present elevated sanctions risk, even below the 50% threshold. Retaining ARMPC would require full disclosure of Mr. Khoury’s interest and would likely draw heightened scrutiny, potentially delaying or jeopardizing the application.</w:t>
      </w:r>
    </w:p>
    <w:p>
      <w:pPr>
        <w:pStyle w:val="Compact"/>
        <w:numPr>
          <w:ilvl w:val="0"/>
          <w:numId w:val="1004"/>
        </w:numPr>
      </w:pPr>
      <w:r>
        <w:rPr>
          <w:b/>
          <w:bCs/>
        </w:rPr>
        <w:t xml:space="preserve">Designation basis.</w:t>
      </w:r>
      <w:r>
        <w:t xml:space="preserve"> </w:t>
      </w:r>
      <w:r>
        <w:t xml:space="preserve">Mr. Khoury was designated for acting on behalf of a sanctioned Syrian</w:t>
      </w:r>
      <w:r>
        <w:t xml:space="preserve"> </w:t>
      </w:r>
      <w:r>
        <w:rPr>
          <w:i/>
          <w:iCs/>
        </w:rPr>
        <w:t xml:space="preserve">military</w:t>
      </w:r>
      <w:r>
        <w:t xml:space="preserve"> </w:t>
      </w:r>
      <w:r>
        <w:t xml:space="preserve">procurement network. The proposed transaction is a humanitarian medical export to a civilian hospital. The presence of a military-procurement-linked SDN in the customs agent’s ownership structure is in tension with the humanitarian character of the transaction and could undermine OFAC’s confidence in the end-use assurances.</w:t>
      </w:r>
    </w:p>
    <w:p>
      <w:pPr>
        <w:pStyle w:val="Compact"/>
        <w:numPr>
          <w:ilvl w:val="0"/>
          <w:numId w:val="1004"/>
        </w:numPr>
      </w:pPr>
      <w:r>
        <w:rPr>
          <w:b/>
          <w:bCs/>
        </w:rPr>
        <w:t xml:space="preserve">Function is substitutable.</w:t>
      </w:r>
      <w:r>
        <w:t xml:space="preserve"> </w:t>
      </w:r>
      <w:r>
        <w:t xml:space="preserve">ARMPC’s role — Syrian customs clearance and in-country delivery — is a ministerial logistics function that can be performed by any qualified Syrian customs broker. It is not indispensable to the transaction.</w:t>
      </w:r>
    </w:p>
    <w:p>
      <w:pPr>
        <w:pStyle w:val="Compact"/>
        <w:numPr>
          <w:ilvl w:val="0"/>
          <w:numId w:val="1004"/>
        </w:numPr>
      </w:pPr>
      <w:r>
        <w:rPr>
          <w:b/>
          <w:bCs/>
        </w:rPr>
        <w:t xml:space="preserve">Candor obligation.</w:t>
      </w:r>
      <w:r>
        <w:t xml:space="preserve"> </w:t>
      </w:r>
      <w:r>
        <w:t xml:space="preserve">Regardless of whether ARMPC is retained, the Khoury finding must be disclosed to OFAC. Disclosure is cleaner and more credible if coupled with removal of the SDN-adjacent party.</w:t>
      </w:r>
    </w:p>
    <w:p>
      <w:pPr>
        <w:pStyle w:val="FirstParagraph"/>
      </w:pPr>
      <w:r>
        <w:rPr>
          <w:b/>
          <w:bCs/>
        </w:rPr>
        <w:t xml:space="preserve">Options.</w:t>
      </w:r>
    </w:p>
    <w:p>
      <w:pPr>
        <w:pStyle w:val="Compact"/>
        <w:numPr>
          <w:ilvl w:val="0"/>
          <w:numId w:val="1005"/>
        </w:numPr>
      </w:pPr>
      <w:r>
        <w:rPr>
          <w:b/>
          <w:bCs/>
        </w:rPr>
        <w:t xml:space="preserve">Option 1 (recommended): Remove ARMPC; substitute an alternative customs agent.</w:t>
      </w:r>
      <w:r>
        <w:t xml:space="preserve"> </w:t>
      </w:r>
      <w:r>
        <w:t xml:space="preserve">DCUH designates an alternative Syrian customs clearance agent with no SDN-listed beneficial owners. The alternative agent is screened (including beneficial ownership) and disclosed to OFAC before shipment. The license conditions prohibit involvement of ARMPC, Mr. Khoury, or any SDN-listed person.</w:t>
      </w:r>
    </w:p>
    <w:p>
      <w:pPr>
        <w:pStyle w:val="Compact"/>
        <w:numPr>
          <w:ilvl w:val="0"/>
          <w:numId w:val="1005"/>
        </w:numPr>
      </w:pPr>
      <w:r>
        <w:rPr>
          <w:b/>
          <w:bCs/>
        </w:rPr>
        <w:t xml:space="preserve">Option 2: Retain ARMPC and request specific authorization for its limited role.</w:t>
      </w:r>
      <w:r>
        <w:t xml:space="preserve"> </w:t>
      </w:r>
      <w:r>
        <w:t xml:space="preserve">Disclose Mr. Khoury’s 30% stake, argue that ARMPC is not blocked under the 50 Percent Rule, and request authorization for ARMPC’s ministerial customs function subject to conditions (no funds to ARMPC; no benefit to Khoury; role limited to customs clearance; enhanced monitoring). This is defensible but materially weaker; it invites scrutiny of the military-procurement nexus and risks delay or denial.</w:t>
      </w:r>
    </w:p>
    <w:p>
      <w:pPr>
        <w:pStyle w:val="FirstParagraph"/>
      </w:pPr>
      <w:r>
        <w:rPr>
          <w:b/>
          <w:bCs/>
        </w:rPr>
        <w:t xml:space="preserve">Recommendation.</w:t>
      </w:r>
      <w:r>
        <w:t xml:space="preserve"> </w:t>
      </w:r>
      <w:r>
        <w:t xml:space="preserve">Option 1. The application removes ARMPC and requires substitution of a pre-screened, non-SDN customs agent disclosed to OFAC. This presents the cleanest, most approvable transaction structure and is consistent with the compliance memo’s recommendation. We have flagged the need to identify and screen an alternative agent as a priority open item (Part VII).</w:t>
      </w:r>
    </w:p>
    <w:bookmarkEnd w:id="23"/>
    <w:bookmarkStart w:id="24" w:name="X4d7a161905659754bb036baeef14343ce737e29"/>
    <w:p>
      <w:pPr>
        <w:pStyle w:val="Heading3"/>
      </w:pPr>
      <w:r>
        <w:t xml:space="preserve">B. SDN-Listed Remitting Bank (Central Bank of Calverley)</w:t>
      </w:r>
    </w:p>
    <w:p>
      <w:pPr>
        <w:pStyle w:val="FirstParagraph"/>
      </w:pPr>
      <w:r>
        <w:rPr>
          <w:b/>
          <w:bCs/>
        </w:rPr>
        <w:t xml:space="preserve">Facts.</w:t>
      </w:r>
      <w:r>
        <w:t xml:space="preserve"> </w:t>
      </w:r>
      <w:r>
        <w:t xml:space="preserve">The purchase order specifies 100% advance payment by wire transfer from DCUH’s account at the Central Bank of Calverley (</w:t>
      </w:r>
      <w:r>
        <w:t xml:space="preserve">“</w:t>
      </w:r>
      <w:r>
        <w:t xml:space="preserve">CBS</w:t>
      </w:r>
      <w:r>
        <w:t xml:space="preserve">”</w:t>
      </w:r>
      <w:r>
        <w:t xml:space="preserve">) to Meridian’s account at Harborview National Bank, Boston. CBS has been on the SDN List since August 10, 2011 (designated pursuant to E.O. 13582).</w:t>
      </w:r>
    </w:p>
    <w:p>
      <w:pPr>
        <w:pStyle w:val="BodyText"/>
      </w:pPr>
      <w:r>
        <w:rPr>
          <w:b/>
          <w:bCs/>
        </w:rPr>
        <w:t xml:space="preserve">Analysis.</w:t>
      </w:r>
      <w:r>
        <w:t xml:space="preserve"> </w:t>
      </w:r>
      <w:r>
        <w:t xml:space="preserve">Payment routed through CBS would constitute a prohibited transaction with a blocked person under 31 C.F.R. Part 542. No U.S. financial institution may process a funds transfer originating from CBS absent specific OFAC authorization, and any such funds received would be subject to blocking. This is a hard prohibition; the payment mechanism cannot proceed as drafted.</w:t>
      </w:r>
    </w:p>
    <w:p>
      <w:pPr>
        <w:pStyle w:val="BodyText"/>
      </w:pPr>
      <w:r>
        <w:t xml:space="preserve">Critically, Meridian’s prior license (SYR-2021-384712) addressed this exact issue: it authorized payment via a non-SDN-listed Syrian commercial bank and expressly prohibited routing through CBS or any SDN-listed institution. There is established precedent for the restructured approach.</w:t>
      </w:r>
    </w:p>
    <w:p>
      <w:pPr>
        <w:pStyle w:val="BodyText"/>
      </w:pPr>
      <w:r>
        <w:rPr>
          <w:b/>
          <w:bCs/>
        </w:rPr>
        <w:t xml:space="preserve">Options.</w:t>
      </w:r>
    </w:p>
    <w:p>
      <w:pPr>
        <w:pStyle w:val="Compact"/>
        <w:numPr>
          <w:ilvl w:val="0"/>
          <w:numId w:val="1006"/>
        </w:numPr>
      </w:pPr>
      <w:r>
        <w:rPr>
          <w:b/>
          <w:bCs/>
        </w:rPr>
        <w:t xml:space="preserve">Option 1 (recommended): Restructure payment through a non-SDN-listed Syrian commercial bank.</w:t>
      </w:r>
      <w:r>
        <w:t xml:space="preserve"> </w:t>
      </w:r>
      <w:r>
        <w:t xml:space="preserve">DCUH remits from its account at a non-SDN Syrian commercial bank (to be designated and screened) to Harborview National Bank. The license conditions prohibit routing through CBS or any SDN-listed institution and require verification of the remitting bank prior to each wire.</w:t>
      </w:r>
    </w:p>
    <w:p>
      <w:pPr>
        <w:pStyle w:val="Compact"/>
        <w:numPr>
          <w:ilvl w:val="0"/>
          <w:numId w:val="1006"/>
        </w:numPr>
      </w:pPr>
      <w:r>
        <w:rPr>
          <w:b/>
          <w:bCs/>
        </w:rPr>
        <w:t xml:space="preserve">Option 2: Request specific authorization to receive payment through CBS.</w:t>
      </w:r>
      <w:r>
        <w:t xml:space="preserve"> </w:t>
      </w:r>
      <w:r>
        <w:t xml:space="preserve">This would require OFAC to unblock or license a transaction with an SDN-listed central bank — a far more difficult ask with no humanitarian justification on the payment side, and inconsistent with the prior license. Not recommended.</w:t>
      </w:r>
    </w:p>
    <w:p>
      <w:pPr>
        <w:pStyle w:val="FirstParagraph"/>
      </w:pPr>
      <w:r>
        <w:rPr>
          <w:b/>
          <w:bCs/>
        </w:rPr>
        <w:t xml:space="preserve">Recommendation.</w:t>
      </w:r>
      <w:r>
        <w:t xml:space="preserve"> </w:t>
      </w:r>
      <w:r>
        <w:t xml:space="preserve">Option 1. The application restructures payment to a non-SDN Syrian commercial bank, consistent with the prior license. We have flagged identification and screening of the alternative remitting bank as a priority open item (Part VII). We should also confirm with the client and Harborview National Bank that the receiving bank is comfortable processing an incoming wire from a Syrian commercial bank under a specific license, and that appropriate compliance hold-and-review procedures are in place.</w:t>
      </w:r>
    </w:p>
    <w:bookmarkEnd w:id="24"/>
    <w:bookmarkStart w:id="25" w:name="Xc8d764ca47f8042c736810d9689d5c516e44772"/>
    <w:p>
      <w:pPr>
        <w:pStyle w:val="Heading3"/>
      </w:pPr>
      <w:r>
        <w:t xml:space="preserve">C. Governmental End-User (DCUH / Syrian Ministry of Health)</w:t>
      </w:r>
    </w:p>
    <w:p>
      <w:pPr>
        <w:pStyle w:val="FirstParagraph"/>
      </w:pPr>
      <w:r>
        <w:rPr>
          <w:b/>
          <w:bCs/>
        </w:rPr>
        <w:t xml:space="preserve">Facts.</w:t>
      </w:r>
      <w:r>
        <w:t xml:space="preserve"> </w:t>
      </w:r>
      <w:r>
        <w:t xml:space="preserve">DCUH is a public teaching hospital affiliated with the University of Damascus, Faculty of Medicine, and operates under the administrative authority and budgetary oversight of the Syrian Ministry of Health. It is therefore an instrumentality of the Government of Syria, which is comprehensively sanctioned under E.O. 13582 and 31 C.F.R. § 542.201. Neither DCUH nor the Ministry of Health is independently listed on the SDN List.</w:t>
      </w:r>
    </w:p>
    <w:p>
      <w:pPr>
        <w:pStyle w:val="BodyText"/>
      </w:pPr>
      <w:r>
        <w:rPr>
          <w:b/>
          <w:bCs/>
        </w:rPr>
        <w:t xml:space="preserve">Analysis.</w:t>
      </w:r>
      <w:r>
        <w:t xml:space="preserve"> </w:t>
      </w:r>
      <w:r>
        <w:t xml:space="preserve">Because DCUH is a governmental instrumentality, the export of goods and provision of services to DCUH are prohibited under 31 C.F.R. § 542.206 absent authorization. This is the core reason a specific license is required. The governmental status is not, in itself, a bar to licensing: OFAC has licensed humanitarian medical exports to Syrian governmental hospitals (including under Meridian’s prior license to Al-Mujtahid Hospital, also a Ministry of Health affiliate). The humanitarian nature of the goods, the WHO support, and the end-use monitoring plan are the principal mitigants.</w:t>
      </w:r>
    </w:p>
    <w:p>
      <w:pPr>
        <w:pStyle w:val="BodyText"/>
      </w:pPr>
      <w:r>
        <w:rPr>
          <w:b/>
          <w:bCs/>
        </w:rPr>
        <w:t xml:space="preserve">Recommendation.</w:t>
      </w:r>
      <w:r>
        <w:t xml:space="preserve"> </w:t>
      </w:r>
      <w:r>
        <w:t xml:space="preserve">Disclose DCUH’s governmental status candidly and frame the application around the humanitarian purpose and end-use controls. Request a specific license; do not rely on any general license. The application does so. We should be prepared for OFAC to impose conditions addressing the governmental nexus (e.g., enhanced end-use reporting, non-diversion certifications), which we have anticipated in the requested conditions.</w:t>
      </w:r>
    </w:p>
    <w:bookmarkEnd w:id="25"/>
    <w:bookmarkStart w:id="26" w:name="X84ebd077b40995a358efe7364afcffb38432173"/>
    <w:p>
      <w:pPr>
        <w:pStyle w:val="Heading3"/>
      </w:pPr>
      <w:r>
        <w:t xml:space="preserve">D. Technology Transfer and Deemed Export Considerations</w:t>
      </w:r>
    </w:p>
    <w:p>
      <w:pPr>
        <w:pStyle w:val="FirstParagraph"/>
      </w:pPr>
      <w:r>
        <w:rPr>
          <w:b/>
          <w:bCs/>
        </w:rPr>
        <w:t xml:space="preserve">Facts.</w:t>
      </w:r>
      <w:r>
        <w:t xml:space="preserve"> </w:t>
      </w:r>
      <w:r>
        <w:t xml:space="preserve">Two elements of the transaction raise technology-transfer considerations:</w:t>
      </w:r>
    </w:p>
    <w:p>
      <w:pPr>
        <w:pStyle w:val="Compact"/>
        <w:numPr>
          <w:ilvl w:val="0"/>
          <w:numId w:val="1007"/>
        </w:numPr>
      </w:pPr>
      <w:r>
        <w:rPr>
          <w:b/>
          <w:bCs/>
        </w:rPr>
        <w:t xml:space="preserve">Embedded firmware.</w:t>
      </w:r>
      <w:r>
        <w:t xml:space="preserve"> </w:t>
      </w:r>
      <w:r>
        <w:t xml:space="preserve">The CalibPro 3100 contains factory-installed firmware (version 4.2.1) employing AES-128 encryption limited to internal data-integrity verification. Meridian’s engineering and regulatory teams have assessed the encryption as below EAR de minimis thresholds, preserving the EAR99 classification. The firmware is not user-modifiable; updates require a Meridian-supplied authenticated package on physical USB media.</w:t>
      </w:r>
    </w:p>
    <w:p>
      <w:pPr>
        <w:pStyle w:val="Compact"/>
        <w:numPr>
          <w:ilvl w:val="0"/>
          <w:numId w:val="1007"/>
        </w:numPr>
      </w:pPr>
      <w:r>
        <w:rPr>
          <w:b/>
          <w:bCs/>
        </w:rPr>
        <w:t xml:space="preserve">Remote training curriculum.</w:t>
      </w:r>
      <w:r>
        <w:t xml:space="preserve"> </w:t>
      </w:r>
      <w:r>
        <w:t xml:space="preserve">The 40-hour training includes modules on instrument schematics and proprietary engineering diagrams (Module 2), the software diagnostic interface and a 287-page Software Reference Manual (Module 3), and calibration algorithm parameters and threshold settings. Training is delivered remotely from the United States; no Meridian personnel travel to Syria.</w:t>
      </w:r>
    </w:p>
    <w:p>
      <w:pPr>
        <w:pStyle w:val="FirstParagraph"/>
      </w:pPr>
      <w:r>
        <w:rPr>
          <w:b/>
          <w:bCs/>
        </w:rPr>
        <w:t xml:space="preserve">Analysis.</w:t>
      </w:r>
    </w:p>
    <w:p>
      <w:pPr>
        <w:pStyle w:val="Compact"/>
        <w:numPr>
          <w:ilvl w:val="0"/>
          <w:numId w:val="1008"/>
        </w:numPr>
      </w:pPr>
      <w:r>
        <w:rPr>
          <w:i/>
          <w:iCs/>
        </w:rPr>
        <w:t xml:space="preserve">Firmware/encryption.</w:t>
      </w:r>
      <w:r>
        <w:t xml:space="preserve"> </w:t>
      </w:r>
      <w:r>
        <w:t xml:space="preserve">The AES-128 functionality is limited to internal data authentication and does not provide external communications security. Provided the EAR99 classification and de minimis analysis are sound (we have reviewed the technical data sheet and the compliance memo’s assessment; both support EAR99), the firmware does not require a separate BIS authorization. However,</w:t>
      </w:r>
      <w:r>
        <w:t xml:space="preserve"> </w:t>
      </w:r>
      <w:r>
        <w:rPr>
          <w:b/>
          <w:bCs/>
        </w:rPr>
        <w:t xml:space="preserve">any firmware update, patch, or modification beyond v4.2.1 would constitute a separate transaction</w:t>
      </w:r>
      <w:r>
        <w:t xml:space="preserve"> </w:t>
      </w:r>
      <w:r>
        <w:t xml:space="preserve">and may require independent export authorization. The application expressly excludes firmware updates from the scope of the requested license.</w:t>
      </w:r>
    </w:p>
    <w:p>
      <w:pPr>
        <w:pStyle w:val="Compact"/>
        <w:numPr>
          <w:ilvl w:val="0"/>
          <w:numId w:val="1008"/>
        </w:numPr>
      </w:pPr>
      <w:r>
        <w:rPr>
          <w:i/>
          <w:iCs/>
        </w:rPr>
        <w:t xml:space="preserve">Training/technical data.</w:t>
      </w:r>
      <w:r>
        <w:t xml:space="preserve"> </w:t>
      </w:r>
      <w:r>
        <w:t xml:space="preserve">The training involves the transfer of technical data (schematics, software documentation, calibration parameters) to foreign nationals at DCUH. Although the products are EAR99, the transfer of technical data to persons in a comprehensively sanctioned jurisdiction requires OFAC authorization, which the application requests. We should ensure that the scope of technical data disclosed in the training is limited to what is necessary for safe operation and calibration, and that the Software Reference Manual and schematics are not separately exportable beyond the training context. The</w:t>
      </w:r>
      <w:r>
        <w:t xml:space="preserve"> </w:t>
      </w:r>
      <w:r>
        <w:t xml:space="preserve">“</w:t>
      </w:r>
      <w:r>
        <w:t xml:space="preserve">deemed export</w:t>
      </w:r>
      <w:r>
        <w:t xml:space="preserve">”</w:t>
      </w:r>
      <w:r>
        <w:t xml:space="preserve"> </w:t>
      </w:r>
      <w:r>
        <w:t xml:space="preserve">concept under the EAR (15 C.F.R. § 734.13) is relevant to BIS jurisdiction but does not displace the OFAC authorization requirement; we have framed the training as part of the licensed transaction.</w:t>
      </w:r>
    </w:p>
    <w:p>
      <w:pPr>
        <w:pStyle w:val="Compact"/>
        <w:numPr>
          <w:ilvl w:val="0"/>
          <w:numId w:val="1008"/>
        </w:numPr>
      </w:pPr>
      <w:r>
        <w:rPr>
          <w:i/>
          <w:iCs/>
        </w:rPr>
        <w:t xml:space="preserve">Post-training support.</w:t>
      </w:r>
      <w:r>
        <w:t xml:space="preserve"> </w:t>
      </w:r>
      <w:r>
        <w:t xml:space="preserve">The technical data sheet notes that remote technical support following the initial training</w:t>
      </w:r>
      <w:r>
        <w:t xml:space="preserve"> </w:t>
      </w:r>
      <w:r>
        <w:t xml:space="preserve">“</w:t>
      </w:r>
      <w:r>
        <w:t xml:space="preserve">may be available subject to applicable export and sanctions regulations</w:t>
      </w:r>
      <w:r>
        <w:t xml:space="preserve">”</w:t>
      </w:r>
      <w:r>
        <w:t xml:space="preserve"> </w:t>
      </w:r>
      <w:r>
        <w:t xml:space="preserve">and that post-training assistance involving additional technical data, software, or proprietary information</w:t>
      </w:r>
      <w:r>
        <w:t xml:space="preserve"> </w:t>
      </w:r>
      <w:r>
        <w:t xml:space="preserve">“</w:t>
      </w:r>
      <w:r>
        <w:t xml:space="preserve">may require independent authorization.</w:t>
      </w:r>
      <w:r>
        <w:t xml:space="preserve">”</w:t>
      </w:r>
      <w:r>
        <w:t xml:space="preserve"> </w:t>
      </w:r>
      <w:r>
        <w:t xml:space="preserve">We have excluded ongoing technical support from the scope of the requested license and flagged it as an open item.</w:t>
      </w:r>
    </w:p>
    <w:p>
      <w:pPr>
        <w:pStyle w:val="FirstParagraph"/>
      </w:pPr>
      <w:r>
        <w:rPr>
          <w:b/>
          <w:bCs/>
        </w:rPr>
        <w:t xml:space="preserve">Recommendation.</w:t>
      </w:r>
      <w:r>
        <w:t xml:space="preserve"> </w:t>
      </w:r>
      <w:r>
        <w:t xml:space="preserve">The application requests authorization for the factory-installed firmware and the described training curriculum only, and expressly excludes firmware updates and post-training technical support. We recommend that Meridian (i) confirm in writing that the encryption analysis supports EAR99 (the technical data sheet and compliance memo already do so), (ii) limit the technical data disclosed in training to operational necessity, and (iii) treat any future firmware update or technical-support engagement as a separate transaction requiring independent authorization. We also recommend that Meridian update its sanctions risk assessment template per Graystone’s Finding 3 to document embedded-software/firmware and technology-transfer analysis for future products.</w:t>
      </w:r>
    </w:p>
    <w:bookmarkEnd w:id="26"/>
    <w:bookmarkStart w:id="27" w:name="e.-end-use-monitoring-and-diversion-risk"/>
    <w:p>
      <w:pPr>
        <w:pStyle w:val="Heading3"/>
      </w:pPr>
      <w:r>
        <w:t xml:space="preserve">E. End-Use Monitoring and Diversion Risk</w:t>
      </w:r>
    </w:p>
    <w:p>
      <w:pPr>
        <w:pStyle w:val="FirstParagraph"/>
      </w:pPr>
      <w:r>
        <w:rPr>
          <w:b/>
          <w:bCs/>
        </w:rPr>
        <w:t xml:space="preserve">Facts.</w:t>
      </w:r>
      <w:r>
        <w:t xml:space="preserve"> </w:t>
      </w:r>
      <w:r>
        <w:t xml:space="preserve">Graystone’s September 2023 audit (Finding 2) noted that post-delivery end-use monitoring for the prior licensed transaction was limited to confirming delivery receipt, with no ongoing monitoring to verify that goods remained with the authorized end-user or were used for the stated purpose. The current transaction involves a comprehensively sanctioned jurisdiction, a governmental end-user, and a transshipment route through Turkey into Syria via the Bab al-Hawa crossing.</w:t>
      </w:r>
    </w:p>
    <w:p>
      <w:pPr>
        <w:pStyle w:val="BodyText"/>
      </w:pPr>
      <w:r>
        <w:rPr>
          <w:b/>
          <w:bCs/>
        </w:rPr>
        <w:t xml:space="preserve">Analysis.</w:t>
      </w:r>
      <w:r>
        <w:t xml:space="preserve"> </w:t>
      </w:r>
      <w:r>
        <w:t xml:space="preserve">OFAC expects licensees operating under specific licenses for comprehensively sanctioned jurisdictions to implement robust end-use monitoring to prevent diversion. The transshipment structure (Mersin → Ankara → Bab al-Hawa → Damascus) and the in-country delivery leg create diversion risk that should be mitigated. The cold-chain requirement for the reagent kits provides a natural integrity checkpoint (temperature data logs), but is not a substitute for end-use verification.</w:t>
      </w:r>
    </w:p>
    <w:p>
      <w:pPr>
        <w:pStyle w:val="BodyText"/>
      </w:pPr>
      <w:r>
        <w:rPr>
          <w:b/>
          <w:bCs/>
        </w:rPr>
        <w:t xml:space="preserve">Recommendation.</w:t>
      </w:r>
      <w:r>
        <w:t xml:space="preserve"> </w:t>
      </w:r>
      <w:r>
        <w:t xml:space="preserve">The application commits Meridian to a written end-use monitoring plan including: (a) delivery confirmation with documentary and photographic evidence; (b) an end-user certificate / non-diversion commitment executed by DCUH; (c) periodic usage reporting at no less than annual intervals; and (d) a site-verification mechanism (remote or in-person) as feasible. We recommend that Meridian develop this plan in detail before the first shipment and that the plan be referenced in the license conditions. We should also obtain from DCUH a written end-user statement confirming the exclusive clinical diagnostic end-use and non-diversion commitment (the purchase order already contains such a statement, which we can formalize).</w:t>
      </w:r>
    </w:p>
    <w:bookmarkEnd w:id="27"/>
    <w:bookmarkStart w:id="28" w:name="f.-product-classification-ear99"/>
    <w:p>
      <w:pPr>
        <w:pStyle w:val="Heading3"/>
      </w:pPr>
      <w:r>
        <w:t xml:space="preserve">F. Product Classification (EAR99)</w:t>
      </w:r>
    </w:p>
    <w:p>
      <w:pPr>
        <w:pStyle w:val="FirstParagraph"/>
      </w:pPr>
      <w:r>
        <w:rPr>
          <w:b/>
          <w:bCs/>
        </w:rPr>
        <w:t xml:space="preserve">Facts.</w:t>
      </w:r>
      <w:r>
        <w:t xml:space="preserve"> </w:t>
      </w:r>
      <w:r>
        <w:t xml:space="preserve">Both the CancerDetect RX-700 (HTS 3822.19.5000) and the CalibPro 3100 (HTS 9027.80.4530) are classified EAR99.</w:t>
      </w:r>
    </w:p>
    <w:p>
      <w:pPr>
        <w:pStyle w:val="BodyText"/>
      </w:pPr>
      <w:r>
        <w:rPr>
          <w:b/>
          <w:bCs/>
        </w:rPr>
        <w:t xml:space="preserve">Analysis.</w:t>
      </w:r>
      <w:r>
        <w:t xml:space="preserve"> </w:t>
      </w:r>
      <w:r>
        <w:t xml:space="preserve">EAR99 classification means the items are not on the Commerce Control List and do not require a BIS export license on export-control grounds. However, EAR99 does</w:t>
      </w:r>
      <w:r>
        <w:t xml:space="preserve"> </w:t>
      </w:r>
      <w:r>
        <w:rPr>
          <w:b/>
          <w:bCs/>
        </w:rPr>
        <w:t xml:space="preserve">not</w:t>
      </w:r>
      <w:r>
        <w:t xml:space="preserve"> </w:t>
      </w:r>
      <w:r>
        <w:t xml:space="preserve">exempt the items from Syria sanctions: the export to Syria remains prohibited under 31 C.F.R. § 542.206 and requires the OFAC specific license that is the subject of this application. This is a common point of confusion that we have addressed expressly in the application.</w:t>
      </w:r>
    </w:p>
    <w:p>
      <w:pPr>
        <w:pStyle w:val="BodyText"/>
      </w:pPr>
      <w:r>
        <w:rPr>
          <w:b/>
          <w:bCs/>
        </w:rPr>
        <w:t xml:space="preserve">Recommendation.</w:t>
      </w:r>
      <w:r>
        <w:t xml:space="preserve"> </w:t>
      </w:r>
      <w:r>
        <w:t xml:space="preserve">No action beyond the OFAC license. The application confirms the EAR99 classifications and acknowledges that OFAC authorization is nonetheless required. No BIS license is required for the export-control aspect, but the OFAC license will not relieve Meridian of any EAR obligations.</w:t>
      </w:r>
    </w:p>
    <w:bookmarkEnd w:id="28"/>
    <w:bookmarkStart w:id="29" w:name="g.-timing-and-processing-considerations"/>
    <w:p>
      <w:pPr>
        <w:pStyle w:val="Heading3"/>
      </w:pPr>
      <w:r>
        <w:t xml:space="preserve">G. Timing and Processing Considerations</w:t>
      </w:r>
    </w:p>
    <w:p>
      <w:pPr>
        <w:pStyle w:val="FirstParagraph"/>
      </w:pPr>
      <w:r>
        <w:rPr>
          <w:b/>
          <w:bCs/>
        </w:rPr>
        <w:t xml:space="preserve">Facts.</w:t>
      </w:r>
      <w:r>
        <w:t xml:space="preserve"> </w:t>
      </w:r>
      <w:r>
        <w:t xml:space="preserve">The client targets a license effective date of September 1, 2024, and a license period through February 28, 2026. OFAC processing times for specific license applications commonly run 90–180 days, and can be longer for transactions involving comprehensively sanctioned jurisdictions and disclosed SDN-adjacent issues.</w:t>
      </w:r>
    </w:p>
    <w:p>
      <w:pPr>
        <w:pStyle w:val="BodyText"/>
      </w:pPr>
      <w:r>
        <w:rPr>
          <w:b/>
          <w:bCs/>
        </w:rPr>
        <w:t xml:space="preserve">Analysis.</w:t>
      </w:r>
      <w:r>
        <w:t xml:space="preserve"> </w:t>
      </w:r>
      <w:r>
        <w:t xml:space="preserve">With an application filed in early July 2024, a 90–180 day processing window yields a decision in approximately October 2024 – January 2025. The client’s target effective date of September 1, 2024 is therefore optimistic; we should manage expectations that the license may not be effective by September 1. The requested 18-month license period (through February 28, 2026) provides adequate runway for completion once issued. The disclosed SDN findings (even as mitigated) may extend processing, which is an additional reason to file promptly and to present the cleanest possible restructured transaction.</w:t>
      </w:r>
    </w:p>
    <w:p>
      <w:pPr>
        <w:pStyle w:val="BodyText"/>
      </w:pPr>
      <w:r>
        <w:rPr>
          <w:b/>
          <w:bCs/>
        </w:rPr>
        <w:t xml:space="preserve">Recommendation.</w:t>
      </w:r>
      <w:r>
        <w:t xml:space="preserve"> </w:t>
      </w:r>
      <w:r>
        <w:t xml:space="preserve">File promptly. Advise the client that the effective date may slip beyond September 1, 2024, and that the shipment and training schedule should be planned around the actual issuance date. The 18-month requested term provides adequate buffer. We should also confirm with the client that the reagent kits’ 18-month shelf life and cold-chain requirements are compatible with any delay (i.e., that kits are not manufactured and held pending license issuance in a manner that erodes shelf life).</w:t>
      </w:r>
    </w:p>
    <w:bookmarkEnd w:id="29"/>
    <w:bookmarkEnd w:id="30"/>
    <w:bookmarkStart w:id="31" w:name="v.-recommended-transaction-structure"/>
    <w:p>
      <w:pPr>
        <w:pStyle w:val="Heading2"/>
      </w:pPr>
      <w:r>
        <w:t xml:space="preserve">V. Recommended Transaction Structure</w:t>
      </w:r>
    </w:p>
    <w:p>
      <w:pPr>
        <w:pStyle w:val="FirstParagraph"/>
      </w:pPr>
      <w:r>
        <w:t xml:space="preserve">Based on the foregoing analysis, we recommend — and the application reflects — the following restructured transaction:</w:t>
      </w:r>
    </w:p>
    <w:p>
      <w:pPr>
        <w:pStyle w:val="Compact"/>
        <w:numPr>
          <w:ilvl w:val="0"/>
          <w:numId w:val="1009"/>
        </w:numPr>
      </w:pPr>
      <w:r>
        <w:rPr>
          <w:b/>
          <w:bCs/>
        </w:rPr>
        <w:t xml:space="preserve">Goods and services.</w:t>
      </w:r>
      <w:r>
        <w:t xml:space="preserve"> </w:t>
      </w:r>
      <w:r>
        <w:t xml:space="preserve">Export of 500 CancerDetect RX-700 Reagent Kits, 4 CalibPro 3100 Calibration Units, and ~40 hours of remote training to DCUH. Total $1,280,000. Unchanged from the purchase order.</w:t>
      </w:r>
    </w:p>
    <w:p>
      <w:pPr>
        <w:pStyle w:val="Compact"/>
        <w:numPr>
          <w:ilvl w:val="0"/>
          <w:numId w:val="1009"/>
        </w:numPr>
      </w:pPr>
      <w:r>
        <w:rPr>
          <w:b/>
          <w:bCs/>
        </w:rPr>
        <w:t xml:space="preserve">End-user.</w:t>
      </w:r>
      <w:r>
        <w:t xml:space="preserve"> </w:t>
      </w:r>
      <w:r>
        <w:t xml:space="preserve">DCUH (governmental instrumentality; specific license required). Unchanged.</w:t>
      </w:r>
    </w:p>
    <w:p>
      <w:pPr>
        <w:pStyle w:val="Compact"/>
        <w:numPr>
          <w:ilvl w:val="0"/>
          <w:numId w:val="1009"/>
        </w:numPr>
      </w:pPr>
      <w:r>
        <w:rPr>
          <w:b/>
          <w:bCs/>
        </w:rPr>
        <w:t xml:space="preserve">Customs clearance agent.</w:t>
      </w:r>
      <w:r>
        <w:t xml:space="preserve"> </w:t>
      </w:r>
      <w:r>
        <w:rPr>
          <w:b/>
          <w:bCs/>
        </w:rPr>
        <w:t xml:space="preserve">ARMPC removed.</w:t>
      </w:r>
      <w:r>
        <w:t xml:space="preserve"> </w:t>
      </w:r>
      <w:r>
        <w:t xml:space="preserve">DCUH to designate an alternative Syrian customs clearance agent with no SDN-listed beneficial owners, to be screened and disclosed to OFAC before shipment.</w:t>
      </w:r>
    </w:p>
    <w:p>
      <w:pPr>
        <w:pStyle w:val="Compact"/>
        <w:numPr>
          <w:ilvl w:val="0"/>
          <w:numId w:val="1009"/>
        </w:numPr>
      </w:pPr>
      <w:r>
        <w:rPr>
          <w:b/>
          <w:bCs/>
        </w:rPr>
        <w:t xml:space="preserve">Payment.</w:t>
      </w:r>
      <w:r>
        <w:t xml:space="preserve"> </w:t>
      </w:r>
      <w:r>
        <w:rPr>
          <w:b/>
          <w:bCs/>
        </w:rPr>
        <w:t xml:space="preserve">CBS removed.</w:t>
      </w:r>
      <w:r>
        <w:t xml:space="preserve"> </w:t>
      </w:r>
      <w:r>
        <w:t xml:space="preserve">Payment via a non-SDN-listed Syrian commercial bank to Harborview National Bank. Consistent with prior license.</w:t>
      </w:r>
    </w:p>
    <w:p>
      <w:pPr>
        <w:pStyle w:val="Compact"/>
        <w:numPr>
          <w:ilvl w:val="0"/>
          <w:numId w:val="1009"/>
        </w:numPr>
      </w:pPr>
      <w:r>
        <w:rPr>
          <w:b/>
          <w:bCs/>
        </w:rPr>
        <w:t xml:space="preserve">Logistics.</w:t>
      </w:r>
      <w:r>
        <w:t xml:space="preserve"> </w:t>
      </w:r>
      <w:r>
        <w:t xml:space="preserve">Pinnacle (U.S. freight forwarder) and AMTW (Turkish warehouse) retained; both screened clean. Route via Mersin → Ankara → Bab al-Hawa → Damascus. Cold-chain maintained.</w:t>
      </w:r>
    </w:p>
    <w:p>
      <w:pPr>
        <w:pStyle w:val="Compact"/>
        <w:numPr>
          <w:ilvl w:val="0"/>
          <w:numId w:val="1009"/>
        </w:numPr>
      </w:pPr>
      <w:r>
        <w:rPr>
          <w:b/>
          <w:bCs/>
        </w:rPr>
        <w:t xml:space="preserve">Technology.</w:t>
      </w:r>
      <w:r>
        <w:t xml:space="preserve"> </w:t>
      </w:r>
      <w:r>
        <w:t xml:space="preserve">Factory-installed firmware v4.2.1 and the described training curriculum only. No firmware updates or post-training technical support within the license scope.</w:t>
      </w:r>
    </w:p>
    <w:p>
      <w:pPr>
        <w:pStyle w:val="Compact"/>
        <w:numPr>
          <w:ilvl w:val="0"/>
          <w:numId w:val="1009"/>
        </w:numPr>
      </w:pPr>
      <w:r>
        <w:rPr>
          <w:b/>
          <w:bCs/>
        </w:rPr>
        <w:t xml:space="preserve">Compliance.</w:t>
      </w:r>
      <w:r>
        <w:t xml:space="preserve"> </w:t>
      </w:r>
      <w:r>
        <w:t xml:space="preserve">End-use monitoring plan, re-screening before each shipment, 30-day shipment reporting, 5-year recordkeeping.</w:t>
      </w:r>
    </w:p>
    <w:p>
      <w:pPr>
        <w:pStyle w:val="FirstParagraph"/>
      </w:pPr>
      <w:r>
        <w:t xml:space="preserve">This structure presents OFAC with a humanitarian transaction in which no SDN-listed person and no 50%-blocked entity participates, with full and candid disclosure of the screening findings that motivated the restructuring.</w:t>
      </w:r>
    </w:p>
    <w:bookmarkEnd w:id="31"/>
    <w:bookmarkStart w:id="32" w:name="X55003404b3380c0f74cb8a4d9d16d789d42149b"/>
    <w:p>
      <w:pPr>
        <w:pStyle w:val="Heading2"/>
      </w:pPr>
      <w:r>
        <w:t xml:space="preserve">VI. Recommended License Terms and Conditions</w:t>
      </w:r>
    </w:p>
    <w:p>
      <w:pPr>
        <w:pStyle w:val="FirstParagraph"/>
      </w:pPr>
      <w:r>
        <w:t xml:space="preserve">We have requested that the license, if issued, include the conditions summarized below (set forth in full in Part XV of the application):</w:t>
      </w:r>
    </w:p>
    <w:p>
      <w:pPr>
        <w:pStyle w:val="Compact"/>
        <w:numPr>
          <w:ilvl w:val="0"/>
          <w:numId w:val="1010"/>
        </w:numPr>
      </w:pPr>
      <w:r>
        <w:t xml:space="preserve">Scope limited to the described transaction; no other Syria transactions authorized.</w:t>
      </w:r>
    </w:p>
    <w:p>
      <w:pPr>
        <w:pStyle w:val="Compact"/>
        <w:numPr>
          <w:ilvl w:val="0"/>
          <w:numId w:val="1010"/>
        </w:numPr>
      </w:pPr>
      <w:r>
        <w:t xml:space="preserve">Delivery solely to DCUH; no diversion, re-export, or transfer.</w:t>
      </w:r>
    </w:p>
    <w:p>
      <w:pPr>
        <w:pStyle w:val="Compact"/>
        <w:numPr>
          <w:ilvl w:val="0"/>
          <w:numId w:val="1010"/>
        </w:numPr>
      </w:pPr>
      <w:r>
        <w:t xml:space="preserve">No SDN involvement; no 50%-blocked entities; no payment through CBS or any SDN bank; ARMPC and Khoury excluded.</w:t>
      </w:r>
    </w:p>
    <w:p>
      <w:pPr>
        <w:pStyle w:val="Compact"/>
        <w:numPr>
          <w:ilvl w:val="0"/>
          <w:numId w:val="1010"/>
        </w:numPr>
      </w:pPr>
      <w:r>
        <w:t xml:space="preserve">Payment via non-SDN Syrian commercial bank, verified before each wire.</w:t>
      </w:r>
    </w:p>
    <w:p>
      <w:pPr>
        <w:pStyle w:val="Compact"/>
        <w:numPr>
          <w:ilvl w:val="0"/>
          <w:numId w:val="1010"/>
        </w:numPr>
      </w:pPr>
      <w:r>
        <w:t xml:space="preserve">Customs agent to be non-SDN, screened, and disclosed before shipment.</w:t>
      </w:r>
    </w:p>
    <w:p>
      <w:pPr>
        <w:pStyle w:val="Compact"/>
        <w:numPr>
          <w:ilvl w:val="0"/>
          <w:numId w:val="1010"/>
        </w:numPr>
      </w:pPr>
      <w:r>
        <w:t xml:space="preserve">Factory firmware v4.2.1 only; no firmware updates or additional technical data without separate authorization; no travel to Syria.</w:t>
      </w:r>
    </w:p>
    <w:p>
      <w:pPr>
        <w:pStyle w:val="Compact"/>
        <w:numPr>
          <w:ilvl w:val="0"/>
          <w:numId w:val="1010"/>
        </w:numPr>
      </w:pPr>
      <w:r>
        <w:t xml:space="preserve">5-year recordkeeping (31 C.F.R. § 501.601).</w:t>
      </w:r>
    </w:p>
    <w:p>
      <w:pPr>
        <w:pStyle w:val="Compact"/>
        <w:numPr>
          <w:ilvl w:val="0"/>
          <w:numId w:val="1010"/>
        </w:numPr>
      </w:pPr>
      <w:r>
        <w:t xml:space="preserve">30-day post-shipment reporting with proof of delivery and temperature logs.</w:t>
      </w:r>
    </w:p>
    <w:p>
      <w:pPr>
        <w:pStyle w:val="Compact"/>
        <w:numPr>
          <w:ilvl w:val="0"/>
          <w:numId w:val="1010"/>
        </w:numPr>
      </w:pPr>
      <w:r>
        <w:t xml:space="preserve">Written end-use monitoring plan (delivery confirmation, end-user certificate, annual usage reporting, site verification as feasible).</w:t>
      </w:r>
    </w:p>
    <w:p>
      <w:pPr>
        <w:pStyle w:val="Compact"/>
        <w:numPr>
          <w:ilvl w:val="0"/>
          <w:numId w:val="1010"/>
        </w:numPr>
      </w:pPr>
      <w:r>
        <w:t xml:space="preserve">Re-screening of all parties before each shipment; prompt reporting of any new match.</w:t>
      </w:r>
    </w:p>
    <w:p>
      <w:pPr>
        <w:pStyle w:val="Compact"/>
        <w:numPr>
          <w:ilvl w:val="0"/>
          <w:numId w:val="1010"/>
        </w:numPr>
      </w:pPr>
      <w:r>
        <w:t xml:space="preserve">Material-change reporting.</w:t>
      </w:r>
    </w:p>
    <w:p>
      <w:pPr>
        <w:pStyle w:val="Compact"/>
        <w:numPr>
          <w:ilvl w:val="0"/>
          <w:numId w:val="1010"/>
        </w:numPr>
      </w:pPr>
      <w:r>
        <w:t xml:space="preserve">EAR obligations not relieved.</w:t>
      </w:r>
    </w:p>
    <w:p>
      <w:pPr>
        <w:pStyle w:val="Compact"/>
        <w:numPr>
          <w:ilvl w:val="0"/>
          <w:numId w:val="1010"/>
        </w:numPr>
      </w:pPr>
      <w:r>
        <w:t xml:space="preserve">Effective September 1, 2024 – February 28, 2026.</w:t>
      </w:r>
    </w:p>
    <w:bookmarkEnd w:id="32"/>
    <w:bookmarkStart w:id="33" w:name="Xcc9fc26fd669d52fba343bf2632e75ee8ed5589"/>
    <w:p>
      <w:pPr>
        <w:pStyle w:val="Heading2"/>
      </w:pPr>
      <w:r>
        <w:t xml:space="preserve">VII. Open Items and Information Needed from Client</w:t>
      </w:r>
    </w:p>
    <w:p>
      <w:pPr>
        <w:pStyle w:val="FirstParagraph"/>
      </w:pPr>
      <w:r>
        <w:t xml:space="preserve">The following items should be resolved to support the application and any license issued:</w:t>
      </w:r>
    </w:p>
    <w:p>
      <w:pPr>
        <w:pStyle w:val="Compact"/>
        <w:numPr>
          <w:ilvl w:val="0"/>
          <w:numId w:val="1011"/>
        </w:numPr>
      </w:pPr>
      <w:r>
        <w:rPr>
          <w:b/>
          <w:bCs/>
        </w:rPr>
        <w:t xml:space="preserve">Alternative Syrian customs clearance agent (priority).</w:t>
      </w:r>
      <w:r>
        <w:t xml:space="preserve"> </w:t>
      </w:r>
      <w:r>
        <w:t xml:space="preserve">Client to work with DCUH to identify an alternative customs agent with no SDN-listed beneficial owners; provide identity for screening and OFAC disclosure before shipment.</w:t>
      </w:r>
    </w:p>
    <w:p>
      <w:pPr>
        <w:pStyle w:val="Compact"/>
        <w:numPr>
          <w:ilvl w:val="0"/>
          <w:numId w:val="1011"/>
        </w:numPr>
      </w:pPr>
      <w:r>
        <w:rPr>
          <w:b/>
          <w:bCs/>
        </w:rPr>
        <w:t xml:space="preserve">Alternative remitting bank (priority).</w:t>
      </w:r>
      <w:r>
        <w:t xml:space="preserve"> </w:t>
      </w:r>
      <w:r>
        <w:t xml:space="preserve">Client to confirm the non-SDN Syrian commercial bank from which DCUH will remit payment; provide identity for screening. Confirm Harborview National Bank’s willingness and procedures for receiving the wire under a specific license.</w:t>
      </w:r>
    </w:p>
    <w:p>
      <w:pPr>
        <w:pStyle w:val="Compact"/>
        <w:numPr>
          <w:ilvl w:val="0"/>
          <w:numId w:val="1011"/>
        </w:numPr>
      </w:pPr>
      <w:r>
        <w:rPr>
          <w:b/>
          <w:bCs/>
        </w:rPr>
        <w:t xml:space="preserve">End-user certificate / non-diversion commitment.</w:t>
      </w:r>
      <w:r>
        <w:t xml:space="preserve"> </w:t>
      </w:r>
      <w:r>
        <w:t xml:space="preserve">Obtain a formal written end-use and non-diversion statement from DCUH (the purchase order contains a statement we can formalize).</w:t>
      </w:r>
    </w:p>
    <w:p>
      <w:pPr>
        <w:pStyle w:val="Compact"/>
        <w:numPr>
          <w:ilvl w:val="0"/>
          <w:numId w:val="1011"/>
        </w:numPr>
      </w:pPr>
      <w:r>
        <w:rPr>
          <w:b/>
          <w:bCs/>
        </w:rPr>
        <w:t xml:space="preserve">End-use monitoring plan.</w:t>
      </w:r>
      <w:r>
        <w:t xml:space="preserve"> </w:t>
      </w:r>
      <w:r>
        <w:t xml:space="preserve">Client (Compliance) to develop the detailed written end-use monitoring plan before first shipment, including the site-verification mechanism.</w:t>
      </w:r>
    </w:p>
    <w:p>
      <w:pPr>
        <w:pStyle w:val="Compact"/>
        <w:numPr>
          <w:ilvl w:val="0"/>
          <w:numId w:val="1011"/>
        </w:numPr>
      </w:pPr>
      <w:r>
        <w:rPr>
          <w:b/>
          <w:bCs/>
        </w:rPr>
        <w:t xml:space="preserve">Encryption / EAR99 confirmation.</w:t>
      </w:r>
      <w:r>
        <w:t xml:space="preserve"> </w:t>
      </w:r>
      <w:r>
        <w:t xml:space="preserve">Client to confirm in writing the engineering/regulatory assessment that the CalibPro 3100 firmware encryption supports EAR99 (technical data sheet and compliance memo already support this).</w:t>
      </w:r>
    </w:p>
    <w:p>
      <w:pPr>
        <w:pStyle w:val="Compact"/>
        <w:numPr>
          <w:ilvl w:val="0"/>
          <w:numId w:val="1011"/>
        </w:numPr>
      </w:pPr>
      <w:r>
        <w:rPr>
          <w:b/>
          <w:bCs/>
        </w:rPr>
        <w:t xml:space="preserve">Firmware-update and post-training support policy.</w:t>
      </w:r>
      <w:r>
        <w:t xml:space="preserve"> </w:t>
      </w:r>
      <w:r>
        <w:t xml:space="preserve">Client to adopt a written policy that any firmware update or post-training technical support to DCUH will be treated as a separate transaction requiring independent authorization.</w:t>
      </w:r>
    </w:p>
    <w:p>
      <w:pPr>
        <w:pStyle w:val="Compact"/>
        <w:numPr>
          <w:ilvl w:val="0"/>
          <w:numId w:val="1011"/>
        </w:numPr>
      </w:pPr>
      <w:r>
        <w:rPr>
          <w:b/>
          <w:bCs/>
        </w:rPr>
        <w:t xml:space="preserve">Shelf-life / cold-chain planning.</w:t>
      </w:r>
      <w:r>
        <w:t xml:space="preserve"> </w:t>
      </w:r>
      <w:r>
        <w:t xml:space="preserve">Client to confirm that manufacturing and cold-chain logistics are sequenced to preserve the 18-month shelf life given potential license-issuance delay.</w:t>
      </w:r>
    </w:p>
    <w:p>
      <w:pPr>
        <w:pStyle w:val="Compact"/>
        <w:numPr>
          <w:ilvl w:val="0"/>
          <w:numId w:val="1011"/>
        </w:numPr>
      </w:pPr>
      <w:r>
        <w:rPr>
          <w:b/>
          <w:bCs/>
        </w:rPr>
        <w:t xml:space="preserve">Re-screening cadence.</w:t>
      </w:r>
      <w:r>
        <w:t xml:space="preserve"> </w:t>
      </w:r>
      <w:r>
        <w:t xml:space="preserve">Compliance to re-screen all parties at 90-day intervals during pendency and immediately before each shipment, per the compliance memo’s recommendation.</w:t>
      </w:r>
    </w:p>
    <w:p>
      <w:pPr>
        <w:pStyle w:val="Compact"/>
        <w:numPr>
          <w:ilvl w:val="0"/>
          <w:numId w:val="1011"/>
        </w:numPr>
      </w:pPr>
      <w:r>
        <w:rPr>
          <w:b/>
          <w:bCs/>
        </w:rPr>
        <w:t xml:space="preserve">Prior license copy.</w:t>
      </w:r>
      <w:r>
        <w:t xml:space="preserve"> </w:t>
      </w:r>
      <w:r>
        <w:t xml:space="preserve">Client to provide a copy of SYR-2021-384712 (referenced as Exhibit H) if OFAC requests verification.</w:t>
      </w:r>
    </w:p>
    <w:p>
      <w:pPr>
        <w:pStyle w:val="Compact"/>
        <w:numPr>
          <w:ilvl w:val="0"/>
          <w:numId w:val="1011"/>
        </w:numPr>
      </w:pPr>
      <w:r>
        <w:rPr>
          <w:b/>
          <w:bCs/>
        </w:rPr>
        <w:t xml:space="preserve">Effective-date expectation.</w:t>
      </w:r>
      <w:r>
        <w:t xml:space="preserve"> </w:t>
      </w:r>
      <w:r>
        <w:t xml:space="preserve">Advise the client that the September 1, 2024 effective date may not be met and to plan shipment/training accordingly.</w:t>
      </w:r>
    </w:p>
    <w:bookmarkEnd w:id="33"/>
    <w:bookmarkStart w:id="34" w:name="viii.-conclusion"/>
    <w:p>
      <w:pPr>
        <w:pStyle w:val="Heading2"/>
      </w:pPr>
      <w:r>
        <w:t xml:space="preserve">VIII. Conclusion</w:t>
      </w:r>
    </w:p>
    <w:p>
      <w:pPr>
        <w:pStyle w:val="FirstParagraph"/>
      </w:pPr>
      <w:r>
        <w:t xml:space="preserve">The proposed transaction is a meritorious humanitarian medical export that addresses a critical diagnostic gap identified by the WHO and is supported by Meridian’s strong compliance record and prior OFAC licensing history. The two screening findings — the SDN-listed 30% shareholder of the original customs agent and the SDN-listed remitting bank — are material but have been resolved by restructuring the transaction before filing: ARMPC is removed in favor of a pre-screened alternative customs agent, and payment is rerouted through a non-SDN Syrian commercial bank consistent with the prior license. The governmental end-user status, technology-transfer considerations, and diversion risk are addressed through the specific license request, scope limitations, and the end-use monitoring plan.</w:t>
      </w:r>
    </w:p>
    <w:p>
      <w:pPr>
        <w:pStyle w:val="BodyText"/>
      </w:pPr>
      <w:r>
        <w:t xml:space="preserve">We recommend filing the application promptly. We assess the likelihood of license issuance as reasonably favorable, subject to OFAC’s review of the restructured structure and the requested conditions. We will keep the client advised of OFAC’s response and any additional information requests, and we stand ready to address the open items in Part VII.</w:t>
      </w:r>
    </w:p>
    <w:p>
      <w:pPr>
        <w:pStyle w:val="BodyText"/>
      </w:pPr>
      <w:r>
        <w:t xml:space="preserve">This memorandum is provided in anticipation of seeking legal advice and is protected by the attorney-client privilege and the work product doctrine. It contains confidential and privileged information intended solely for the named addressees and should not be distributed outside that group without the prior written approval of the General Counsel.</w:t>
      </w:r>
    </w:p>
    <w:p>
      <w:pPr>
        <w:pStyle w:val="BodyText"/>
      </w:pPr>
      <w:r>
        <w:t xml:space="preserve">Respectfully,</w:t>
      </w:r>
    </w:p>
    <w:p>
      <w:pPr>
        <w:pStyle w:val="BodyText"/>
      </w:pPr>
      <w:r>
        <w:rPr>
          <w:b/>
          <w:bCs/>
        </w:rPr>
        <w:t xml:space="preserve">David Osei-Mensah</w:t>
      </w:r>
      <w:r>
        <w:t xml:space="preserve"> </w:t>
      </w:r>
      <w:r>
        <w:t xml:space="preserve">Senior Associate</w:t>
      </w:r>
      <w:r>
        <w:t xml:space="preserve"> </w:t>
      </w:r>
      <w:r>
        <w:t xml:space="preserve">Ashford &amp; Whitmore LLP</w:t>
      </w:r>
      <w:r>
        <w:t xml:space="preserve"> </w:t>
      </w:r>
      <w:r>
        <w:t xml:space="preserve">1700 K Street NW, Suite 950</w:t>
      </w:r>
      <w:r>
        <w:t xml:space="preserve"> </w:t>
      </w:r>
      <w:r>
        <w:t xml:space="preserve">Washington, DC 20006</w:t>
      </w:r>
      <w:r>
        <w:t xml:space="preserve"> </w:t>
      </w:r>
      <w:r>
        <w:t xml:space="preserve">doesei-mensah@ashfordwhitmore.com</w:t>
      </w:r>
      <w:r>
        <w:t xml:space="preserve"> </w:t>
      </w:r>
      <w:r>
        <w:t xml:space="preserve">(202) 555-0147</w:t>
      </w:r>
    </w:p>
    <w:p>
      <w:pPr>
        <w:pStyle w:val="BodyText"/>
      </w:pPr>
      <w:r>
        <w:rPr>
          <w:b/>
          <w:bCs/>
        </w:rPr>
        <w:t xml:space="preserve">cc:</w:t>
      </w:r>
      <w:r>
        <w:t xml:space="preserve"> </w:t>
      </w:r>
      <w:r>
        <w:t xml:space="preserve">Catherine R. Bellingham, Partner, Ashford &amp; Whitmore LLP</w:t>
      </w:r>
      <w:r>
        <w:t xml:space="preserve"> </w:t>
      </w:r>
      <w:r>
        <w:t xml:space="preserve">Margaret</w:t>
      </w:r>
      <w:r>
        <w:t xml:space="preserve"> </w:t>
      </w:r>
      <w:r>
        <w:t xml:space="preserve">“</w:t>
      </w:r>
      <w:r>
        <w:t xml:space="preserve">Peggy</w:t>
      </w:r>
      <w:r>
        <w:t xml:space="preserve">”</w:t>
      </w:r>
      <w:r>
        <w:t xml:space="preserve"> </w:t>
      </w:r>
      <w:r>
        <w:t xml:space="preserve">Dunleavy, Chief Compliance Officer, Meridian Biotech Solutions, Inc.</w:t>
      </w:r>
    </w:p>
    <w:bookmarkEnd w:id="34"/>
    <w:bookmarkEnd w:id="3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cs="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Times New Roman" w:asciiTheme="majorHAnsi" w:cs="Times New Roman" w:cstheme="majorBidi" w:eastAsiaTheme="majorEastAsia" w:hAnsi="Times New Roman" w:hAnsiTheme="majorHAnsi"/>
      <w:b/>
      <w:bCs/>
      <w:color w:val="1F3764"/>
      <w:sz w:val="26"/>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imes New Roman" w:cstheme="majorBidi" w:eastAsiaTheme="majorEastAsia" w:hAnsi="Times New Roman" w:hAnsiTheme="majorHAnsi"/>
      <w:b/>
      <w:bCs/>
      <w:color w:val="1F3764"/>
      <w:sz w:val="24"/>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Times New Roman" w:asciiTheme="majorHAnsi" w:cs="Times New Roman" w:cstheme="majorBidi" w:eastAsiaTheme="majorEastAsia" w:hAnsi="Times New Roman" w:hAnsiTheme="majorHAnsi"/>
      <w:b/>
      <w:bCs/>
      <w:color w:val="2E446B"/>
      <w:sz w:val="22"/>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Times New Roman" w:asciiTheme="majorHAnsi" w:cs="Times New Roman" w:cstheme="majorBidi" w:eastAsiaTheme="majorEastAsia" w:hAnsi="Times New Roman" w:hAnsiTheme="majorHAnsi"/>
      <w:b/>
      <w:bCs/>
      <w:i/>
      <w:iCs/>
      <w:color w:val="2E446B"/>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Times New Roman" w:asciiTheme="majorHAnsi" w:cs="Times New Roman" w:cstheme="majorBidi" w:eastAsiaTheme="majorEastAsia" w:hAnsi="Times New Roman" w:hAnsiTheme="majorHAnsi"/>
      <w:b/>
      <w:color w:val="1F3764"/>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heme="majorEastAsia" w:hAnsi="Times New Roman" w:hAnsiTheme="majorHAnsi"/>
      <w:i/>
      <w:iCs/>
      <w:color w:val="40404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2026-06-23T05:44:05Z</dcterms:created>
  <dcterms:modified xsi:type="dcterms:W3CDTF">2026-06-23T05:44:05Z</dcterms:modified>
</cp:coreProperties>
</file>

<file path=docProps/custom.xml><?xml version="1.0" encoding="utf-8"?>
<Properties xmlns="http://schemas.openxmlformats.org/officeDocument/2006/custom-properties" xmlns:vt="http://schemas.openxmlformats.org/officeDocument/2006/docPropsVTypes"/>
</file>