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3" w:name="memorandum"/>
    <w:p>
      <w:pPr>
        <w:pStyle w:val="Heading1"/>
      </w:pPr>
      <w:r>
        <w:t xml:space="preserve">MEMORANDUM</w:t>
      </w:r>
    </w:p>
    <w:p>
      <w:pPr>
        <w:pStyle w:val="FirstParagraph"/>
      </w:pPr>
      <w:r>
        <w:rPr>
          <w:b/>
          <w:bCs/>
        </w:rPr>
        <w:t xml:space="preserve">TO:</w:t>
      </w:r>
      <w:r>
        <w:t xml:space="preserve"> </w:t>
      </w:r>
      <w:r>
        <w:t xml:space="preserve">Jonathan D. Halsted, General Counsel, Meridian Biotech Solutions, Inc.</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Dunleavy, Chief Compliance Officer, Meridian Biotech Solutions, Inc.</w:t>
      </w:r>
    </w:p>
    <w:p>
      <w:pPr>
        <w:pStyle w:val="BodyText"/>
      </w:pPr>
      <w:r>
        <w:rPr>
          <w:b/>
          <w:bCs/>
        </w:rPr>
        <w:t xml:space="preserve">FROM:</w:t>
      </w:r>
      <w:r>
        <w:t xml:space="preserve"> </w:t>
      </w:r>
      <w:r>
        <w:t xml:space="preserve">Catherine R. Bellingham, Partner, and David Osei-Mensah, Senior Associate, Ashford &amp; Whitmore LLP</w:t>
      </w:r>
    </w:p>
    <w:p>
      <w:pPr>
        <w:pStyle w:val="BodyText"/>
      </w:pPr>
      <w:r>
        <w:rPr>
          <w:b/>
          <w:bCs/>
        </w:rPr>
        <w:t xml:space="preserve">DATE:</w:t>
      </w:r>
      <w:r>
        <w:t xml:space="preserve"> </w:t>
      </w:r>
      <w:r>
        <w:t xml:space="preserve">June 28, 2024</w:t>
      </w:r>
    </w:p>
    <w:p>
      <w:pPr>
        <w:pStyle w:val="BodyText"/>
      </w:pPr>
      <w:r>
        <w:rPr>
          <w:b/>
          <w:bCs/>
        </w:rPr>
        <w:t xml:space="preserve">RE:</w:t>
      </w:r>
      <w:r>
        <w:t xml:space="preserve"> </w:t>
      </w:r>
      <w:r>
        <w:t xml:space="preserve">Issues Identified in Connection with the Proposed OFAC Specific License Application — Export of CancerDetect RX-700 Reagent Kits, CalibPro 3100 Calibration Units, and Remote Training Services to Damascus Central University Hospital, Damascus, Syria</w:t>
      </w:r>
    </w:p>
    <w:p>
      <w:r>
        <w:pict>
          <v:rect style="width:0;height:1.5pt" o:hralign="center" o:hrstd="t" o:hr="t"/>
        </w:pict>
      </w:r>
    </w:p>
    <w:bookmarkStart w:id="21" w:name="i.-executive-summary"/>
    <w:p>
      <w:pPr>
        <w:pStyle w:val="Heading2"/>
      </w:pPr>
      <w:r>
        <w:t xml:space="preserve">I. Executive Summary</w:t>
      </w:r>
    </w:p>
    <w:p>
      <w:pPr>
        <w:pStyle w:val="FirstParagraph"/>
      </w:pPr>
      <w:r>
        <w:t xml:space="preserve">You have asked us to prepare an OFAC specific license application on behalf of Meridian Biotech Solutions,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to authorize the export of 500 CancerDetect RX-700 reagent kits, 4 CalibPro 3100 calibration units, and approximately 40 hours of remote training services (total aggregate value $1,280,000) to Damascus Central University Hospital (</w:t>
      </w:r>
      <w:r>
        <w:t xml:space="preserve">“</w:t>
      </w:r>
      <w:r>
        <w:t xml:space="preserve">DCUH</w:t>
      </w:r>
      <w:r>
        <w:t xml:space="preserve">”</w:t>
      </w:r>
      <w:r>
        <w:t xml:space="preserve">) in Damascus, Syria. This memorandum identifies the legal, compliance, and transaction-structuring issues that we have identified in our review of the source documents, together with our recommendations and a prioritized action plan. A companion specific license application has been prepared concurrently and is being delivered with this memorandum.</w:t>
      </w:r>
    </w:p>
    <w:p>
      <w:pPr>
        <w:pStyle w:val="BodyText"/>
      </w:pPr>
      <w:r>
        <w:t xml:space="preserve">The transaction is, at its core, a strong candidate for OFAC specific licensing: the goods are humanitarian cancer diagnostic supplies responding to a documented WHO-identified emergency; the end-user is a public hospital; both products are classified EAR99; and Meridian has a clean enforcement record and a successful prior specific license (SYR-2021-384712). We concur with the Compliance Department’s overall risk assessment of</w:t>
      </w:r>
      <w:r>
        <w:t xml:space="preserve"> </w:t>
      </w:r>
      <w:r>
        <w:rPr>
          <w:b/>
          <w:bCs/>
        </w:rPr>
        <w:t xml:space="preserve">Moderate-to-High</w:t>
      </w:r>
      <w:r>
        <w:t xml:space="preserve">.</w:t>
      </w:r>
    </w:p>
    <w:p>
      <w:pPr>
        <w:pStyle w:val="BodyText"/>
      </w:pPr>
      <w:r>
        <w:t xml:space="preserve">However, our review has identified four material hurdles that must be resolved before the application is filed and that drive the structure of the application:</w:t>
      </w:r>
    </w:p>
    <w:p>
      <w:pPr>
        <w:pStyle w:val="Compact"/>
        <w:numPr>
          <w:ilvl w:val="0"/>
          <w:numId w:val="1001"/>
        </w:numPr>
      </w:pPr>
      <w:r>
        <w:rPr>
          <w:b/>
          <w:bCs/>
        </w:rPr>
        <w:t xml:space="preserve">The remitting bank named in the DCUH purchase order — the Central Bank of Calverley — is on the SDN List.</w:t>
      </w:r>
      <w:r>
        <w:t xml:space="preserve"> </w:t>
      </w:r>
      <w:r>
        <w:t xml:space="preserve">Payment through CBS is prohibited and must be restructured to a non-SDN-listed Syrian commercial bank, consistent with the express condition of Meridian’s prior license.</w:t>
      </w:r>
    </w:p>
    <w:p>
      <w:pPr>
        <w:pStyle w:val="Compact"/>
        <w:numPr>
          <w:ilvl w:val="0"/>
          <w:numId w:val="1001"/>
        </w:numPr>
      </w:pPr>
      <w:r>
        <w:rPr>
          <w:b/>
          <w:bCs/>
        </w:rPr>
        <w:t xml:space="preserve">A 30% shareholder of the proposed Syrian customs agent (ARMPC) — Samir Daoud Khoury — is on the SDN List.</w:t>
      </w:r>
      <w:r>
        <w:t xml:space="preserve"> </w:t>
      </w:r>
      <w:r>
        <w:t xml:space="preserve">ARMPC is not blocked under the 50 Percent Rule, but the SDN nexus (and the stated basis of Mr. Khoury’s designation —</w:t>
      </w:r>
      <w:r>
        <w:t xml:space="preserve"> </w:t>
      </w:r>
      <w:r>
        <w:t xml:space="preserve">“</w:t>
      </w:r>
      <w:r>
        <w:t xml:space="preserve">a sanctioned Syrian military procurement network</w:t>
      </w:r>
      <w:r>
        <w:t xml:space="preserve">”</w:t>
      </w:r>
      <w:r>
        <w:t xml:space="preserve">) must be fully disclosed and is a significant risk factor that may warrant substituting ARMPC before filing.</w:t>
      </w:r>
    </w:p>
    <w:p>
      <w:pPr>
        <w:pStyle w:val="Compact"/>
        <w:numPr>
          <w:ilvl w:val="0"/>
          <w:numId w:val="1001"/>
        </w:numPr>
      </w:pPr>
      <w:r>
        <w:rPr>
          <w:b/>
          <w:bCs/>
        </w:rPr>
        <w:t xml:space="preserve">DCUH is an instrumentality of the Government of Syria</w:t>
      </w:r>
      <w:r>
        <w:t xml:space="preserve">, comprehensively sanctioned under E.O. 13582 and 31 C.F.R. Part 542, requiring specific authorization; counsel must confirm that no general license covers the transaction.</w:t>
      </w:r>
    </w:p>
    <w:p>
      <w:pPr>
        <w:pStyle w:val="Compact"/>
        <w:numPr>
          <w:ilvl w:val="0"/>
          <w:numId w:val="1001"/>
        </w:numPr>
      </w:pPr>
      <w:r>
        <w:rPr>
          <w:b/>
          <w:bCs/>
        </w:rPr>
        <w:t xml:space="preserve">The remote training curriculum transfers technical data</w:t>
      </w:r>
      <w:r>
        <w:t xml:space="preserve"> </w:t>
      </w:r>
      <w:r>
        <w:t xml:space="preserve">(proprietary instrument schematics, firmware diagnostic logs, calibration algorithm parameters, and a 287-page software reference manual) to Syrian nationals, raising both OFAC services-authorization and EAR technology-transfer/deemed-export considerations that must be scoped carefully.</w:t>
      </w:r>
    </w:p>
    <w:p>
      <w:pPr>
        <w:pStyle w:val="FirstParagraph"/>
      </w:pPr>
      <w:r>
        <w:t xml:space="preserve">Additional issues concerning the use of intermediaries (which the prior license did not authorize), end-use monitoring and diversion risk, cold-chain integrity, license timing, reporting conditions, and the inconsistency between the General Counsel’s June 24 email and the Compliance Department’s June 10 screening memorandum are addressed below.</w:t>
      </w:r>
    </w:p>
    <w:p>
      <w:pPr>
        <w:pStyle w:val="BodyText"/>
      </w:pPr>
      <w:r>
        <w:t xml:space="preserve">We recommend that Meridian (i) restructure the payment away from CBS before filing; (ii) make a prompt decision on whether to substitute ARMPC; (iii) defer written acceptance of the DCUH purchase order until the payment terms are amended and the license is in hand; and (iv) file the specific license application as soon as the payment restructuring and the ARMPC decision are resolved, given the 90–180 day OFAC processing window and the September 1, 2024 target effective date.</w:t>
      </w:r>
    </w:p>
    <w:p>
      <w:r>
        <w:pict>
          <v:rect style="width:0;height:1.5pt" o:hralign="center" o:hrstd="t" o:hr="t"/>
        </w:pict>
      </w:r>
    </w:p>
    <w:bookmarkEnd w:id="21"/>
    <w:bookmarkStart w:id="22" w:name="ii.-background-and-documents-reviewed"/>
    <w:p>
      <w:pPr>
        <w:pStyle w:val="Heading2"/>
      </w:pPr>
      <w:r>
        <w:t xml:space="preserve">II. Background and Documents Reviewed</w:t>
      </w:r>
    </w:p>
    <w:p>
      <w:pPr>
        <w:pStyle w:val="FirstParagraph"/>
      </w:pPr>
      <w:r>
        <w:t xml:space="preserve">We have reviewed the following documents in preparing this memorandum and the accompanying application:</w:t>
      </w:r>
    </w:p>
    <w:p>
      <w:pPr>
        <w:pStyle w:val="Compact"/>
        <w:numPr>
          <w:ilvl w:val="0"/>
          <w:numId w:val="1002"/>
        </w:numPr>
      </w:pPr>
      <w:r>
        <w:rPr>
          <w:b/>
          <w:bCs/>
        </w:rPr>
        <w:t xml:space="preserve">Client email</w:t>
      </w:r>
      <w:r>
        <w:t xml:space="preserve"> </w:t>
      </w:r>
      <w:r>
        <w:t xml:space="preserve">from Jonathan D. Halsted (General Counsel) to Catherine R. Bellingham and David Osei-Mensah, dated June 24, 2024 — transaction summary and background.</w:t>
      </w:r>
    </w:p>
    <w:p>
      <w:pPr>
        <w:pStyle w:val="Compact"/>
        <w:numPr>
          <w:ilvl w:val="0"/>
          <w:numId w:val="1002"/>
        </w:numPr>
      </w:pPr>
      <w:r>
        <w:rPr>
          <w:b/>
          <w:bCs/>
        </w:rPr>
        <w:t xml:space="preserve">Compliance Screening Memorandum</w:t>
      </w:r>
      <w:r>
        <w:t xml:space="preserve"> </w:t>
      </w:r>
      <w:r>
        <w:t xml:space="preserve">prepared by Margaret Dunleavy (CCO), dated June 10, 2024 (screening completed June 3, 2024).</w:t>
      </w:r>
    </w:p>
    <w:p>
      <w:pPr>
        <w:pStyle w:val="Compact"/>
        <w:numPr>
          <w:ilvl w:val="0"/>
          <w:numId w:val="1002"/>
        </w:numPr>
      </w:pPr>
      <w:r>
        <w:rPr>
          <w:b/>
          <w:bCs/>
        </w:rPr>
        <w:t xml:space="preserve">DCUH Purchase Order No. PO-DCUH-2024-0743</w:t>
      </w:r>
      <w:r>
        <w:t xml:space="preserve">, dated June 17, 2024 (certified English translation).</w:t>
      </w:r>
    </w:p>
    <w:p>
      <w:pPr>
        <w:pStyle w:val="Compact"/>
        <w:numPr>
          <w:ilvl w:val="0"/>
          <w:numId w:val="1002"/>
        </w:numPr>
      </w:pPr>
      <w:r>
        <w:rPr>
          <w:b/>
          <w:bCs/>
        </w:rPr>
        <w:t xml:space="preserve">Product Technical Data Sheets</w:t>
      </w:r>
      <w:r>
        <w:t xml:space="preserve"> </w:t>
      </w:r>
      <w:r>
        <w:t xml:space="preserve">(Combined Specification Document No. TDS-2024-0347, Rev. March 15, 2024).</w:t>
      </w:r>
    </w:p>
    <w:p>
      <w:pPr>
        <w:pStyle w:val="Compact"/>
        <w:numPr>
          <w:ilvl w:val="0"/>
          <w:numId w:val="1002"/>
        </w:numPr>
      </w:pPr>
      <w:r>
        <w:rPr>
          <w:b/>
          <w:bCs/>
        </w:rPr>
        <w:t xml:space="preserve">Proposed Shipping Route and Logistics Plan</w:t>
      </w:r>
      <w:r>
        <w:t xml:space="preserve"> </w:t>
      </w:r>
      <w:r>
        <w:t xml:space="preserve">prepared by Pinnacle Freight International, Inc., dated June 25, 2024.</w:t>
      </w:r>
    </w:p>
    <w:p>
      <w:pPr>
        <w:pStyle w:val="Compact"/>
        <w:numPr>
          <w:ilvl w:val="0"/>
          <w:numId w:val="1002"/>
        </w:numPr>
      </w:pPr>
      <w:r>
        <w:rPr>
          <w:b/>
          <w:bCs/>
        </w:rPr>
        <w:t xml:space="preserve">WHO Syria Country Office, Comprehensive Health Needs Assessment: Syrian Arab Republic — 2024 Update</w:t>
      </w:r>
      <w:r>
        <w:t xml:space="preserve"> </w:t>
      </w:r>
      <w:r>
        <w:t xml:space="preserve">(January 2024), Section 4.7.</w:t>
      </w:r>
    </w:p>
    <w:p>
      <w:pPr>
        <w:pStyle w:val="Compact"/>
        <w:numPr>
          <w:ilvl w:val="0"/>
          <w:numId w:val="1002"/>
        </w:numPr>
      </w:pPr>
      <w:r>
        <w:rPr>
          <w:b/>
          <w:bCs/>
        </w:rPr>
        <w:t xml:space="preserve">Prior OFAC Specific License No. SYR-2021-384712</w:t>
      </w:r>
      <w:r>
        <w:t xml:space="preserve">, issued September 14, 2021 (expired March 31, 2023).</w:t>
      </w:r>
    </w:p>
    <w:p>
      <w:pPr>
        <w:pStyle w:val="Compact"/>
        <w:numPr>
          <w:ilvl w:val="0"/>
          <w:numId w:val="1002"/>
        </w:numPr>
      </w:pPr>
      <w:r>
        <w:rPr>
          <w:b/>
          <w:bCs/>
        </w:rPr>
        <w:t xml:space="preserve">Graystone Compliance Partners LLC, OFAC Sanctions Compliance Program Audit Executive Summary</w:t>
      </w:r>
      <w:r>
        <w:t xml:space="preserve">, dated September 29, 2023.</w:t>
      </w:r>
    </w:p>
    <w:p>
      <w:r>
        <w:pict>
          <v:rect style="width:0;height:1.5pt" o:hralign="center" o:hrstd="t" o:hr="t"/>
        </w:pict>
      </w:r>
    </w:p>
    <w:bookmarkEnd w:id="22"/>
    <w:bookmarkStart w:id="40" w:name="iii.-issues-and-recommendations"/>
    <w:p>
      <w:pPr>
        <w:pStyle w:val="Heading2"/>
      </w:pPr>
      <w:r>
        <w:t xml:space="preserve">III. Issues and Recommendations</w:t>
      </w:r>
    </w:p>
    <w:bookmarkStart w:id="23" w:name="X7f255926f71784f799d3ebf8b7ad6507aac81f2"/>
    <w:p>
      <w:pPr>
        <w:pStyle w:val="Heading3"/>
      </w:pPr>
      <w:r>
        <w:t xml:space="preserve">Issue 1 — SDN-Listed Remitting Bank: Central Bank of Calverley</w:t>
      </w:r>
    </w:p>
    <w:p>
      <w:pPr>
        <w:pStyle w:val="FirstParagraph"/>
      </w:pPr>
      <w:r>
        <w:rPr>
          <w:b/>
          <w:bCs/>
        </w:rPr>
        <w:t xml:space="preserve">Identification.</w:t>
      </w:r>
      <w:r>
        <w:t xml:space="preserve"> </w:t>
      </w:r>
      <w:r>
        <w:t xml:space="preserve">The DCUH purchase order (Section 4) specifies that the $1,280,000 advance payment be remitted by wire transfer</w:t>
      </w:r>
      <w:r>
        <w:t xml:space="preserve"> </w:t>
      </w:r>
      <w:r>
        <w:t xml:space="preserve">“</w:t>
      </w:r>
      <w:r>
        <w:t xml:space="preserve">from the account of Damascus Central University Hospital held at the Central Bank of Calverley.</w:t>
      </w:r>
      <w:r>
        <w:t xml:space="preserve">”</w:t>
      </w:r>
      <w:r>
        <w:t xml:space="preserve"> </w:t>
      </w:r>
      <w:r>
        <w:t xml:space="preserve">The Compliance Screening Memorandum (Note 4) identifies the Central Bank of Calverley (</w:t>
      </w:r>
      <w:r>
        <w:t xml:space="preserve">“</w:t>
      </w:r>
      <w:r>
        <w:t xml:space="preserve">CBS</w:t>
      </w:r>
      <w:r>
        <w:t xml:space="preserve">”</w:t>
      </w:r>
      <w:r>
        <w:t xml:space="preserve">) as a positive match on the SDN List, added August 10, 2011 pursuant to E.O. 13582. The client email likewise describes payment from</w:t>
      </w:r>
      <w:r>
        <w:t xml:space="preserve"> </w:t>
      </w:r>
      <w:r>
        <w:t xml:space="preserve">“</w:t>
      </w:r>
      <w:r>
        <w:t xml:space="preserve">DCUH’s account at the Central Bank of Calverley.</w:t>
      </w:r>
      <w:r>
        <w:t xml:space="preserve">”</w:t>
      </w:r>
    </w:p>
    <w:p>
      <w:pPr>
        <w:pStyle w:val="BodyText"/>
      </w:pPr>
      <w:r>
        <w:rPr>
          <w:b/>
          <w:bCs/>
        </w:rPr>
        <w:t xml:space="preserve">Why it matters.</w:t>
      </w:r>
      <w:r>
        <w:t xml:space="preserve"> </w:t>
      </w:r>
      <w:r>
        <w:t xml:space="preserve">Payment routed through CBS would constitute a prohibited transaction with a blocked person under the Syrian Sanctions Regulations, 31 C.F.R. Part 542. No U.S. financial institution may process a funds transfer originating from CBS absent specific OFAC authorization, and any such funds received would be subject to blocking. This is a disqualifying feature of the transaction as currently documented in the PO. Critically, Meridian’s own prior license (SYR-2021-384712) expressly authorized payment</w:t>
      </w:r>
      <w:r>
        <w:t xml:space="preserve"> </w:t>
      </w:r>
      <w:r>
        <w:t xml:space="preserve">“</w:t>
      </w:r>
      <w:r>
        <w:t xml:space="preserve">via wire transfer from a non-SDN-listed Syrian commercial bank</w:t>
      </w:r>
      <w:r>
        <w:t xml:space="preserve">”</w:t>
      </w:r>
      <w:r>
        <w:t xml:space="preserve"> </w:t>
      </w:r>
      <w:r>
        <w:t xml:space="preserve">and stated that</w:t>
      </w:r>
      <w:r>
        <w:t xml:space="preserve"> </w:t>
      </w:r>
      <w:r>
        <w:t xml:space="preserve">“</w:t>
      </w:r>
      <w:r>
        <w:t xml:space="preserve">[p]ayment shall not be routed through the Central Bank of Calverley or any institution appearing on the SDN List.</w:t>
      </w:r>
      <w:r>
        <w:t xml:space="preserve">”</w:t>
      </w:r>
      <w:r>
        <w:t xml:space="preserve"> </w:t>
      </w:r>
      <w:r>
        <w:t xml:space="preserve">The current PO structure therefore regresses from the conditions Meridian already successfully satisfied under its prior license.</w:t>
      </w:r>
    </w:p>
    <w:p>
      <w:pPr>
        <w:pStyle w:val="BodyText"/>
      </w:pPr>
      <w:r>
        <w:rPr>
          <w:b/>
          <w:bCs/>
        </w:rPr>
        <w:t xml:space="preserve">Recommendation.</w:t>
      </w:r>
      <w:r>
        <w:t xml:space="preserve"> </w:t>
      </w:r>
      <w:r>
        <w:rPr>
          <w:b/>
          <w:bCs/>
        </w:rPr>
        <w:t xml:space="preserve">[Critical — resolve before filing.]</w:t>
      </w:r>
      <w:r>
        <w:t xml:space="preserve"> </w:t>
      </w:r>
      <w:r>
        <w:t xml:space="preserve">Restructure the payment so that it flows from a non-SDN-listed Syrian commercial bank (or, alternatively, a third-country bank acceptable to OFAC) to Meridian’s account at Harborview National Bank. Amend the DCUH purchase order to substitute the non-SDN bank for CBS before the PO is accepted. The Compliance Department should screen the substitute bank against all applicable lists and confirm the result. The application (Section IX) is drafted on this restructured basis and expressly requests that the license prohibit routing through CBS or any SDN-listed institution. We do</w:t>
      </w:r>
      <w:r>
        <w:t xml:space="preserve"> </w:t>
      </w:r>
      <w:r>
        <w:rPr>
          <w:b/>
          <w:bCs/>
        </w:rPr>
        <w:t xml:space="preserve">not</w:t>
      </w:r>
      <w:r>
        <w:t xml:space="preserve"> </w:t>
      </w:r>
      <w:r>
        <w:t xml:space="preserve">recommend seeking authorization to use CBS; doing so would materially diminish the prospect of issuance and would associate the transaction with a blocked central bank.</w:t>
      </w:r>
    </w:p>
    <w:p>
      <w:pPr>
        <w:pStyle w:val="BodyText"/>
      </w:pPr>
      <w:r>
        <w:rPr>
          <w:b/>
          <w:bCs/>
        </w:rPr>
        <w:t xml:space="preserve">Priority: Critical.</w:t>
      </w:r>
    </w:p>
    <w:p>
      <w:r>
        <w:pict>
          <v:rect style="width:0;height:1.5pt" o:hralign="center" o:hrstd="t" o:hr="t"/>
        </w:pict>
      </w:r>
    </w:p>
    <w:bookmarkEnd w:id="23"/>
    <w:bookmarkStart w:id="24" w:name="X781f31f6a62683b54aa92320af15ddf5bf482da"/>
    <w:p>
      <w:pPr>
        <w:pStyle w:val="Heading3"/>
      </w:pPr>
      <w:r>
        <w:t xml:space="preserve">Issue 2 — SDN-Listed 30% Shareholder of ARMPC: Samir Daoud Khoury</w:t>
      </w:r>
    </w:p>
    <w:p>
      <w:pPr>
        <w:pStyle w:val="FirstParagraph"/>
      </w:pPr>
      <w:r>
        <w:rPr>
          <w:b/>
          <w:bCs/>
        </w:rPr>
        <w:t xml:space="preserve">Identification.</w:t>
      </w:r>
      <w:r>
        <w:t xml:space="preserve"> </w:t>
      </w:r>
      <w:r>
        <w:t xml:space="preserve">ARMPC (the proposed Syrian customs clearance and import logistics agent) is not itself listed on the SDN List, and its Managing Director, Tariq Nabil Hammoud, returned no match. However, the Compliance Screening Memorandum (Note 3) reports that, through Meridian’s enhanced beneficial ownership screening platform, the Compliance Department identified that</w:t>
      </w:r>
      <w:r>
        <w:t xml:space="preserve"> </w:t>
      </w:r>
      <w:r>
        <w:rPr>
          <w:b/>
          <w:bCs/>
        </w:rPr>
        <w:t xml:space="preserve">Samir Daoud Khoury</w:t>
      </w:r>
      <w:r>
        <w:t xml:space="preserve"> </w:t>
      </w:r>
      <w:r>
        <w:t xml:space="preserve">holds a 30% ownership interest in ARMPC and is designated on the SDN List (added April 15, 2024; DOB March 12, 1971; Syrian nationality; Passport No. S-0048712; basis:</w:t>
      </w:r>
      <w:r>
        <w:t xml:space="preserve"> </w:t>
      </w:r>
      <w:r>
        <w:t xml:space="preserve">“</w:t>
      </w:r>
      <w:r>
        <w:t xml:space="preserve">Acting on behalf of a sanctioned Syrian military procurement network</w:t>
      </w:r>
      <w:r>
        <w:t xml:space="preserve">”</w:t>
      </w:r>
      <w:r>
        <w:t xml:space="preserve">).</w:t>
      </w:r>
    </w:p>
    <w:p>
      <w:pPr>
        <w:pStyle w:val="BodyText"/>
      </w:pPr>
      <w:r>
        <w:rPr>
          <w:b/>
          <w:bCs/>
        </w:rPr>
        <w:t xml:space="preserve">Why it matters.</w:t>
      </w:r>
      <w:r>
        <w:t xml:space="preserve"> </w:t>
      </w:r>
      <w:r>
        <w:t xml:space="preserve">Under OFAC’s 50 Percent Rule, an entity is blocked only where SDN-listed persons own, individually or in the aggregate, 50% or more of the entity. Mr. Khoury’s 30% stake falls below that threshold, so ARMPC is not automatically a blocked entity. Nonetheless, OFAC guidance warns that transacting with entities in which SDN-listed persons hold significant minority interests presents elevated sanctions risk, and OFAC expects full disclosure of such relationships in any license application. Two features heighten the concern here: (i) Mr. Khoury was designated only on April 15, 2024 — very recently — indicating a dynamic risk environment; and (ii) the stated basis of his designation is acting on behalf of</w:t>
      </w:r>
      <w:r>
        <w:t xml:space="preserve"> </w:t>
      </w:r>
      <w:r>
        <w:t xml:space="preserve">“</w:t>
      </w:r>
      <w:r>
        <w:t xml:space="preserve">a sanctioned Syrian military procurement network,</w:t>
      </w:r>
      <w:r>
        <w:t xml:space="preserve">”</w:t>
      </w:r>
      <w:r>
        <w:t xml:space="preserve"> </w:t>
      </w:r>
      <w:r>
        <w:t xml:space="preserve">which raises a potential diversion concern for goods transiting through an entity he partly owns, even though the goods themselves are humanitarian diagnostic supplies with no military application. In addition, Meridian’s prior license authorized</w:t>
      </w:r>
      <w:r>
        <w:t xml:space="preserve"> </w:t>
      </w:r>
      <w:r>
        <w:rPr>
          <w:b/>
          <w:bCs/>
        </w:rPr>
        <w:t xml:space="preserve">no procurement intermediary</w:t>
      </w:r>
      <w:r>
        <w:t xml:space="preserve"> </w:t>
      </w:r>
      <w:r>
        <w:t xml:space="preserve">(</w:t>
      </w:r>
      <w:r>
        <w:t xml:space="preserve">“</w:t>
      </w:r>
      <w:r>
        <w:t xml:space="preserve">No procurement agent, distributor, or other intermediary is authorized under this license</w:t>
      </w:r>
      <w:r>
        <w:t xml:space="preserve">”</w:t>
      </w:r>
      <w:r>
        <w:t xml:space="preserve">), so the use of ARMPC is itself a departure from the prior licensed structure.</w:t>
      </w:r>
    </w:p>
    <w:p>
      <w:pPr>
        <w:pStyle w:val="BodyText"/>
      </w:pPr>
      <w:r>
        <w:rPr>
          <w:b/>
          <w:bCs/>
        </w:rPr>
        <w:t xml:space="preserve">Recommendation.</w:t>
      </w:r>
      <w:r>
        <w:t xml:space="preserve"> </w:t>
      </w:r>
      <w:r>
        <w:rPr>
          <w:b/>
          <w:bCs/>
        </w:rPr>
        <w:t xml:space="preserve">[Critical/High — resolve before or contemporaneously with filing.]</w:t>
      </w:r>
    </w:p>
    <w:p>
      <w:pPr>
        <w:pStyle w:val="Compact"/>
        <w:numPr>
          <w:ilvl w:val="0"/>
          <w:numId w:val="1003"/>
        </w:numPr>
      </w:pPr>
      <w:r>
        <w:rPr>
          <w:b/>
          <w:bCs/>
        </w:rPr>
        <w:t xml:space="preserve">Preferred path:</w:t>
      </w:r>
      <w:r>
        <w:t xml:space="preserve"> </w:t>
      </w:r>
      <w:r>
        <w:t xml:space="preserve">Identify and substitute a Syrian customs clearance / import logistics agent that has no SDN ownership nexus, and re-screen that substitute. A cleaner counterparty structure will materially strengthen the application and reduce the risk of denial or restrictive conditions.</w:t>
      </w:r>
    </w:p>
    <w:p>
      <w:pPr>
        <w:pStyle w:val="Compact"/>
        <w:numPr>
          <w:ilvl w:val="0"/>
          <w:numId w:val="1003"/>
        </w:numPr>
      </w:pPr>
      <w:r>
        <w:rPr>
          <w:b/>
          <w:bCs/>
        </w:rPr>
        <w:t xml:space="preserve">If ARMPC is retained:</w:t>
      </w:r>
      <w:r>
        <w:t xml:space="preserve"> </w:t>
      </w:r>
      <w:r>
        <w:t xml:space="preserve">The application must fully and candidly disclose Mr. Khoury’s SDN designation and 30% ownership, present the 50 Percent Rule analysis, and request OFAC’s authorization for ARMPC’s limited role. The application (Section X.B) is drafted to make this disclosure and to propose mitigations (limiting ARMPC to customs/logistics with no role in procurement, payment, or end-use; 90-day and pre-shipment re-screening; end-use monitoring; direct delivery to DCUH; immediate notification of any ownership change). Meridian should be prepared for OFAC to condition or deny authorization of ARMPC.</w:t>
      </w:r>
    </w:p>
    <w:p>
      <w:pPr>
        <w:pStyle w:val="Compact"/>
        <w:numPr>
          <w:ilvl w:val="0"/>
          <w:numId w:val="1003"/>
        </w:numPr>
      </w:pPr>
      <w:r>
        <w:t xml:space="preserve">In either case, re-screen ARMPC and its known beneficial owners immediately before filing and again before any shipment, and implement the escalation policy recommended by Graystone (Finding 1) for any SDN ownership interest, regardless of the 50% threshold.</w:t>
      </w:r>
    </w:p>
    <w:p>
      <w:pPr>
        <w:pStyle w:val="FirstParagraph"/>
      </w:pPr>
      <w:r>
        <w:rPr>
          <w:b/>
          <w:bCs/>
        </w:rPr>
        <w:t xml:space="preserve">Priority: Critical/High.</w:t>
      </w:r>
    </w:p>
    <w:p>
      <w:r>
        <w:pict>
          <v:rect style="width:0;height:1.5pt" o:hralign="center" o:hrstd="t" o:hr="t"/>
        </w:pict>
      </w:r>
    </w:p>
    <w:bookmarkEnd w:id="24"/>
    <w:bookmarkStart w:id="25" w:name="X80cfdf46dd5f85dc4ce7b0636a2274b79d483c5"/>
    <w:p>
      <w:pPr>
        <w:pStyle w:val="Heading3"/>
      </w:pPr>
      <w:r>
        <w:t xml:space="preserve">Issue 3 — Governmental End-User; Authorization Framework and General-License Analysis</w:t>
      </w:r>
    </w:p>
    <w:p>
      <w:pPr>
        <w:pStyle w:val="FirstParagraph"/>
      </w:pPr>
      <w:r>
        <w:rPr>
          <w:b/>
          <w:bCs/>
        </w:rPr>
        <w:t xml:space="preserve">Identification.</w:t>
      </w:r>
      <w:r>
        <w:t xml:space="preserve"> </w:t>
      </w:r>
      <w:r>
        <w:t xml:space="preserve">DCUH is a public teaching hospital affiliated with the University of Damascus, Faculty of Medicine, and operates under the administrative authority and budgetary oversight of the Syrian Ministry of Health (Compliance Memorandum Notes 1–2; PO Section 1). As such, DCUH is an instrumentality of the Government of Syria, which is comprehensively sanctioned under E.O. 13582 and the Syrian Sanctions Regulations, 31 C.F.R. Part 542. The Syrian Ministry of Health is likewise an instrumentality of the Government of Syria.</w:t>
      </w:r>
    </w:p>
    <w:p>
      <w:pPr>
        <w:pStyle w:val="BodyText"/>
      </w:pPr>
      <w:r>
        <w:rPr>
          <w:b/>
          <w:bCs/>
        </w:rPr>
        <w:t xml:space="preserve">Why it matters.</w:t>
      </w:r>
      <w:r>
        <w:t xml:space="preserve"> </w:t>
      </w:r>
      <w:r>
        <w:t xml:space="preserve">Transactions involving the Government of Syria or its instrumentalities are prohibited absent OFAC authorization. The Compliance Department appropriately deferred to outside counsel on whether a general license or a specific license is required. The Syrian Sanctions Regulations contain general authorizations for certain humanitarian transactions (including, for example, the exportation of food and medicine to Syria). However, those general licenses generally do not authorize transactions involving the Government of Syria or its instrumentalities, transactions involving SDN-listed parties or entities in which SDNs hold an ownership interest, the provision of services, or the use of SDN-listed financial institutions — each of which is present or potentially present here. We therefore conclude that a</w:t>
      </w:r>
      <w:r>
        <w:t xml:space="preserve"> </w:t>
      </w:r>
      <w:r>
        <w:rPr>
          <w:b/>
          <w:bCs/>
        </w:rPr>
        <w:t xml:space="preserve">specific license</w:t>
      </w:r>
      <w:r>
        <w:t xml:space="preserve"> </w:t>
      </w:r>
      <w:r>
        <w:t xml:space="preserve">is the appropriate authorization pathway.</w:t>
      </w:r>
    </w:p>
    <w:p>
      <w:pPr>
        <w:pStyle w:val="BodyText"/>
      </w:pPr>
      <w:r>
        <w:rPr>
          <w:b/>
          <w:bCs/>
        </w:rPr>
        <w:t xml:space="preserve">Recommendation.</w:t>
      </w:r>
      <w:r>
        <w:t xml:space="preserve"> </w:t>
      </w:r>
      <w:r>
        <w:rPr>
          <w:b/>
          <w:bCs/>
        </w:rPr>
        <w:t xml:space="preserve">[High.]</w:t>
      </w:r>
      <w:r>
        <w:t xml:space="preserve"> </w:t>
      </w:r>
      <w:r>
        <w:t xml:space="preserve">Confirm, before filing, that no applicable general license covers the full scope of the transaction (export of goods, provision of training services, transit through Turkey, use of intermediaries, governmental end-user, and the payment flow). File the specific license application, which requests authorization for transactions involving DCUH as a governmental end-user. The application (Sections V and X) discloses DCUH’s governmental status and the Ministry of Health relationship. If OFAC indicates that any component is general-license-eligible, we will narrow the specific-license request accordingly.</w:t>
      </w:r>
    </w:p>
    <w:p>
      <w:pPr>
        <w:pStyle w:val="BodyText"/>
      </w:pPr>
      <w:r>
        <w:rPr>
          <w:b/>
          <w:bCs/>
        </w:rPr>
        <w:t xml:space="preserve">Priority: High.</w:t>
      </w:r>
    </w:p>
    <w:p>
      <w:r>
        <w:pict>
          <v:rect style="width:0;height:1.5pt" o:hralign="center" o:hrstd="t" o:hr="t"/>
        </w:pict>
      </w:r>
    </w:p>
    <w:bookmarkEnd w:id="25"/>
    <w:bookmarkStart w:id="26" w:name="X3412bd9f0381bae4debc387b06039f99607d4b0"/>
    <w:p>
      <w:pPr>
        <w:pStyle w:val="Heading3"/>
      </w:pPr>
      <w:r>
        <w:t xml:space="preserve">Issue 4 — Technology Transfer / Deemed-Export Considerations Arising from the Remote Training</w:t>
      </w:r>
    </w:p>
    <w:p>
      <w:pPr>
        <w:pStyle w:val="FirstParagraph"/>
      </w:pPr>
      <w:r>
        <w:rPr>
          <w:b/>
          <w:bCs/>
        </w:rPr>
        <w:t xml:space="preserve">Identification.</w:t>
      </w:r>
      <w:r>
        <w:t xml:space="preserve"> </w:t>
      </w:r>
      <w:r>
        <w:t xml:space="preserve">The transaction includes approximately 40 hours of remote training delivered via secure video link to DCUH laboratory personnel in Syria (PO Item 3; TDS Section 3). The curriculum (TDS Section 3.2) includes:</w:t>
      </w:r>
      <w:r>
        <w:t xml:space="preserve"> </w:t>
      </w:r>
      <w:r>
        <w:rPr>
          <w:b/>
          <w:bCs/>
        </w:rPr>
        <w:t xml:space="preserve">Module 2 — Instrument Schematics Review (6 hours)</w:t>
      </w:r>
      <w:r>
        <w:t xml:space="preserve">, providing</w:t>
      </w:r>
      <w:r>
        <w:t xml:space="preserve"> </w:t>
      </w:r>
      <w:r>
        <w:t xml:space="preserve">“</w:t>
      </w:r>
      <w:r>
        <w:t xml:space="preserve">proprietary instrument schematics and engineering diagrams,</w:t>
      </w:r>
      <w:r>
        <w:t xml:space="preserve">”</w:t>
      </w:r>
      <w:r>
        <w:t xml:space="preserve"> </w:t>
      </w:r>
      <w:r>
        <w:t xml:space="preserve">internal component layout, and the signal-processing pathway; and</w:t>
      </w:r>
      <w:r>
        <w:t xml:space="preserve"> </w:t>
      </w:r>
      <w:r>
        <w:rPr>
          <w:b/>
          <w:bCs/>
        </w:rPr>
        <w:t xml:space="preserve">Module 3 — Software Diagnostic Interface Training (8 hours)</w:t>
      </w:r>
      <w:r>
        <w:t xml:space="preserve">, covering access to and interpretation of</w:t>
      </w:r>
      <w:r>
        <w:t xml:space="preserve"> </w:t>
      </w:r>
      <w:r>
        <w:t xml:space="preserve">“</w:t>
      </w:r>
      <w:r>
        <w:t xml:space="preserve">firmware diagnostic logs,</w:t>
      </w:r>
      <w:r>
        <w:t xml:space="preserve">”</w:t>
      </w:r>
      <w:r>
        <w:t xml:space="preserve"> </w:t>
      </w:r>
      <w:r>
        <w:t xml:space="preserve">“</w:t>
      </w:r>
      <w:r>
        <w:t xml:space="preserve">calibration algorithm parameters and threshold settings,</w:t>
      </w:r>
      <w:r>
        <w:t xml:space="preserve">”</w:t>
      </w:r>
      <w:r>
        <w:t xml:space="preserve"> </w:t>
      </w:r>
      <w:r>
        <w:t xml:space="preserve">and instruction on</w:t>
      </w:r>
      <w:r>
        <w:t xml:space="preserve"> </w:t>
      </w:r>
      <w:r>
        <w:t xml:space="preserve">“</w:t>
      </w:r>
      <w:r>
        <w:t xml:space="preserve">proprietary software documentation, including the CalibPro 3100 Software Reference Manual (document MBS-SRM-3100-v4.2, 287 pages),</w:t>
      </w:r>
      <w:r>
        <w:t xml:space="preserve">”</w:t>
      </w:r>
      <w:r>
        <w:t xml:space="preserve"> </w:t>
      </w:r>
      <w:r>
        <w:t xml:space="preserve">which</w:t>
      </w:r>
      <w:r>
        <w:t xml:space="preserve"> </w:t>
      </w:r>
      <w:r>
        <w:t xml:space="preserve">“</w:t>
      </w:r>
      <w:r>
        <w:t xml:space="preserve">will be provided to training participants in electronic format.</w:t>
      </w:r>
      <w:r>
        <w:t xml:space="preserve">”</w:t>
      </w:r>
      <w:r>
        <w:t xml:space="preserve"> </w:t>
      </w:r>
      <w:r>
        <w:t xml:space="preserve">The TDS further notes (Sections 2.3, 3.2) that firmware updates beyond v4.2.1</w:t>
      </w:r>
      <w:r>
        <w:t xml:space="preserve"> </w:t>
      </w:r>
      <w:r>
        <w:t xml:space="preserve">“</w:t>
      </w:r>
      <w:r>
        <w:t xml:space="preserve">constitute a separate transaction and may require independent export authorization,</w:t>
      </w:r>
      <w:r>
        <w:t xml:space="preserve">”</w:t>
      </w:r>
      <w:r>
        <w:t xml:space="preserve"> </w:t>
      </w:r>
      <w:r>
        <w:t xml:space="preserve">and that post-training technical assistance</w:t>
      </w:r>
      <w:r>
        <w:t xml:space="preserve"> </w:t>
      </w:r>
      <w:r>
        <w:t xml:space="preserve">“</w:t>
      </w:r>
      <w:r>
        <w:t xml:space="preserve">involving the transfer of additional technical data, software, or proprietary information may require independent authorization.</w:t>
      </w:r>
      <w:r>
        <w:t xml:space="preserve">”</w:t>
      </w:r>
      <w:r>
        <w:t xml:space="preserve"> </w:t>
      </w:r>
      <w:r>
        <w:t xml:space="preserve">The Graystone audit (Finding 3) flagged that Meridian’s risk-assessment template did not address embedded software/firmware/encryption or deemed-export considerations for training provided to foreign nationals.</w:t>
      </w:r>
    </w:p>
    <w:p>
      <w:pPr>
        <w:pStyle w:val="BodyText"/>
      </w:pPr>
      <w:r>
        <w:rPr>
          <w:b/>
          <w:bCs/>
        </w:rPr>
        <w:t xml:space="preserve">Why it matters.</w:t>
      </w:r>
      <w:r>
        <w:t xml:space="preserve"> </w:t>
      </w:r>
      <w:r>
        <w:t xml:space="preserve">Two distinct regimes are implicated. First, under the Syrian Sanctions Regulations, the</w:t>
      </w:r>
      <w:r>
        <w:t xml:space="preserve"> </w:t>
      </w:r>
      <w:r>
        <w:rPr>
          <w:b/>
          <w:bCs/>
        </w:rPr>
        <w:t xml:space="preserve">provision of services</w:t>
      </w:r>
      <w:r>
        <w:t xml:space="preserve"> </w:t>
      </w:r>
      <w:r>
        <w:t xml:space="preserve">to Syria (including remote training) is prohibited absent OFAC authorization; the application must expressly request authorization for the training services, not only the export of physical goods. Second, under the EAR, the disclosure of technical data/technology to foreign persons can constitute a deemed export or deemed re-export. Although the products are classified EAR99, the training curriculum transfers proprietary technical data (schematics, firmware diagnostics, algorithm parameters, and a 287-page software reference manual) that must be evaluated for its own classification and for deemed-export implications when disclosed to Syrian nationals. The CalibPro 3100’s embedded AES-128 encryption (TDS Section 2.3) — while below EAR de minimis thresholds and not altering the EAR99 classification — should be documented in the analysis.</w:t>
      </w:r>
    </w:p>
    <w:p>
      <w:pPr>
        <w:pStyle w:val="BodyText"/>
      </w:pPr>
      <w:r>
        <w:rPr>
          <w:b/>
          <w:bCs/>
        </w:rPr>
        <w:t xml:space="preserve">Recommendation.</w:t>
      </w:r>
      <w:r>
        <w:t xml:space="preserve"> </w:t>
      </w:r>
      <w:r>
        <w:rPr>
          <w:b/>
          <w:bCs/>
        </w:rPr>
        <w:t xml:space="preserve">[High.]</w:t>
      </w:r>
    </w:p>
    <w:p>
      <w:pPr>
        <w:pStyle w:val="Compact"/>
        <w:numPr>
          <w:ilvl w:val="0"/>
          <w:numId w:val="1004"/>
        </w:numPr>
      </w:pPr>
      <w:r>
        <w:t xml:space="preserve">The application expressly requests authorization for the remote training services (Section IV.D) and expressly</w:t>
      </w:r>
      <w:r>
        <w:t xml:space="preserve"> </w:t>
      </w:r>
      <w:r>
        <w:rPr>
          <w:b/>
          <w:bCs/>
        </w:rPr>
        <w:t xml:space="preserve">excludes</w:t>
      </w:r>
      <w:r>
        <w:t xml:space="preserve"> </w:t>
      </w:r>
      <w:r>
        <w:t xml:space="preserve">firmware updates and post-training technical support involving additional technical data/software from the license scope (Sections IV.C, IV.D, XII.7(h)).</w:t>
      </w:r>
    </w:p>
    <w:p>
      <w:pPr>
        <w:pStyle w:val="Compact"/>
        <w:numPr>
          <w:ilvl w:val="0"/>
          <w:numId w:val="1004"/>
        </w:numPr>
      </w:pPr>
      <w:r>
        <w:t xml:space="preserve">Meridian’s engineering and regulatory teams should confirm the EAR classification of the technical data disclosed in Modules 2 and 3 (schematics, firmware diagnostics, algorithm parameters, and the Software Reference Manual) and document the analysis, addressing Graystone Finding 3. If any element is not EAR99, a separate BIS authorization analysis will be required.</w:t>
      </w:r>
    </w:p>
    <w:p>
      <w:pPr>
        <w:pStyle w:val="Compact"/>
        <w:numPr>
          <w:ilvl w:val="0"/>
          <w:numId w:val="1004"/>
        </w:numPr>
      </w:pPr>
      <w:r>
        <w:t xml:space="preserve">Consider narrowing Modules 2 and 3 to limit disclosure of the most sensitive proprietary technical data to what is strictly necessary for safe clinical operation, and document the rationale.</w:t>
      </w:r>
    </w:p>
    <w:p>
      <w:pPr>
        <w:pStyle w:val="Compact"/>
        <w:numPr>
          <w:ilvl w:val="0"/>
          <w:numId w:val="1004"/>
        </w:numPr>
      </w:pPr>
      <w:r>
        <w:t xml:space="preserve">Confirm that no firmware update will be provided or applied to exported units; ship only with factory firmware v4.2.1.</w:t>
      </w:r>
    </w:p>
    <w:p>
      <w:pPr>
        <w:pStyle w:val="FirstParagraph"/>
      </w:pPr>
      <w:r>
        <w:rPr>
          <w:b/>
          <w:bCs/>
        </w:rPr>
        <w:t xml:space="preserve">Priority: High.</w:t>
      </w:r>
    </w:p>
    <w:p>
      <w:r>
        <w:pict>
          <v:rect style="width:0;height:1.5pt" o:hralign="center" o:hrstd="t" o:hr="t"/>
        </w:pict>
      </w:r>
    </w:p>
    <w:bookmarkEnd w:id="26"/>
    <w:bookmarkStart w:id="27" w:name="Xc20bf954e54da09435234b0d33d9d8373789bd3"/>
    <w:p>
      <w:pPr>
        <w:pStyle w:val="Heading3"/>
      </w:pPr>
      <w:r>
        <w:t xml:space="preserve">Issue 5 — Use of Intermediaries and Routing Not Authorized Under the Prior License</w:t>
      </w:r>
    </w:p>
    <w:p>
      <w:pPr>
        <w:pStyle w:val="FirstParagraph"/>
      </w:pPr>
      <w:r>
        <w:rPr>
          <w:b/>
          <w:bCs/>
        </w:rPr>
        <w:t xml:space="preserve">Identification.</w:t>
      </w:r>
      <w:r>
        <w:t xml:space="preserve"> </w:t>
      </w:r>
      <w:r>
        <w:t xml:space="preserve">The prior license (SYR-2021-384712, Section II) stated:</w:t>
      </w:r>
      <w:r>
        <w:t xml:space="preserve"> </w:t>
      </w:r>
      <w:r>
        <w:t xml:space="preserve">“</w:t>
      </w:r>
      <w:r>
        <w:t xml:space="preserve">Procurement Intermediary: None. The authorized goods shall be shipped directly from the Licensee to the end-user via authorized freight channels. No procurement agent, distributor, or other intermediary is authorized under this license.</w:t>
      </w:r>
      <w:r>
        <w:t xml:space="preserve">”</w:t>
      </w:r>
      <w:r>
        <w:t xml:space="preserve"> </w:t>
      </w:r>
      <w:r>
        <w:t xml:space="preserve">The present transaction, by contrast, involves: Pinnacle Freight International (U.S. freight forwarder); Ankara Medical Transit Warehouse LLC (</w:t>
      </w:r>
      <w:r>
        <w:t xml:space="preserve">“</w:t>
      </w:r>
      <w:r>
        <w:t xml:space="preserve">AMTW</w:t>
      </w:r>
      <w:r>
        <w:t xml:space="preserve">”</w:t>
      </w:r>
      <w:r>
        <w:t xml:space="preserve">) (Turkish intermediary warehouse for temporary storage and consolidation); ARMPC (Syrian customs clearance and import logistics agent); and re-export overland from Ankara through the</w:t>
      </w:r>
      <w:r>
        <w:t xml:space="preserve"> </w:t>
      </w:r>
      <w:r>
        <w:rPr>
          <w:b/>
          <w:bCs/>
        </w:rPr>
        <w:t xml:space="preserve">Bab al-Hawa border crossing</w:t>
      </w:r>
      <w:r>
        <w:t xml:space="preserve"> </w:t>
      </w:r>
      <w:r>
        <w:t xml:space="preserve">into Syria (PO Section 3; Shipping Plan Sections 1, 3).</w:t>
      </w:r>
    </w:p>
    <w:p>
      <w:pPr>
        <w:pStyle w:val="BodyText"/>
      </w:pPr>
      <w:r>
        <w:rPr>
          <w:b/>
          <w:bCs/>
        </w:rPr>
        <w:t xml:space="preserve">Why it matters.</w:t>
      </w:r>
      <w:r>
        <w:t xml:space="preserve"> </w:t>
      </w:r>
      <w:r>
        <w:t xml:space="preserve">The prior license’s</w:t>
      </w:r>
      <w:r>
        <w:t xml:space="preserve"> </w:t>
      </w:r>
      <w:r>
        <w:t xml:space="preserve">“</w:t>
      </w:r>
      <w:r>
        <w:t xml:space="preserve">no intermediary</w:t>
      </w:r>
      <w:r>
        <w:t xml:space="preserve">”</w:t>
      </w:r>
      <w:r>
        <w:t xml:space="preserve"> </w:t>
      </w:r>
      <w:r>
        <w:t xml:space="preserve">condition means the present structure is a material departure from the precedent Meridian intends to cite as a favorable track record. OFAC will scrutinize the role of each intermediary, particularly ARMPC (see Issue 2) and the transit warehousing in Turkey. The Bab al-Hawa border crossing has been the subject of separate OFAC general-license activity for humanitarian operations in northwest Syria; using it here as a transit point for goods destined for government-controlled Damascus is a different use that should be expressly disclosed and authorized rather than assumed to fall within any existing general-license authority.</w:t>
      </w:r>
    </w:p>
    <w:p>
      <w:pPr>
        <w:pStyle w:val="BodyText"/>
      </w:pPr>
      <w:r>
        <w:rPr>
          <w:b/>
          <w:bCs/>
        </w:rPr>
        <w:t xml:space="preserve">Recommendation.</w:t>
      </w:r>
      <w:r>
        <w:t xml:space="preserve"> </w:t>
      </w:r>
      <w:r>
        <w:rPr>
          <w:b/>
          <w:bCs/>
        </w:rPr>
        <w:t xml:space="preserve">[High/Medium.]</w:t>
      </w:r>
      <w:r>
        <w:t xml:space="preserve"> </w:t>
      </w:r>
      <w:r>
        <w:t xml:space="preserve">The application (Sections VII, VIII, XII) identifies every intermediary and its role, describes the full five-leg routing including the Bab al-Hawa crossing, and requests express authorization for the transit through Turkey and the use of ARMPC and AMTW in their respective roles. Meridian should be prepared to justify the operational necessity of the Turkish transit warehouse and the in-country customs agent. If ARMPC is substituted (see Issue 2), the application will be amended accordingly. Confirm that the Bab al-Hawa routing is not being relied upon under any general license that does not extend to this end-user and destination.</w:t>
      </w:r>
    </w:p>
    <w:p>
      <w:pPr>
        <w:pStyle w:val="BodyText"/>
      </w:pPr>
      <w:r>
        <w:rPr>
          <w:b/>
          <w:bCs/>
        </w:rPr>
        <w:t xml:space="preserve">Priority: High/Medium.</w:t>
      </w:r>
    </w:p>
    <w:p>
      <w:r>
        <w:pict>
          <v:rect style="width:0;height:1.5pt" o:hralign="center" o:hrstd="t" o:hr="t"/>
        </w:pict>
      </w:r>
    </w:p>
    <w:bookmarkEnd w:id="27"/>
    <w:bookmarkStart w:id="28" w:name="Xa22a973f547f38bd32bc50aa7a14d5aa51b628a"/>
    <w:p>
      <w:pPr>
        <w:pStyle w:val="Heading3"/>
      </w:pPr>
      <w:r>
        <w:t xml:space="preserve">Issue 6 — End-Use Monitoring and Diversion Risk</w:t>
      </w:r>
    </w:p>
    <w:p>
      <w:pPr>
        <w:pStyle w:val="FirstParagraph"/>
      </w:pPr>
      <w:r>
        <w:rPr>
          <w:b/>
          <w:bCs/>
        </w:rPr>
        <w:t xml:space="preserve">Identification.</w:t>
      </w:r>
      <w:r>
        <w:t xml:space="preserve"> </w:t>
      </w:r>
      <w:r>
        <w:t xml:space="preserve">The Graystone audit (Finding 2, Medium priority) found that post-delivery end-use monitoring under the prior license was limited to confirming delivery receipt, with no ongoing monitoring to verify that goods remained with the authorized end-user or were used for the stated humanitarian purpose. Graystone recommended a written end-use monitoring plan including delivery confirmation with photographic/documentary evidence, an end-user certificate/non-diversion commitment, periodic (at least annual) usage reporting, and a site-verification mechanism. The PO (Section 5) contains a non-diversion/no-re-export commitment from DCUH, but no ongoing monitoring framework. Diversion risk is heightened here by (i) Mr. Khoury’s designation basis —</w:t>
      </w:r>
      <w:r>
        <w:t xml:space="preserve"> </w:t>
      </w:r>
      <w:r>
        <w:t xml:space="preserve">“</w:t>
      </w:r>
      <w:r>
        <w:t xml:space="preserve">a sanctioned Syrian military procurement network</w:t>
      </w:r>
      <w:r>
        <w:t xml:space="preserve">”</w:t>
      </w:r>
      <w:r>
        <w:t xml:space="preserve"> </w:t>
      </w:r>
      <w:r>
        <w:t xml:space="preserve">(Issue 2); (ii) the multi-intermediary, multi-leg routing (Issue 5); and (iii) the governmental end-user (Issue 3).</w:t>
      </w:r>
    </w:p>
    <w:p>
      <w:pPr>
        <w:pStyle w:val="BodyText"/>
      </w:pPr>
      <w:r>
        <w:rPr>
          <w:b/>
          <w:bCs/>
        </w:rPr>
        <w:t xml:space="preserve">Why it matters.</w:t>
      </w:r>
      <w:r>
        <w:t xml:space="preserve"> </w:t>
      </w:r>
      <w:r>
        <w:t xml:space="preserve">OFAC expects licensees operating under specific licenses for comprehensively sanctioned jurisdictions to implement robust end-use monitoring to prevent diversion. The absence of post-delivery monitoring was flagged as a program gap by Graystone and could be viewed unfavorably in this application. The SDN-adjacent customs agent and the military-procurement nexus of Mr. Khoury’s designation make diversion control particularly important.</w:t>
      </w:r>
    </w:p>
    <w:p>
      <w:pPr>
        <w:pStyle w:val="BodyText"/>
      </w:pPr>
      <w:r>
        <w:rPr>
          <w:b/>
          <w:bCs/>
        </w:rPr>
        <w:t xml:space="preserve">Recommendation.</w:t>
      </w:r>
      <w:r>
        <w:t xml:space="preserve"> </w:t>
      </w:r>
      <w:r>
        <w:rPr>
          <w:b/>
          <w:bCs/>
        </w:rPr>
        <w:t xml:space="preserve">[High/Medium.]</w:t>
      </w:r>
      <w:r>
        <w:t xml:space="preserve"> </w:t>
      </w:r>
      <w:r>
        <w:t xml:space="preserve">Implement the written end-use monitoring plan set forth in the application (Section XIII): delivery confirmation with documentary/photographic evidence within 30 days; an executed end-user certificate and non-diversion statement from DCUH; annual usage reporting; a site-verification mechanism (remote or in-person as feasible); retention of cold-chain temperature records; and 90-day/pre-shipment re-screening. Address Graystone Finding 2 in the compliance-program narrative. Obtain the end-user certificate from DCUH before shipment.</w:t>
      </w:r>
    </w:p>
    <w:p>
      <w:pPr>
        <w:pStyle w:val="BodyText"/>
      </w:pPr>
      <w:r>
        <w:rPr>
          <w:b/>
          <w:bCs/>
        </w:rPr>
        <w:t xml:space="preserve">Priority: High/Medium.</w:t>
      </w:r>
    </w:p>
    <w:p>
      <w:r>
        <w:pict>
          <v:rect style="width:0;height:1.5pt" o:hralign="center" o:hrstd="t" o:hr="t"/>
        </w:pict>
      </w:r>
    </w:p>
    <w:bookmarkEnd w:id="28"/>
    <w:bookmarkStart w:id="29" w:name="X0bc9614293a2d8e20e1b19b19b2f414a6911303"/>
    <w:p>
      <w:pPr>
        <w:pStyle w:val="Heading3"/>
      </w:pPr>
      <w:r>
        <w:t xml:space="preserve">Issue 7 — Cold-Chain Integrity and DCUH Receiving Capability</w:t>
      </w:r>
    </w:p>
    <w:p>
      <w:pPr>
        <w:pStyle w:val="FirstParagraph"/>
      </w:pPr>
      <w:r>
        <w:rPr>
          <w:b/>
          <w:bCs/>
        </w:rPr>
        <w:t xml:space="preserve">Identification.</w:t>
      </w:r>
      <w:r>
        <w:t xml:space="preserve"> </w:t>
      </w:r>
      <w:r>
        <w:t xml:space="preserve">The CancerDetect RX-700 requires maintenance at 2–8°C throughout transit and storage; excursions above 12°C or below 0°C void the warranty and may compromise reagent integrity (TDS Section 1.2). The Shipping Plan (Section 5) provides a cold-chain protocol across all five legs, with a 60-minute excursion trigger, and states that AMTW’s Ankara cold-storage capacity has been independently verified. However, the Shipping Plan also states that</w:t>
      </w:r>
      <w:r>
        <w:t xml:space="preserve"> </w:t>
      </w:r>
      <w:r>
        <w:t xml:space="preserve">“</w:t>
      </w:r>
      <w:r>
        <w:t xml:space="preserve">ARMPC has been asked to confirm cold-chain receiving capability at DCUH, including verification that DCUH possesses adequate refrigerated storage to accept and maintain the full shipment volume upon arrival</w:t>
      </w:r>
      <w:r>
        <w:t xml:space="preserve">”</w:t>
      </w:r>
      <w:r>
        <w:t xml:space="preserve"> </w:t>
      </w:r>
      <w:r>
        <w:t xml:space="preserve">— i.e., DCUH’s receiving capability is</w:t>
      </w:r>
      <w:r>
        <w:t xml:space="preserve"> </w:t>
      </w:r>
      <w:r>
        <w:rPr>
          <w:b/>
          <w:bCs/>
        </w:rPr>
        <w:t xml:space="preserve">not yet confirmed</w:t>
      </w:r>
      <w:r>
        <w:t xml:space="preserve">. The WHO assessment (Section 4.7.3) reports that DCUH’s existing calibration equipment is non-functional or beyond serviceable life, underscoring the degraded state of DCUH’s laboratory infrastructure. Total transit is estimated at 30–42 days, with planning for 6–8 weeks.</w:t>
      </w:r>
    </w:p>
    <w:p>
      <w:pPr>
        <w:pStyle w:val="BodyText"/>
      </w:pPr>
      <w:r>
        <w:rPr>
          <w:b/>
          <w:bCs/>
        </w:rPr>
        <w:t xml:space="preserve">Why it matters.</w:t>
      </w:r>
      <w:r>
        <w:t xml:space="preserve"> </w:t>
      </w:r>
      <w:r>
        <w:t xml:space="preserve">If the cold-chain is broken, the humanitarian purpose of the transaction is defeated and the licensed goods may be unusable upon delivery — undermining the basis on which the license is sought and potentially implicating the delivery-confirmation and end-use reporting conditions. The 6–8 week transit through multiple handoffs (ocean, Turkish warehouse, border crossing, in-country) presents multiple cold-chain failure points. Unconfirmed DCUH receiving capacity is an open operational risk.</w:t>
      </w:r>
    </w:p>
    <w:p>
      <w:pPr>
        <w:pStyle w:val="BodyText"/>
      </w:pPr>
      <w:r>
        <w:rPr>
          <w:b/>
          <w:bCs/>
        </w:rPr>
        <w:t xml:space="preserve">Recommendation.</w:t>
      </w:r>
      <w:r>
        <w:t xml:space="preserve"> </w:t>
      </w:r>
      <w:r>
        <w:rPr>
          <w:b/>
          <w:bCs/>
        </w:rPr>
        <w:t xml:space="preserve">[Medium.]</w:t>
      </w:r>
      <w:r>
        <w:t xml:space="preserve"> </w:t>
      </w:r>
      <w:r>
        <w:t xml:space="preserve">Obtain written confirmation from DCUH (via ARMPC or directly) of adequate refrigerated storage capacity to receive and maintain the full shipment before filing or, at the latest, before shipment. Build cold-chain integrity verification (data-logger records) into the end-use monitoring plan and the 30-day post-delivery report. Consider whether the license term and shipment scheduling allow a buffer for transit delays. Confirm that the 18-month kit shelf life, less 6–8 weeks transit, leaves adequate usable life at DCUH (the 500 kits are expected to cover ~15 months of demand, which is within the remaining shelf life).</w:t>
      </w:r>
    </w:p>
    <w:p>
      <w:pPr>
        <w:pStyle w:val="BodyText"/>
      </w:pPr>
      <w:r>
        <w:rPr>
          <w:b/>
          <w:bCs/>
        </w:rPr>
        <w:t xml:space="preserve">Priority: Medium.</w:t>
      </w:r>
    </w:p>
    <w:p>
      <w:r>
        <w:pict>
          <v:rect style="width:0;height:1.5pt" o:hralign="center" o:hrstd="t" o:hr="t"/>
        </w:pict>
      </w:r>
    </w:p>
    <w:bookmarkEnd w:id="29"/>
    <w:bookmarkStart w:id="30" w:name="X43527a918677d5f87350448d7bea236f7b21f98"/>
    <w:p>
      <w:pPr>
        <w:pStyle w:val="Heading3"/>
      </w:pPr>
      <w:r>
        <w:t xml:space="preserve">Issue 8 — Firmware Updates and Post-Training Support: Scope Exclusion</w:t>
      </w:r>
    </w:p>
    <w:p>
      <w:pPr>
        <w:pStyle w:val="FirstParagraph"/>
      </w:pPr>
      <w:r>
        <w:rPr>
          <w:b/>
          <w:bCs/>
        </w:rPr>
        <w:t xml:space="preserve">Identification.</w:t>
      </w:r>
      <w:r>
        <w:t xml:space="preserve"> </w:t>
      </w:r>
      <w:r>
        <w:t xml:space="preserve">The TDS (Sections 2.3, 3.2) states that any firmware update, patch, or modification beyond factory v4.2.1</w:t>
      </w:r>
      <w:r>
        <w:t xml:space="preserve"> </w:t>
      </w:r>
      <w:r>
        <w:t xml:space="preserve">“</w:t>
      </w:r>
      <w:r>
        <w:t xml:space="preserve">constitute[s] a separate transaction and may require independent export authorization,</w:t>
      </w:r>
      <w:r>
        <w:t xml:space="preserve">”</w:t>
      </w:r>
      <w:r>
        <w:t xml:space="preserve"> </w:t>
      </w:r>
      <w:r>
        <w:t xml:space="preserve">that no over-the-air updates are provided (USB media only), and that post-training remote technical support</w:t>
      </w:r>
      <w:r>
        <w:t xml:space="preserve"> </w:t>
      </w:r>
      <w:r>
        <w:t xml:space="preserve">“</w:t>
      </w:r>
      <w:r>
        <w:t xml:space="preserve">involving the transfer of additional technical data, software, or proprietary information may require independent authorization.</w:t>
      </w:r>
      <w:r>
        <w:t xml:space="preserve">”</w:t>
      </w:r>
    </w:p>
    <w:p>
      <w:pPr>
        <w:pStyle w:val="BodyText"/>
      </w:pPr>
      <w:r>
        <w:rPr>
          <w:b/>
          <w:bCs/>
        </w:rPr>
        <w:t xml:space="preserve">Why it matters.</w:t>
      </w:r>
      <w:r>
        <w:t xml:space="preserve"> </w:t>
      </w:r>
      <w:r>
        <w:t xml:space="preserve">If the license is read to authorize</w:t>
      </w:r>
      <w:r>
        <w:t xml:space="preserve"> </w:t>
      </w:r>
      <w:r>
        <w:t xml:space="preserve">“</w:t>
      </w:r>
      <w:r>
        <w:t xml:space="preserve">training</w:t>
      </w:r>
      <w:r>
        <w:t xml:space="preserve">”</w:t>
      </w:r>
      <w:r>
        <w:t xml:space="preserve"> </w:t>
      </w:r>
      <w:r>
        <w:t xml:space="preserve">broadly, there is a risk that Meridian personnel could later provide firmware updates or ongoing technical support that constitute unauthorized technology transfers to Syria. The license scope should be drawn tightly to avoid inadvertent violations and to make clear what is and is not authorized.</w:t>
      </w:r>
    </w:p>
    <w:p>
      <w:pPr>
        <w:pStyle w:val="BodyText"/>
      </w:pPr>
      <w:r>
        <w:rPr>
          <w:b/>
          <w:bCs/>
        </w:rPr>
        <w:t xml:space="preserve">Recommendation.</w:t>
      </w:r>
      <w:r>
        <w:t xml:space="preserve"> </w:t>
      </w:r>
      <w:r>
        <w:rPr>
          <w:b/>
          <w:bCs/>
        </w:rPr>
        <w:t xml:space="preserve">[Medium.]</w:t>
      </w:r>
      <w:r>
        <w:t xml:space="preserve"> </w:t>
      </w:r>
      <w:r>
        <w:t xml:space="preserve">The application expressly excludes firmware updates/patches/modifications beyond v4.2.1 and post-training technical support involving additional technical data/software from the license scope (Sections IV.C, IV.D, XII.7(h)). Meridian should instruct its Field Applications Science team that no firmware updates or post-training technical support will be provided to DCUH without a separate authorization. Document this instruction internally.</w:t>
      </w:r>
    </w:p>
    <w:p>
      <w:pPr>
        <w:pStyle w:val="BodyText"/>
      </w:pPr>
      <w:r>
        <w:rPr>
          <w:b/>
          <w:bCs/>
        </w:rPr>
        <w:t xml:space="preserve">Priority: Medium.</w:t>
      </w:r>
    </w:p>
    <w:p>
      <w:r>
        <w:pict>
          <v:rect style="width:0;height:1.5pt" o:hralign="center" o:hrstd="t" o:hr="t"/>
        </w:pict>
      </w:r>
    </w:p>
    <w:bookmarkEnd w:id="30"/>
    <w:bookmarkStart w:id="31" w:name="X6b7c3a781084ae0647f2bcb07744771fa23c84d"/>
    <w:p>
      <w:pPr>
        <w:pStyle w:val="Heading3"/>
      </w:pPr>
      <w:r>
        <w:t xml:space="preserve">Issue 9 — License Term, Effective Date, and Filing Timing</w:t>
      </w:r>
    </w:p>
    <w:p>
      <w:pPr>
        <w:pStyle w:val="FirstParagraph"/>
      </w:pPr>
      <w:r>
        <w:rPr>
          <w:b/>
          <w:bCs/>
        </w:rPr>
        <w:t xml:space="preserve">Identification.</w:t>
      </w:r>
      <w:r>
        <w:t xml:space="preserve"> </w:t>
      </w:r>
      <w:r>
        <w:t xml:space="preserve">The client email requests a license effective date of September 1, 2024, running through February 28, 2026 (18 months), and notes that OFAC processing can run 90–180 days. The engagement letter was signed May 20, 2024; the email is dated June 24, 2024. The prior license ran approximately 18.5 months (September 14, 2021 – March 31, 2023), so an 18-month term is consistent with precedent.</w:t>
      </w:r>
    </w:p>
    <w:p>
      <w:pPr>
        <w:pStyle w:val="BodyText"/>
      </w:pPr>
      <w:r>
        <w:rPr>
          <w:b/>
          <w:bCs/>
        </w:rPr>
        <w:t xml:space="preserve">Why it matters.</w:t>
      </w:r>
      <w:r>
        <w:t xml:space="preserve"> </w:t>
      </w:r>
      <w:r>
        <w:t xml:space="preserve">If the application is filed in early July 2024, a 90–180 day processing window yields issuance approximately early October 2024 to early January 2025. A September 1, 2024 effective date may therefore be optimistic; if OFAC issues the license later than September 1, a fixed effective date could create a gap or require amendment. The 18-month term should comfortably cover shipment (6–8 weeks), the 8-week training engagement, deployment, and the post-delivery/annual reporting cycle.</w:t>
      </w:r>
    </w:p>
    <w:p>
      <w:pPr>
        <w:pStyle w:val="BodyText"/>
      </w:pPr>
      <w:r>
        <w:rPr>
          <w:b/>
          <w:bCs/>
        </w:rPr>
        <w:t xml:space="preserve">Recommendation.</w:t>
      </w:r>
      <w:r>
        <w:t xml:space="preserve"> </w:t>
      </w:r>
      <w:r>
        <w:rPr>
          <w:b/>
          <w:bCs/>
        </w:rPr>
        <w:t xml:space="preserve">[Medium.]</w:t>
      </w:r>
      <w:r>
        <w:t xml:space="preserve"> </w:t>
      </w:r>
      <w:r>
        <w:t xml:space="preserve">File as soon as the payment restructuring (Issue 1) and the ARMPC decision (Issue 2) are resolved. Request an effective date of September 1, 2024</w:t>
      </w:r>
      <w:r>
        <w:t xml:space="preserve"> </w:t>
      </w:r>
      <w:r>
        <w:rPr>
          <w:b/>
          <w:bCs/>
        </w:rPr>
        <w:t xml:space="preserve">or upon issuance, if later</w:t>
      </w:r>
      <w:r>
        <w:t xml:space="preserve">, to avoid a gap. Request an expiration date of February 28, 2026. Confirm that the term covers the full shipment, training, and reporting cycle.</w:t>
      </w:r>
    </w:p>
    <w:p>
      <w:pPr>
        <w:pStyle w:val="BodyText"/>
      </w:pPr>
      <w:r>
        <w:rPr>
          <w:b/>
          <w:bCs/>
        </w:rPr>
        <w:t xml:space="preserve">Priority: Medium.</w:t>
      </w:r>
    </w:p>
    <w:p>
      <w:r>
        <w:pict>
          <v:rect style="width:0;height:1.5pt" o:hralign="center" o:hrstd="t" o:hr="t"/>
        </w:pict>
      </w:r>
    </w:p>
    <w:bookmarkEnd w:id="31"/>
    <w:bookmarkStart w:id="32" w:name="issue-10-re-screening-cadence"/>
    <w:p>
      <w:pPr>
        <w:pStyle w:val="Heading3"/>
      </w:pPr>
      <w:r>
        <w:t xml:space="preserve">Issue 10 — Re-Screening Cadence</w:t>
      </w:r>
    </w:p>
    <w:p>
      <w:pPr>
        <w:pStyle w:val="FirstParagraph"/>
      </w:pPr>
      <w:r>
        <w:rPr>
          <w:b/>
          <w:bCs/>
        </w:rPr>
        <w:t xml:space="preserve">Identification.</w:t>
      </w:r>
      <w:r>
        <w:t xml:space="preserve"> </w:t>
      </w:r>
      <w:r>
        <w:t xml:space="preserve">The Compliance Memorandum (Section 6) recommends re-screening all transaction parties at 90-day intervals during the pendency of the application and immediately prior to any shipment. Mr. Khoury was designated only on April 15, 2024, illustrating that the sanctions landscape for these parties is dynamic.</w:t>
      </w:r>
    </w:p>
    <w:p>
      <w:pPr>
        <w:pStyle w:val="BodyText"/>
      </w:pPr>
      <w:r>
        <w:rPr>
          <w:b/>
          <w:bCs/>
        </w:rPr>
        <w:t xml:space="preserve">Why it matters.</w:t>
      </w:r>
      <w:r>
        <w:t xml:space="preserve"> </w:t>
      </w:r>
      <w:r>
        <w:t xml:space="preserve">A party that is clear today may be designated during the pendency of the application or the license term. Committing to a re-screening cadence strengthens the application and reduces the risk of an inadvertent violation if a party is designated mid-transaction.</w:t>
      </w:r>
    </w:p>
    <w:p>
      <w:pPr>
        <w:pStyle w:val="BodyText"/>
      </w:pPr>
      <w:r>
        <w:rPr>
          <w:b/>
          <w:bCs/>
        </w:rPr>
        <w:t xml:space="preserve">Recommendation.</w:t>
      </w:r>
      <w:r>
        <w:t xml:space="preserve"> </w:t>
      </w:r>
      <w:r>
        <w:rPr>
          <w:b/>
          <w:bCs/>
        </w:rPr>
        <w:t xml:space="preserve">[Medium.]</w:t>
      </w:r>
      <w:r>
        <w:t xml:space="preserve"> </w:t>
      </w:r>
      <w:r>
        <w:t xml:space="preserve">Commit in the application (Sections X, XII.7(f), XIII) to 90-day re-screening of all parties (including ARMPC’s known beneficial owners) during the pendency of the license and immediately prior to shipment, with prompt notification to OFAC of any new designation. Implement this as a standard condition for all licensed transactions.</w:t>
      </w:r>
    </w:p>
    <w:p>
      <w:pPr>
        <w:pStyle w:val="BodyText"/>
      </w:pPr>
      <w:r>
        <w:rPr>
          <w:b/>
          <w:bCs/>
        </w:rPr>
        <w:t xml:space="preserve">Priority: Medium.</w:t>
      </w:r>
    </w:p>
    <w:p>
      <w:r>
        <w:pict>
          <v:rect style="width:0;height:1.5pt" o:hralign="center" o:hrstd="t" o:hr="t"/>
        </w:pict>
      </w:r>
    </w:p>
    <w:bookmarkEnd w:id="32"/>
    <w:bookmarkStart w:id="33" w:name="X1d7f2f7008907ae8cea8bf236f4c0531d4f841e"/>
    <w:p>
      <w:pPr>
        <w:pStyle w:val="Heading3"/>
      </w:pPr>
      <w:r>
        <w:t xml:space="preserve">Issue 11 — Reporting and Recordkeeping Conditions</w:t>
      </w:r>
    </w:p>
    <w:p>
      <w:pPr>
        <w:pStyle w:val="FirstParagraph"/>
      </w:pPr>
      <w:r>
        <w:rPr>
          <w:b/>
          <w:bCs/>
        </w:rPr>
        <w:t xml:space="preserve">Identification.</w:t>
      </w:r>
      <w:r>
        <w:t xml:space="preserve"> </w:t>
      </w:r>
      <w:r>
        <w:t xml:space="preserve">The prior license (Section III) imposed: a 30-day post-shipment report with proof of delivery, shipping documents, and end-user receipt confirmation; five-year recordkeeping under 31 C.F.R. § 501.601; a prompt material-change reporting obligation; and a condition that the license does not authorize transactions involving SDN-listed persons or 50%-or-greater SDN-owned entities. Graystone (Section 3) confirmed that Meridian maintains transaction files for at least five years.</w:t>
      </w:r>
    </w:p>
    <w:p>
      <w:pPr>
        <w:pStyle w:val="BodyText"/>
      </w:pPr>
      <w:r>
        <w:rPr>
          <w:b/>
          <w:bCs/>
        </w:rPr>
        <w:t xml:space="preserve">Why it matters.</w:t>
      </w:r>
      <w:r>
        <w:t xml:space="preserve"> </w:t>
      </w:r>
      <w:r>
        <w:t xml:space="preserve">OFAC will likely impose comparable or more stringent conditions given the SDN-adjacent features of this transaction. Meridian should be prepared to accept and operationalize them.</w:t>
      </w:r>
    </w:p>
    <w:p>
      <w:pPr>
        <w:pStyle w:val="BodyText"/>
      </w:pPr>
      <w:r>
        <w:rPr>
          <w:b/>
          <w:bCs/>
        </w:rPr>
        <w:t xml:space="preserve">Recommendation.</w:t>
      </w:r>
      <w:r>
        <w:t xml:space="preserve"> </w:t>
      </w:r>
      <w:r>
        <w:rPr>
          <w:b/>
          <w:bCs/>
        </w:rPr>
        <w:t xml:space="preserve">[Medium.]</w:t>
      </w:r>
      <w:r>
        <w:t xml:space="preserve"> </w:t>
      </w:r>
      <w:r>
        <w:t xml:space="preserve">The application (Section XII.7) commits to reporting, recordkeeping, non-diversion, re-screening, and material-change conditions consistent with the prior license, plus the enhanced end-use monitoring plan. Ensure that Meridian’s compliance team has the workflow in place to meet the 30-day post-shipment reporting deadline for each shipment.</w:t>
      </w:r>
    </w:p>
    <w:p>
      <w:pPr>
        <w:pStyle w:val="BodyText"/>
      </w:pPr>
      <w:r>
        <w:rPr>
          <w:b/>
          <w:bCs/>
        </w:rPr>
        <w:t xml:space="preserve">Priority: Medium.</w:t>
      </w:r>
    </w:p>
    <w:p>
      <w:r>
        <w:pict>
          <v:rect style="width:0;height:1.5pt" o:hralign="center" o:hrstd="t" o:hr="t"/>
        </w:pict>
      </w:r>
    </w:p>
    <w:bookmarkEnd w:id="33"/>
    <w:bookmarkStart w:id="34" w:name="X47d5ffb0c934363c175bb0d015f6b9b2f4011de"/>
    <w:p>
      <w:pPr>
        <w:pStyle w:val="Heading3"/>
      </w:pPr>
      <w:r>
        <w:t xml:space="preserve">Issue 12 — BIS/EAR Classification Confirmation</w:t>
      </w:r>
    </w:p>
    <w:p>
      <w:pPr>
        <w:pStyle w:val="FirstParagraph"/>
      </w:pPr>
      <w:r>
        <w:rPr>
          <w:b/>
          <w:bCs/>
        </w:rPr>
        <w:t xml:space="preserve">Identification.</w:t>
      </w:r>
      <w:r>
        <w:t xml:space="preserve"> </w:t>
      </w:r>
      <w:r>
        <w:t xml:space="preserve">Both physical products are classified EAR99 (TDS Sections 1.3, 2.4; Compliance Memorandum Section 4). The prior license (Section III, condition 6) noted that the license did not relieve Meridian of EAR obligations. The CalibPro 3100 contains embedded firmware with AES-128 encryption (below EAR de minimis; does not alter EAR99). The training transfers technical data (Issue 4).</w:t>
      </w:r>
    </w:p>
    <w:p>
      <w:pPr>
        <w:pStyle w:val="BodyText"/>
      </w:pPr>
      <w:r>
        <w:rPr>
          <w:b/>
          <w:bCs/>
        </w:rPr>
        <w:t xml:space="preserve">Why it matters.</w:t>
      </w:r>
      <w:r>
        <w:t xml:space="preserve"> </w:t>
      </w:r>
      <w:r>
        <w:t xml:space="preserve">EAR99 classification means no BIS license is required for the export of the physical goods themselves, but EAR99 items destined for Syria still require OFAC authorization (as the Compliance Memorandum states). The technical data disclosed in training must be separately evaluated (Issue 4). Meridian should be able to demonstrate the basis for the EAR99 classification and the encryption de minimis analysis.</w:t>
      </w:r>
    </w:p>
    <w:p>
      <w:pPr>
        <w:pStyle w:val="BodyText"/>
      </w:pPr>
      <w:r>
        <w:rPr>
          <w:b/>
          <w:bCs/>
        </w:rPr>
        <w:t xml:space="preserve">Recommendation.</w:t>
      </w:r>
      <w:r>
        <w:t xml:space="preserve"> </w:t>
      </w:r>
      <w:r>
        <w:rPr>
          <w:b/>
          <w:bCs/>
        </w:rPr>
        <w:t xml:space="preserve">[Medium.]</w:t>
      </w:r>
      <w:r>
        <w:t xml:space="preserve"> </w:t>
      </w:r>
      <w:r>
        <w:t xml:space="preserve">Confirm in writing the EAR99 classification of both products and the encryption de minimis analysis for the CalibPro 3100 firmware, and retain the analysis in the transaction file (addressing Graystone Finding 3). Confirm that no separate BIS license is required for the physical goods. Evaluate separately whether the training technical data requires BIS authorization (Issue 4). The application notes the EAR99 classification and that the license does not relieve Meridian of EAR obligations (Section XII.7(j)).</w:t>
      </w:r>
    </w:p>
    <w:p>
      <w:pPr>
        <w:pStyle w:val="BodyText"/>
      </w:pPr>
      <w:r>
        <w:rPr>
          <w:b/>
          <w:bCs/>
        </w:rPr>
        <w:t xml:space="preserve">Priority: Medium.</w:t>
      </w:r>
    </w:p>
    <w:p>
      <w:r>
        <w:pict>
          <v:rect style="width:0;height:1.5pt" o:hralign="center" o:hrstd="t" o:hr="t"/>
        </w:pict>
      </w:r>
    </w:p>
    <w:bookmarkEnd w:id="34"/>
    <w:bookmarkStart w:id="35" w:name="Xe272def149f4fb2c8d77b0591c71876c7f500d8"/>
    <w:p>
      <w:pPr>
        <w:pStyle w:val="Heading3"/>
      </w:pPr>
      <w:r>
        <w:t xml:space="preserve">Issue 13 — Purchase Order Acceptance, Governing Law, and Transaction Structuring</w:t>
      </w:r>
    </w:p>
    <w:p>
      <w:pPr>
        <w:pStyle w:val="FirstParagraph"/>
      </w:pPr>
      <w:r>
        <w:rPr>
          <w:b/>
          <w:bCs/>
        </w:rPr>
        <w:t xml:space="preserve">Identification.</w:t>
      </w:r>
      <w:r>
        <w:t xml:space="preserve"> </w:t>
      </w:r>
      <w:r>
        <w:t xml:space="preserve">The PO (Sections 6–7) is governed by the laws of the Syrian Arab Republic, provides for ICC arbitration after a 60-day negotiation period, and states that it</w:t>
      </w:r>
      <w:r>
        <w:t xml:space="preserve"> </w:t>
      </w:r>
      <w:r>
        <w:t xml:space="preserve">“</w:t>
      </w:r>
      <w:r>
        <w:t xml:space="preserve">shall become binding upon written acceptance by the Seller</w:t>
      </w:r>
      <w:r>
        <w:t xml:space="preserve">”</w:t>
      </w:r>
      <w:r>
        <w:t xml:space="preserve"> </w:t>
      </w:r>
      <w:r>
        <w:t xml:space="preserve">and</w:t>
      </w:r>
      <w:r>
        <w:t xml:space="preserve"> </w:t>
      </w:r>
      <w:r>
        <w:t xml:space="preserve">“</w:t>
      </w:r>
      <w:r>
        <w:t xml:space="preserve">constitutes an offer by the Buyer</w:t>
      </w:r>
      <w:r>
        <w:t xml:space="preserve">”</w:t>
      </w:r>
      <w:r>
        <w:t xml:space="preserve"> </w:t>
      </w:r>
      <w:r>
        <w:t xml:space="preserve">until accepted. The Seller’s acceptance signature block is blank — Meridian has not yet accepted the PO. The PO is also expressly</w:t>
      </w:r>
      <w:r>
        <w:t xml:space="preserve"> </w:t>
      </w:r>
      <w:r>
        <w:t xml:space="preserve">“</w:t>
      </w:r>
      <w:r>
        <w:t xml:space="preserve">subject to the Seller obtaining all necessary export licenses</w:t>
      </w:r>
      <w:r>
        <w:t xml:space="preserve">”</w:t>
      </w:r>
      <w:r>
        <w:t xml:space="preserve"> </w:t>
      </w:r>
      <w:r>
        <w:t xml:space="preserve">(Section 6), which protects Meridian. The PO currently names CBS as the remitting bank (Issue 1) and ARMPC as the customs agent (Issue 2).</w:t>
      </w:r>
    </w:p>
    <w:p>
      <w:pPr>
        <w:pStyle w:val="BodyText"/>
      </w:pPr>
      <w:r>
        <w:rPr>
          <w:b/>
          <w:bCs/>
        </w:rPr>
        <w:t xml:space="preserve">Why it matters.</w:t>
      </w:r>
      <w:r>
        <w:t xml:space="preserve"> </w:t>
      </w:r>
      <w:r>
        <w:t xml:space="preserve">Accepting the PO in its current form would commit Meridian to a payment structure routed through an SDN-listed bank and to the use of an SDN-adjacent customs agent, before the license is in hand and before the payment restructuring is complete. The Syrian governing law and ICC arbitration provisions also present enforceability and jurisdiction considerations (a commercial matter, but relevant to risk allocation).</w:t>
      </w:r>
    </w:p>
    <w:p>
      <w:pPr>
        <w:pStyle w:val="BodyText"/>
      </w:pPr>
      <w:r>
        <w:rPr>
          <w:b/>
          <w:bCs/>
        </w:rPr>
        <w:t xml:space="preserve">Recommendation.</w:t>
      </w:r>
      <w:r>
        <w:t xml:space="preserve"> </w:t>
      </w:r>
      <w:r>
        <w:rPr>
          <w:b/>
          <w:bCs/>
        </w:rPr>
        <w:t xml:space="preserve">[Medium.]</w:t>
      </w:r>
      <w:r>
        <w:t xml:space="preserve"> </w:t>
      </w:r>
      <w:r>
        <w:rPr>
          <w:b/>
          <w:bCs/>
        </w:rPr>
        <w:t xml:space="preserve">Defer written acceptance of the PO</w:t>
      </w:r>
      <w:r>
        <w:t xml:space="preserve"> </w:t>
      </w:r>
      <w:r>
        <w:t xml:space="preserve">until (i) the payment terms are amended to substitute a non-SDN-listed Syrian commercial bank for CBS; (ii) the ARMPC decision is made (substitution or disclosed retention); and (iii) the OFAC license is issued. Negotiate a side letter or amended PO reflecting the restructured payment and any change in customs agent. Consider whether the governing-law/arbitration provisions are acceptable or should be negotiated (e.g., to a neutral seat), though this is secondary to the sanctions restructuring.</w:t>
      </w:r>
    </w:p>
    <w:p>
      <w:pPr>
        <w:pStyle w:val="BodyText"/>
      </w:pPr>
      <w:r>
        <w:rPr>
          <w:b/>
          <w:bCs/>
        </w:rPr>
        <w:t xml:space="preserve">Priority: Medium.</w:t>
      </w:r>
    </w:p>
    <w:p>
      <w:r>
        <w:pict>
          <v:rect style="width:0;height:1.5pt" o:hralign="center" o:hrstd="t" o:hr="t"/>
        </w:pict>
      </w:r>
    </w:p>
    <w:bookmarkEnd w:id="35"/>
    <w:bookmarkStart w:id="36" w:name="X7d5af31c6958f7dea5bcd6fdc6eeae5875c2d3c"/>
    <w:p>
      <w:pPr>
        <w:pStyle w:val="Heading3"/>
      </w:pPr>
      <w:r>
        <w:t xml:space="preserve">Issue 14 — Incoterms DAP and License Scope for the Delivery Chain</w:t>
      </w:r>
    </w:p>
    <w:p>
      <w:pPr>
        <w:pStyle w:val="FirstParagraph"/>
      </w:pPr>
      <w:r>
        <w:rPr>
          <w:b/>
          <w:bCs/>
        </w:rPr>
        <w:t xml:space="preserve">Identification.</w:t>
      </w:r>
      <w:r>
        <w:t xml:space="preserve"> </w:t>
      </w:r>
      <w:r>
        <w:t xml:space="preserve">The PO (Section 3) specifies Incoterms 2020</w:t>
      </w:r>
      <w:r>
        <w:t xml:space="preserve"> </w:t>
      </w:r>
      <w:r>
        <w:rPr>
          <w:b/>
          <w:bCs/>
        </w:rPr>
        <w:t xml:space="preserve">DAP (Delivered at Place) — Damascus</w:t>
      </w:r>
      <w:r>
        <w:t xml:space="preserve">, meaning Meridian (as seller) bears the risk and cost of delivery to DCUH, including the in-country leg handled by ARMPC. The Shipping Plan (Section 3, Leg 5) confirms that ARMPC handles Syrian customs clearance and final overland delivery to DCUH.</w:t>
      </w:r>
    </w:p>
    <w:p>
      <w:pPr>
        <w:pStyle w:val="BodyText"/>
      </w:pPr>
      <w:r>
        <w:rPr>
          <w:b/>
          <w:bCs/>
        </w:rPr>
        <w:t xml:space="preserve">Why it matters.</w:t>
      </w:r>
      <w:r>
        <w:t xml:space="preserve"> </w:t>
      </w:r>
      <w:r>
        <w:t xml:space="preserve">Under DAP, Meridian is responsible for the goods through final delivery at DCUH, which means Meridian’s authorized activity extends through ARMPC’s in-country customs and delivery role. The license must therefore authorize the full delivery chain, including ARMPC’s role, or Meridian cannot perform its DAP obligation lawfully. This ties directly to Issues 2 and 5.</w:t>
      </w:r>
    </w:p>
    <w:p>
      <w:pPr>
        <w:pStyle w:val="BodyText"/>
      </w:pPr>
      <w:r>
        <w:rPr>
          <w:b/>
          <w:bCs/>
        </w:rPr>
        <w:t xml:space="preserve">Recommendation.</w:t>
      </w:r>
      <w:r>
        <w:t xml:space="preserve"> </w:t>
      </w:r>
      <w:r>
        <w:rPr>
          <w:b/>
          <w:bCs/>
        </w:rPr>
        <w:t xml:space="preserve">[Medium/Low.]</w:t>
      </w:r>
      <w:r>
        <w:t xml:space="preserve"> </w:t>
      </w:r>
      <w:r>
        <w:t xml:space="preserve">Ensure the license scope expressly covers the full DAP delivery chain through final delivery at DCUH, including ARMPC’s customs clearance and final delivery role (application Sections VII, VIII, XII). If ARMPC is substituted, update the license scope accordingly. Alternatively, consider whether a different Incoterm (e.g., shifting in-country risk to the buyer) would be commercially acceptable and would simplify the authorized activity, though DAP is consistent with Meridian’s control over delivery for end-use monitoring purposes.</w:t>
      </w:r>
    </w:p>
    <w:p>
      <w:pPr>
        <w:pStyle w:val="BodyText"/>
      </w:pPr>
      <w:r>
        <w:rPr>
          <w:b/>
          <w:bCs/>
        </w:rPr>
        <w:t xml:space="preserve">Priority: Medium/Low.</w:t>
      </w:r>
    </w:p>
    <w:p>
      <w:r>
        <w:pict>
          <v:rect style="width:0;height:1.5pt" o:hralign="center" o:hrstd="t" o:hr="t"/>
        </w:pict>
      </w:r>
    </w:p>
    <w:bookmarkEnd w:id="36"/>
    <w:bookmarkStart w:id="37" w:name="Xb6cb9da3813ce7871da5666e96e9da015a2970d"/>
    <w:p>
      <w:pPr>
        <w:pStyle w:val="Heading3"/>
      </w:pPr>
      <w:r>
        <w:t xml:space="preserve">Issue 15 — Receiving Bank (Harborview National Bank) Coordination</w:t>
      </w:r>
    </w:p>
    <w:p>
      <w:pPr>
        <w:pStyle w:val="FirstParagraph"/>
      </w:pPr>
      <w:r>
        <w:rPr>
          <w:b/>
          <w:bCs/>
        </w:rPr>
        <w:t xml:space="preserve">Identification.</w:t>
      </w:r>
      <w:r>
        <w:t xml:space="preserve"> </w:t>
      </w:r>
      <w:r>
        <w:t xml:space="preserve">Harborview National Bank is Meridian’s U.S. receiving bank (PO Section 4; Compliance Memorandum Section 2). It screened clean. The payment is 100% advance, so Meridian will receive Syrian-origin funds in a U.S. bank account before shipment.</w:t>
      </w:r>
    </w:p>
    <w:p>
      <w:pPr>
        <w:pStyle w:val="BodyText"/>
      </w:pPr>
      <w:r>
        <w:rPr>
          <w:b/>
          <w:bCs/>
        </w:rPr>
        <w:t xml:space="preserve">Why it matters.</w:t>
      </w:r>
      <w:r>
        <w:t xml:space="preserve"> </w:t>
      </w:r>
      <w:r>
        <w:t xml:space="preserve">Even with a non-SDN remitting bank, Harborview may have its own compliance concerns about receiving Syrian-origin funds and may require evidence of the OFAC license before processing. The license should authorize the receiving bank to process the authorized transfer.</w:t>
      </w:r>
    </w:p>
    <w:p>
      <w:pPr>
        <w:pStyle w:val="BodyText"/>
      </w:pPr>
      <w:r>
        <w:rPr>
          <w:b/>
          <w:bCs/>
        </w:rPr>
        <w:t xml:space="preserve">Recommendation.</w:t>
      </w:r>
      <w:r>
        <w:t xml:space="preserve"> </w:t>
      </w:r>
      <w:r>
        <w:rPr>
          <w:b/>
          <w:bCs/>
        </w:rPr>
        <w:t xml:space="preserve">[Low/Medium.]</w:t>
      </w:r>
      <w:r>
        <w:t xml:space="preserve"> </w:t>
      </w:r>
      <w:r>
        <w:t xml:space="preserve">Coordinate with Harborview National Bank in advance; provide a copy of the OFAC license once issued so that Harborview can process the incoming wire without delay or blocking. The application (Sections IX, XII.4) requests authorization for receipt of payment at Harborview. Consider whether the license should expressly name Harborview as the authorized receiving bank.</w:t>
      </w:r>
    </w:p>
    <w:p>
      <w:pPr>
        <w:pStyle w:val="BodyText"/>
      </w:pPr>
      <w:r>
        <w:rPr>
          <w:b/>
          <w:bCs/>
        </w:rPr>
        <w:t xml:space="preserve">Priority: Low/Medium.</w:t>
      </w:r>
    </w:p>
    <w:p>
      <w:r>
        <w:pict>
          <v:rect style="width:0;height:1.5pt" o:hralign="center" o:hrstd="t" o:hr="t"/>
        </w:pict>
      </w:r>
    </w:p>
    <w:bookmarkEnd w:id="37"/>
    <w:bookmarkStart w:id="38" w:name="Xf79d9926670ce9b4384d07d0c2566ad5473ebfe"/>
    <w:p>
      <w:pPr>
        <w:pStyle w:val="Heading3"/>
      </w:pPr>
      <w:r>
        <w:t xml:space="preserve">Issue 16 — Inconsistency Between the General Counsel’s Email and the Compliance Screening Memorandum</w:t>
      </w:r>
    </w:p>
    <w:p>
      <w:pPr>
        <w:pStyle w:val="FirstParagraph"/>
      </w:pPr>
      <w:r>
        <w:rPr>
          <w:b/>
          <w:bCs/>
        </w:rPr>
        <w:t xml:space="preserve">Identification.</w:t>
      </w:r>
      <w:r>
        <w:t xml:space="preserve"> </w:t>
      </w:r>
      <w:r>
        <w:t xml:space="preserve">The General Counsel’s June 24, 2024 email states that</w:t>
      </w:r>
      <w:r>
        <w:t xml:space="preserve"> </w:t>
      </w:r>
      <w:r>
        <w:t xml:space="preserve">“</w:t>
      </w:r>
      <w:r>
        <w:t xml:space="preserve">Peggy’s team screened all the parties and ARMPC came back clean — no hits on the SDN list or any other restricted party lists, so we’re good there.</w:t>
      </w:r>
      <w:r>
        <w:t xml:space="preserve">”</w:t>
      </w:r>
      <w:r>
        <w:t xml:space="preserve"> </w:t>
      </w:r>
      <w:r>
        <w:t xml:space="preserve">The Compliance Screening Memorandum dated June 10, 2024 (i.e., two weeks</w:t>
      </w:r>
      <w:r>
        <w:t xml:space="preserve"> </w:t>
      </w:r>
      <w:r>
        <w:rPr>
          <w:b/>
          <w:bCs/>
        </w:rPr>
        <w:t xml:space="preserve">before</w:t>
      </w:r>
      <w:r>
        <w:t xml:space="preserve"> </w:t>
      </w:r>
      <w:r>
        <w:t xml:space="preserve">the email) reports that ARMPC’s 30% shareholder, Samir Daoud Khoury, is a</w:t>
      </w:r>
      <w:r>
        <w:t xml:space="preserve"> </w:t>
      </w:r>
      <w:r>
        <w:rPr>
          <w:b/>
          <w:bCs/>
        </w:rPr>
        <w:t xml:space="preserve">positive match on the SDN List</w:t>
      </w:r>
      <w:r>
        <w:t xml:space="preserve">. The email also characterizes the prior license as covering</w:t>
      </w:r>
      <w:r>
        <w:t xml:space="preserve"> </w:t>
      </w:r>
      <w:r>
        <w:t xml:space="preserve">“</w:t>
      </w:r>
      <w:r>
        <w:t xml:space="preserve">essentially the same type of transaction,</w:t>
      </w:r>
      <w:r>
        <w:t xml:space="preserve">”</w:t>
      </w:r>
      <w:r>
        <w:t xml:space="preserve"> </w:t>
      </w:r>
      <w:r>
        <w:t xml:space="preserve">and describes the Graystone audit as yielding a</w:t>
      </w:r>
      <w:r>
        <w:t xml:space="preserve"> </w:t>
      </w:r>
      <w:r>
        <w:t xml:space="preserve">“</w:t>
      </w:r>
      <w:r>
        <w:t xml:space="preserve">satisfactory rating,</w:t>
      </w:r>
      <w:r>
        <w:t xml:space="preserve">”</w:t>
      </w:r>
      <w:r>
        <w:t xml:space="preserve"> </w:t>
      </w:r>
      <w:r>
        <w:t xml:space="preserve">whereas the audit report states</w:t>
      </w:r>
      <w:r>
        <w:t xml:space="preserve"> </w:t>
      </w:r>
      <w:r>
        <w:t xml:space="preserve">“</w:t>
      </w:r>
      <w:r>
        <w:t xml:space="preserve">Satisfactory</w:t>
      </w:r>
      <w:r>
        <w:t xml:space="preserve"> </w:t>
      </w:r>
      <w:r>
        <w:rPr>
          <w:b/>
          <w:bCs/>
        </w:rPr>
        <w:t xml:space="preserve">with Recommendations</w:t>
      </w:r>
      <w:r>
        <w:t xml:space="preserve">”</w:t>
      </w:r>
      <w:r>
        <w:t xml:space="preserve"> </w:t>
      </w:r>
      <w:r>
        <w:t xml:space="preserve">and identifies three findings.</w:t>
      </w:r>
    </w:p>
    <w:p>
      <w:pPr>
        <w:pStyle w:val="BodyText"/>
      </w:pPr>
      <w:r>
        <w:rPr>
          <w:b/>
          <w:bCs/>
        </w:rPr>
        <w:t xml:space="preserve">Why it matters.</w:t>
      </w:r>
      <w:r>
        <w:t xml:space="preserve"> </w:t>
      </w:r>
      <w:r>
        <w:t xml:space="preserve">The email’s characterization of ARMPC as</w:t>
      </w:r>
      <w:r>
        <w:t xml:space="preserve"> </w:t>
      </w:r>
      <w:r>
        <w:t xml:space="preserve">“</w:t>
      </w:r>
      <w:r>
        <w:t xml:space="preserve">clean</w:t>
      </w:r>
      <w:r>
        <w:t xml:space="preserve">”</w:t>
      </w:r>
      <w:r>
        <w:t xml:space="preserve"> </w:t>
      </w:r>
      <w:r>
        <w:t xml:space="preserve">is incomplete and, as applied to the application, would be inaccurate if relied upon. The application must be based on the Compliance Screening Memorandum, not the email. This inconsistency also illustrates why the enhanced beneficial ownership screening implemented in January 2024 (per Graystone Finding 1) is essential: the entity-level screen of ARMPC and its Managing Director returned no match, and only the beneficial-ownership screen caught Mr. Khoury. Relying on the email’s</w:t>
      </w:r>
      <w:r>
        <w:t xml:space="preserve"> </w:t>
      </w:r>
      <w:r>
        <w:t xml:space="preserve">“</w:t>
      </w:r>
      <w:r>
        <w:t xml:space="preserve">we’re good there</w:t>
      </w:r>
      <w:r>
        <w:t xml:space="preserve">”</w:t>
      </w:r>
      <w:r>
        <w:t xml:space="preserve"> </w:t>
      </w:r>
      <w:r>
        <w:t xml:space="preserve">framing would have caused Meridian to omit a material disclosure.</w:t>
      </w:r>
    </w:p>
    <w:p>
      <w:pPr>
        <w:pStyle w:val="BodyText"/>
      </w:pPr>
      <w:r>
        <w:rPr>
          <w:b/>
          <w:bCs/>
        </w:rPr>
        <w:t xml:space="preserve">Recommendation.</w:t>
      </w:r>
      <w:r>
        <w:t xml:space="preserve"> </w:t>
      </w:r>
      <w:r>
        <w:rPr>
          <w:b/>
          <w:bCs/>
        </w:rPr>
        <w:t xml:space="preserve">[Medium.]</w:t>
      </w:r>
      <w:r>
        <w:t xml:space="preserve"> </w:t>
      </w:r>
      <w:r>
        <w:t xml:space="preserve">Rely exclusively on the Compliance Screening Memorandum for the application’s screening representations, and ensure that the General Counsel is aware that the email’s characterization of ARMPC is not accurate for application purposes. Use the application’s full disclosure of the Khoury matter (Section X.B) as the authoritative statement. Internally, reinforce that beneficial-ownership screening results — not entity-level screens alone — govern sanctions conclusions for counterparties.</w:t>
      </w:r>
    </w:p>
    <w:p>
      <w:pPr>
        <w:pStyle w:val="BodyText"/>
      </w:pPr>
      <w:r>
        <w:rPr>
          <w:b/>
          <w:bCs/>
        </w:rPr>
        <w:t xml:space="preserve">Priority: Medium.</w:t>
      </w:r>
    </w:p>
    <w:p>
      <w:r>
        <w:pict>
          <v:rect style="width:0;height:1.5pt" o:hralign="center" o:hrstd="t" o:hr="t"/>
        </w:pict>
      </w:r>
    </w:p>
    <w:bookmarkEnd w:id="38"/>
    <w:bookmarkStart w:id="39" w:name="Xf41fff27ed06312f4918874715287f40424d9c3"/>
    <w:p>
      <w:pPr>
        <w:pStyle w:val="Heading3"/>
      </w:pPr>
      <w:r>
        <w:t xml:space="preserve">Issue 17 — Compliance Program Findings (Graystone Audit) to Be Addressed in the Application</w:t>
      </w:r>
    </w:p>
    <w:p>
      <w:pPr>
        <w:pStyle w:val="FirstParagraph"/>
      </w:pPr>
      <w:r>
        <w:rPr>
          <w:b/>
          <w:bCs/>
        </w:rPr>
        <w:t xml:space="preserve">Identification.</w:t>
      </w:r>
      <w:r>
        <w:t xml:space="preserve"> </w:t>
      </w:r>
      <w:r>
        <w:t xml:space="preserve">The Graystone audit (September 29, 2023) rated Meridian’s program</w:t>
      </w:r>
      <w:r>
        <w:t xml:space="preserve"> </w:t>
      </w:r>
      <w:r>
        <w:t xml:space="preserve">“</w:t>
      </w:r>
      <w:r>
        <w:t xml:space="preserve">Satisfactory with Recommendations</w:t>
      </w:r>
      <w:r>
        <w:t xml:space="preserve">”</w:t>
      </w:r>
      <w:r>
        <w:t xml:space="preserve"> </w:t>
      </w:r>
      <w:r>
        <w:t xml:space="preserve">and identified three findings: (1) High — beneficial ownership screening (implemented January 2024); (2) Medium — end-use monitoring for licensed transactions; (3) Medium — documentation of sanctions risk assessments for new products (embedded software/firmware/encryption/deemed export).</w:t>
      </w:r>
    </w:p>
    <w:p>
      <w:pPr>
        <w:pStyle w:val="BodyText"/>
      </w:pPr>
      <w:r>
        <w:rPr>
          <w:b/>
          <w:bCs/>
        </w:rPr>
        <w:t xml:space="preserve">Why it matters.</w:t>
      </w:r>
      <w:r>
        <w:t xml:space="preserve"> </w:t>
      </w:r>
      <w:r>
        <w:t xml:space="preserve">OFAC may inquire about the status of audit recommendations. The fact that the high-priority recommendation was implemented in January 2024 — and that it directly enabled detection of the Khoury SDN match — is a favorable fact that demonstrates a functioning compliance program. The remaining recommendations (end-use monitoring; new-product risk assessment) are addressed by the end-use monitoring plan (Issue 6) and the technical-data classification analysis (Issues 4, 12).</w:t>
      </w:r>
    </w:p>
    <w:p>
      <w:pPr>
        <w:pStyle w:val="BodyText"/>
      </w:pPr>
      <w:r>
        <w:rPr>
          <w:b/>
          <w:bCs/>
        </w:rPr>
        <w:t xml:space="preserve">Recommendation.</w:t>
      </w:r>
      <w:r>
        <w:t xml:space="preserve"> </w:t>
      </w:r>
      <w:r>
        <w:rPr>
          <w:b/>
          <w:bCs/>
        </w:rPr>
        <w:t xml:space="preserve">[Low/Medium.]</w:t>
      </w:r>
      <w:r>
        <w:t xml:space="preserve"> </w:t>
      </w:r>
      <w:r>
        <w:t xml:space="preserve">The application (Section X.D) describes the compliance program, the audit rating, the implementation of the high-priority beneficial-ownership recommendation, and the steps being taken to implement the remaining recommendations. Be prepared to provide OFAC, on request, evidence of the January 2024 implementation and the end-use monitoring plan.</w:t>
      </w:r>
    </w:p>
    <w:p>
      <w:pPr>
        <w:pStyle w:val="BodyText"/>
      </w:pPr>
      <w:r>
        <w:rPr>
          <w:b/>
          <w:bCs/>
        </w:rPr>
        <w:t xml:space="preserve">Priority: Low/Medium.</w:t>
      </w:r>
    </w:p>
    <w:p>
      <w:r>
        <w:pict>
          <v:rect style="width:0;height:1.5pt" o:hralign="center" o:hrstd="t" o:hr="t"/>
        </w:pict>
      </w:r>
    </w:p>
    <w:bookmarkEnd w:id="39"/>
    <w:bookmarkEnd w:id="40"/>
    <w:bookmarkStart w:id="41" w:name="iv.-recommended-action-plan-prioritized"/>
    <w:p>
      <w:pPr>
        <w:pStyle w:val="Heading2"/>
      </w:pPr>
      <w:r>
        <w:t xml:space="preserve">IV. Recommended Action Plan (Prioritized)</w:t>
      </w:r>
    </w:p>
    <w:p>
      <w:pPr>
        <w:pStyle w:val="FirstParagraph"/>
      </w:pPr>
      <w:r>
        <w:rPr>
          <w:b/>
          <w:bCs/>
        </w:rPr>
        <w:t xml:space="preserve">Before filing the application:</w:t>
      </w:r>
    </w:p>
    <w:p>
      <w:pPr>
        <w:pStyle w:val="Compact"/>
        <w:numPr>
          <w:ilvl w:val="0"/>
          <w:numId w:val="1005"/>
        </w:numPr>
      </w:pPr>
      <w:r>
        <w:rPr>
          <w:b/>
          <w:bCs/>
        </w:rPr>
        <w:t xml:space="preserve">[Critical] Restructure payment.</w:t>
      </w:r>
      <w:r>
        <w:t xml:space="preserve"> </w:t>
      </w:r>
      <w:r>
        <w:t xml:space="preserve">Amend the PO to substitute a non-SDN-listed Syrian commercial bank for the Central Bank of Calverley; have the Compliance Department screen the substitute bank.</w:t>
      </w:r>
      <w:r>
        <w:t xml:space="preserve"> </w:t>
      </w:r>
      <w:r>
        <w:rPr>
          <w:i/>
          <w:iCs/>
        </w:rPr>
        <w:t xml:space="preserve">(Issue 1)</w:t>
      </w:r>
    </w:p>
    <w:p>
      <w:pPr>
        <w:pStyle w:val="Compact"/>
        <w:numPr>
          <w:ilvl w:val="0"/>
          <w:numId w:val="1005"/>
        </w:numPr>
      </w:pPr>
      <w:r>
        <w:rPr>
          <w:b/>
          <w:bCs/>
        </w:rPr>
        <w:t xml:space="preserve">[Critical/High] Decide on ARMPC.</w:t>
      </w:r>
      <w:r>
        <w:t xml:space="preserve"> </w:t>
      </w:r>
      <w:r>
        <w:t xml:space="preserve">Determine whether to substitute ARMPC with a non-SDN-nexus customs agent (preferred) or to retain ARMPC with full disclosure. Re-screen immediately before filing.</w:t>
      </w:r>
      <w:r>
        <w:t xml:space="preserve"> </w:t>
      </w:r>
      <w:r>
        <w:rPr>
          <w:i/>
          <w:iCs/>
        </w:rPr>
        <w:t xml:space="preserve">(Issue 2)</w:t>
      </w:r>
    </w:p>
    <w:p>
      <w:pPr>
        <w:pStyle w:val="Compact"/>
        <w:numPr>
          <w:ilvl w:val="0"/>
          <w:numId w:val="1005"/>
        </w:numPr>
      </w:pPr>
      <w:r>
        <w:rPr>
          <w:b/>
          <w:bCs/>
        </w:rPr>
        <w:t xml:space="preserve">[High] Confirm authorization framework.</w:t>
      </w:r>
      <w:r>
        <w:t xml:space="preserve"> </w:t>
      </w:r>
      <w:r>
        <w:t xml:space="preserve">Confirm no general license covers the full transaction; proceed with the specific license application.</w:t>
      </w:r>
      <w:r>
        <w:t xml:space="preserve"> </w:t>
      </w:r>
      <w:r>
        <w:rPr>
          <w:i/>
          <w:iCs/>
        </w:rPr>
        <w:t xml:space="preserve">(Issue 3)</w:t>
      </w:r>
    </w:p>
    <w:p>
      <w:pPr>
        <w:pStyle w:val="Compact"/>
        <w:numPr>
          <w:ilvl w:val="0"/>
          <w:numId w:val="1005"/>
        </w:numPr>
      </w:pPr>
      <w:r>
        <w:rPr>
          <w:b/>
          <w:bCs/>
        </w:rPr>
        <w:t xml:space="preserve">[High] Scope the training.</w:t>
      </w:r>
      <w:r>
        <w:t xml:space="preserve"> </w:t>
      </w:r>
      <w:r>
        <w:t xml:space="preserve">Confirm the EAR classification of the training technical data; narrow Modules 2–3 if advisable; confirm no firmware updates will be provided.</w:t>
      </w:r>
      <w:r>
        <w:t xml:space="preserve"> </w:t>
      </w:r>
      <w:r>
        <w:rPr>
          <w:i/>
          <w:iCs/>
        </w:rPr>
        <w:t xml:space="preserve">(Issues 4, 8, 12)</w:t>
      </w:r>
    </w:p>
    <w:p>
      <w:pPr>
        <w:pStyle w:val="Compact"/>
        <w:numPr>
          <w:ilvl w:val="0"/>
          <w:numId w:val="1005"/>
        </w:numPr>
      </w:pPr>
      <w:r>
        <w:rPr>
          <w:b/>
          <w:bCs/>
        </w:rPr>
        <w:t xml:space="preserve">[Medium] Defer PO acceptance.</w:t>
      </w:r>
      <w:r>
        <w:t xml:space="preserve"> </w:t>
      </w:r>
      <w:r>
        <w:t xml:space="preserve">Do not accept the PO in writing until payment is restructured, the ARMPC decision is made, and the license is issued.</w:t>
      </w:r>
      <w:r>
        <w:t xml:space="preserve"> </w:t>
      </w:r>
      <w:r>
        <w:rPr>
          <w:i/>
          <w:iCs/>
        </w:rPr>
        <w:t xml:space="preserve">(Issue 13)</w:t>
      </w:r>
    </w:p>
    <w:p>
      <w:pPr>
        <w:pStyle w:val="Compact"/>
        <w:numPr>
          <w:ilvl w:val="0"/>
          <w:numId w:val="1005"/>
        </w:numPr>
      </w:pPr>
      <w:r>
        <w:rPr>
          <w:b/>
          <w:bCs/>
        </w:rPr>
        <w:t xml:space="preserve">[Medium] Confirm DCUH cold-chain receiving capability.</w:t>
      </w:r>
      <w:r>
        <w:t xml:space="preserve"> </w:t>
      </w:r>
      <w:r>
        <w:t xml:space="preserve">Obtain written confirmation of adequate refrigerated storage at DCUH.</w:t>
      </w:r>
      <w:r>
        <w:t xml:space="preserve"> </w:t>
      </w:r>
      <w:r>
        <w:rPr>
          <w:i/>
          <w:iCs/>
        </w:rPr>
        <w:t xml:space="preserve">(Issue 7)</w:t>
      </w:r>
    </w:p>
    <w:p>
      <w:pPr>
        <w:pStyle w:val="Compact"/>
        <w:numPr>
          <w:ilvl w:val="0"/>
          <w:numId w:val="1005"/>
        </w:numPr>
      </w:pPr>
      <w:r>
        <w:rPr>
          <w:b/>
          <w:bCs/>
        </w:rPr>
        <w:t xml:space="preserve">[Medium] Prepare end-use monitoring plan and end-user certificate.</w:t>
      </w:r>
      <w:r>
        <w:t xml:space="preserve"> </w:t>
      </w:r>
      <w:r>
        <w:t xml:space="preserve">Draft the monitoring plan; obtain the executed end-user certificate/non-diversion statement from DCUH.</w:t>
      </w:r>
      <w:r>
        <w:t xml:space="preserve"> </w:t>
      </w:r>
      <w:r>
        <w:rPr>
          <w:i/>
          <w:iCs/>
        </w:rPr>
        <w:t xml:space="preserve">(Issue 6)</w:t>
      </w:r>
    </w:p>
    <w:p>
      <w:pPr>
        <w:pStyle w:val="Compact"/>
        <w:numPr>
          <w:ilvl w:val="0"/>
          <w:numId w:val="1005"/>
        </w:numPr>
      </w:pPr>
      <w:r>
        <w:rPr>
          <w:b/>
          <w:bCs/>
        </w:rPr>
        <w:t xml:space="preserve">[Medium] Coordinate with Harborview National Bank.</w:t>
      </w:r>
      <w:r>
        <w:t xml:space="preserve"> </w:t>
      </w:r>
      <w:r>
        <w:t xml:space="preserve">Advise Harborview of the pending license and the expected incoming wire.</w:t>
      </w:r>
      <w:r>
        <w:t xml:space="preserve"> </w:t>
      </w:r>
      <w:r>
        <w:rPr>
          <w:i/>
          <w:iCs/>
        </w:rPr>
        <w:t xml:space="preserve">(Issue 15)</w:t>
      </w:r>
    </w:p>
    <w:p>
      <w:pPr>
        <w:pStyle w:val="FirstParagraph"/>
      </w:pPr>
      <w:r>
        <w:rPr>
          <w:b/>
          <w:bCs/>
        </w:rPr>
        <w:t xml:space="preserve">Upon filing:</w:t>
      </w:r>
    </w:p>
    <w:p>
      <w:pPr>
        <w:pStyle w:val="Compact"/>
        <w:numPr>
          <w:ilvl w:val="0"/>
          <w:numId w:val="1006"/>
        </w:numPr>
      </w:pPr>
      <w:r>
        <w:t xml:space="preserve">File the specific license application via the OFAC electronic portal, requesting an effective date of September 1, 2024 (or upon issuance) through February 28, 2026, with the exhibits listed in the application.</w:t>
      </w:r>
      <w:r>
        <w:t xml:space="preserve"> </w:t>
      </w:r>
      <w:r>
        <w:rPr>
          <w:i/>
          <w:iCs/>
        </w:rPr>
        <w:t xml:space="preserve">(Issue 9)</w:t>
      </w:r>
    </w:p>
    <w:p>
      <w:pPr>
        <w:pStyle w:val="Compact"/>
        <w:numPr>
          <w:ilvl w:val="0"/>
          <w:numId w:val="1006"/>
        </w:numPr>
      </w:pPr>
      <w:r>
        <w:t xml:space="preserve">Implement 90-day re-screening of all parties during pendency.</w:t>
      </w:r>
      <w:r>
        <w:t xml:space="preserve"> </w:t>
      </w:r>
      <w:r>
        <w:rPr>
          <w:i/>
          <w:iCs/>
        </w:rPr>
        <w:t xml:space="preserve">(Issue 10)</w:t>
      </w:r>
    </w:p>
    <w:p>
      <w:pPr>
        <w:pStyle w:val="FirstParagraph"/>
      </w:pPr>
      <w:r>
        <w:rPr>
          <w:b/>
          <w:bCs/>
        </w:rPr>
        <w:t xml:space="preserve">If the license is granted:</w:t>
      </w:r>
    </w:p>
    <w:p>
      <w:pPr>
        <w:pStyle w:val="Compact"/>
        <w:numPr>
          <w:ilvl w:val="0"/>
          <w:numId w:val="1007"/>
        </w:numPr>
      </w:pPr>
      <w:r>
        <w:t xml:space="preserve">Re-screen all parties immediately before shipment.</w:t>
      </w:r>
      <w:r>
        <w:t xml:space="preserve"> </w:t>
      </w:r>
      <w:r>
        <w:rPr>
          <w:i/>
          <w:iCs/>
        </w:rPr>
        <w:t xml:space="preserve">(Issues 2, 10)</w:t>
      </w:r>
    </w:p>
    <w:p>
      <w:pPr>
        <w:pStyle w:val="Compact"/>
        <w:numPr>
          <w:ilvl w:val="0"/>
          <w:numId w:val="1007"/>
        </w:numPr>
      </w:pPr>
      <w:r>
        <w:t xml:space="preserve">Ship with full cold-chain monitoring; collect data-logger records.</w:t>
      </w:r>
      <w:r>
        <w:t xml:space="preserve"> </w:t>
      </w:r>
      <w:r>
        <w:rPr>
          <w:i/>
          <w:iCs/>
        </w:rPr>
        <w:t xml:space="preserve">(Issue 7)</w:t>
      </w:r>
    </w:p>
    <w:p>
      <w:pPr>
        <w:pStyle w:val="Compact"/>
        <w:numPr>
          <w:ilvl w:val="0"/>
          <w:numId w:val="1007"/>
        </w:numPr>
      </w:pPr>
      <w:r>
        <w:t xml:space="preserve">Deliver the 40-hour remote training within the authorized scope (no firmware updates; no post-training technical support).</w:t>
      </w:r>
      <w:r>
        <w:t xml:space="preserve"> </w:t>
      </w:r>
      <w:r>
        <w:rPr>
          <w:i/>
          <w:iCs/>
        </w:rPr>
        <w:t xml:space="preserve">(Issues 4, 8)</w:t>
      </w:r>
    </w:p>
    <w:p>
      <w:pPr>
        <w:pStyle w:val="Compact"/>
        <w:numPr>
          <w:ilvl w:val="0"/>
          <w:numId w:val="1007"/>
        </w:numPr>
      </w:pPr>
      <w:r>
        <w:t xml:space="preserve">Submit the 30-day post-shipment report and implement the end-use monitoring plan (annual usage reporting; site verification as feasible).</w:t>
      </w:r>
      <w:r>
        <w:t xml:space="preserve"> </w:t>
      </w:r>
      <w:r>
        <w:rPr>
          <w:i/>
          <w:iCs/>
        </w:rPr>
        <w:t xml:space="preserve">(Issues 6, 11)</w:t>
      </w:r>
    </w:p>
    <w:p>
      <w:pPr>
        <w:pStyle w:val="Compact"/>
        <w:numPr>
          <w:ilvl w:val="0"/>
          <w:numId w:val="1007"/>
        </w:numPr>
      </w:pPr>
      <w:r>
        <w:t xml:space="preserve">Maintain records for five years.</w:t>
      </w:r>
      <w:r>
        <w:t xml:space="preserve"> </w:t>
      </w:r>
      <w:r>
        <w:rPr>
          <w:i/>
          <w:iCs/>
        </w:rPr>
        <w:t xml:space="preserve">(Issue 11)</w:t>
      </w:r>
    </w:p>
    <w:p>
      <w:r>
        <w:pict>
          <v:rect style="width:0;height:1.5pt" o:hralign="center" o:hrstd="t" o:hr="t"/>
        </w:pict>
      </w:r>
    </w:p>
    <w:bookmarkEnd w:id="41"/>
    <w:bookmarkStart w:id="42" w:name="v.-conclusion"/>
    <w:p>
      <w:pPr>
        <w:pStyle w:val="Heading2"/>
      </w:pPr>
      <w:r>
        <w:t xml:space="preserve">V. Conclusion</w:t>
      </w:r>
    </w:p>
    <w:p>
      <w:pPr>
        <w:pStyle w:val="FirstParagraph"/>
      </w:pPr>
      <w:r>
        <w:t xml:space="preserve">The transaction is a meritorious humanitarian export that is well-supported by the WHO needs assessment and by Meridian’s clean compliance record and prior specific-license history. The principal obstacles are the SDN-listed remitting bank named in the PO (which must be restructured), the SDN-listed 30% shareholder of the proposed Syrian customs agent (which must be disclosed and may warrant substitution), the governmental end-user (requiring specific authorization), and the technology-transfer dimensions of the remote training (requiring careful scoping). None of these is insurmountable, but each must be addressed before filing and is reflected in the accompanying application.</w:t>
      </w:r>
    </w:p>
    <w:p>
      <w:pPr>
        <w:pStyle w:val="BodyText"/>
      </w:pPr>
      <w:r>
        <w:t xml:space="preserve">We recommend proceeding with the payment restructuring and the ARMPC decision as immediate priorities, deferring acceptance of the PO, and filing the specific license application as soon as those items are resolved. We are available to discuss any of the foregoing at your convenience.</w:t>
      </w:r>
    </w:p>
    <w:p>
      <w:pPr>
        <w:pStyle w:val="BodyText"/>
      </w:pPr>
      <w:r>
        <w:t xml:space="preserve">Respectfully,</w:t>
      </w:r>
    </w:p>
    <w:p>
      <w:pPr>
        <w:pStyle w:val="BodyText"/>
      </w:pPr>
      <w:r>
        <w:rPr>
          <w:b/>
          <w:bCs/>
        </w:rPr>
        <w:t xml:space="preserve">Ashford &amp; Whitmore LLP</w:t>
      </w:r>
    </w:p>
    <w:p>
      <w:pPr>
        <w:pStyle w:val="BodyText"/>
      </w:pPr>
      <w:r>
        <w:t xml:space="preserve">Catherine R. Bellingham, Partner</w:t>
      </w:r>
    </w:p>
    <w:p>
      <w:pPr>
        <w:pStyle w:val="BodyText"/>
      </w:pPr>
      <w:r>
        <w:t xml:space="preserve">David Osei-Mensah, Senior Associate</w:t>
      </w:r>
    </w:p>
    <w:p>
      <w:r>
        <w:pict>
          <v:rect style="width:0;height:1.5pt" o:hralign="center" o:hrstd="t" o:hr="t"/>
        </w:pict>
      </w:r>
    </w:p>
    <w:p>
      <w:pPr>
        <w:pStyle w:val="FirstParagraph"/>
      </w:pPr>
      <w:r>
        <w:rPr>
          <w:i/>
          <w:iCs/>
        </w:rPr>
        <w:t xml:space="preserve">This memorandum is privileged and confidential, is prepared in anticipation of seeking legal advice and in the course of legal representation, and is protected by the attorney-client privilege and the attorney work product doctrine. It is intended solely for the named addressees and should not be distributed outside Meridian Biotech Solutions, Inc. and Ashford &amp; Whitmore LLP without prior written authorization.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2026-06-27T20:51:53Z</dcterms:created>
  <dcterms:modified xsi:type="dcterms:W3CDTF">2026-06-27T20:51:53Z</dcterms:modified>
</cp:coreProperties>
</file>

<file path=docProps/custom.xml><?xml version="1.0" encoding="utf-8"?>
<Properties xmlns="http://schemas.openxmlformats.org/officeDocument/2006/custom-properties" xmlns:vt="http://schemas.openxmlformats.org/officeDocument/2006/docPropsVTypes"/>
</file>