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nvoice-review-memorandum"/>
    <w:p>
      <w:pPr>
        <w:pStyle w:val="Heading1"/>
      </w:pPr>
      <w:r>
        <w:t xml:space="preserve">INVOICE REVIEW MEMORANDUM</w:t>
      </w:r>
    </w:p>
    <w:p>
      <w:pPr>
        <w:pStyle w:val="FirstParagraph"/>
      </w:pPr>
      <w:r>
        <w:rPr>
          <w:b/>
          <w:bCs/>
        </w:rPr>
        <w:t xml:space="preserve">PRIVILEGED AND CONFIDENTIAL — PREPARED IN ANTICIPATION OF LITIGATION / ATTORNEY WORK PRODUCT</w:t>
      </w:r>
    </w:p>
    <w:p>
      <w:r>
        <w:pict>
          <v:rect style="width:0;height:1.5pt" o:hralign="center" o:hrstd="t" o:hr="t"/>
        </w:pict>
      </w:r>
    </w:p>
    <w:p>
      <w:pPr>
        <w:pStyle w:val="FirstParagraph"/>
      </w:pPr>
      <w:r>
        <w:rPr>
          <w:b/>
          <w:bCs/>
        </w:rPr>
        <w:t xml:space="preserve">TO:</w:t>
      </w:r>
      <w:r>
        <w:t xml:space="preserve"> </w:t>
      </w:r>
      <w:r>
        <w:t xml:space="preserve">Rachel Dominguez, Esq., Associate General Counsel (Designated In-House Counsel)</w:t>
      </w:r>
      <w:r>
        <w:t xml:space="preserve"> </w:t>
      </w:r>
      <w:r>
        <w:rPr>
          <w:b/>
          <w:bCs/>
        </w:rPr>
        <w:t xml:space="preserve">CC:</w:t>
      </w:r>
      <w:r>
        <w:t xml:space="preserve"> </w:t>
      </w:r>
      <w:r>
        <w:t xml:space="preserve">Sandra Whitmore, General Counsel</w:t>
      </w:r>
      <w:r>
        <w:t xml:space="preserve"> </w:t>
      </w:r>
      <w:r>
        <w:rPr>
          <w:b/>
          <w:bCs/>
        </w:rPr>
        <w:t xml:space="preserve">FROM:</w:t>
      </w:r>
      <w:r>
        <w:t xml:space="preserve"> </w:t>
      </w:r>
      <w:r>
        <w:t xml:space="preserve">Legal Billing Review, Office of the General Counsel</w:t>
      </w:r>
      <w:r>
        <w:t xml:space="preserve"> </w:t>
      </w:r>
      <w:r>
        <w:rPr>
          <w:b/>
          <w:bCs/>
        </w:rPr>
        <w:t xml:space="preserve">DATE:</w:t>
      </w:r>
      <w:r>
        <w:t xml:space="preserve"> </w:t>
      </w:r>
      <w:r>
        <w:t xml:space="preserve">June 12, 2025</w:t>
      </w:r>
      <w:r>
        <w:t xml:space="preserve"> </w:t>
      </w:r>
      <w:r>
        <w:rPr>
          <w:b/>
          <w:bCs/>
        </w:rPr>
        <w:t xml:space="preserve">RE:</w:t>
      </w:r>
      <w:r>
        <w:t xml:space="preserve"> </w:t>
      </w:r>
      <w:r>
        <w:t xml:space="preserve">Review of Outside Counsel Invoice No. HL-2025-05-PIN — Hargrove &amp; Linden LLP —</w:t>
      </w:r>
      <w:r>
        <w:t xml:space="preserve"> </w:t>
      </w:r>
      <w:r>
        <w:rPr>
          <w:i/>
          <w:iCs/>
        </w:rPr>
        <w:t xml:space="preserve">Pinnacle Health Systems, Inc. v. MedCore Analytics, LLC</w:t>
      </w:r>
      <w:r>
        <w:t xml:space="preserve">, Case No. 1:24-cv-04187-RWS (N.D. Ga.) — Billing Period May 1–31,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Hargrove &amp; Linden LLP (</w:t>
      </w:r>
      <w:r>
        <w:t xml:space="preserve">“</w:t>
      </w:r>
      <w:r>
        <w:t xml:space="preserve">H&amp;L</w:t>
      </w:r>
      <w:r>
        <w:t xml:space="preserve">”</w:t>
      </w:r>
      <w:r>
        <w:t xml:space="preserve"> </w:t>
      </w:r>
      <w:r>
        <w:t xml:space="preserve">or the</w:t>
      </w:r>
      <w:r>
        <w:t xml:space="preserve"> </w:t>
      </w:r>
      <w:r>
        <w:t xml:space="preserve">“</w:t>
      </w:r>
      <w:r>
        <w:t xml:space="preserve">Firm</w:t>
      </w:r>
      <w:r>
        <w:t xml:space="preserve">”</w:t>
      </w:r>
      <w:r>
        <w:t xml:space="preserve">) submitted Invoice No. HL-2025-05-PIN, dated June 5, 2025, for legal services rendered during May 2025 in the above-captioned matter. The invoice seeks</w:t>
      </w:r>
      <w:r>
        <w:t xml:space="preserve"> </w:t>
      </w:r>
      <w:r>
        <w:rPr>
          <w:b/>
          <w:bCs/>
        </w:rPr>
        <w:t xml:space="preserve">$201,822.50</w:t>
      </w:r>
      <w:r>
        <w:t xml:space="preserve">, consisting of</w:t>
      </w:r>
      <w:r>
        <w:t xml:space="preserve"> </w:t>
      </w:r>
      <w:r>
        <w:rPr>
          <w:b/>
          <w:bCs/>
        </w:rPr>
        <w:t xml:space="preserve">$193,372.50</w:t>
      </w:r>
      <w:r>
        <w:t xml:space="preserve"> </w:t>
      </w:r>
      <w:r>
        <w:t xml:space="preserve">in attorney fees (422.5 hours across seven timekeepers) and</w:t>
      </w:r>
      <w:r>
        <w:t xml:space="preserve"> </w:t>
      </w:r>
      <w:r>
        <w:rPr>
          <w:b/>
          <w:bCs/>
        </w:rPr>
        <w:t xml:space="preserve">$8,450.00</w:t>
      </w:r>
      <w:r>
        <w:t xml:space="preserve"> </w:t>
      </w:r>
      <w:r>
        <w:t xml:space="preserve">in expenses.</w:t>
      </w:r>
    </w:p>
    <w:p>
      <w:pPr>
        <w:pStyle w:val="BodyText"/>
      </w:pPr>
      <w:r>
        <w:t xml:space="preserve">This review was conducted against (i) the Approved Discovery-Phase Staffing Plan dated February 10, 2025 (the</w:t>
      </w:r>
      <w:r>
        <w:t xml:space="preserve"> </w:t>
      </w:r>
      <w:r>
        <w:t xml:space="preserve">“</w:t>
      </w:r>
      <w:r>
        <w:t xml:space="preserve">Staffing Plan</w:t>
      </w:r>
      <w:r>
        <w:t xml:space="preserve">”</w:t>
      </w:r>
      <w:r>
        <w:t xml:space="preserve">); (ii) Pinnacle’s Outside Counsel Billing Guidelines, effective January 1, 2023 (the</w:t>
      </w:r>
      <w:r>
        <w:t xml:space="preserve"> </w:t>
      </w:r>
      <w:r>
        <w:t xml:space="preserve">“</w:t>
      </w:r>
      <w:r>
        <w:t xml:space="preserve">Billing Guidelines</w:t>
      </w:r>
      <w:r>
        <w:t xml:space="preserve">”</w:t>
      </w:r>
      <w:r>
        <w:t xml:space="preserve">); (iii) the April 28 / May 1, 2025 staffing email exchange between Karen Cho and Rachel Dominguez regarding the proposed addition of Nina Barros; and (iv) H&amp;L’s Monthly Case Status Report for May 2025, dated June 1, 2025 (the</w:t>
      </w:r>
      <w:r>
        <w:t xml:space="preserve"> </w:t>
      </w:r>
      <w:r>
        <w:t xml:space="preserve">“</w:t>
      </w:r>
      <w:r>
        <w:t xml:space="preserve">Status Report</w:t>
      </w:r>
      <w:r>
        <w:t xml:space="preserve">”</w:t>
      </w:r>
      <w:r>
        <w:t xml:space="preserve">).</w:t>
      </w:r>
    </w:p>
    <w:p>
      <w:pPr>
        <w:pStyle w:val="BodyText"/>
      </w:pPr>
      <w:r>
        <w:t xml:space="preserve">The invoice contains multiple, material Billing Guidelines violations.</w:t>
      </w:r>
      <w:r>
        <w:t xml:space="preserve"> </w:t>
      </w:r>
      <w:r>
        <w:rPr>
          <w:b/>
          <w:bCs/>
        </w:rPr>
        <w:t xml:space="preserve">We recommend a total reduction of $72,440.01, reducing the amount payable from $201,822.50 to $129,382.49</w:t>
      </w:r>
      <w:r>
        <w:t xml:space="preserve"> </w:t>
      </w:r>
      <w:r>
        <w:t xml:space="preserve">(a reduction of approximately 35.9%). The principal findings are:</w:t>
      </w:r>
    </w:p>
    <w:p>
      <w:pPr>
        <w:numPr>
          <w:ilvl w:val="0"/>
          <w:numId w:val="1001"/>
        </w:numPr>
      </w:pPr>
      <w:r>
        <w:rPr>
          <w:b/>
          <w:bCs/>
        </w:rPr>
        <w:t xml:space="preserve">Two unapproved timekeepers.</w:t>
      </w:r>
      <w:r>
        <w:t xml:space="preserve"> </w:t>
      </w:r>
      <w:r>
        <w:t xml:space="preserve">Nina Barros (45.0 hrs / $21,375.00) and Priya Sengupta (27.5 hrs / $10,312.50) billed without the written pre-approval required by Billing Guidelines § 4.2 and the Staffing Plan. Barros’s addition was</w:t>
      </w:r>
      <w:r>
        <w:t xml:space="preserve"> </w:t>
      </w:r>
      <w:r>
        <w:rPr>
          <w:i/>
          <w:iCs/>
        </w:rPr>
        <w:t xml:space="preserve">requested</w:t>
      </w:r>
      <w:r>
        <w:t xml:space="preserve"> </w:t>
      </w:r>
      <w:r>
        <w:t xml:space="preserve">but expressly</w:t>
      </w:r>
      <w:r>
        <w:t xml:space="preserve"> </w:t>
      </w:r>
      <w:r>
        <w:rPr>
          <w:i/>
          <w:iCs/>
        </w:rPr>
        <w:t xml:space="preserve">not approved</w:t>
      </w:r>
      <w:r>
        <w:t xml:space="preserve">; Sengupta was added with no request to Pinnacle at all.</w:t>
      </w:r>
      <w:r>
        <w:t xml:space="preserve"> </w:t>
      </w:r>
      <w:r>
        <w:rPr>
          <w:b/>
          <w:bCs/>
        </w:rPr>
        <w:t xml:space="preserve">Recommended: full rejection — $31,687.50.</w:t>
      </w:r>
    </w:p>
    <w:p>
      <w:pPr>
        <w:numPr>
          <w:ilvl w:val="0"/>
          <w:numId w:val="1001"/>
        </w:numPr>
      </w:pPr>
      <w:r>
        <w:rPr>
          <w:b/>
          <w:bCs/>
        </w:rPr>
        <w:t xml:space="preserve">Contract attorney rate exceeds both the rate cap and the approved rate.</w:t>
      </w:r>
      <w:r>
        <w:t xml:space="preserve"> </w:t>
      </w:r>
      <w:r>
        <w:t xml:space="preserve">Marcus Tate was billed at $210/hr, exceeding the § 5.1 cap of $200/hr and the Staffing Plan’s approved pass-through rate of $185/hr.</w:t>
      </w:r>
      <w:r>
        <w:t xml:space="preserve"> </w:t>
      </w:r>
      <w:r>
        <w:rPr>
          <w:b/>
          <w:bCs/>
        </w:rPr>
        <w:t xml:space="preserve">Recommended: re-rate to $185/hr — $3,000.00.</w:t>
      </w:r>
    </w:p>
    <w:p>
      <w:pPr>
        <w:numPr>
          <w:ilvl w:val="0"/>
          <w:numId w:val="1001"/>
        </w:numPr>
      </w:pPr>
      <w:r>
        <w:rPr>
          <w:b/>
          <w:bCs/>
        </w:rPr>
        <w:t xml:space="preserve">Pervasive block billing.</w:t>
      </w:r>
      <w:r>
        <w:t xml:space="preserve"> </w:t>
      </w:r>
      <w:r>
        <w:t xml:space="preserve">Forty-four (44) time entries combine two or more discrete tasks in a single line item, in violation of § 5.4. The automatic 25% reduction applies to each.</w:t>
      </w:r>
      <w:r>
        <w:t xml:space="preserve"> </w:t>
      </w:r>
      <w:r>
        <w:rPr>
          <w:b/>
          <w:bCs/>
        </w:rPr>
        <w:t xml:space="preserve">Recommended: $27,050.01.</w:t>
      </w:r>
    </w:p>
    <w:p>
      <w:pPr>
        <w:numPr>
          <w:ilvl w:val="0"/>
          <w:numId w:val="1001"/>
        </w:numPr>
      </w:pPr>
      <w:r>
        <w:rPr>
          <w:b/>
          <w:bCs/>
        </w:rPr>
        <w:t xml:space="preserve">Task/timekeeper mismatches (§ 6.1).</w:t>
      </w:r>
      <w:r>
        <w:t xml:space="preserve"> </w:t>
      </w:r>
      <w:r>
        <w:t xml:space="preserve">A partner performed document review and cite-checking, a mid-level associate performed administrative scheduling, and a junior associate performed routine first-level document review.</w:t>
      </w:r>
      <w:r>
        <w:t xml:space="preserve"> </w:t>
      </w:r>
      <w:r>
        <w:rPr>
          <w:b/>
          <w:bCs/>
        </w:rPr>
        <w:t xml:space="preserve">Recommended: $5,290.00.</w:t>
      </w:r>
    </w:p>
    <w:p>
      <w:pPr>
        <w:numPr>
          <w:ilvl w:val="0"/>
          <w:numId w:val="1001"/>
        </w:numPr>
      </w:pPr>
      <w:r>
        <w:rPr>
          <w:b/>
          <w:bCs/>
        </w:rPr>
        <w:t xml:space="preserve">Over-staffed internal meeting and deposition (§ 4.3).</w:t>
      </w:r>
      <w:r>
        <w:t xml:space="preserve"> </w:t>
      </w:r>
      <w:r>
        <w:t xml:space="preserve">Five timekeepers billed a single May 8 strategy call (cap is three) and three attorneys billed the Liu deposition without advance approval for the third.</w:t>
      </w:r>
      <w:r>
        <w:t xml:space="preserve"> </w:t>
      </w:r>
      <w:r>
        <w:rPr>
          <w:b/>
          <w:bCs/>
        </w:rPr>
        <w:t xml:space="preserve">Recommended: $3,312.50.</w:t>
      </w:r>
    </w:p>
    <w:p>
      <w:pPr>
        <w:numPr>
          <w:ilvl w:val="0"/>
          <w:numId w:val="1001"/>
        </w:numPr>
      </w:pPr>
      <w:r>
        <w:rPr>
          <w:b/>
          <w:bCs/>
        </w:rPr>
        <w:t xml:space="preserve">Non-reimbursable travel expense (§§ 6.4, 8.2, 8.3).</w:t>
      </w:r>
      <w:r>
        <w:t xml:space="preserve"> </w:t>
      </w:r>
      <w:r>
        <w:t xml:space="preserve">$2,100.00 in</w:t>
      </w:r>
      <w:r>
        <w:t xml:space="preserve"> </w:t>
      </w:r>
      <w:r>
        <w:t xml:space="preserve">“</w:t>
      </w:r>
      <w:r>
        <w:t xml:space="preserve">travel</w:t>
      </w:r>
      <w:r>
        <w:t xml:space="preserve">”</w:t>
      </w:r>
      <w:r>
        <w:t xml:space="preserve"> </w:t>
      </w:r>
      <w:r>
        <w:t xml:space="preserve">for two firm attorneys to attend a deposition held at the Firm’s own Atlanta office is local travel and was not pre-approved.</w:t>
      </w:r>
      <w:r>
        <w:t xml:space="preserve"> </w:t>
      </w:r>
      <w:r>
        <w:rPr>
          <w:b/>
          <w:bCs/>
        </w:rPr>
        <w:t xml:space="preserve">Recommended: $2,100.00.</w:t>
      </w:r>
    </w:p>
    <w:p>
      <w:pPr>
        <w:numPr>
          <w:ilvl w:val="0"/>
          <w:numId w:val="1001"/>
        </w:numPr>
      </w:pPr>
      <w:r>
        <w:rPr>
          <w:b/>
          <w:bCs/>
        </w:rPr>
        <w:t xml:space="preserve">Budget overage without pre-approval (§ 7.3).</w:t>
      </w:r>
      <w:r>
        <w:t xml:space="preserve"> </w:t>
      </w:r>
      <w:r>
        <w:t xml:space="preserve">Attorney fees of $193,372.50 exceed the 115% threshold ($189,750.00) with no pre-approval. The violation is flagged; because the specific reductions above bring fees below the cap, no</w:t>
      </w:r>
      <w:r>
        <w:t xml:space="preserve"> </w:t>
      </w:r>
      <w:r>
        <w:rPr>
          <w:i/>
          <w:iCs/>
        </w:rPr>
        <w:t xml:space="preserve">additional</w:t>
      </w:r>
      <w:r>
        <w:t xml:space="preserve"> </w:t>
      </w:r>
      <w:r>
        <w:t xml:space="preserve">dollar reduction is required under § 7.3, though Pinnacle reserves the right to enforce the cap.</w:t>
      </w:r>
    </w:p>
    <w:p>
      <w:pPr>
        <w:numPr>
          <w:ilvl w:val="0"/>
          <w:numId w:val="1001"/>
        </w:numPr>
      </w:pPr>
      <w:r>
        <w:rPr>
          <w:b/>
          <w:bCs/>
        </w:rPr>
        <w:t xml:space="preserve">Missing budget-to-actual reconciliation (§§ 7.2, 9.1(g)).</w:t>
      </w:r>
      <w:r>
        <w:t xml:space="preserve"> </w:t>
      </w:r>
      <w:r>
        <w:t xml:space="preserve">The invoice omits the required budget-to-actual reconciliation and variance narrative. The Firm should resubmit with the reconciliation.</w:t>
      </w:r>
    </w:p>
    <w:p>
      <w:pPr>
        <w:pStyle w:val="FirstParagraph"/>
      </w:pPr>
      <w:r>
        <w:t xml:space="preserve">The detailed findings, citations, and calculations supporting each reduction follow.</w:t>
      </w:r>
    </w:p>
    <w:p>
      <w:r>
        <w:pict>
          <v:rect style="width:0;height:1.5pt" o:hralign="center" o:hrstd="t" o:hr="t"/>
        </w:pict>
      </w:r>
    </w:p>
    <w:bookmarkEnd w:id="20"/>
    <w:bookmarkStart w:id="21"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Relevance</w:t>
            </w:r>
          </w:p>
        </w:tc>
      </w:tr>
      <w:tr>
        <w:tc>
          <w:tcPr/>
          <w:p>
            <w:pPr>
              <w:pStyle w:val="Compact"/>
              <w:jc w:val="left"/>
            </w:pPr>
            <w:r>
              <w:t xml:space="preserve">Invoice No. HL-2025-05-PIN (Summary, Time Detail, Expense Detail, Rate Schedule)</w:t>
            </w:r>
          </w:p>
        </w:tc>
        <w:tc>
          <w:tcPr/>
          <w:p>
            <w:pPr>
              <w:pStyle w:val="Compact"/>
              <w:jc w:val="left"/>
            </w:pPr>
            <w:r>
              <w:t xml:space="preserve">June 5, 2025</w:t>
            </w:r>
          </w:p>
        </w:tc>
        <w:tc>
          <w:tcPr/>
          <w:p>
            <w:pPr>
              <w:pStyle w:val="Compact"/>
              <w:jc w:val="left"/>
            </w:pPr>
            <w:r>
              <w:t xml:space="preserve">Invoice under review</w:t>
            </w:r>
          </w:p>
        </w:tc>
      </w:tr>
      <w:tr>
        <w:tc>
          <w:tcPr/>
          <w:p>
            <w:pPr>
              <w:pStyle w:val="Compact"/>
              <w:jc w:val="left"/>
            </w:pPr>
            <w:r>
              <w:t xml:space="preserve">Approved Discovery-Phase Staffing Plan</w:t>
            </w:r>
          </w:p>
        </w:tc>
        <w:tc>
          <w:tcPr/>
          <w:p>
            <w:pPr>
              <w:pStyle w:val="Compact"/>
              <w:jc w:val="left"/>
            </w:pPr>
            <w:r>
              <w:t xml:space="preserve">February 10, 2025</w:t>
            </w:r>
          </w:p>
        </w:tc>
        <w:tc>
          <w:tcPr/>
          <w:p>
            <w:pPr>
              <w:pStyle w:val="Compact"/>
              <w:jc w:val="left"/>
            </w:pPr>
            <w:r>
              <w:t xml:space="preserve">Authorized timekeepers, rates, hours, budget</w:t>
            </w:r>
          </w:p>
        </w:tc>
      </w:tr>
      <w:tr>
        <w:tc>
          <w:tcPr/>
          <w:p>
            <w:pPr>
              <w:pStyle w:val="Compact"/>
              <w:jc w:val="left"/>
            </w:pPr>
            <w:r>
              <w:t xml:space="preserve">Pinnacle Outside Counsel Billing Guidelines (Jan. 1, 2023)</w:t>
            </w:r>
          </w:p>
        </w:tc>
        <w:tc>
          <w:tcPr/>
          <w:p>
            <w:pPr>
              <w:pStyle w:val="Compact"/>
              <w:jc w:val="left"/>
            </w:pPr>
            <w:r>
              <w:t xml:space="preserve">Jan. 1, 2023</w:t>
            </w:r>
          </w:p>
        </w:tc>
        <w:tc>
          <w:tcPr/>
          <w:p>
            <w:pPr>
              <w:pStyle w:val="Compact"/>
              <w:jc w:val="left"/>
            </w:pPr>
            <w:r>
              <w:t xml:space="preserve">Governing billing rules</w:t>
            </w:r>
          </w:p>
        </w:tc>
      </w:tr>
      <w:tr>
        <w:tc>
          <w:tcPr/>
          <w:p>
            <w:pPr>
              <w:pStyle w:val="Compact"/>
              <w:jc w:val="left"/>
            </w:pPr>
            <w:r>
              <w:t xml:space="preserve">Staffing email exchange (Cho → Dominguez; Dominguez → Cho)</w:t>
            </w:r>
          </w:p>
        </w:tc>
        <w:tc>
          <w:tcPr/>
          <w:p>
            <w:pPr>
              <w:pStyle w:val="Compact"/>
              <w:jc w:val="left"/>
            </w:pPr>
            <w:r>
              <w:t xml:space="preserve">Apr. 28 / May 1, 2025</w:t>
            </w:r>
          </w:p>
        </w:tc>
        <w:tc>
          <w:tcPr/>
          <w:p>
            <w:pPr>
              <w:pStyle w:val="Compact"/>
              <w:jc w:val="left"/>
            </w:pPr>
            <w:r>
              <w:t xml:space="preserve">Barros addition request and Pinnacle’s non-approval</w:t>
            </w:r>
          </w:p>
        </w:tc>
      </w:tr>
      <w:tr>
        <w:tc>
          <w:tcPr/>
          <w:p>
            <w:pPr>
              <w:pStyle w:val="Compact"/>
              <w:jc w:val="left"/>
            </w:pPr>
            <w:r>
              <w:t xml:space="preserve">Monthly Case Status Report — May 2025</w:t>
            </w:r>
          </w:p>
        </w:tc>
        <w:tc>
          <w:tcPr/>
          <w:p>
            <w:pPr>
              <w:pStyle w:val="Compact"/>
              <w:jc w:val="left"/>
            </w:pPr>
            <w:r>
              <w:t xml:space="preserve">June 1, 2025</w:t>
            </w:r>
          </w:p>
        </w:tc>
        <w:tc>
          <w:tcPr/>
          <w:p>
            <w:pPr>
              <w:pStyle w:val="Compact"/>
              <w:jc w:val="left"/>
            </w:pPr>
            <w:r>
              <w:t xml:space="preserve">Narrative of work performed</w:t>
            </w:r>
          </w:p>
        </w:tc>
      </w:tr>
    </w:tbl>
    <w:p>
      <w:r>
        <w:pict>
          <v:rect style="width:0;height:1.5pt" o:hralign="center" o:hrstd="t" o:hr="t"/>
        </w:pict>
      </w:r>
    </w:p>
    <w:bookmarkEnd w:id="21"/>
    <w:bookmarkStart w:id="22" w:name="iii.-invoice-overview"/>
    <w:p>
      <w:pPr>
        <w:pStyle w:val="Heading2"/>
      </w:pPr>
      <w:r>
        <w:t xml:space="preserve">III. Invoice Overview</w:t>
      </w:r>
    </w:p>
    <w:p>
      <w:pPr>
        <w:pStyle w:val="FirstParagraph"/>
      </w:pPr>
      <w:r>
        <w:rPr>
          <w:b/>
          <w:bCs/>
        </w:rPr>
        <w:t xml:space="preserve">Matter:</w:t>
      </w:r>
      <w:r>
        <w:t xml:space="preserve"> </w:t>
      </w:r>
      <w:r>
        <w:t xml:space="preserve">Pinnacle Health Systems, Inc. v. MedCore Analytics, LLC, Case No. 1:24-cv-04187-RWS (N.D. Ga.), Hon. Richard W. Stanton.</w:t>
      </w:r>
      <w:r>
        <w:t xml:space="preserve"> </w:t>
      </w:r>
      <w:r>
        <w:rPr>
          <w:b/>
          <w:bCs/>
        </w:rPr>
        <w:t xml:space="preserve">Billing Period:</w:t>
      </w:r>
      <w:r>
        <w:t xml:space="preserve"> </w:t>
      </w:r>
      <w:r>
        <w:t xml:space="preserve">May 1–31, 2025.</w:t>
      </w:r>
      <w:r>
        <w:t xml:space="preserve"> </w:t>
      </w:r>
      <w:r>
        <w:rPr>
          <w:b/>
          <w:bCs/>
        </w:rPr>
        <w:t xml:space="preserve">Invoice Date:</w:t>
      </w:r>
      <w:r>
        <w:t xml:space="preserve"> </w:t>
      </w:r>
      <w:r>
        <w:t xml:space="preserve">June 5, 2025 (timely under § 9.1; due by June 15).</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right"/>
            </w:pPr>
            <w:r>
              <w:t xml:space="preserve">Rate</w:t>
            </w:r>
          </w:p>
        </w:tc>
        <w:tc>
          <w:tcPr/>
          <w:p>
            <w:pPr>
              <w:pStyle w:val="Compact"/>
              <w:jc w:val="right"/>
            </w:pPr>
            <w:r>
              <w:t xml:space="preserve">Hours</w:t>
            </w:r>
          </w:p>
        </w:tc>
        <w:tc>
          <w:tcPr/>
          <w:p>
            <w:pPr>
              <w:pStyle w:val="Compact"/>
              <w:jc w:val="right"/>
            </w:pPr>
            <w:r>
              <w:t xml:space="preserve">Fees</w:t>
            </w:r>
          </w:p>
        </w:tc>
      </w:tr>
      <w:tr>
        <w:tc>
          <w:tcPr/>
          <w:p>
            <w:pPr>
              <w:pStyle w:val="Compact"/>
              <w:jc w:val="left"/>
            </w:pPr>
            <w:r>
              <w:t xml:space="preserve">David Hargrove</w:t>
            </w:r>
          </w:p>
        </w:tc>
        <w:tc>
          <w:tcPr/>
          <w:p>
            <w:pPr>
              <w:pStyle w:val="Compact"/>
              <w:jc w:val="left"/>
            </w:pPr>
            <w:r>
              <w:t xml:space="preserve">Lead Partner</w:t>
            </w:r>
          </w:p>
        </w:tc>
        <w:tc>
          <w:tcPr/>
          <w:p>
            <w:pPr>
              <w:pStyle w:val="Compact"/>
              <w:jc w:val="right"/>
            </w:pPr>
            <w:r>
              <w:t xml:space="preserve">$985</w:t>
            </w:r>
          </w:p>
        </w:tc>
        <w:tc>
          <w:tcPr/>
          <w:p>
            <w:pPr>
              <w:pStyle w:val="Compact"/>
              <w:jc w:val="right"/>
            </w:pPr>
            <w:r>
              <w:t xml:space="preserve">38.5</w:t>
            </w:r>
          </w:p>
        </w:tc>
        <w:tc>
          <w:tcPr/>
          <w:p>
            <w:pPr>
              <w:pStyle w:val="Compact"/>
              <w:jc w:val="right"/>
            </w:pPr>
            <w:r>
              <w:t xml:space="preserve">$37,922.50</w:t>
            </w:r>
          </w:p>
        </w:tc>
      </w:tr>
      <w:tr>
        <w:tc>
          <w:tcPr/>
          <w:p>
            <w:pPr>
              <w:pStyle w:val="Compact"/>
              <w:jc w:val="left"/>
            </w:pPr>
            <w:r>
              <w:t xml:space="preserve">Karen Cho</w:t>
            </w:r>
          </w:p>
        </w:tc>
        <w:tc>
          <w:tcPr/>
          <w:p>
            <w:pPr>
              <w:pStyle w:val="Compact"/>
              <w:jc w:val="left"/>
            </w:pPr>
            <w:r>
              <w:t xml:space="preserve">Senior Associate</w:t>
            </w:r>
          </w:p>
        </w:tc>
        <w:tc>
          <w:tcPr/>
          <w:p>
            <w:pPr>
              <w:pStyle w:val="Compact"/>
              <w:jc w:val="right"/>
            </w:pPr>
            <w:r>
              <w:t xml:space="preserve">$625</w:t>
            </w:r>
          </w:p>
        </w:tc>
        <w:tc>
          <w:tcPr/>
          <w:p>
            <w:pPr>
              <w:pStyle w:val="Compact"/>
              <w:jc w:val="right"/>
            </w:pPr>
            <w:r>
              <w:t xml:space="preserve">74.0</w:t>
            </w:r>
          </w:p>
        </w:tc>
        <w:tc>
          <w:tcPr/>
          <w:p>
            <w:pPr>
              <w:pStyle w:val="Compact"/>
              <w:jc w:val="right"/>
            </w:pPr>
            <w:r>
              <w:t xml:space="preserve">$46,250.00</w:t>
            </w:r>
          </w:p>
        </w:tc>
      </w:tr>
      <w:tr>
        <w:tc>
          <w:tcPr/>
          <w:p>
            <w:pPr>
              <w:pStyle w:val="Compact"/>
              <w:jc w:val="left"/>
            </w:pPr>
            <w:r>
              <w:t xml:space="preserve">James Pettersson</w:t>
            </w:r>
          </w:p>
        </w:tc>
        <w:tc>
          <w:tcPr/>
          <w:p>
            <w:pPr>
              <w:pStyle w:val="Compact"/>
              <w:jc w:val="left"/>
            </w:pPr>
            <w:r>
              <w:t xml:space="preserve">Mid-Level Associate</w:t>
            </w:r>
          </w:p>
        </w:tc>
        <w:tc>
          <w:tcPr/>
          <w:p>
            <w:pPr>
              <w:pStyle w:val="Compact"/>
              <w:jc w:val="right"/>
            </w:pPr>
            <w:r>
              <w:t xml:space="preserve">$475</w:t>
            </w:r>
          </w:p>
        </w:tc>
        <w:tc>
          <w:tcPr/>
          <w:p>
            <w:pPr>
              <w:pStyle w:val="Compact"/>
              <w:jc w:val="right"/>
            </w:pPr>
            <w:r>
              <w:t xml:space="preserve">82.5</w:t>
            </w:r>
          </w:p>
        </w:tc>
        <w:tc>
          <w:tcPr/>
          <w:p>
            <w:pPr>
              <w:pStyle w:val="Compact"/>
              <w:jc w:val="right"/>
            </w:pPr>
            <w:r>
              <w:t xml:space="preserve">$39,187.50</w:t>
            </w:r>
          </w:p>
        </w:tc>
      </w:tr>
      <w:tr>
        <w:tc>
          <w:tcPr/>
          <w:p>
            <w:pPr>
              <w:pStyle w:val="Compact"/>
              <w:jc w:val="left"/>
            </w:pPr>
            <w:r>
              <w:t xml:space="preserve">Nina Barros</w:t>
            </w:r>
          </w:p>
        </w:tc>
        <w:tc>
          <w:tcPr/>
          <w:p>
            <w:pPr>
              <w:pStyle w:val="Compact"/>
              <w:jc w:val="left"/>
            </w:pPr>
            <w:r>
              <w:t xml:space="preserve">Mid-Level Associate</w:t>
            </w:r>
          </w:p>
        </w:tc>
        <w:tc>
          <w:tcPr/>
          <w:p>
            <w:pPr>
              <w:pStyle w:val="Compact"/>
              <w:jc w:val="right"/>
            </w:pPr>
            <w:r>
              <w:t xml:space="preserve">$475</w:t>
            </w:r>
          </w:p>
        </w:tc>
        <w:tc>
          <w:tcPr/>
          <w:p>
            <w:pPr>
              <w:pStyle w:val="Compact"/>
              <w:jc w:val="right"/>
            </w:pPr>
            <w:r>
              <w:t xml:space="preserve">45.0</w:t>
            </w:r>
          </w:p>
        </w:tc>
        <w:tc>
          <w:tcPr/>
          <w:p>
            <w:pPr>
              <w:pStyle w:val="Compact"/>
              <w:jc w:val="right"/>
            </w:pPr>
            <w:r>
              <w:t xml:space="preserve">$21,375.00</w:t>
            </w:r>
          </w:p>
        </w:tc>
      </w:tr>
      <w:tr>
        <w:tc>
          <w:tcPr/>
          <w:p>
            <w:pPr>
              <w:pStyle w:val="Compact"/>
              <w:jc w:val="left"/>
            </w:pPr>
            <w:r>
              <w:t xml:space="preserve">Tyler Webb</w:t>
            </w:r>
          </w:p>
        </w:tc>
        <w:tc>
          <w:tcPr/>
          <w:p>
            <w:pPr>
              <w:pStyle w:val="Compact"/>
              <w:jc w:val="left"/>
            </w:pPr>
            <w:r>
              <w:t xml:space="preserve">Junior Associate</w:t>
            </w:r>
          </w:p>
        </w:tc>
        <w:tc>
          <w:tcPr/>
          <w:p>
            <w:pPr>
              <w:pStyle w:val="Compact"/>
              <w:jc w:val="right"/>
            </w:pPr>
            <w:r>
              <w:t xml:space="preserve">$375</w:t>
            </w:r>
          </w:p>
        </w:tc>
        <w:tc>
          <w:tcPr/>
          <w:p>
            <w:pPr>
              <w:pStyle w:val="Compact"/>
              <w:jc w:val="right"/>
            </w:pPr>
            <w:r>
              <w:t xml:space="preserve">35.0</w:t>
            </w:r>
          </w:p>
        </w:tc>
        <w:tc>
          <w:tcPr/>
          <w:p>
            <w:pPr>
              <w:pStyle w:val="Compact"/>
              <w:jc w:val="right"/>
            </w:pPr>
            <w:r>
              <w:t xml:space="preserve">$13,125.00</w:t>
            </w:r>
          </w:p>
        </w:tc>
      </w:tr>
      <w:tr>
        <w:tc>
          <w:tcPr/>
          <w:p>
            <w:pPr>
              <w:pStyle w:val="Compact"/>
              <w:jc w:val="left"/>
            </w:pPr>
            <w:r>
              <w:t xml:space="preserve">Priya Sengupta</w:t>
            </w:r>
          </w:p>
        </w:tc>
        <w:tc>
          <w:tcPr/>
          <w:p>
            <w:pPr>
              <w:pStyle w:val="Compact"/>
              <w:jc w:val="left"/>
            </w:pPr>
            <w:r>
              <w:t xml:space="preserve">Junior Associate</w:t>
            </w:r>
          </w:p>
        </w:tc>
        <w:tc>
          <w:tcPr/>
          <w:p>
            <w:pPr>
              <w:pStyle w:val="Compact"/>
              <w:jc w:val="right"/>
            </w:pPr>
            <w:r>
              <w:t xml:space="preserve">$375</w:t>
            </w:r>
          </w:p>
        </w:tc>
        <w:tc>
          <w:tcPr/>
          <w:p>
            <w:pPr>
              <w:pStyle w:val="Compact"/>
              <w:jc w:val="right"/>
            </w:pPr>
            <w:r>
              <w:t xml:space="preserve">27.5</w:t>
            </w:r>
          </w:p>
        </w:tc>
        <w:tc>
          <w:tcPr/>
          <w:p>
            <w:pPr>
              <w:pStyle w:val="Compact"/>
              <w:jc w:val="right"/>
            </w:pPr>
            <w:r>
              <w:t xml:space="preserve">$10,312.50</w:t>
            </w:r>
          </w:p>
        </w:tc>
      </w:tr>
      <w:tr>
        <w:tc>
          <w:tcPr/>
          <w:p>
            <w:pPr>
              <w:pStyle w:val="Compact"/>
              <w:jc w:val="left"/>
            </w:pPr>
            <w:r>
              <w:t xml:space="preserve">Marcus Tate</w:t>
            </w:r>
          </w:p>
        </w:tc>
        <w:tc>
          <w:tcPr/>
          <w:p>
            <w:pPr>
              <w:pStyle w:val="Compact"/>
              <w:jc w:val="left"/>
            </w:pPr>
            <w:r>
              <w:t xml:space="preserve">Contract Attorney</w:t>
            </w:r>
          </w:p>
        </w:tc>
        <w:tc>
          <w:tcPr/>
          <w:p>
            <w:pPr>
              <w:pStyle w:val="Compact"/>
              <w:jc w:val="right"/>
            </w:pPr>
            <w:r>
              <w:t xml:space="preserve">$210</w:t>
            </w:r>
          </w:p>
        </w:tc>
        <w:tc>
          <w:tcPr/>
          <w:p>
            <w:pPr>
              <w:pStyle w:val="Compact"/>
              <w:jc w:val="right"/>
            </w:pPr>
            <w:r>
              <w:t xml:space="preserve">120.0</w:t>
            </w:r>
          </w:p>
        </w:tc>
        <w:tc>
          <w:tcPr/>
          <w:p>
            <w:pPr>
              <w:pStyle w:val="Compact"/>
              <w:jc w:val="right"/>
            </w:pPr>
            <w:r>
              <w:t xml:space="preserve">$25,200.00</w:t>
            </w:r>
          </w:p>
        </w:tc>
      </w:tr>
      <w:tr>
        <w:tc>
          <w:tcPr/>
          <w:p>
            <w:pPr>
              <w:pStyle w:val="Compact"/>
              <w:jc w:val="left"/>
            </w:pPr>
            <w:r>
              <w:rPr>
                <w:b/>
                <w:bCs/>
              </w:rPr>
              <w:t xml:space="preserve">Total Attorney Fees</w:t>
            </w:r>
          </w:p>
        </w:tc>
        <w:tc>
          <w:tcPr/>
          <w:p>
            <w:pPr>
              <w:pStyle w:val="Compact"/>
            </w:pPr>
          </w:p>
        </w:tc>
        <w:tc>
          <w:tcPr/>
          <w:p>
            <w:pPr>
              <w:pStyle w:val="Compact"/>
            </w:pPr>
          </w:p>
        </w:tc>
        <w:tc>
          <w:tcPr/>
          <w:p>
            <w:pPr>
              <w:pStyle w:val="Compact"/>
              <w:jc w:val="right"/>
            </w:pPr>
            <w:r>
              <w:rPr>
                <w:b/>
                <w:bCs/>
              </w:rPr>
              <w:t xml:space="preserve">422.5</w:t>
            </w:r>
          </w:p>
        </w:tc>
        <w:tc>
          <w:tcPr/>
          <w:p>
            <w:pPr>
              <w:pStyle w:val="Compact"/>
              <w:jc w:val="right"/>
            </w:pPr>
            <w:r>
              <w:rPr>
                <w:b/>
                <w:bCs/>
              </w:rPr>
              <w:t xml:space="preserve">$193,372.50</w:t>
            </w:r>
          </w:p>
        </w:tc>
      </w:tr>
      <w:tr>
        <w:tc>
          <w:tcPr/>
          <w:p>
            <w:pPr>
              <w:pStyle w:val="Compact"/>
              <w:jc w:val="left"/>
            </w:pPr>
            <w:r>
              <w:t xml:space="preserve">Total Expenses</w:t>
            </w:r>
          </w:p>
        </w:tc>
        <w:tc>
          <w:tcPr/>
          <w:p>
            <w:pPr>
              <w:pStyle w:val="Compact"/>
            </w:pPr>
          </w:p>
        </w:tc>
        <w:tc>
          <w:tcPr/>
          <w:p>
            <w:pPr>
              <w:pStyle w:val="Compact"/>
            </w:pPr>
          </w:p>
        </w:tc>
        <w:tc>
          <w:tcPr/>
          <w:p>
            <w:pPr>
              <w:pStyle w:val="Compact"/>
            </w:pPr>
          </w:p>
        </w:tc>
        <w:tc>
          <w:tcPr/>
          <w:p>
            <w:pPr>
              <w:pStyle w:val="Compact"/>
              <w:jc w:val="right"/>
            </w:pPr>
            <w:r>
              <w:t xml:space="preserve">$8,450.00</w:t>
            </w:r>
          </w:p>
        </w:tc>
      </w:tr>
      <w:tr>
        <w:tc>
          <w:tcPr/>
          <w:p>
            <w:pPr>
              <w:pStyle w:val="Compact"/>
              <w:jc w:val="left"/>
            </w:pPr>
            <w:r>
              <w:rPr>
                <w:b/>
                <w:bCs/>
              </w:rPr>
              <w:t xml:space="preserve">Total Invoice</w:t>
            </w:r>
          </w:p>
        </w:tc>
        <w:tc>
          <w:tcPr/>
          <w:p>
            <w:pPr>
              <w:pStyle w:val="Compact"/>
            </w:pPr>
          </w:p>
        </w:tc>
        <w:tc>
          <w:tcPr/>
          <w:p>
            <w:pPr>
              <w:pStyle w:val="Compact"/>
            </w:pPr>
          </w:p>
        </w:tc>
        <w:tc>
          <w:tcPr/>
          <w:p>
            <w:pPr>
              <w:pStyle w:val="Compact"/>
            </w:pPr>
          </w:p>
        </w:tc>
        <w:tc>
          <w:tcPr/>
          <w:p>
            <w:pPr>
              <w:pStyle w:val="Compact"/>
              <w:jc w:val="right"/>
            </w:pPr>
            <w:r>
              <w:rPr>
                <w:b/>
                <w:bCs/>
              </w:rPr>
              <w:t xml:space="preserve">$201,822.50</w:t>
            </w:r>
          </w:p>
        </w:tc>
      </w:tr>
    </w:tbl>
    <w:p>
      <w:pPr>
        <w:pStyle w:val="BodyText"/>
      </w:pPr>
      <w:r>
        <w:t xml:space="preserve">The arithmetic on the invoice is internally consistent (hours × rates = fees; column totals reconcile). The issues below concern compliance with the Billing Guidelines and Staffing Plan, not arithmetic.</w:t>
      </w:r>
    </w:p>
    <w:p>
      <w:r>
        <w:pict>
          <v:rect style="width:0;height:1.5pt" o:hralign="center" o:hrstd="t" o:hr="t"/>
        </w:pict>
      </w:r>
    </w:p>
    <w:bookmarkEnd w:id="22"/>
    <w:bookmarkStart w:id="23" w:name="iv.-summary-of-recommended-reductions"/>
    <w:p>
      <w:pPr>
        <w:pStyle w:val="Heading2"/>
      </w:pPr>
      <w:r>
        <w:t xml:space="preserve">IV. Summary of Recommended Reductions</w:t>
      </w:r>
    </w:p>
    <w:tbl>
      <w:tblPr>
        <w:tblStyle w:val="Table"/>
        <w:tblW w:type="pct" w:w="5000"/>
        <w:jc w:val="left"/>
        <w:tblLayout w:type="fixed"/>
        <w:tblLook w:firstRow="1" w:lastRow="0" w:firstColumn="0" w:lastColumn="0" w:noHBand="0" w:noVBand="0" w:val="0020"/>
      </w:tblPr>
      <w:tblGrid>
        <w:gridCol w:w="2262"/>
        <w:gridCol w:w="1697"/>
        <w:gridCol w:w="1697"/>
        <w:gridCol w:w="2262"/>
      </w:tblGrid>
      <w:tr>
        <w:trPr>
          <w:tblHeader w:val="on"/>
        </w:trPr>
        <w:tc>
          <w:tcPr/>
          <w:p>
            <w:pPr>
              <w:pStyle w:val="Compact"/>
              <w:jc w:val="right"/>
            </w:pPr>
            <w:r>
              <w:t xml:space="preserve">#</w:t>
            </w:r>
          </w:p>
        </w:tc>
        <w:tc>
          <w:tcPr/>
          <w:p>
            <w:pPr>
              <w:pStyle w:val="Compact"/>
              <w:jc w:val="left"/>
            </w:pPr>
            <w:r>
              <w:t xml:space="preserve">Issue</w:t>
            </w:r>
          </w:p>
        </w:tc>
        <w:tc>
          <w:tcPr/>
          <w:p>
            <w:pPr>
              <w:pStyle w:val="Compact"/>
              <w:jc w:val="left"/>
            </w:pPr>
            <w:r>
              <w:t xml:space="preserve">Authority</w:t>
            </w:r>
          </w:p>
        </w:tc>
        <w:tc>
          <w:tcPr/>
          <w:p>
            <w:pPr>
              <w:pStyle w:val="Compact"/>
              <w:jc w:val="right"/>
            </w:pPr>
            <w:r>
              <w:t xml:space="preserve">Reduction</w:t>
            </w:r>
          </w:p>
        </w:tc>
      </w:tr>
      <w:tr>
        <w:tc>
          <w:tcPr/>
          <w:p>
            <w:pPr>
              <w:pStyle w:val="Compact"/>
              <w:jc w:val="right"/>
            </w:pPr>
            <w:r>
              <w:t xml:space="preserve">1</w:t>
            </w:r>
          </w:p>
        </w:tc>
        <w:tc>
          <w:tcPr/>
          <w:p>
            <w:pPr>
              <w:pStyle w:val="Compact"/>
              <w:jc w:val="left"/>
            </w:pPr>
            <w:r>
              <w:t xml:space="preserve">Unapproved timekeeper — Nina Barros (45.0 hrs, full rejection)</w:t>
            </w:r>
          </w:p>
        </w:tc>
        <w:tc>
          <w:tcPr/>
          <w:p>
            <w:pPr>
              <w:pStyle w:val="Compact"/>
              <w:jc w:val="left"/>
            </w:pPr>
            <w:r>
              <w:t xml:space="preserve">§ 4.2; Staffing Plan §§ 2.3, 4</w:t>
            </w:r>
          </w:p>
        </w:tc>
        <w:tc>
          <w:tcPr/>
          <w:p>
            <w:pPr>
              <w:pStyle w:val="Compact"/>
              <w:jc w:val="right"/>
            </w:pPr>
            <w:r>
              <w:t xml:space="preserve">$21,375.00</w:t>
            </w:r>
          </w:p>
        </w:tc>
      </w:tr>
      <w:tr>
        <w:tc>
          <w:tcPr/>
          <w:p>
            <w:pPr>
              <w:pStyle w:val="Compact"/>
              <w:jc w:val="right"/>
            </w:pPr>
            <w:r>
              <w:t xml:space="preserve">2</w:t>
            </w:r>
          </w:p>
        </w:tc>
        <w:tc>
          <w:tcPr/>
          <w:p>
            <w:pPr>
              <w:pStyle w:val="Compact"/>
              <w:jc w:val="left"/>
            </w:pPr>
            <w:r>
              <w:t xml:space="preserve">Unapproved timekeeper — Priya Sengupta (27.5 hrs, full rejection)</w:t>
            </w:r>
          </w:p>
        </w:tc>
        <w:tc>
          <w:tcPr/>
          <w:p>
            <w:pPr>
              <w:pStyle w:val="Compact"/>
              <w:jc w:val="left"/>
            </w:pPr>
            <w:r>
              <w:t xml:space="preserve">§ 4.2; Staffing Plan § 2.4</w:t>
            </w:r>
          </w:p>
        </w:tc>
        <w:tc>
          <w:tcPr/>
          <w:p>
            <w:pPr>
              <w:pStyle w:val="Compact"/>
              <w:jc w:val="right"/>
            </w:pPr>
            <w:r>
              <w:t xml:space="preserve">$10,312.50</w:t>
            </w:r>
          </w:p>
        </w:tc>
      </w:tr>
      <w:tr>
        <w:tc>
          <w:tcPr/>
          <w:p>
            <w:pPr>
              <w:pStyle w:val="Compact"/>
              <w:jc w:val="right"/>
            </w:pPr>
            <w:r>
              <w:t xml:space="preserve">3</w:t>
            </w:r>
          </w:p>
        </w:tc>
        <w:tc>
          <w:tcPr/>
          <w:p>
            <w:pPr>
              <w:pStyle w:val="Compact"/>
              <w:jc w:val="left"/>
            </w:pPr>
            <w:r>
              <w:t xml:space="preserve">Contract attorney rate exceeds cap and approved rate — Marcus Tate (120 hrs)</w:t>
            </w:r>
          </w:p>
        </w:tc>
        <w:tc>
          <w:tcPr/>
          <w:p>
            <w:pPr>
              <w:pStyle w:val="Compact"/>
              <w:jc w:val="left"/>
            </w:pPr>
            <w:r>
              <w:t xml:space="preserve">§ 5.1; Staffing Plan § 2.5</w:t>
            </w:r>
          </w:p>
        </w:tc>
        <w:tc>
          <w:tcPr/>
          <w:p>
            <w:pPr>
              <w:pStyle w:val="Compact"/>
              <w:jc w:val="right"/>
            </w:pPr>
            <w:r>
              <w:t xml:space="preserve">$3,000.00</w:t>
            </w:r>
          </w:p>
        </w:tc>
      </w:tr>
      <w:tr>
        <w:tc>
          <w:tcPr/>
          <w:p>
            <w:pPr>
              <w:pStyle w:val="Compact"/>
              <w:jc w:val="right"/>
            </w:pPr>
            <w:r>
              <w:t xml:space="preserve">4</w:t>
            </w:r>
          </w:p>
        </w:tc>
        <w:tc>
          <w:tcPr/>
          <w:p>
            <w:pPr>
              <w:pStyle w:val="Compact"/>
              <w:jc w:val="left"/>
            </w:pPr>
            <w:r>
              <w:t xml:space="preserve">Block billing — 44 entries (25% each)</w:t>
            </w:r>
          </w:p>
        </w:tc>
        <w:tc>
          <w:tcPr/>
          <w:p>
            <w:pPr>
              <w:pStyle w:val="Compact"/>
              <w:jc w:val="left"/>
            </w:pPr>
            <w:r>
              <w:t xml:space="preserve">§ 5.4</w:t>
            </w:r>
          </w:p>
        </w:tc>
        <w:tc>
          <w:tcPr/>
          <w:p>
            <w:pPr>
              <w:pStyle w:val="Compact"/>
              <w:jc w:val="right"/>
            </w:pPr>
            <w:r>
              <w:t xml:space="preserve">$27,050.01</w:t>
            </w:r>
          </w:p>
        </w:tc>
      </w:tr>
      <w:tr>
        <w:tc>
          <w:tcPr/>
          <w:p>
            <w:pPr>
              <w:pStyle w:val="Compact"/>
              <w:jc w:val="right"/>
            </w:pPr>
            <w:r>
              <w:t xml:space="preserve">5</w:t>
            </w:r>
          </w:p>
        </w:tc>
        <w:tc>
          <w:tcPr/>
          <w:p>
            <w:pPr>
              <w:pStyle w:val="Compact"/>
              <w:jc w:val="left"/>
            </w:pPr>
            <w:r>
              <w:t xml:space="preserve">Partner document review — Entry 9 (Hargrove)</w:t>
            </w:r>
          </w:p>
        </w:tc>
        <w:tc>
          <w:tcPr/>
          <w:p>
            <w:pPr>
              <w:pStyle w:val="Compact"/>
              <w:jc w:val="left"/>
            </w:pPr>
            <w:r>
              <w:t xml:space="preserve">§ 6.1(a)</w:t>
            </w:r>
          </w:p>
        </w:tc>
        <w:tc>
          <w:tcPr/>
          <w:p>
            <w:pPr>
              <w:pStyle w:val="Compact"/>
              <w:jc w:val="right"/>
            </w:pPr>
            <w:r>
              <w:t xml:space="preserve">$2,745.00</w:t>
            </w:r>
          </w:p>
        </w:tc>
      </w:tr>
      <w:tr>
        <w:tc>
          <w:tcPr/>
          <w:p>
            <w:pPr>
              <w:pStyle w:val="Compact"/>
              <w:jc w:val="right"/>
            </w:pPr>
            <w:r>
              <w:t xml:space="preserve">6</w:t>
            </w:r>
          </w:p>
        </w:tc>
        <w:tc>
          <w:tcPr/>
          <w:p>
            <w:pPr>
              <w:pStyle w:val="Compact"/>
              <w:jc w:val="left"/>
            </w:pPr>
            <w:r>
              <w:t xml:space="preserve">Partner cite-checking — Entry 43 (Hargrove)</w:t>
            </w:r>
          </w:p>
        </w:tc>
        <w:tc>
          <w:tcPr/>
          <w:p>
            <w:pPr>
              <w:pStyle w:val="Compact"/>
              <w:jc w:val="left"/>
            </w:pPr>
            <w:r>
              <w:t xml:space="preserve">§ 6.1(b)</w:t>
            </w:r>
          </w:p>
        </w:tc>
        <w:tc>
          <w:tcPr/>
          <w:p>
            <w:pPr>
              <w:pStyle w:val="Compact"/>
              <w:jc w:val="right"/>
            </w:pPr>
            <w:r>
              <w:t xml:space="preserve">$1,220.00</w:t>
            </w:r>
          </w:p>
        </w:tc>
      </w:tr>
      <w:tr>
        <w:tc>
          <w:tcPr/>
          <w:p>
            <w:pPr>
              <w:pStyle w:val="Compact"/>
              <w:jc w:val="right"/>
            </w:pPr>
            <w:r>
              <w:t xml:space="preserve">7</w:t>
            </w:r>
          </w:p>
        </w:tc>
        <w:tc>
          <w:tcPr/>
          <w:p>
            <w:pPr>
              <w:pStyle w:val="Compact"/>
              <w:jc w:val="left"/>
            </w:pPr>
            <w:r>
              <w:t xml:space="preserve">Administrative tasks by attorney — Entry 15 (Pettersson)</w:t>
            </w:r>
          </w:p>
        </w:tc>
        <w:tc>
          <w:tcPr/>
          <w:p>
            <w:pPr>
              <w:pStyle w:val="Compact"/>
              <w:jc w:val="left"/>
            </w:pPr>
            <w:r>
              <w:t xml:space="preserve">§ 6.1(g)–(k); § 2</w:t>
            </w:r>
          </w:p>
        </w:tc>
        <w:tc>
          <w:tcPr/>
          <w:p>
            <w:pPr>
              <w:pStyle w:val="Compact"/>
              <w:jc w:val="right"/>
            </w:pPr>
            <w:r>
              <w:t xml:space="preserve">$712.50</w:t>
            </w:r>
          </w:p>
        </w:tc>
      </w:tr>
      <w:tr>
        <w:tc>
          <w:tcPr/>
          <w:p>
            <w:pPr>
              <w:pStyle w:val="Compact"/>
              <w:jc w:val="right"/>
            </w:pPr>
            <w:r>
              <w:t xml:space="preserve">8</w:t>
            </w:r>
          </w:p>
        </w:tc>
        <w:tc>
          <w:tcPr/>
          <w:p>
            <w:pPr>
              <w:pStyle w:val="Compact"/>
              <w:jc w:val="left"/>
            </w:pPr>
            <w:r>
              <w:t xml:space="preserve">Junior associate routine document review — Entry 79 (Webb)</w:t>
            </w:r>
          </w:p>
        </w:tc>
        <w:tc>
          <w:tcPr/>
          <w:p>
            <w:pPr>
              <w:pStyle w:val="Compact"/>
              <w:jc w:val="left"/>
            </w:pPr>
            <w:r>
              <w:t xml:space="preserve">§ 6.1(a)</w:t>
            </w:r>
          </w:p>
        </w:tc>
        <w:tc>
          <w:tcPr/>
          <w:p>
            <w:pPr>
              <w:pStyle w:val="Compact"/>
              <w:jc w:val="right"/>
            </w:pPr>
            <w:r>
              <w:t xml:space="preserve">$612.50</w:t>
            </w:r>
          </w:p>
        </w:tc>
      </w:tr>
      <w:tr>
        <w:tc>
          <w:tcPr/>
          <w:p>
            <w:pPr>
              <w:pStyle w:val="Compact"/>
              <w:jc w:val="right"/>
            </w:pPr>
            <w:r>
              <w:t xml:space="preserve">9</w:t>
            </w:r>
          </w:p>
        </w:tc>
        <w:tc>
          <w:tcPr/>
          <w:p>
            <w:pPr>
              <w:pStyle w:val="Compact"/>
              <w:jc w:val="left"/>
            </w:pPr>
            <w:r>
              <w:t xml:space="preserve">Excess meeting staffing — May 8 call, Webb (Entry 26)</w:t>
            </w:r>
          </w:p>
        </w:tc>
        <w:tc>
          <w:tcPr/>
          <w:p>
            <w:pPr>
              <w:pStyle w:val="Compact"/>
              <w:jc w:val="left"/>
            </w:pPr>
            <w:r>
              <w:t xml:space="preserve">§ 4.3</w:t>
            </w:r>
          </w:p>
        </w:tc>
        <w:tc>
          <w:tcPr/>
          <w:p>
            <w:pPr>
              <w:pStyle w:val="Compact"/>
              <w:jc w:val="right"/>
            </w:pPr>
            <w:r>
              <w:t xml:space="preserve">$937.50</w:t>
            </w:r>
          </w:p>
        </w:tc>
      </w:tr>
      <w:tr>
        <w:tc>
          <w:tcPr/>
          <w:p>
            <w:pPr>
              <w:pStyle w:val="Compact"/>
              <w:jc w:val="right"/>
            </w:pPr>
            <w:r>
              <w:t xml:space="preserve">10</w:t>
            </w:r>
          </w:p>
        </w:tc>
        <w:tc>
          <w:tcPr/>
          <w:p>
            <w:pPr>
              <w:pStyle w:val="Compact"/>
              <w:jc w:val="left"/>
            </w:pPr>
            <w:r>
              <w:t xml:space="preserve">Excess deposition staffing — Liu deposition, Pettersson (Entry 62)</w:t>
            </w:r>
          </w:p>
        </w:tc>
        <w:tc>
          <w:tcPr/>
          <w:p>
            <w:pPr>
              <w:pStyle w:val="Compact"/>
              <w:jc w:val="left"/>
            </w:pPr>
            <w:r>
              <w:t xml:space="preserve">§ 4.3</w:t>
            </w:r>
          </w:p>
        </w:tc>
        <w:tc>
          <w:tcPr/>
          <w:p>
            <w:pPr>
              <w:pStyle w:val="Compact"/>
              <w:jc w:val="right"/>
            </w:pPr>
            <w:r>
              <w:t xml:space="preserve">$2,375.00</w:t>
            </w:r>
          </w:p>
        </w:tc>
      </w:tr>
      <w:tr>
        <w:tc>
          <w:tcPr/>
          <w:p>
            <w:pPr>
              <w:pStyle w:val="Compact"/>
              <w:jc w:val="right"/>
            </w:pPr>
            <w:r>
              <w:t xml:space="preserve">11</w:t>
            </w:r>
          </w:p>
        </w:tc>
        <w:tc>
          <w:tcPr/>
          <w:p>
            <w:pPr>
              <w:pStyle w:val="Compact"/>
              <w:jc w:val="left"/>
            </w:pPr>
            <w:r>
              <w:t xml:space="preserve">Non-reimbursable local travel — Expense #2</w:t>
            </w:r>
          </w:p>
        </w:tc>
        <w:tc>
          <w:tcPr/>
          <w:p>
            <w:pPr>
              <w:pStyle w:val="Compact"/>
              <w:jc w:val="left"/>
            </w:pPr>
            <w:r>
              <w:t xml:space="preserve">§§ 6.4, 8.2, 8.3</w:t>
            </w:r>
          </w:p>
        </w:tc>
        <w:tc>
          <w:tcPr/>
          <w:p>
            <w:pPr>
              <w:pStyle w:val="Compact"/>
              <w:jc w:val="right"/>
            </w:pPr>
            <w:r>
              <w:t xml:space="preserve">$2,100.00</w:t>
            </w:r>
          </w:p>
        </w:tc>
      </w:tr>
      <w:tr>
        <w:tc>
          <w:tcPr/>
          <w:p>
            <w:pPr>
              <w:pStyle w:val="Compact"/>
            </w:pPr>
          </w:p>
        </w:tc>
        <w:tc>
          <w:tcPr/>
          <w:p>
            <w:pPr>
              <w:pStyle w:val="Compact"/>
              <w:jc w:val="left"/>
            </w:pPr>
            <w:r>
              <w:rPr>
                <w:b/>
                <w:bCs/>
              </w:rPr>
              <w:t xml:space="preserve">Subtotal — Attorney Fee Reductions (Items 1–10)</w:t>
            </w:r>
          </w:p>
        </w:tc>
        <w:tc>
          <w:tcPr/>
          <w:p>
            <w:pPr>
              <w:pStyle w:val="Compact"/>
            </w:pPr>
          </w:p>
        </w:tc>
        <w:tc>
          <w:tcPr/>
          <w:p>
            <w:pPr>
              <w:pStyle w:val="Compact"/>
              <w:jc w:val="right"/>
            </w:pPr>
            <w:r>
              <w:rPr>
                <w:b/>
                <w:bCs/>
              </w:rPr>
              <w:t xml:space="preserve">$70,340.01</w:t>
            </w:r>
          </w:p>
        </w:tc>
      </w:tr>
      <w:tr>
        <w:tc>
          <w:tcPr/>
          <w:p>
            <w:pPr>
              <w:pStyle w:val="Compact"/>
            </w:pPr>
          </w:p>
        </w:tc>
        <w:tc>
          <w:tcPr/>
          <w:p>
            <w:pPr>
              <w:pStyle w:val="Compact"/>
              <w:jc w:val="left"/>
            </w:pPr>
            <w:r>
              <w:rPr>
                <w:b/>
                <w:bCs/>
              </w:rPr>
              <w:t xml:space="preserve">Subtotal — Expense Reductions (Item 11)</w:t>
            </w:r>
          </w:p>
        </w:tc>
        <w:tc>
          <w:tcPr/>
          <w:p>
            <w:pPr>
              <w:pStyle w:val="Compact"/>
            </w:pPr>
          </w:p>
        </w:tc>
        <w:tc>
          <w:tcPr/>
          <w:p>
            <w:pPr>
              <w:pStyle w:val="Compact"/>
              <w:jc w:val="right"/>
            </w:pPr>
            <w:r>
              <w:rPr>
                <w:b/>
                <w:bCs/>
              </w:rPr>
              <w:t xml:space="preserve">$2,100.00</w:t>
            </w:r>
          </w:p>
        </w:tc>
      </w:tr>
      <w:tr>
        <w:tc>
          <w:tcPr/>
          <w:p>
            <w:pPr>
              <w:pStyle w:val="Compact"/>
            </w:pPr>
          </w:p>
        </w:tc>
        <w:tc>
          <w:tcPr/>
          <w:p>
            <w:pPr>
              <w:pStyle w:val="Compact"/>
              <w:jc w:val="left"/>
            </w:pPr>
            <w:r>
              <w:rPr>
                <w:b/>
                <w:bCs/>
              </w:rPr>
              <w:t xml:space="preserve">TOTAL RECOMMENDED REDUCTION</w:t>
            </w:r>
          </w:p>
        </w:tc>
        <w:tc>
          <w:tcPr/>
          <w:p>
            <w:pPr>
              <w:pStyle w:val="Compact"/>
            </w:pPr>
          </w:p>
        </w:tc>
        <w:tc>
          <w:tcPr/>
          <w:p>
            <w:pPr>
              <w:pStyle w:val="Compact"/>
              <w:jc w:val="right"/>
            </w:pPr>
            <w:r>
              <w:rPr>
                <w:b/>
                <w:bCs/>
              </w:rPr>
              <w:t xml:space="preserve">$72,440.01</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As Billed</w:t>
            </w:r>
          </w:p>
        </w:tc>
        <w:tc>
          <w:tcPr/>
          <w:p>
            <w:pPr>
              <w:pStyle w:val="Compact"/>
              <w:jc w:val="right"/>
            </w:pPr>
            <w:r>
              <w:t xml:space="preserve">Reduction</w:t>
            </w:r>
          </w:p>
        </w:tc>
        <w:tc>
          <w:tcPr/>
          <w:p>
            <w:pPr>
              <w:pStyle w:val="Compact"/>
              <w:jc w:val="right"/>
            </w:pPr>
            <w:r>
              <w:t xml:space="preserve">Revised Payable</w:t>
            </w:r>
          </w:p>
        </w:tc>
      </w:tr>
      <w:tr>
        <w:tc>
          <w:tcPr/>
          <w:p>
            <w:pPr>
              <w:pStyle w:val="Compact"/>
              <w:jc w:val="left"/>
            </w:pPr>
            <w:r>
              <w:t xml:space="preserve">Attorney Fees</w:t>
            </w:r>
          </w:p>
        </w:tc>
        <w:tc>
          <w:tcPr/>
          <w:p>
            <w:pPr>
              <w:pStyle w:val="Compact"/>
              <w:jc w:val="right"/>
            </w:pPr>
            <w:r>
              <w:t xml:space="preserve">$193,372.50</w:t>
            </w:r>
          </w:p>
        </w:tc>
        <w:tc>
          <w:tcPr/>
          <w:p>
            <w:pPr>
              <w:pStyle w:val="Compact"/>
              <w:jc w:val="right"/>
            </w:pPr>
            <w:r>
              <w:t xml:space="preserve">$70,340.01</w:t>
            </w:r>
          </w:p>
        </w:tc>
        <w:tc>
          <w:tcPr/>
          <w:p>
            <w:pPr>
              <w:pStyle w:val="Compact"/>
              <w:jc w:val="right"/>
            </w:pPr>
            <w:r>
              <w:t xml:space="preserve">$123,032.49</w:t>
            </w:r>
          </w:p>
        </w:tc>
      </w:tr>
      <w:tr>
        <w:tc>
          <w:tcPr/>
          <w:p>
            <w:pPr>
              <w:pStyle w:val="Compact"/>
              <w:jc w:val="left"/>
            </w:pPr>
            <w:r>
              <w:t xml:space="preserve">Expenses</w:t>
            </w:r>
          </w:p>
        </w:tc>
        <w:tc>
          <w:tcPr/>
          <w:p>
            <w:pPr>
              <w:pStyle w:val="Compact"/>
              <w:jc w:val="right"/>
            </w:pPr>
            <w:r>
              <w:t xml:space="preserve">$8,450.00</w:t>
            </w:r>
          </w:p>
        </w:tc>
        <w:tc>
          <w:tcPr/>
          <w:p>
            <w:pPr>
              <w:pStyle w:val="Compact"/>
              <w:jc w:val="right"/>
            </w:pPr>
            <w:r>
              <w:t xml:space="preserve">$2,100.00</w:t>
            </w:r>
          </w:p>
        </w:tc>
        <w:tc>
          <w:tcPr/>
          <w:p>
            <w:pPr>
              <w:pStyle w:val="Compact"/>
              <w:jc w:val="right"/>
            </w:pPr>
            <w:r>
              <w:t xml:space="preserve">$6,350.00</w:t>
            </w:r>
          </w:p>
        </w:tc>
      </w:tr>
      <w:tr>
        <w:tc>
          <w:tcPr/>
          <w:p>
            <w:pPr>
              <w:pStyle w:val="Compact"/>
              <w:jc w:val="left"/>
            </w:pPr>
            <w:r>
              <w:rPr>
                <w:b/>
                <w:bCs/>
              </w:rPr>
              <w:t xml:space="preserve">Total</w:t>
            </w:r>
          </w:p>
        </w:tc>
        <w:tc>
          <w:tcPr/>
          <w:p>
            <w:pPr>
              <w:pStyle w:val="Compact"/>
              <w:jc w:val="right"/>
            </w:pPr>
            <w:r>
              <w:rPr>
                <w:b/>
                <w:bCs/>
              </w:rPr>
              <w:t xml:space="preserve">$201,822.50</w:t>
            </w:r>
          </w:p>
        </w:tc>
        <w:tc>
          <w:tcPr/>
          <w:p>
            <w:pPr>
              <w:pStyle w:val="Compact"/>
              <w:jc w:val="right"/>
            </w:pPr>
            <w:r>
              <w:rPr>
                <w:b/>
                <w:bCs/>
              </w:rPr>
              <w:t xml:space="preserve">$72,440.01</w:t>
            </w:r>
          </w:p>
        </w:tc>
        <w:tc>
          <w:tcPr/>
          <w:p>
            <w:pPr>
              <w:pStyle w:val="Compact"/>
              <w:jc w:val="right"/>
            </w:pPr>
            <w:r>
              <w:rPr>
                <w:b/>
                <w:bCs/>
              </w:rPr>
              <w:t xml:space="preserve">$129,382.49</w:t>
            </w:r>
          </w:p>
        </w:tc>
      </w:tr>
    </w:tbl>
    <w:p>
      <w:r>
        <w:pict>
          <v:rect style="width:0;height:1.5pt" o:hralign="center" o:hrstd="t" o:hr="t"/>
        </w:pict>
      </w:r>
    </w:p>
    <w:bookmarkEnd w:id="23"/>
    <w:bookmarkStart w:id="42" w:name="v.-detailed-findings"/>
    <w:p>
      <w:pPr>
        <w:pStyle w:val="Heading2"/>
      </w:pPr>
      <w:r>
        <w:t xml:space="preserve">V. Detailed Findings</w:t>
      </w:r>
    </w:p>
    <w:bookmarkStart w:id="26" w:name="Xb5cc2afaad3370bdceba0db53f1504bbad69e83"/>
    <w:p>
      <w:pPr>
        <w:pStyle w:val="Heading3"/>
      </w:pPr>
      <w:r>
        <w:t xml:space="preserve">A. Unapproved Timekeepers (Billing Guidelines § 4.2; Staffing Plan §§ 2.3, 2.4, 4)</w:t>
      </w:r>
    </w:p>
    <w:p>
      <w:pPr>
        <w:pStyle w:val="FirstParagraph"/>
      </w:pPr>
      <w:r>
        <w:rPr>
          <w:b/>
          <w:bCs/>
        </w:rPr>
        <w:t xml:space="preserve">Standard.</w:t>
      </w:r>
      <w:r>
        <w:t xml:space="preserve"> </w:t>
      </w:r>
      <w:r>
        <w:t xml:space="preserve">§ 4.2 requires that</w:t>
      </w:r>
      <w:r>
        <w:t xml:space="preserve"> </w:t>
      </w:r>
      <w:r>
        <w:t xml:space="preserve">“</w:t>
      </w:r>
      <w:r>
        <w:t xml:space="preserve">[a]ny additions to, or substitutions on, the Approved Staffing Plan … must be pre-approved in writing by Pinnacle’s Designated In-House Counsel prior to any such timekeeper performing billable work.</w:t>
      </w:r>
      <w:r>
        <w:t xml:space="preserve">”</w:t>
      </w:r>
      <w:r>
        <w:t xml:space="preserve"> </w:t>
      </w:r>
      <w:r>
        <w:t xml:space="preserve">Staffing changes submitted after the fact</w:t>
      </w:r>
      <w:r>
        <w:t xml:space="preserve"> </w:t>
      </w:r>
      <w:r>
        <w:t xml:space="preserve">“</w:t>
      </w:r>
      <w:r>
        <w:t xml:space="preserve">are subject to reduction or rejection of all fees attributable to the unapproved timekeeper, at Pinnacle’s sole discretion.</w:t>
      </w:r>
      <w:r>
        <w:t xml:space="preserve">”</w:t>
      </w:r>
      <w:r>
        <w:t xml:space="preserve"> </w:t>
      </w:r>
      <w:r>
        <w:t xml:space="preserve">The Staffing Plan (§ 4) reiterates that the listed timekeepers are the</w:t>
      </w:r>
      <w:r>
        <w:t xml:space="preserve"> </w:t>
      </w:r>
      <w:r>
        <w:t xml:space="preserve">“</w:t>
      </w:r>
      <w:r>
        <w:t xml:space="preserve">complete and exclusive</w:t>
      </w:r>
      <w:r>
        <w:t xml:space="preserve">”</w:t>
      </w:r>
      <w:r>
        <w:t xml:space="preserve"> </w:t>
      </w:r>
      <w:r>
        <w:t xml:space="preserve">roster and that any new timekeeper requires</w:t>
      </w:r>
      <w:r>
        <w:t xml:space="preserve"> </w:t>
      </w:r>
      <w:r>
        <w:t xml:space="preserve">“</w:t>
      </w:r>
      <w:r>
        <w:t xml:space="preserve">prior written approval.</w:t>
      </w:r>
      <w:r>
        <w:t xml:space="preserve">”</w:t>
      </w:r>
      <w:r>
        <w:t xml:space="preserve"> </w:t>
      </w:r>
      <w:r>
        <w:t xml:space="preserve">The Staffing Plan further provides that</w:t>
      </w:r>
      <w:r>
        <w:t xml:space="preserve"> </w:t>
      </w:r>
      <w:r>
        <w:t xml:space="preserve">“</w:t>
      </w:r>
      <w:r>
        <w:t xml:space="preserve">only one junior associate will be assigned to and authorized to bill on this matter at any given time,</w:t>
      </w:r>
      <w:r>
        <w:t xml:space="preserve">”</w:t>
      </w:r>
      <w:r>
        <w:t xml:space="preserve"> </w:t>
      </w:r>
      <w:r>
        <w:t xml:space="preserve">and that James Pettersson</w:t>
      </w:r>
      <w:r>
        <w:t xml:space="preserve"> </w:t>
      </w:r>
      <w:r>
        <w:t xml:space="preserve">“</w:t>
      </w:r>
      <w:r>
        <w:t xml:space="preserve">is the only mid-level associate assigned to this matter. No other mid-level associate is included on the approved staffing roster.</w:t>
      </w:r>
      <w:r>
        <w:t xml:space="preserve">”</w:t>
      </w:r>
    </w:p>
    <w:bookmarkStart w:id="24" w:name="Xda5dd4a7cec86f08916ecf60e1941c8474633b2"/>
    <w:p>
      <w:pPr>
        <w:pStyle w:val="Heading4"/>
      </w:pPr>
      <w:r>
        <w:t xml:space="preserve">1. Nina Barros — Mid-Level Associate (45.0 hrs / $21,375.00) — Full Rejection</w:t>
      </w:r>
    </w:p>
    <w:p>
      <w:pPr>
        <w:pStyle w:val="FirstParagraph"/>
      </w:pPr>
      <w:r>
        <w:t xml:space="preserve">Barros is not on the Approved Staffing Plan. The Staffing Plan expressly states that Pettersson is the only authorized mid-level associate. On April 28, 2025, Karen Cho emailed Rachel Dominguez requesting Barros’s addition. Rachel Dominguez’s reply of May 1, 2025 stated:</w:t>
      </w:r>
      <w:r>
        <w:t xml:space="preserve"> </w:t>
      </w:r>
      <w:r>
        <w:rPr>
          <w:i/>
          <w:iCs/>
        </w:rPr>
        <w:t xml:space="preserve">“</w:t>
      </w:r>
      <w:r>
        <w:rPr>
          <w:i/>
          <w:iCs/>
        </w:rPr>
        <w:t xml:space="preserve">Before we can move forward on adding Nina Barros, though, let me review this with Sandra and get back to you. … I’ll try to circle back with you early next week.</w:t>
      </w:r>
      <w:r>
        <w:rPr>
          <w:i/>
          <w:iCs/>
        </w:rPr>
        <w:t xml:space="preserve">”</w:t>
      </w:r>
      <w:r>
        <w:t xml:space="preserve"> </w:t>
      </w:r>
      <w:r>
        <w:t xml:space="preserve">No further approval was given. The Firm’s own Rate Schedule on the invoice concedes the status:</w:t>
      </w:r>
      <w:r>
        <w:t xml:space="preserve"> </w:t>
      </w:r>
      <w:r>
        <w:t xml:space="preserve">“</w:t>
      </w:r>
      <w:r>
        <w:t xml:space="preserve">Nina Barros …</w:t>
      </w:r>
      <w:r>
        <w:t xml:space="preserve"> </w:t>
      </w:r>
      <w:r>
        <w:rPr>
          <w:b/>
          <w:bCs/>
        </w:rPr>
        <w:t xml:space="preserve">Pending Approval — Added May 2025</w:t>
      </w:r>
      <w:r>
        <w:t xml:space="preserve"> </w:t>
      </w:r>
      <w:r>
        <w:t xml:space="preserve">… client response pending.</w:t>
      </w:r>
      <w:r>
        <w:t xml:space="preserve">”</w:t>
      </w:r>
    </w:p>
    <w:p>
      <w:pPr>
        <w:pStyle w:val="BodyText"/>
      </w:pPr>
      <w:r>
        <w:t xml:space="preserve">The Firm nonetheless billed Barros for 45.0 hours ($21,375.00) throughout May. The Status Report’s assertion that Barros’s involvement</w:t>
      </w:r>
      <w:r>
        <w:t xml:space="preserve"> </w:t>
      </w:r>
      <w:r>
        <w:t xml:space="preserve">“</w:t>
      </w:r>
      <w:r>
        <w:t xml:space="preserve">was consistent with the request submitted to Ms. Dominguez on April 28, 2025</w:t>
      </w:r>
      <w:r>
        <w:t xml:space="preserve">”</w:t>
      </w:r>
      <w:r>
        <w:t xml:space="preserve"> </w:t>
      </w:r>
      <w:r>
        <w:t xml:space="preserve">misstates the standard: a</w:t>
      </w:r>
      <w:r>
        <w:t xml:space="preserve"> </w:t>
      </w:r>
      <w:r>
        <w:rPr>
          <w:i/>
          <w:iCs/>
        </w:rPr>
        <w:t xml:space="preserve">request</w:t>
      </w:r>
      <w:r>
        <w:t xml:space="preserve"> </w:t>
      </w:r>
      <w:r>
        <w:t xml:space="preserve">is not</w:t>
      </w:r>
      <w:r>
        <w:t xml:space="preserve"> </w:t>
      </w:r>
      <w:r>
        <w:rPr>
          <w:i/>
          <w:iCs/>
        </w:rPr>
        <w:t xml:space="preserve">approval</w:t>
      </w:r>
      <w:r>
        <w:t xml:space="preserve">. § 4.2 is unambiguous that</w:t>
      </w:r>
      <w:r>
        <w:t xml:space="preserve"> </w:t>
      </w:r>
      <w:r>
        <w:t xml:space="preserve">“</w:t>
      </w:r>
      <w:r>
        <w:t xml:space="preserve">the absence of a response shall not constitute approval.</w:t>
      </w:r>
      <w:r>
        <w:t xml:space="preserve">”</w:t>
      </w:r>
      <w:r>
        <w:t xml:space="preserve"> </w:t>
      </w:r>
      <w:r>
        <w:t xml:space="preserve">No exigent-circumstance notification under § 4.2 was made (the request was a routine staffing addition, and Pinnacle expressly asked for time to review). The Firm proceeded at its own risk.</w:t>
      </w:r>
    </w:p>
    <w:p>
      <w:pPr>
        <w:pStyle w:val="BodyText"/>
      </w:pPr>
      <w:r>
        <w:rPr>
          <w:b/>
          <w:bCs/>
        </w:rPr>
        <w:t xml:space="preserve">Recommendation:</w:t>
      </w:r>
      <w:r>
        <w:t xml:space="preserve"> </w:t>
      </w:r>
      <w:r>
        <w:t xml:space="preserve">Reject all Barros fees in full —</w:t>
      </w:r>
      <w:r>
        <w:t xml:space="preserve"> </w:t>
      </w:r>
      <w:r>
        <w:rPr>
          <w:b/>
          <w:bCs/>
        </w:rPr>
        <w:t xml:space="preserve">$21,375.00</w:t>
      </w:r>
      <w:r>
        <w:t xml:space="preserve">. Pinnacle may, in its discretion under § 4.2, consider retroactive approval for a portion if the Firm submits a written justification, but as billed the fees are not payable.</w:t>
      </w:r>
    </w:p>
    <w:bookmarkEnd w:id="24"/>
    <w:bookmarkStart w:id="25" w:name="Xb1956fc37af97a8af4dff7f93353536da1cd829"/>
    <w:p>
      <w:pPr>
        <w:pStyle w:val="Heading4"/>
      </w:pPr>
      <w:r>
        <w:t xml:space="preserve">2. Priya Sengupta — Junior Associate (27.5 hrs / $10,312.50) — Full Rejection</w:t>
      </w:r>
    </w:p>
    <w:p>
      <w:pPr>
        <w:pStyle w:val="FirstParagraph"/>
      </w:pPr>
      <w:r>
        <w:t xml:space="preserve">Sengupta is not on the Approved Staffing Plan. The Staffing Plan authorizes a single junior-associate slot, filled by Tyler Webb (2nd year), and states that assigning</w:t>
      </w:r>
      <w:r>
        <w:t xml:space="preserve"> </w:t>
      </w:r>
      <w:r>
        <w:t xml:space="preserve">“</w:t>
      </w:r>
      <w:r>
        <w:t xml:space="preserve">more than one junior associate concurrently would constitute a staffing change requiring prior written approval under § 4.2.</w:t>
      </w:r>
      <w:r>
        <w:t xml:space="preserve">”</w:t>
      </w:r>
      <w:r>
        <w:t xml:space="preserve"> </w:t>
      </w:r>
      <w:r>
        <w:t xml:space="preserve">Sengupta (1st year) was added in May and billed concurrently with Webb for 27.5 hours ($10,312.50). Unlike Barros, there is</w:t>
      </w:r>
      <w:r>
        <w:t xml:space="preserve"> </w:t>
      </w:r>
      <w:r>
        <w:rPr>
          <w:b/>
          <w:bCs/>
        </w:rPr>
        <w:t xml:space="preserve">no record of any staffing-change request to Pinnacle</w:t>
      </w:r>
      <w:r>
        <w:t xml:space="preserve"> </w:t>
      </w:r>
      <w:r>
        <w:t xml:space="preserve">for Sengupta — she was simply</w:t>
      </w:r>
      <w:r>
        <w:t xml:space="preserve"> </w:t>
      </w:r>
      <w:r>
        <w:t xml:space="preserve">“</w:t>
      </w:r>
      <w:r>
        <w:t xml:space="preserve">added May 2025</w:t>
      </w:r>
      <w:r>
        <w:t xml:space="preserve">”</w:t>
      </w:r>
      <w:r>
        <w:t xml:space="preserve"> </w:t>
      </w:r>
      <w:r>
        <w:t xml:space="preserve">(per the invoice Rate Schedule) with no request, no justification, and no approval. This is a more straightforward violation than Barros: no request was even submitted.</w:t>
      </w:r>
    </w:p>
    <w:p>
      <w:pPr>
        <w:pStyle w:val="BodyText"/>
      </w:pPr>
      <w:r>
        <w:rPr>
          <w:b/>
          <w:bCs/>
        </w:rPr>
        <w:t xml:space="preserve">Recommendation:</w:t>
      </w:r>
      <w:r>
        <w:t xml:space="preserve"> </w:t>
      </w:r>
      <w:r>
        <w:t xml:space="preserve">Reject all Sengupta fees in full —</w:t>
      </w:r>
      <w:r>
        <w:t xml:space="preserve"> </w:t>
      </w:r>
      <w:r>
        <w:rPr>
          <w:b/>
          <w:bCs/>
        </w:rPr>
        <w:t xml:space="preserve">$10,312.50</w:t>
      </w:r>
      <w:r>
        <w:t xml:space="preserve">.</w:t>
      </w:r>
    </w:p>
    <w:p>
      <w:pPr>
        <w:pStyle w:val="BodyText"/>
      </w:pPr>
      <w:r>
        <w:rPr>
          <w:b/>
          <w:bCs/>
        </w:rPr>
        <w:t xml:space="preserve">Combined unapproved-timekeeper reduction: $31,687.50.</w:t>
      </w:r>
      <w:r>
        <w:t xml:space="preserve"> </w:t>
      </w:r>
      <w:r>
        <w:t xml:space="preserve">(Note: several Barros and Sengupta entries are also block-billed; the full rejection for unapproved status supersedes, and no separate block-billing reduction is applied to those entries to avoid double-counting.)</w:t>
      </w:r>
    </w:p>
    <w:p>
      <w:r>
        <w:pict>
          <v:rect style="width:0;height:1.5pt" o:hralign="center" o:hrstd="t" o:hr="t"/>
        </w:pict>
      </w:r>
    </w:p>
    <w:bookmarkEnd w:id="25"/>
    <w:bookmarkEnd w:id="26"/>
    <w:bookmarkStart w:id="27" w:name="X727c74c06ac2b97c168b01efaa94a8ddcfa251b"/>
    <w:p>
      <w:pPr>
        <w:pStyle w:val="Heading3"/>
      </w:pPr>
      <w:r>
        <w:t xml:space="preserve">B. Contract Attorney Rate Exceeds Cap and Approved Rate (§ 5.1; Staffing Plan § 2.5)</w:t>
      </w:r>
    </w:p>
    <w:p>
      <w:pPr>
        <w:pStyle w:val="FirstParagraph"/>
      </w:pPr>
      <w:r>
        <w:t xml:space="preserve">Marcus Tate, the contract attorney sourced through Redwood Document Solutions, was billed at</w:t>
      </w:r>
      <w:r>
        <w:t xml:space="preserve"> </w:t>
      </w:r>
      <w:r>
        <w:rPr>
          <w:b/>
          <w:bCs/>
        </w:rPr>
        <w:t xml:space="preserve">$210/hr</w:t>
      </w:r>
      <w:r>
        <w:t xml:space="preserve">. This rate exceeds (i) the § 5.1 / Appendix A cap for</w:t>
      </w:r>
      <w:r>
        <w:t xml:space="preserve"> </w:t>
      </w:r>
      <w:r>
        <w:t xml:space="preserve">“</w:t>
      </w:r>
      <w:r>
        <w:t xml:space="preserve">Contract Attorney / Staff Attorney</w:t>
      </w:r>
      <w:r>
        <w:t xml:space="preserve">”</w:t>
      </w:r>
      <w:r>
        <w:t xml:space="preserve"> </w:t>
      </w:r>
      <w:r>
        <w:t xml:space="preserve">of</w:t>
      </w:r>
      <w:r>
        <w:t xml:space="preserve"> </w:t>
      </w:r>
      <w:r>
        <w:rPr>
          <w:b/>
          <w:bCs/>
        </w:rPr>
        <w:t xml:space="preserve">$200/hr</w:t>
      </w:r>
      <w:r>
        <w:t xml:space="preserve">, and (ii) the</w:t>
      </w:r>
      <w:r>
        <w:t xml:space="preserve"> </w:t>
      </w:r>
      <w:r>
        <w:rPr>
          <w:b/>
          <w:bCs/>
        </w:rPr>
        <w:t xml:space="preserve">$185/hr</w:t>
      </w:r>
      <w:r>
        <w:t xml:space="preserve"> </w:t>
      </w:r>
      <w:r>
        <w:t xml:space="preserve">pass-through rate approved in the Staffing Plan (§ 2.5 and § 6 Rate Schedule Confirmation), which the Staffing Plan describes as</w:t>
      </w:r>
      <w:r>
        <w:t xml:space="preserve"> </w:t>
      </w:r>
      <w:r>
        <w:t xml:space="preserve">“</w:t>
      </w:r>
      <w:r>
        <w:t xml:space="preserve">pass-through at vendor rates with no markup.</w:t>
      </w:r>
      <w:r>
        <w:t xml:space="preserve">”</w:t>
      </w:r>
      <w:r>
        <w:t xml:space="preserve"> </w:t>
      </w:r>
      <w:r>
        <w:t xml:space="preserve">§ 5.1 provides that</w:t>
      </w:r>
      <w:r>
        <w:t xml:space="preserve"> </w:t>
      </w:r>
      <w:r>
        <w:t xml:space="preserve">“</w:t>
      </w:r>
      <w:r>
        <w:t xml:space="preserve">[r]ates in excess of these caps will be automatically reduced to the applicable cap upon invoice review.</w:t>
      </w:r>
      <w:r>
        <w:t xml:space="preserve">”</w:t>
      </w:r>
      <w:r>
        <w:t xml:space="preserve"> </w:t>
      </w:r>
      <w:r>
        <w:t xml:space="preserve">The invoice’s own Rate Schedule mislabels $210 as</w:t>
      </w:r>
      <w:r>
        <w:t xml:space="preserve"> </w:t>
      </w:r>
      <w:r>
        <w:t xml:space="preserve">“</w:t>
      </w:r>
      <w:r>
        <w:t xml:space="preserve">Approved,</w:t>
      </w:r>
      <w:r>
        <w:t xml:space="preserve">”</w:t>
      </w:r>
      <w:r>
        <w:t xml:space="preserve"> </w:t>
      </w:r>
      <w:r>
        <w:t xml:space="preserve">but the controlling approved document (the Staffing Plan) sets the rate at $185.</w:t>
      </w:r>
    </w:p>
    <w:p>
      <w:pPr>
        <w:pStyle w:val="BodyText"/>
      </w:pPr>
      <w:r>
        <w:rPr>
          <w:b/>
          <w:bCs/>
        </w:rPr>
        <w:t xml:space="preserve">Calculation.</w:t>
      </w:r>
      <w:r>
        <w:t xml:space="preserve"> </w:t>
      </w:r>
      <w:r>
        <w:t xml:space="preserve">Reduce 120.0 hours from $210/hr to the approved rate of $185/hr (which is below the $200 cap and therefore satisfies both the cap and the approved-rate obligation): 120 × ($210 − $185) =</w:t>
      </w:r>
      <w:r>
        <w:t xml:space="preserve"> </w:t>
      </w:r>
      <w:r>
        <w:rPr>
          <w:b/>
          <w:bCs/>
        </w:rPr>
        <w:t xml:space="preserve">$3,000.00</w:t>
      </w:r>
      <w:r>
        <w:t xml:space="preserve">. (Even a reduction only to the $200 cap would yield $1,200.00; the further reduction to the contractually approved $185 is warranted because Pinnacle never agreed to more than $185.)</w:t>
      </w:r>
    </w:p>
    <w:p>
      <w:pPr>
        <w:pStyle w:val="BodyText"/>
      </w:pPr>
      <w:r>
        <w:rPr>
          <w:b/>
          <w:bCs/>
        </w:rPr>
        <w:t xml:space="preserve">Recommendation: $3,000.00.</w:t>
      </w:r>
    </w:p>
    <w:p>
      <w:r>
        <w:pict>
          <v:rect style="width:0;height:1.5pt" o:hralign="center" o:hrstd="t" o:hr="t"/>
        </w:pict>
      </w:r>
    </w:p>
    <w:bookmarkEnd w:id="27"/>
    <w:bookmarkStart w:id="28" w:name="c.-block-billing-5.4-44-entries"/>
    <w:p>
      <w:pPr>
        <w:pStyle w:val="Heading3"/>
      </w:pPr>
      <w:r>
        <w:t xml:space="preserve">C. Block Billing (§ 5.4) — 44 Entries</w:t>
      </w:r>
    </w:p>
    <w:p>
      <w:pPr>
        <w:pStyle w:val="FirstParagraph"/>
      </w:pPr>
      <w:r>
        <w:rPr>
          <w:b/>
          <w:bCs/>
        </w:rPr>
        <w:t xml:space="preserve">Standard.</w:t>
      </w:r>
      <w:r>
        <w:t xml:space="preserve"> </w:t>
      </w:r>
      <w:r>
        <w:t xml:space="preserve">§ 5.4 prohibits time entries that</w:t>
      </w:r>
      <w:r>
        <w:t xml:space="preserve"> </w:t>
      </w:r>
      <w:r>
        <w:t xml:space="preserve">“</w:t>
      </w:r>
      <w:r>
        <w:t xml:space="preserve">combine two or more discrete tasks into a single line item without separately allocating time to each task.</w:t>
      </w:r>
      <w:r>
        <w:t xml:space="preserve">”</w:t>
      </w:r>
      <w:r>
        <w:t xml:space="preserve"> </w:t>
      </w:r>
      <w:r>
        <w:t xml:space="preserve">A</w:t>
      </w:r>
      <w:r>
        <w:t xml:space="preserve"> </w:t>
      </w:r>
      <w:r>
        <w:t xml:space="preserve">“</w:t>
      </w:r>
      <w:r>
        <w:t xml:space="preserve">discrete task</w:t>
      </w:r>
      <w:r>
        <w:t xml:space="preserve">”</w:t>
      </w:r>
      <w:r>
        <w:t xml:space="preserve"> </w:t>
      </w:r>
      <w:r>
        <w:t xml:space="preserve">is</w:t>
      </w:r>
      <w:r>
        <w:t xml:space="preserve"> </w:t>
      </w:r>
      <w:r>
        <w:t xml:space="preserve">“</w:t>
      </w:r>
      <w:r>
        <w:t xml:space="preserve">a distinct activity that could be independently described and timed, such as: drafting a motion, reviewing a specific set of documents … attending a deposition, conducting legal research on a specific issue, or participating in a conference call.</w:t>
      </w:r>
      <w:r>
        <w:t xml:space="preserve">”</w:t>
      </w:r>
      <w:r>
        <w:t xml:space="preserve"> </w:t>
      </w:r>
      <w:r>
        <w:t xml:space="preserve">The Guideline’s own examples treat</w:t>
      </w:r>
      <w:r>
        <w:t xml:space="preserve"> </w:t>
      </w:r>
      <w:r>
        <w:t xml:space="preserve">“</w:t>
      </w:r>
      <w:r>
        <w:t xml:space="preserve">confer with partner regarding strategy</w:t>
      </w:r>
      <w:r>
        <w:t xml:space="preserve">”</w:t>
      </w:r>
      <w:r>
        <w:t xml:space="preserve"> </w:t>
      </w:r>
      <w:r>
        <w:t xml:space="preserve">and</w:t>
      </w:r>
      <w:r>
        <w:t xml:space="preserve"> </w:t>
      </w:r>
      <w:r>
        <w:t xml:space="preserve">“</w:t>
      </w:r>
      <w:r>
        <w:t xml:space="preserve">prepare post-deposition summary</w:t>
      </w:r>
      <w:r>
        <w:t xml:space="preserve">”</w:t>
      </w:r>
      <w:r>
        <w:t xml:space="preserve"> </w:t>
      </w:r>
      <w:r>
        <w:t xml:space="preserve">as discrete tasks separate from research, drafting, or deposition attendance. The remedy is</w:t>
      </w:r>
      <w:r>
        <w:t xml:space="preserve"> </w:t>
      </w:r>
      <w:r>
        <w:t xml:space="preserve">“</w:t>
      </w:r>
      <w:r>
        <w:t xml:space="preserve">an automatic twenty-five percent (25%) reduction to the total fees of each block-billed entry,</w:t>
      </w:r>
      <w:r>
        <w:t xml:space="preserve">”</w:t>
      </w:r>
      <w:r>
        <w:t xml:space="preserve"> </w:t>
      </w:r>
      <w:r>
        <w:t xml:space="preserve">which</w:t>
      </w:r>
      <w:r>
        <w:t xml:space="preserve"> </w:t>
      </w:r>
      <w:r>
        <w:t xml:space="preserve">“</w:t>
      </w:r>
      <w:r>
        <w:t xml:space="preserve">is in addition to, and not in lieu of, any other reductions.</w:t>
      </w:r>
      <w:r>
        <w:t xml:space="preserve">”</w:t>
      </w:r>
      <w:r>
        <w:t xml:space="preserve"> </w:t>
      </w:r>
      <w:r>
        <w:t xml:space="preserve">The Firm may avoid the reduction by resubmitting</w:t>
      </w:r>
      <w:r>
        <w:t xml:space="preserve"> </w:t>
      </w:r>
      <w:r>
        <w:t xml:space="preserve">“</w:t>
      </w:r>
      <w:r>
        <w:t xml:space="preserve">as separate line items with individually allocated time within fifteen (15) days.</w:t>
      </w:r>
      <w:r>
        <w:t xml:space="preserve">”</w:t>
      </w:r>
    </w:p>
    <w:p>
      <w:pPr>
        <w:pStyle w:val="BodyText"/>
      </w:pPr>
      <w:r>
        <w:rPr>
          <w:b/>
          <w:bCs/>
        </w:rPr>
        <w:t xml:space="preserve">Finding.</w:t>
      </w:r>
      <w:r>
        <w:t xml:space="preserve"> </w:t>
      </w:r>
      <w:r>
        <w:t xml:space="preserve">Forty-four (44) entries by approved timekeepers combine two or more discrete tasks. The pattern is pervasive: drafting combined with research; review/revision combined with a separate conference; deposition attendance combined with a post-deposition summary; brief finalization combined with administrative filing coordination. (Entries by the unapproved Barros and Sengupta are omitted from this table because their fees are fully rejected above; several of their entries are likewise block-billed.) The 25% reduction is applied to each entry below.</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Entry</w:t>
            </w:r>
          </w:p>
        </w:tc>
        <w:tc>
          <w:tcPr/>
          <w:p>
            <w:pPr>
              <w:pStyle w:val="Compact"/>
              <w:jc w:val="left"/>
            </w:pPr>
            <w:r>
              <w:t xml:space="preserve">Date</w:t>
            </w:r>
          </w:p>
        </w:tc>
        <w:tc>
          <w:tcPr/>
          <w:p>
            <w:pPr>
              <w:pStyle w:val="Compact"/>
              <w:jc w:val="left"/>
            </w:pPr>
            <w:r>
              <w:t xml:space="preserve">Timekeeper</w:t>
            </w:r>
          </w:p>
        </w:tc>
        <w:tc>
          <w:tcPr/>
          <w:p>
            <w:pPr>
              <w:pStyle w:val="Compact"/>
              <w:jc w:val="right"/>
            </w:pPr>
            <w:r>
              <w:t xml:space="preserve">Hrs</w:t>
            </w:r>
          </w:p>
        </w:tc>
        <w:tc>
          <w:tcPr/>
          <w:p>
            <w:pPr>
              <w:pStyle w:val="Compact"/>
              <w:jc w:val="right"/>
            </w:pPr>
            <w:r>
              <w:t xml:space="preserve">Rate</w:t>
            </w:r>
          </w:p>
        </w:tc>
        <w:tc>
          <w:tcPr/>
          <w:p>
            <w:pPr>
              <w:pStyle w:val="Compact"/>
              <w:jc w:val="right"/>
            </w:pPr>
            <w:r>
              <w:t xml:space="preserve">Entry Fee</w:t>
            </w:r>
          </w:p>
        </w:tc>
        <w:tc>
          <w:tcPr/>
          <w:p>
            <w:pPr>
              <w:pStyle w:val="Compact"/>
              <w:jc w:val="right"/>
            </w:pPr>
            <w:r>
              <w:t xml:space="preserve">25% Reduction</w:t>
            </w:r>
          </w:p>
        </w:tc>
      </w:tr>
      <w:tr>
        <w:tc>
          <w:tcPr/>
          <w:p>
            <w:pPr>
              <w:pStyle w:val="Compact"/>
              <w:jc w:val="right"/>
            </w:pPr>
            <w:r>
              <w:t xml:space="preserve">2</w:t>
            </w:r>
          </w:p>
        </w:tc>
        <w:tc>
          <w:tcPr/>
          <w:p>
            <w:pPr>
              <w:pStyle w:val="Compact"/>
              <w:jc w:val="left"/>
            </w:pPr>
            <w:r>
              <w:t xml:space="preserve">05/01</w:t>
            </w:r>
          </w:p>
        </w:tc>
        <w:tc>
          <w:tcPr/>
          <w:p>
            <w:pPr>
              <w:pStyle w:val="Compact"/>
              <w:jc w:val="left"/>
            </w:pPr>
            <w:r>
              <w:t xml:space="preserve">Pettersson</w:t>
            </w:r>
          </w:p>
        </w:tc>
        <w:tc>
          <w:tcPr/>
          <w:p>
            <w:pPr>
              <w:pStyle w:val="Compact"/>
              <w:jc w:val="right"/>
            </w:pPr>
            <w:r>
              <w:t xml:space="preserve">3.5</w:t>
            </w:r>
          </w:p>
        </w:tc>
        <w:tc>
          <w:tcPr/>
          <w:p>
            <w:pPr>
              <w:pStyle w:val="Compact"/>
              <w:jc w:val="right"/>
            </w:pPr>
            <w:r>
              <w:t xml:space="preserve">$475</w:t>
            </w:r>
          </w:p>
        </w:tc>
        <w:tc>
          <w:tcPr/>
          <w:p>
            <w:pPr>
              <w:pStyle w:val="Compact"/>
              <w:jc w:val="right"/>
            </w:pPr>
            <w:r>
              <w:t xml:space="preserve">$1,662.50</w:t>
            </w:r>
          </w:p>
        </w:tc>
        <w:tc>
          <w:tcPr/>
          <w:p>
            <w:pPr>
              <w:pStyle w:val="Compact"/>
              <w:jc w:val="right"/>
            </w:pPr>
            <w:r>
              <w:t xml:space="preserve">$415.62</w:t>
            </w:r>
          </w:p>
        </w:tc>
      </w:tr>
      <w:tr>
        <w:tc>
          <w:tcPr/>
          <w:p>
            <w:pPr>
              <w:pStyle w:val="Compact"/>
              <w:jc w:val="right"/>
            </w:pPr>
            <w:r>
              <w:t xml:space="preserve">3</w:t>
            </w:r>
          </w:p>
        </w:tc>
        <w:tc>
          <w:tcPr/>
          <w:p>
            <w:pPr>
              <w:pStyle w:val="Compact"/>
              <w:jc w:val="left"/>
            </w:pPr>
            <w:r>
              <w:t xml:space="preserve">05/01</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$625.00</w:t>
            </w:r>
          </w:p>
        </w:tc>
      </w:tr>
      <w:tr>
        <w:tc>
          <w:tcPr/>
          <w:p>
            <w:pPr>
              <w:pStyle w:val="Compact"/>
              <w:jc w:val="right"/>
            </w:pPr>
            <w:r>
              <w:t xml:space="preserve">6</w:t>
            </w:r>
          </w:p>
        </w:tc>
        <w:tc>
          <w:tcPr/>
          <w:p>
            <w:pPr>
              <w:pStyle w:val="Compact"/>
              <w:jc w:val="left"/>
            </w:pPr>
            <w:r>
              <w:t xml:space="preserve">05/02</w:t>
            </w:r>
          </w:p>
        </w:tc>
        <w:tc>
          <w:tcPr/>
          <w:p>
            <w:pPr>
              <w:pStyle w:val="Compact"/>
              <w:jc w:val="left"/>
            </w:pPr>
            <w:r>
              <w:t xml:space="preserve">Pettersson</w:t>
            </w:r>
          </w:p>
        </w:tc>
        <w:tc>
          <w:tcPr/>
          <w:p>
            <w:pPr>
              <w:pStyle w:val="Compact"/>
              <w:jc w:val="right"/>
            </w:pPr>
            <w:r>
              <w:t xml:space="preserve">4.0</w:t>
            </w:r>
          </w:p>
        </w:tc>
        <w:tc>
          <w:tcPr/>
          <w:p>
            <w:pPr>
              <w:pStyle w:val="Compact"/>
              <w:jc w:val="right"/>
            </w:pPr>
            <w:r>
              <w:t xml:space="preserve">$475</w:t>
            </w:r>
          </w:p>
        </w:tc>
        <w:tc>
          <w:tcPr/>
          <w:p>
            <w:pPr>
              <w:pStyle w:val="Compact"/>
              <w:jc w:val="right"/>
            </w:pPr>
            <w:r>
              <w:t xml:space="preserve">$1,900.00</w:t>
            </w:r>
          </w:p>
        </w:tc>
        <w:tc>
          <w:tcPr/>
          <w:p>
            <w:pPr>
              <w:pStyle w:val="Compact"/>
              <w:jc w:val="right"/>
            </w:pPr>
            <w:r>
              <w:t xml:space="preserve">$475.00</w:t>
            </w:r>
          </w:p>
        </w:tc>
      </w:tr>
      <w:tr>
        <w:tc>
          <w:tcPr/>
          <w:p>
            <w:pPr>
              <w:pStyle w:val="Compact"/>
              <w:jc w:val="right"/>
            </w:pPr>
            <w:r>
              <w:t xml:space="preserve">7</w:t>
            </w:r>
          </w:p>
        </w:tc>
        <w:tc>
          <w:tcPr/>
          <w:p>
            <w:pPr>
              <w:pStyle w:val="Compact"/>
              <w:jc w:val="left"/>
            </w:pPr>
            <w:r>
              <w:t xml:space="preserve">05/02</w:t>
            </w:r>
          </w:p>
        </w:tc>
        <w:tc>
          <w:tcPr/>
          <w:p>
            <w:pPr>
              <w:pStyle w:val="Compact"/>
              <w:jc w:val="left"/>
            </w:pPr>
            <w:r>
              <w:t xml:space="preserve">Cho</w:t>
            </w:r>
          </w:p>
        </w:tc>
        <w:tc>
          <w:tcPr/>
          <w:p>
            <w:pPr>
              <w:pStyle w:val="Compact"/>
              <w:jc w:val="right"/>
            </w:pPr>
            <w:r>
              <w:t xml:space="preserve">3.5</w:t>
            </w:r>
          </w:p>
        </w:tc>
        <w:tc>
          <w:tcPr/>
          <w:p>
            <w:pPr>
              <w:pStyle w:val="Compact"/>
              <w:jc w:val="right"/>
            </w:pPr>
            <w:r>
              <w:t xml:space="preserve">$625</w:t>
            </w:r>
          </w:p>
        </w:tc>
        <w:tc>
          <w:tcPr/>
          <w:p>
            <w:pPr>
              <w:pStyle w:val="Compact"/>
              <w:jc w:val="right"/>
            </w:pPr>
            <w:r>
              <w:t xml:space="preserve">$2,187.50</w:t>
            </w:r>
          </w:p>
        </w:tc>
        <w:tc>
          <w:tcPr/>
          <w:p>
            <w:pPr>
              <w:pStyle w:val="Compact"/>
              <w:jc w:val="right"/>
            </w:pPr>
            <w:r>
              <w:t xml:space="preserve">$546.88</w:t>
            </w:r>
          </w:p>
        </w:tc>
      </w:tr>
      <w:tr>
        <w:tc>
          <w:tcPr/>
          <w:p>
            <w:pPr>
              <w:pStyle w:val="Compact"/>
              <w:jc w:val="right"/>
            </w:pPr>
            <w:r>
              <w:t xml:space="preserve">11</w:t>
            </w:r>
          </w:p>
        </w:tc>
        <w:tc>
          <w:tcPr/>
          <w:p>
            <w:pPr>
              <w:pStyle w:val="Compact"/>
              <w:jc w:val="left"/>
            </w:pPr>
            <w:r>
              <w:t xml:space="preserve">05/05</w:t>
            </w:r>
          </w:p>
        </w:tc>
        <w:tc>
          <w:tcPr/>
          <w:p>
            <w:pPr>
              <w:pStyle w:val="Compact"/>
              <w:jc w:val="left"/>
            </w:pPr>
            <w:r>
              <w:t xml:space="preserve">Pettersson</w:t>
            </w:r>
          </w:p>
        </w:tc>
        <w:tc>
          <w:tcPr/>
          <w:p>
            <w:pPr>
              <w:pStyle w:val="Compact"/>
              <w:jc w:val="right"/>
            </w:pPr>
            <w:r>
              <w:t xml:space="preserve">3.0</w:t>
            </w:r>
          </w:p>
        </w:tc>
        <w:tc>
          <w:tcPr/>
          <w:p>
            <w:pPr>
              <w:pStyle w:val="Compact"/>
              <w:jc w:val="right"/>
            </w:pPr>
            <w:r>
              <w:t xml:space="preserve">$475</w:t>
            </w:r>
          </w:p>
        </w:tc>
        <w:tc>
          <w:tcPr/>
          <w:p>
            <w:pPr>
              <w:pStyle w:val="Compact"/>
              <w:jc w:val="right"/>
            </w:pPr>
            <w:r>
              <w:t xml:space="preserve">$1,425.00</w:t>
            </w:r>
          </w:p>
        </w:tc>
        <w:tc>
          <w:tcPr/>
          <w:p>
            <w:pPr>
              <w:pStyle w:val="Compact"/>
              <w:jc w:val="right"/>
            </w:pPr>
            <w:r>
              <w:t xml:space="preserve">$356.25</w:t>
            </w:r>
          </w:p>
        </w:tc>
      </w:tr>
      <w:tr>
        <w:tc>
          <w:tcPr/>
          <w:p>
            <w:pPr>
              <w:pStyle w:val="Compact"/>
              <w:jc w:val="right"/>
            </w:pPr>
            <w:r>
              <w:t xml:space="preserve">12</w:t>
            </w:r>
          </w:p>
        </w:tc>
        <w:tc>
          <w:tcPr/>
          <w:p>
            <w:pPr>
              <w:pStyle w:val="Compact"/>
              <w:jc w:val="left"/>
            </w:pPr>
            <w:r>
              <w:t xml:space="preserve">05/05</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$625</w:t>
            </w:r>
          </w:p>
        </w:tc>
        <w:tc>
          <w:tcPr/>
          <w:p>
            <w:pPr>
              <w:pStyle w:val="Compact"/>
              <w:jc w:val="right"/>
            </w:pPr>
            <w:r>
              <w:t xml:space="preserve">$2,812.50</w:t>
            </w:r>
          </w:p>
        </w:tc>
        <w:tc>
          <w:tcPr/>
          <w:p>
            <w:pPr>
              <w:pStyle w:val="Compact"/>
              <w:jc w:val="right"/>
            </w:pPr>
            <w:r>
              <w:t xml:space="preserve">$703.12</w:t>
            </w:r>
          </w:p>
        </w:tc>
      </w:tr>
      <w:tr>
        <w:tc>
          <w:tcPr/>
          <w:p>
            <w:pPr>
              <w:pStyle w:val="Compact"/>
              <w:jc w:val="right"/>
            </w:pPr>
            <w:r>
              <w:t xml:space="preserve">16</w:t>
            </w:r>
          </w:p>
        </w:tc>
        <w:tc>
          <w:tcPr/>
          <w:p>
            <w:pPr>
              <w:pStyle w:val="Compact"/>
              <w:jc w:val="left"/>
            </w:pPr>
            <w:r>
              <w:t xml:space="preserve">05/06</w:t>
            </w:r>
          </w:p>
        </w:tc>
        <w:tc>
          <w:tcPr/>
          <w:p>
            <w:pPr>
              <w:pStyle w:val="Compact"/>
              <w:jc w:val="left"/>
            </w:pPr>
            <w:r>
              <w:t xml:space="preserve">Cho</w:t>
            </w:r>
          </w:p>
        </w:tc>
        <w:tc>
          <w:tcPr/>
          <w:p>
            <w:pPr>
              <w:pStyle w:val="Compact"/>
              <w:jc w:val="right"/>
            </w:pPr>
            <w:r>
              <w:t xml:space="preserve">3.5</w:t>
            </w:r>
          </w:p>
        </w:tc>
        <w:tc>
          <w:tcPr/>
          <w:p>
            <w:pPr>
              <w:pStyle w:val="Compact"/>
              <w:jc w:val="right"/>
            </w:pPr>
            <w:r>
              <w:t xml:space="preserve">$625</w:t>
            </w:r>
          </w:p>
        </w:tc>
        <w:tc>
          <w:tcPr/>
          <w:p>
            <w:pPr>
              <w:pStyle w:val="Compact"/>
              <w:jc w:val="right"/>
            </w:pPr>
            <w:r>
              <w:t xml:space="preserve">$2,187.50</w:t>
            </w:r>
          </w:p>
        </w:tc>
        <w:tc>
          <w:tcPr/>
          <w:p>
            <w:pPr>
              <w:pStyle w:val="Compact"/>
              <w:jc w:val="right"/>
            </w:pPr>
            <w:r>
              <w:t xml:space="preserve">$546.88</w:t>
            </w:r>
          </w:p>
        </w:tc>
      </w:tr>
      <w:tr>
        <w:tc>
          <w:tcPr/>
          <w:p>
            <w:pPr>
              <w:pStyle w:val="Compact"/>
              <w:jc w:val="right"/>
            </w:pPr>
            <w:r>
              <w:t xml:space="preserve">19</w:t>
            </w:r>
          </w:p>
        </w:tc>
        <w:tc>
          <w:tcPr/>
          <w:p>
            <w:pPr>
              <w:pStyle w:val="Compact"/>
              <w:jc w:val="left"/>
            </w:pPr>
            <w:r>
              <w:t xml:space="preserve">05/07</w:t>
            </w:r>
          </w:p>
        </w:tc>
        <w:tc>
          <w:tcPr/>
          <w:p>
            <w:pPr>
              <w:pStyle w:val="Compact"/>
              <w:jc w:val="left"/>
            </w:pPr>
            <w:r>
              <w:t xml:space="preserve">Pettersson</w:t>
            </w:r>
          </w:p>
        </w:tc>
        <w:tc>
          <w:tcPr/>
          <w:p>
            <w:pPr>
              <w:pStyle w:val="Compact"/>
              <w:jc w:val="right"/>
            </w:pPr>
            <w:r>
              <w:t xml:space="preserve">4.5</w:t>
            </w:r>
          </w:p>
        </w:tc>
        <w:tc>
          <w:tcPr/>
          <w:p>
            <w:pPr>
              <w:pStyle w:val="Compact"/>
              <w:jc w:val="right"/>
            </w:pPr>
            <w:r>
              <w:t xml:space="preserve">$475</w:t>
            </w:r>
          </w:p>
        </w:tc>
        <w:tc>
          <w:tcPr/>
          <w:p>
            <w:pPr>
              <w:pStyle w:val="Compact"/>
              <w:jc w:val="right"/>
            </w:pPr>
            <w:r>
              <w:t xml:space="preserve">$2,137.50</w:t>
            </w:r>
          </w:p>
        </w:tc>
        <w:tc>
          <w:tcPr/>
          <w:p>
            <w:pPr>
              <w:pStyle w:val="Compact"/>
              <w:jc w:val="right"/>
            </w:pPr>
            <w:r>
              <w:t xml:space="preserve">$534.38</w:t>
            </w:r>
          </w:p>
        </w:tc>
      </w:tr>
      <w:tr>
        <w:tc>
          <w:tcPr/>
          <w:p>
            <w:pPr>
              <w:pStyle w:val="Compact"/>
              <w:jc w:val="right"/>
            </w:pPr>
            <w:r>
              <w:t xml:space="preserve">20</w:t>
            </w:r>
          </w:p>
        </w:tc>
        <w:tc>
          <w:tcPr/>
          <w:p>
            <w:pPr>
              <w:pStyle w:val="Compact"/>
              <w:jc w:val="left"/>
            </w:pPr>
            <w:r>
              <w:t xml:space="preserve">05/07</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$625.00</w:t>
            </w:r>
          </w:p>
        </w:tc>
      </w:tr>
      <w:tr>
        <w:tc>
          <w:tcPr/>
          <w:p>
            <w:pPr>
              <w:pStyle w:val="Compact"/>
              <w:jc w:val="right"/>
            </w:pPr>
            <w:r>
              <w:t xml:space="preserve">29</w:t>
            </w:r>
          </w:p>
        </w:tc>
        <w:tc>
          <w:tcPr/>
          <w:p>
            <w:pPr>
              <w:pStyle w:val="Compact"/>
              <w:jc w:val="left"/>
            </w:pPr>
            <w:r>
              <w:t xml:space="preserve">05/09</w:t>
            </w:r>
          </w:p>
        </w:tc>
        <w:tc>
          <w:tcPr/>
          <w:p>
            <w:pPr>
              <w:pStyle w:val="Compact"/>
              <w:jc w:val="left"/>
            </w:pPr>
            <w:r>
              <w:t xml:space="preserve">Pettersson</w:t>
            </w:r>
          </w:p>
        </w:tc>
        <w:tc>
          <w:tcPr/>
          <w:p>
            <w:pPr>
              <w:pStyle w:val="Compact"/>
              <w:jc w:val="right"/>
            </w:pPr>
            <w:r>
              <w:t xml:space="preserve">4.0</w:t>
            </w:r>
          </w:p>
        </w:tc>
        <w:tc>
          <w:tcPr/>
          <w:p>
            <w:pPr>
              <w:pStyle w:val="Compact"/>
              <w:jc w:val="right"/>
            </w:pPr>
            <w:r>
              <w:t xml:space="preserve">$475</w:t>
            </w:r>
          </w:p>
        </w:tc>
        <w:tc>
          <w:tcPr/>
          <w:p>
            <w:pPr>
              <w:pStyle w:val="Compact"/>
              <w:jc w:val="right"/>
            </w:pPr>
            <w:r>
              <w:t xml:space="preserve">$1,900.00</w:t>
            </w:r>
          </w:p>
        </w:tc>
        <w:tc>
          <w:tcPr/>
          <w:p>
            <w:pPr>
              <w:pStyle w:val="Compact"/>
              <w:jc w:val="right"/>
            </w:pPr>
            <w:r>
              <w:t xml:space="preserve">$475.00</w:t>
            </w:r>
          </w:p>
        </w:tc>
      </w:tr>
      <w:tr>
        <w:tc>
          <w:tcPr/>
          <w:p>
            <w:pPr>
              <w:pStyle w:val="Compact"/>
              <w:jc w:val="right"/>
            </w:pPr>
            <w:r>
              <w:t xml:space="preserve">30</w:t>
            </w:r>
          </w:p>
        </w:tc>
        <w:tc>
          <w:tcPr/>
          <w:p>
            <w:pPr>
              <w:pStyle w:val="Compact"/>
              <w:jc w:val="left"/>
            </w:pPr>
            <w:r>
              <w:t xml:space="preserve">05/09</w:t>
            </w:r>
          </w:p>
        </w:tc>
        <w:tc>
          <w:tcPr/>
          <w:p>
            <w:pPr>
              <w:pStyle w:val="Compact"/>
              <w:jc w:val="left"/>
            </w:pPr>
            <w:r>
              <w:t xml:space="preserve">Cho</w:t>
            </w:r>
          </w:p>
        </w:tc>
        <w:tc>
          <w:tcPr/>
          <w:p>
            <w:pPr>
              <w:pStyle w:val="Compact"/>
              <w:jc w:val="right"/>
            </w:pPr>
            <w:r>
              <w:t xml:space="preserve">3.5</w:t>
            </w:r>
          </w:p>
        </w:tc>
        <w:tc>
          <w:tcPr/>
          <w:p>
            <w:pPr>
              <w:pStyle w:val="Compact"/>
              <w:jc w:val="right"/>
            </w:pPr>
            <w:r>
              <w:t xml:space="preserve">$625</w:t>
            </w:r>
          </w:p>
        </w:tc>
        <w:tc>
          <w:tcPr/>
          <w:p>
            <w:pPr>
              <w:pStyle w:val="Compact"/>
              <w:jc w:val="right"/>
            </w:pPr>
            <w:r>
              <w:t xml:space="preserve">$2,187.50</w:t>
            </w:r>
          </w:p>
        </w:tc>
        <w:tc>
          <w:tcPr/>
          <w:p>
            <w:pPr>
              <w:pStyle w:val="Compact"/>
              <w:jc w:val="right"/>
            </w:pPr>
            <w:r>
              <w:t xml:space="preserve">$546.88</w:t>
            </w:r>
          </w:p>
        </w:tc>
      </w:tr>
      <w:tr>
        <w:tc>
          <w:tcPr/>
          <w:p>
            <w:pPr>
              <w:pStyle w:val="Compact"/>
              <w:jc w:val="right"/>
            </w:pPr>
            <w:r>
              <w:t xml:space="preserve">32</w:t>
            </w:r>
          </w:p>
        </w:tc>
        <w:tc>
          <w:tcPr/>
          <w:p>
            <w:pPr>
              <w:pStyle w:val="Compact"/>
              <w:jc w:val="left"/>
            </w:pPr>
            <w:r>
              <w:t xml:space="preserve">05/12</w:t>
            </w:r>
          </w:p>
        </w:tc>
        <w:tc>
          <w:tcPr/>
          <w:p>
            <w:pPr>
              <w:pStyle w:val="Compact"/>
              <w:jc w:val="left"/>
            </w:pPr>
            <w:r>
              <w:t xml:space="preserve">Hargrove</w:t>
            </w:r>
          </w:p>
        </w:tc>
        <w:tc>
          <w:tcPr/>
          <w:p>
            <w:pPr>
              <w:pStyle w:val="Compact"/>
              <w:jc w:val="right"/>
            </w:pPr>
            <w:r>
              <w:t xml:space="preserve">2.5</w:t>
            </w:r>
          </w:p>
        </w:tc>
        <w:tc>
          <w:tcPr/>
          <w:p>
            <w:pPr>
              <w:pStyle w:val="Compact"/>
              <w:jc w:val="right"/>
            </w:pPr>
            <w:r>
              <w:t xml:space="preserve">$985</w:t>
            </w:r>
          </w:p>
        </w:tc>
        <w:tc>
          <w:tcPr/>
          <w:p>
            <w:pPr>
              <w:pStyle w:val="Compact"/>
              <w:jc w:val="right"/>
            </w:pPr>
            <w:r>
              <w:t xml:space="preserve">$2,462.50</w:t>
            </w:r>
          </w:p>
        </w:tc>
        <w:tc>
          <w:tcPr/>
          <w:p>
            <w:pPr>
              <w:pStyle w:val="Compact"/>
              <w:jc w:val="right"/>
            </w:pPr>
            <w:r>
              <w:t xml:space="preserve">$615.62</w:t>
            </w:r>
          </w:p>
        </w:tc>
      </w:tr>
      <w:tr>
        <w:tc>
          <w:tcPr/>
          <w:p>
            <w:pPr>
              <w:pStyle w:val="Compact"/>
              <w:jc w:val="right"/>
            </w:pPr>
            <w:r>
              <w:t xml:space="preserve">34</w:t>
            </w:r>
          </w:p>
        </w:tc>
        <w:tc>
          <w:tcPr/>
          <w:p>
            <w:pPr>
              <w:pStyle w:val="Compact"/>
              <w:jc w:val="left"/>
            </w:pPr>
            <w:r>
              <w:t xml:space="preserve">05/12</w:t>
            </w:r>
          </w:p>
        </w:tc>
        <w:tc>
          <w:tcPr/>
          <w:p>
            <w:pPr>
              <w:pStyle w:val="Compact"/>
              <w:jc w:val="left"/>
            </w:pPr>
            <w:r>
              <w:t xml:space="preserve">Pettersson</w:t>
            </w:r>
          </w:p>
        </w:tc>
        <w:tc>
          <w:tcPr/>
          <w:p>
            <w:pPr>
              <w:pStyle w:val="Compact"/>
              <w:jc w:val="right"/>
            </w:pPr>
            <w:r>
              <w:t xml:space="preserve">3.5</w:t>
            </w:r>
          </w:p>
        </w:tc>
        <w:tc>
          <w:tcPr/>
          <w:p>
            <w:pPr>
              <w:pStyle w:val="Compact"/>
              <w:jc w:val="right"/>
            </w:pPr>
            <w:r>
              <w:t xml:space="preserve">$475</w:t>
            </w:r>
          </w:p>
        </w:tc>
        <w:tc>
          <w:tcPr/>
          <w:p>
            <w:pPr>
              <w:pStyle w:val="Compact"/>
              <w:jc w:val="right"/>
            </w:pPr>
            <w:r>
              <w:t xml:space="preserve">$1,662.50</w:t>
            </w:r>
          </w:p>
        </w:tc>
        <w:tc>
          <w:tcPr/>
          <w:p>
            <w:pPr>
              <w:pStyle w:val="Compact"/>
              <w:jc w:val="right"/>
            </w:pPr>
            <w:r>
              <w:t xml:space="preserve">$415.62</w:t>
            </w:r>
          </w:p>
        </w:tc>
      </w:tr>
      <w:tr>
        <w:tc>
          <w:tcPr/>
          <w:p>
            <w:pPr>
              <w:pStyle w:val="Compact"/>
              <w:jc w:val="right"/>
            </w:pPr>
            <w:r>
              <w:t xml:space="preserve">35</w:t>
            </w:r>
          </w:p>
        </w:tc>
        <w:tc>
          <w:tcPr/>
          <w:p>
            <w:pPr>
              <w:pStyle w:val="Compact"/>
              <w:jc w:val="left"/>
            </w:pPr>
            <w:r>
              <w:t xml:space="preserve">05/12</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$625.00</w:t>
            </w:r>
          </w:p>
        </w:tc>
      </w:tr>
      <w:tr>
        <w:tc>
          <w:tcPr/>
          <w:p>
            <w:pPr>
              <w:pStyle w:val="Compact"/>
              <w:jc w:val="right"/>
            </w:pPr>
            <w:r>
              <w:t xml:space="preserve">39</w:t>
            </w:r>
          </w:p>
        </w:tc>
        <w:tc>
          <w:tcPr/>
          <w:p>
            <w:pPr>
              <w:pStyle w:val="Compact"/>
              <w:jc w:val="left"/>
            </w:pPr>
            <w:r>
              <w:t xml:space="preserve">05/13</w:t>
            </w:r>
          </w:p>
        </w:tc>
        <w:tc>
          <w:tcPr/>
          <w:p>
            <w:pPr>
              <w:pStyle w:val="Compact"/>
              <w:jc w:val="left"/>
            </w:pPr>
            <w:r>
              <w:t xml:space="preserve">Pettersson</w:t>
            </w:r>
          </w:p>
        </w:tc>
        <w:tc>
          <w:tcPr/>
          <w:p>
            <w:pPr>
              <w:pStyle w:val="Compact"/>
              <w:jc w:val="right"/>
            </w:pPr>
            <w:r>
              <w:t xml:space="preserve">4.5</w:t>
            </w:r>
          </w:p>
        </w:tc>
        <w:tc>
          <w:tcPr/>
          <w:p>
            <w:pPr>
              <w:pStyle w:val="Compact"/>
              <w:jc w:val="right"/>
            </w:pPr>
            <w:r>
              <w:t xml:space="preserve">$475</w:t>
            </w:r>
          </w:p>
        </w:tc>
        <w:tc>
          <w:tcPr/>
          <w:p>
            <w:pPr>
              <w:pStyle w:val="Compact"/>
              <w:jc w:val="right"/>
            </w:pPr>
            <w:r>
              <w:t xml:space="preserve">$2,137.50</w:t>
            </w:r>
          </w:p>
        </w:tc>
        <w:tc>
          <w:tcPr/>
          <w:p>
            <w:pPr>
              <w:pStyle w:val="Compact"/>
              <w:jc w:val="right"/>
            </w:pPr>
            <w:r>
              <w:t xml:space="preserve">$534.38</w:t>
            </w:r>
          </w:p>
        </w:tc>
      </w:tr>
      <w:tr>
        <w:tc>
          <w:tcPr/>
          <w:p>
            <w:pPr>
              <w:pStyle w:val="Compact"/>
              <w:jc w:val="right"/>
            </w:pPr>
            <w:r>
              <w:t xml:space="preserve">40</w:t>
            </w:r>
          </w:p>
        </w:tc>
        <w:tc>
          <w:tcPr/>
          <w:p>
            <w:pPr>
              <w:pStyle w:val="Compact"/>
              <w:jc w:val="left"/>
            </w:pPr>
            <w:r>
              <w:t xml:space="preserve">05/13</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$625.00</w:t>
            </w:r>
          </w:p>
        </w:tc>
      </w:tr>
      <w:tr>
        <w:tc>
          <w:tcPr/>
          <w:p>
            <w:pPr>
              <w:pStyle w:val="Compact"/>
              <w:jc w:val="right"/>
            </w:pPr>
            <w:r>
              <w:t xml:space="preserve">46</w:t>
            </w:r>
          </w:p>
        </w:tc>
        <w:tc>
          <w:tcPr/>
          <w:p>
            <w:pPr>
              <w:pStyle w:val="Compact"/>
              <w:jc w:val="left"/>
            </w:pPr>
            <w:r>
              <w:t xml:space="preserve">05/14</w:t>
            </w:r>
          </w:p>
        </w:tc>
        <w:tc>
          <w:tcPr/>
          <w:p>
            <w:pPr>
              <w:pStyle w:val="Compact"/>
              <w:jc w:val="left"/>
            </w:pPr>
            <w:r>
              <w:t xml:space="preserve">Cho</w:t>
            </w:r>
          </w:p>
        </w:tc>
        <w:tc>
          <w:tcPr/>
          <w:p>
            <w:pPr>
              <w:pStyle w:val="Compact"/>
              <w:jc w:val="right"/>
            </w:pPr>
            <w:r>
              <w:t xml:space="preserve">3.5</w:t>
            </w:r>
          </w:p>
        </w:tc>
        <w:tc>
          <w:tcPr/>
          <w:p>
            <w:pPr>
              <w:pStyle w:val="Compact"/>
              <w:jc w:val="right"/>
            </w:pPr>
            <w:r>
              <w:t xml:space="preserve">$625</w:t>
            </w:r>
          </w:p>
        </w:tc>
        <w:tc>
          <w:tcPr/>
          <w:p>
            <w:pPr>
              <w:pStyle w:val="Compact"/>
              <w:jc w:val="right"/>
            </w:pPr>
            <w:r>
              <w:t xml:space="preserve">$2,187.50</w:t>
            </w:r>
          </w:p>
        </w:tc>
        <w:tc>
          <w:tcPr/>
          <w:p>
            <w:pPr>
              <w:pStyle w:val="Compact"/>
              <w:jc w:val="right"/>
            </w:pPr>
            <w:r>
              <w:t xml:space="preserve">$546.88</w:t>
            </w:r>
          </w:p>
        </w:tc>
      </w:tr>
      <w:tr>
        <w:tc>
          <w:tcPr/>
          <w:p>
            <w:pPr>
              <w:pStyle w:val="Compact"/>
              <w:jc w:val="right"/>
            </w:pPr>
            <w:r>
              <w:t xml:space="preserve">51</w:t>
            </w:r>
          </w:p>
        </w:tc>
        <w:tc>
          <w:tcPr/>
          <w:p>
            <w:pPr>
              <w:pStyle w:val="Compact"/>
              <w:jc w:val="left"/>
            </w:pPr>
            <w:r>
              <w:t xml:space="preserve">05/15</w:t>
            </w:r>
          </w:p>
        </w:tc>
        <w:tc>
          <w:tcPr/>
          <w:p>
            <w:pPr>
              <w:pStyle w:val="Compact"/>
              <w:jc w:val="left"/>
            </w:pPr>
            <w:r>
              <w:t xml:space="preserve">Pettersson</w:t>
            </w:r>
          </w:p>
        </w:tc>
        <w:tc>
          <w:tcPr/>
          <w:p>
            <w:pPr>
              <w:pStyle w:val="Compact"/>
              <w:jc w:val="right"/>
            </w:pPr>
            <w:r>
              <w:t xml:space="preserve">4.0</w:t>
            </w:r>
          </w:p>
        </w:tc>
        <w:tc>
          <w:tcPr/>
          <w:p>
            <w:pPr>
              <w:pStyle w:val="Compact"/>
              <w:jc w:val="right"/>
            </w:pPr>
            <w:r>
              <w:t xml:space="preserve">$475</w:t>
            </w:r>
          </w:p>
        </w:tc>
        <w:tc>
          <w:tcPr/>
          <w:p>
            <w:pPr>
              <w:pStyle w:val="Compact"/>
              <w:jc w:val="right"/>
            </w:pPr>
            <w:r>
              <w:t xml:space="preserve">$1,900.00</w:t>
            </w:r>
          </w:p>
        </w:tc>
        <w:tc>
          <w:tcPr/>
          <w:p>
            <w:pPr>
              <w:pStyle w:val="Compact"/>
              <w:jc w:val="right"/>
            </w:pPr>
            <w:r>
              <w:t xml:space="preserve">$475.00</w:t>
            </w:r>
          </w:p>
        </w:tc>
      </w:tr>
      <w:tr>
        <w:tc>
          <w:tcPr/>
          <w:p>
            <w:pPr>
              <w:pStyle w:val="Compact"/>
              <w:jc w:val="right"/>
            </w:pPr>
            <w:r>
              <w:t xml:space="preserve">52</w:t>
            </w:r>
          </w:p>
        </w:tc>
        <w:tc>
          <w:tcPr/>
          <w:p>
            <w:pPr>
              <w:pStyle w:val="Compact"/>
              <w:jc w:val="left"/>
            </w:pPr>
            <w:r>
              <w:t xml:space="preserve">05/15</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$625</w:t>
            </w:r>
          </w:p>
        </w:tc>
        <w:tc>
          <w:tcPr/>
          <w:p>
            <w:pPr>
              <w:pStyle w:val="Compact"/>
              <w:jc w:val="right"/>
            </w:pPr>
            <w:r>
              <w:t xml:space="preserve">$2,812.50</w:t>
            </w:r>
          </w:p>
        </w:tc>
        <w:tc>
          <w:tcPr/>
          <w:p>
            <w:pPr>
              <w:pStyle w:val="Compact"/>
              <w:jc w:val="right"/>
            </w:pPr>
            <w:r>
              <w:t xml:space="preserve">$703.12</w:t>
            </w:r>
          </w:p>
        </w:tc>
      </w:tr>
      <w:tr>
        <w:tc>
          <w:tcPr/>
          <w:p>
            <w:pPr>
              <w:pStyle w:val="Compact"/>
              <w:jc w:val="right"/>
            </w:pPr>
            <w:r>
              <w:t xml:space="preserve">57</w:t>
            </w:r>
          </w:p>
        </w:tc>
        <w:tc>
          <w:tcPr/>
          <w:p>
            <w:pPr>
              <w:pStyle w:val="Compact"/>
              <w:jc w:val="left"/>
            </w:pPr>
            <w:r>
              <w:t xml:space="preserve">05/16</w:t>
            </w:r>
          </w:p>
        </w:tc>
        <w:tc>
          <w:tcPr/>
          <w:p>
            <w:pPr>
              <w:pStyle w:val="Compact"/>
              <w:jc w:val="left"/>
            </w:pPr>
            <w:r>
              <w:t xml:space="preserve">Cho</w:t>
            </w:r>
          </w:p>
        </w:tc>
        <w:tc>
          <w:tcPr/>
          <w:p>
            <w:pPr>
              <w:pStyle w:val="Compact"/>
              <w:jc w:val="right"/>
            </w:pPr>
            <w:r>
              <w:t xml:space="preserve">3.5</w:t>
            </w:r>
          </w:p>
        </w:tc>
        <w:tc>
          <w:tcPr/>
          <w:p>
            <w:pPr>
              <w:pStyle w:val="Compact"/>
              <w:jc w:val="right"/>
            </w:pPr>
            <w:r>
              <w:t xml:space="preserve">$625</w:t>
            </w:r>
          </w:p>
        </w:tc>
        <w:tc>
          <w:tcPr/>
          <w:p>
            <w:pPr>
              <w:pStyle w:val="Compact"/>
              <w:jc w:val="right"/>
            </w:pPr>
            <w:r>
              <w:t xml:space="preserve">$2,187.50</w:t>
            </w:r>
          </w:p>
        </w:tc>
        <w:tc>
          <w:tcPr/>
          <w:p>
            <w:pPr>
              <w:pStyle w:val="Compact"/>
              <w:jc w:val="right"/>
            </w:pPr>
            <w:r>
              <w:t xml:space="preserve">$546.88</w:t>
            </w:r>
          </w:p>
        </w:tc>
      </w:tr>
      <w:tr>
        <w:tc>
          <w:tcPr/>
          <w:p>
            <w:pPr>
              <w:pStyle w:val="Compact"/>
              <w:jc w:val="right"/>
            </w:pPr>
            <w:r>
              <w:t xml:space="preserve">60</w:t>
            </w:r>
          </w:p>
        </w:tc>
        <w:tc>
          <w:tcPr/>
          <w:p>
            <w:pPr>
              <w:pStyle w:val="Compact"/>
              <w:jc w:val="left"/>
            </w:pPr>
            <w:r>
              <w:t xml:space="preserve">05/19</w:t>
            </w:r>
          </w:p>
        </w:tc>
        <w:tc>
          <w:tcPr/>
          <w:p>
            <w:pPr>
              <w:pStyle w:val="Compact"/>
              <w:jc w:val="left"/>
            </w:pPr>
            <w:r>
              <w:t xml:space="preserve">Hargrove</w:t>
            </w:r>
          </w:p>
        </w:tc>
        <w:tc>
          <w:tcPr/>
          <w:p>
            <w:pPr>
              <w:pStyle w:val="Compact"/>
              <w:jc w:val="right"/>
            </w:pPr>
            <w:r>
              <w:t xml:space="preserve">4.0</w:t>
            </w:r>
          </w:p>
        </w:tc>
        <w:tc>
          <w:tcPr/>
          <w:p>
            <w:pPr>
              <w:pStyle w:val="Compact"/>
              <w:jc w:val="right"/>
            </w:pPr>
            <w:r>
              <w:t xml:space="preserve">$985</w:t>
            </w:r>
          </w:p>
        </w:tc>
        <w:tc>
          <w:tcPr/>
          <w:p>
            <w:pPr>
              <w:pStyle w:val="Compact"/>
              <w:jc w:val="right"/>
            </w:pPr>
            <w:r>
              <w:t xml:space="preserve">$3,940.00</w:t>
            </w:r>
          </w:p>
        </w:tc>
        <w:tc>
          <w:tcPr/>
          <w:p>
            <w:pPr>
              <w:pStyle w:val="Compact"/>
              <w:jc w:val="right"/>
            </w:pPr>
            <w:r>
              <w:t xml:space="preserve">$985.00</w:t>
            </w:r>
          </w:p>
        </w:tc>
      </w:tr>
      <w:tr>
        <w:tc>
          <w:tcPr/>
          <w:p>
            <w:pPr>
              <w:pStyle w:val="Compact"/>
              <w:jc w:val="right"/>
            </w:pPr>
            <w:r>
              <w:t xml:space="preserve">61</w:t>
            </w:r>
          </w:p>
        </w:tc>
        <w:tc>
          <w:tcPr/>
          <w:p>
            <w:pPr>
              <w:pStyle w:val="Compact"/>
              <w:jc w:val="left"/>
            </w:pPr>
            <w:r>
              <w:t xml:space="preserve">05/19</w:t>
            </w:r>
          </w:p>
        </w:tc>
        <w:tc>
          <w:tcPr/>
          <w:p>
            <w:pPr>
              <w:pStyle w:val="Compact"/>
              <w:jc w:val="left"/>
            </w:pPr>
            <w:r>
              <w:t xml:space="preserve">Cho</w:t>
            </w:r>
          </w:p>
        </w:tc>
        <w:tc>
          <w:tcPr/>
          <w:p>
            <w:pPr>
              <w:pStyle w:val="Compact"/>
              <w:jc w:val="right"/>
            </w:pPr>
            <w:r>
              <w:t xml:space="preserve">6.5</w:t>
            </w:r>
          </w:p>
        </w:tc>
        <w:tc>
          <w:tcPr/>
          <w:p>
            <w:pPr>
              <w:pStyle w:val="Compact"/>
              <w:jc w:val="right"/>
            </w:pPr>
            <w:r>
              <w:t xml:space="preserve">$625</w:t>
            </w:r>
          </w:p>
        </w:tc>
        <w:tc>
          <w:tcPr/>
          <w:p>
            <w:pPr>
              <w:pStyle w:val="Compact"/>
              <w:jc w:val="right"/>
            </w:pPr>
            <w:r>
              <w:t xml:space="preserve">$4,062.50</w:t>
            </w:r>
          </w:p>
        </w:tc>
        <w:tc>
          <w:tcPr/>
          <w:p>
            <w:pPr>
              <w:pStyle w:val="Compact"/>
              <w:jc w:val="right"/>
            </w:pPr>
            <w:r>
              <w:t xml:space="preserve">$1,015.62</w:t>
            </w:r>
          </w:p>
        </w:tc>
      </w:tr>
      <w:tr>
        <w:tc>
          <w:tcPr/>
          <w:p>
            <w:pPr>
              <w:pStyle w:val="Compact"/>
              <w:jc w:val="right"/>
            </w:pPr>
            <w:r>
              <w:t xml:space="preserve">68</w:t>
            </w:r>
          </w:p>
        </w:tc>
        <w:tc>
          <w:tcPr/>
          <w:p>
            <w:pPr>
              <w:pStyle w:val="Compact"/>
              <w:jc w:val="left"/>
            </w:pPr>
            <w:r>
              <w:t xml:space="preserve">05/20</w:t>
            </w:r>
          </w:p>
        </w:tc>
        <w:tc>
          <w:tcPr/>
          <w:p>
            <w:pPr>
              <w:pStyle w:val="Compact"/>
              <w:jc w:val="left"/>
            </w:pPr>
            <w:r>
              <w:t xml:space="preserve">Pettersson</w:t>
            </w:r>
          </w:p>
        </w:tc>
        <w:tc>
          <w:tcPr/>
          <w:p>
            <w:pPr>
              <w:pStyle w:val="Compact"/>
              <w:jc w:val="right"/>
            </w:pPr>
            <w:r>
              <w:t xml:space="preserve">4.5</w:t>
            </w:r>
          </w:p>
        </w:tc>
        <w:tc>
          <w:tcPr/>
          <w:p>
            <w:pPr>
              <w:pStyle w:val="Compact"/>
              <w:jc w:val="right"/>
            </w:pPr>
            <w:r>
              <w:t xml:space="preserve">$475</w:t>
            </w:r>
          </w:p>
        </w:tc>
        <w:tc>
          <w:tcPr/>
          <w:p>
            <w:pPr>
              <w:pStyle w:val="Compact"/>
              <w:jc w:val="right"/>
            </w:pPr>
            <w:r>
              <w:t xml:space="preserve">$2,137.50</w:t>
            </w:r>
          </w:p>
        </w:tc>
        <w:tc>
          <w:tcPr/>
          <w:p>
            <w:pPr>
              <w:pStyle w:val="Compact"/>
              <w:jc w:val="right"/>
            </w:pPr>
            <w:r>
              <w:t xml:space="preserve">$534.38</w:t>
            </w:r>
          </w:p>
        </w:tc>
      </w:tr>
      <w:tr>
        <w:tc>
          <w:tcPr/>
          <w:p>
            <w:pPr>
              <w:pStyle w:val="Compact"/>
              <w:jc w:val="right"/>
            </w:pPr>
            <w:r>
              <w:t xml:space="preserve">69</w:t>
            </w:r>
          </w:p>
        </w:tc>
        <w:tc>
          <w:tcPr/>
          <w:p>
            <w:pPr>
              <w:pStyle w:val="Compact"/>
              <w:jc w:val="left"/>
            </w:pPr>
            <w:r>
              <w:t xml:space="preserve">05/20</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$625</w:t>
            </w:r>
          </w:p>
        </w:tc>
        <w:tc>
          <w:tcPr/>
          <w:p>
            <w:pPr>
              <w:pStyle w:val="Compact"/>
              <w:jc w:val="right"/>
            </w:pPr>
            <w:r>
              <w:t xml:space="preserve">$2,812.50</w:t>
            </w:r>
          </w:p>
        </w:tc>
        <w:tc>
          <w:tcPr/>
          <w:p>
            <w:pPr>
              <w:pStyle w:val="Compact"/>
              <w:jc w:val="right"/>
            </w:pPr>
            <w:r>
              <w:t xml:space="preserve">$703.12</w:t>
            </w:r>
          </w:p>
        </w:tc>
      </w:tr>
      <w:tr>
        <w:tc>
          <w:tcPr/>
          <w:p>
            <w:pPr>
              <w:pStyle w:val="Compact"/>
              <w:jc w:val="right"/>
            </w:pPr>
            <w:r>
              <w:t xml:space="preserve">70</w:t>
            </w:r>
          </w:p>
        </w:tc>
        <w:tc>
          <w:tcPr/>
          <w:p>
            <w:pPr>
              <w:pStyle w:val="Compact"/>
              <w:jc w:val="left"/>
            </w:pPr>
            <w:r>
              <w:t xml:space="preserve">05/21</w:t>
            </w:r>
          </w:p>
        </w:tc>
        <w:tc>
          <w:tcPr/>
          <w:p>
            <w:pPr>
              <w:pStyle w:val="Compact"/>
              <w:jc w:val="left"/>
            </w:pPr>
            <w:r>
              <w:t xml:space="preserve">Hargrove</w:t>
            </w:r>
          </w:p>
        </w:tc>
        <w:tc>
          <w:tcPr/>
          <w:p>
            <w:pPr>
              <w:pStyle w:val="Compact"/>
              <w:jc w:val="right"/>
            </w:pPr>
            <w:r>
              <w:t xml:space="preserve">2.5</w:t>
            </w:r>
          </w:p>
        </w:tc>
        <w:tc>
          <w:tcPr/>
          <w:p>
            <w:pPr>
              <w:pStyle w:val="Compact"/>
              <w:jc w:val="right"/>
            </w:pPr>
            <w:r>
              <w:t xml:space="preserve">$985</w:t>
            </w:r>
          </w:p>
        </w:tc>
        <w:tc>
          <w:tcPr/>
          <w:p>
            <w:pPr>
              <w:pStyle w:val="Compact"/>
              <w:jc w:val="right"/>
            </w:pPr>
            <w:r>
              <w:t xml:space="preserve">$2,462.50</w:t>
            </w:r>
          </w:p>
        </w:tc>
        <w:tc>
          <w:tcPr/>
          <w:p>
            <w:pPr>
              <w:pStyle w:val="Compact"/>
              <w:jc w:val="right"/>
            </w:pPr>
            <w:r>
              <w:t xml:space="preserve">$615.62</w:t>
            </w:r>
          </w:p>
        </w:tc>
      </w:tr>
      <w:tr>
        <w:tc>
          <w:tcPr/>
          <w:p>
            <w:pPr>
              <w:pStyle w:val="Compact"/>
              <w:jc w:val="right"/>
            </w:pPr>
            <w:r>
              <w:t xml:space="preserve">72</w:t>
            </w:r>
          </w:p>
        </w:tc>
        <w:tc>
          <w:tcPr/>
          <w:p>
            <w:pPr>
              <w:pStyle w:val="Compact"/>
              <w:jc w:val="left"/>
            </w:pPr>
            <w:r>
              <w:t xml:space="preserve">05/21</w:t>
            </w:r>
          </w:p>
        </w:tc>
        <w:tc>
          <w:tcPr/>
          <w:p>
            <w:pPr>
              <w:pStyle w:val="Compact"/>
              <w:jc w:val="left"/>
            </w:pPr>
            <w:r>
              <w:t xml:space="preserve">Pettersson</w:t>
            </w:r>
          </w:p>
        </w:tc>
        <w:tc>
          <w:tcPr/>
          <w:p>
            <w:pPr>
              <w:pStyle w:val="Compact"/>
              <w:jc w:val="right"/>
            </w:pPr>
            <w:r>
              <w:t xml:space="preserve">5.0</w:t>
            </w:r>
          </w:p>
        </w:tc>
        <w:tc>
          <w:tcPr/>
          <w:p>
            <w:pPr>
              <w:pStyle w:val="Compact"/>
              <w:jc w:val="right"/>
            </w:pPr>
            <w:r>
              <w:t xml:space="preserve">$475</w:t>
            </w:r>
          </w:p>
        </w:tc>
        <w:tc>
          <w:tcPr/>
          <w:p>
            <w:pPr>
              <w:pStyle w:val="Compact"/>
              <w:jc w:val="right"/>
            </w:pPr>
            <w:r>
              <w:t xml:space="preserve">$2,375.00</w:t>
            </w:r>
          </w:p>
        </w:tc>
        <w:tc>
          <w:tcPr/>
          <w:p>
            <w:pPr>
              <w:pStyle w:val="Compact"/>
              <w:jc w:val="right"/>
            </w:pPr>
            <w:r>
              <w:t xml:space="preserve">$593.75</w:t>
            </w:r>
          </w:p>
        </w:tc>
      </w:tr>
      <w:tr>
        <w:tc>
          <w:tcPr/>
          <w:p>
            <w:pPr>
              <w:pStyle w:val="Compact"/>
              <w:jc w:val="right"/>
            </w:pPr>
            <w:r>
              <w:t xml:space="preserve">73</w:t>
            </w:r>
          </w:p>
        </w:tc>
        <w:tc>
          <w:tcPr/>
          <w:p>
            <w:pPr>
              <w:pStyle w:val="Compact"/>
              <w:jc w:val="left"/>
            </w:pPr>
            <w:r>
              <w:t xml:space="preserve">05/21</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$625.00</w:t>
            </w:r>
          </w:p>
        </w:tc>
      </w:tr>
      <w:tr>
        <w:tc>
          <w:tcPr/>
          <w:p>
            <w:pPr>
              <w:pStyle w:val="Compact"/>
              <w:jc w:val="right"/>
            </w:pPr>
            <w:r>
              <w:t xml:space="preserve">77</w:t>
            </w:r>
          </w:p>
        </w:tc>
        <w:tc>
          <w:tcPr/>
          <w:p>
            <w:pPr>
              <w:pStyle w:val="Compact"/>
              <w:jc w:val="left"/>
            </w:pPr>
            <w:r>
              <w:t xml:space="preserve">05/22</w:t>
            </w:r>
          </w:p>
        </w:tc>
        <w:tc>
          <w:tcPr/>
          <w:p>
            <w:pPr>
              <w:pStyle w:val="Compact"/>
              <w:jc w:val="left"/>
            </w:pPr>
            <w:r>
              <w:t xml:space="preserve">Pettersson</w:t>
            </w:r>
          </w:p>
        </w:tc>
        <w:tc>
          <w:tcPr/>
          <w:p>
            <w:pPr>
              <w:pStyle w:val="Compact"/>
              <w:jc w:val="right"/>
            </w:pPr>
            <w:r>
              <w:t xml:space="preserve">4.0</w:t>
            </w:r>
          </w:p>
        </w:tc>
        <w:tc>
          <w:tcPr/>
          <w:p>
            <w:pPr>
              <w:pStyle w:val="Compact"/>
              <w:jc w:val="right"/>
            </w:pPr>
            <w:r>
              <w:t xml:space="preserve">$475</w:t>
            </w:r>
          </w:p>
        </w:tc>
        <w:tc>
          <w:tcPr/>
          <w:p>
            <w:pPr>
              <w:pStyle w:val="Compact"/>
              <w:jc w:val="right"/>
            </w:pPr>
            <w:r>
              <w:t xml:space="preserve">$1,900.00</w:t>
            </w:r>
          </w:p>
        </w:tc>
        <w:tc>
          <w:tcPr/>
          <w:p>
            <w:pPr>
              <w:pStyle w:val="Compact"/>
              <w:jc w:val="right"/>
            </w:pPr>
            <w:r>
              <w:t xml:space="preserve">$475.00</w:t>
            </w:r>
          </w:p>
        </w:tc>
      </w:tr>
      <w:tr>
        <w:tc>
          <w:tcPr/>
          <w:p>
            <w:pPr>
              <w:pStyle w:val="Compact"/>
              <w:jc w:val="right"/>
            </w:pPr>
            <w:r>
              <w:t xml:space="preserve">78</w:t>
            </w:r>
          </w:p>
        </w:tc>
        <w:tc>
          <w:tcPr/>
          <w:p>
            <w:pPr>
              <w:pStyle w:val="Compact"/>
              <w:jc w:val="left"/>
            </w:pPr>
            <w:r>
              <w:t xml:space="preserve">05/22</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$625</w:t>
            </w:r>
          </w:p>
        </w:tc>
        <w:tc>
          <w:tcPr/>
          <w:p>
            <w:pPr>
              <w:pStyle w:val="Compact"/>
              <w:jc w:val="right"/>
            </w:pPr>
            <w:r>
              <w:t xml:space="preserve">$2,812.50</w:t>
            </w:r>
          </w:p>
        </w:tc>
        <w:tc>
          <w:tcPr/>
          <w:p>
            <w:pPr>
              <w:pStyle w:val="Compact"/>
              <w:jc w:val="right"/>
            </w:pPr>
            <w:r>
              <w:t xml:space="preserve">$703.12</w:t>
            </w:r>
          </w:p>
        </w:tc>
      </w:tr>
      <w:tr>
        <w:tc>
          <w:tcPr/>
          <w:p>
            <w:pPr>
              <w:pStyle w:val="Compact"/>
              <w:jc w:val="right"/>
            </w:pPr>
            <w:r>
              <w:t xml:space="preserve">83</w:t>
            </w:r>
          </w:p>
        </w:tc>
        <w:tc>
          <w:tcPr/>
          <w:p>
            <w:pPr>
              <w:pStyle w:val="Compact"/>
              <w:jc w:val="left"/>
            </w:pPr>
            <w:r>
              <w:t xml:space="preserve">05/23</w:t>
            </w:r>
          </w:p>
        </w:tc>
        <w:tc>
          <w:tcPr/>
          <w:p>
            <w:pPr>
              <w:pStyle w:val="Compact"/>
              <w:jc w:val="left"/>
            </w:pPr>
            <w:r>
              <w:t xml:space="preserve">Pettersson</w:t>
            </w:r>
          </w:p>
        </w:tc>
        <w:tc>
          <w:tcPr/>
          <w:p>
            <w:pPr>
              <w:pStyle w:val="Compact"/>
              <w:jc w:val="right"/>
            </w:pPr>
            <w:r>
              <w:t xml:space="preserve">4.5</w:t>
            </w:r>
          </w:p>
        </w:tc>
        <w:tc>
          <w:tcPr/>
          <w:p>
            <w:pPr>
              <w:pStyle w:val="Compact"/>
              <w:jc w:val="right"/>
            </w:pPr>
            <w:r>
              <w:t xml:space="preserve">$475</w:t>
            </w:r>
          </w:p>
        </w:tc>
        <w:tc>
          <w:tcPr/>
          <w:p>
            <w:pPr>
              <w:pStyle w:val="Compact"/>
              <w:jc w:val="right"/>
            </w:pPr>
            <w:r>
              <w:t xml:space="preserve">$2,137.50</w:t>
            </w:r>
          </w:p>
        </w:tc>
        <w:tc>
          <w:tcPr/>
          <w:p>
            <w:pPr>
              <w:pStyle w:val="Compact"/>
              <w:jc w:val="right"/>
            </w:pPr>
            <w:r>
              <w:t xml:space="preserve">$534.38</w:t>
            </w:r>
          </w:p>
        </w:tc>
      </w:tr>
      <w:tr>
        <w:tc>
          <w:tcPr/>
          <w:p>
            <w:pPr>
              <w:pStyle w:val="Compact"/>
              <w:jc w:val="right"/>
            </w:pPr>
            <w:r>
              <w:t xml:space="preserve">84</w:t>
            </w:r>
          </w:p>
        </w:tc>
        <w:tc>
          <w:tcPr/>
          <w:p>
            <w:pPr>
              <w:pStyle w:val="Compact"/>
              <w:jc w:val="left"/>
            </w:pPr>
            <w:r>
              <w:t xml:space="preserve">05/23</w:t>
            </w:r>
          </w:p>
        </w:tc>
        <w:tc>
          <w:tcPr/>
          <w:p>
            <w:pPr>
              <w:pStyle w:val="Compact"/>
              <w:jc w:val="left"/>
            </w:pPr>
            <w:r>
              <w:t xml:space="preserve">Cho</w:t>
            </w:r>
          </w:p>
        </w:tc>
        <w:tc>
          <w:tcPr/>
          <w:p>
            <w:pPr>
              <w:pStyle w:val="Compact"/>
              <w:jc w:val="right"/>
            </w:pPr>
            <w:r>
              <w:t xml:space="preserve">3.5</w:t>
            </w:r>
          </w:p>
        </w:tc>
        <w:tc>
          <w:tcPr/>
          <w:p>
            <w:pPr>
              <w:pStyle w:val="Compact"/>
              <w:jc w:val="right"/>
            </w:pPr>
            <w:r>
              <w:t xml:space="preserve">$625</w:t>
            </w:r>
          </w:p>
        </w:tc>
        <w:tc>
          <w:tcPr/>
          <w:p>
            <w:pPr>
              <w:pStyle w:val="Compact"/>
              <w:jc w:val="right"/>
            </w:pPr>
            <w:r>
              <w:t xml:space="preserve">$2,187.50</w:t>
            </w:r>
          </w:p>
        </w:tc>
        <w:tc>
          <w:tcPr/>
          <w:p>
            <w:pPr>
              <w:pStyle w:val="Compact"/>
              <w:jc w:val="right"/>
            </w:pPr>
            <w:r>
              <w:t xml:space="preserve">$546.88</w:t>
            </w:r>
          </w:p>
        </w:tc>
      </w:tr>
      <w:tr>
        <w:tc>
          <w:tcPr/>
          <w:p>
            <w:pPr>
              <w:pStyle w:val="Compact"/>
              <w:jc w:val="right"/>
            </w:pPr>
            <w:r>
              <w:t xml:space="preserve">88</w:t>
            </w:r>
          </w:p>
        </w:tc>
        <w:tc>
          <w:tcPr/>
          <w:p>
            <w:pPr>
              <w:pStyle w:val="Compact"/>
              <w:jc w:val="left"/>
            </w:pPr>
            <w:r>
              <w:t xml:space="preserve">05/26</w:t>
            </w:r>
          </w:p>
        </w:tc>
        <w:tc>
          <w:tcPr/>
          <w:p>
            <w:pPr>
              <w:pStyle w:val="Compact"/>
              <w:jc w:val="left"/>
            </w:pPr>
            <w:r>
              <w:t xml:space="preserve">Pettersson</w:t>
            </w:r>
          </w:p>
        </w:tc>
        <w:tc>
          <w:tcPr/>
          <w:p>
            <w:pPr>
              <w:pStyle w:val="Compact"/>
              <w:jc w:val="right"/>
            </w:pPr>
            <w:r>
              <w:t xml:space="preserve">5.0</w:t>
            </w:r>
          </w:p>
        </w:tc>
        <w:tc>
          <w:tcPr/>
          <w:p>
            <w:pPr>
              <w:pStyle w:val="Compact"/>
              <w:jc w:val="right"/>
            </w:pPr>
            <w:r>
              <w:t xml:space="preserve">$475</w:t>
            </w:r>
          </w:p>
        </w:tc>
        <w:tc>
          <w:tcPr/>
          <w:p>
            <w:pPr>
              <w:pStyle w:val="Compact"/>
              <w:jc w:val="right"/>
            </w:pPr>
            <w:r>
              <w:t xml:space="preserve">$2,375.00</w:t>
            </w:r>
          </w:p>
        </w:tc>
        <w:tc>
          <w:tcPr/>
          <w:p>
            <w:pPr>
              <w:pStyle w:val="Compact"/>
              <w:jc w:val="right"/>
            </w:pPr>
            <w:r>
              <w:t xml:space="preserve">$593.75</w:t>
            </w:r>
          </w:p>
        </w:tc>
      </w:tr>
      <w:tr>
        <w:tc>
          <w:tcPr/>
          <w:p>
            <w:pPr>
              <w:pStyle w:val="Compact"/>
              <w:jc w:val="right"/>
            </w:pPr>
            <w:r>
              <w:t xml:space="preserve">89</w:t>
            </w:r>
          </w:p>
        </w:tc>
        <w:tc>
          <w:tcPr/>
          <w:p>
            <w:pPr>
              <w:pStyle w:val="Compact"/>
              <w:jc w:val="left"/>
            </w:pPr>
            <w:r>
              <w:t xml:space="preserve">05/26</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$625</w:t>
            </w:r>
          </w:p>
        </w:tc>
        <w:tc>
          <w:tcPr/>
          <w:p>
            <w:pPr>
              <w:pStyle w:val="Compact"/>
              <w:jc w:val="right"/>
            </w:pPr>
            <w:r>
              <w:t xml:space="preserve">$2,812.50</w:t>
            </w:r>
          </w:p>
        </w:tc>
        <w:tc>
          <w:tcPr/>
          <w:p>
            <w:pPr>
              <w:pStyle w:val="Compact"/>
              <w:jc w:val="right"/>
            </w:pPr>
            <w:r>
              <w:t xml:space="preserve">$703.12</w:t>
            </w:r>
          </w:p>
        </w:tc>
      </w:tr>
      <w:tr>
        <w:tc>
          <w:tcPr/>
          <w:p>
            <w:pPr>
              <w:pStyle w:val="Compact"/>
              <w:jc w:val="right"/>
            </w:pPr>
            <w:r>
              <w:t xml:space="preserve">92</w:t>
            </w:r>
          </w:p>
        </w:tc>
        <w:tc>
          <w:tcPr/>
          <w:p>
            <w:pPr>
              <w:pStyle w:val="Compact"/>
              <w:jc w:val="left"/>
            </w:pPr>
            <w:r>
              <w:t xml:space="preserve">05/27</w:t>
            </w:r>
          </w:p>
        </w:tc>
        <w:tc>
          <w:tcPr/>
          <w:p>
            <w:pPr>
              <w:pStyle w:val="Compact"/>
              <w:jc w:val="left"/>
            </w:pPr>
            <w:r>
              <w:t xml:space="preserve">Hargrove</w:t>
            </w:r>
          </w:p>
        </w:tc>
        <w:tc>
          <w:tcPr/>
          <w:p>
            <w:pPr>
              <w:pStyle w:val="Compact"/>
              <w:jc w:val="right"/>
            </w:pPr>
            <w:r>
              <w:t xml:space="preserve">6.0</w:t>
            </w:r>
          </w:p>
        </w:tc>
        <w:tc>
          <w:tcPr/>
          <w:p>
            <w:pPr>
              <w:pStyle w:val="Compact"/>
              <w:jc w:val="right"/>
            </w:pPr>
            <w:r>
              <w:t xml:space="preserve">$985</w:t>
            </w:r>
          </w:p>
        </w:tc>
        <w:tc>
          <w:tcPr/>
          <w:p>
            <w:pPr>
              <w:pStyle w:val="Compact"/>
              <w:jc w:val="right"/>
            </w:pPr>
            <w:r>
              <w:t xml:space="preserve">$5,910.00</w:t>
            </w:r>
          </w:p>
        </w:tc>
        <w:tc>
          <w:tcPr/>
          <w:p>
            <w:pPr>
              <w:pStyle w:val="Compact"/>
              <w:jc w:val="right"/>
            </w:pPr>
            <w:r>
              <w:t xml:space="preserve">$1,477.50</w:t>
            </w:r>
          </w:p>
        </w:tc>
      </w:tr>
      <w:tr>
        <w:tc>
          <w:tcPr/>
          <w:p>
            <w:pPr>
              <w:pStyle w:val="Compact"/>
              <w:jc w:val="right"/>
            </w:pPr>
            <w:r>
              <w:t xml:space="preserve">94</w:t>
            </w:r>
          </w:p>
        </w:tc>
        <w:tc>
          <w:tcPr/>
          <w:p>
            <w:pPr>
              <w:pStyle w:val="Compact"/>
              <w:jc w:val="left"/>
            </w:pPr>
            <w:r>
              <w:t xml:space="preserve">05/27</w:t>
            </w:r>
          </w:p>
        </w:tc>
        <w:tc>
          <w:tcPr/>
          <w:p>
            <w:pPr>
              <w:pStyle w:val="Compact"/>
              <w:jc w:val="left"/>
            </w:pPr>
            <w:r>
              <w:t xml:space="preserve">Pettersson</w:t>
            </w:r>
          </w:p>
        </w:tc>
        <w:tc>
          <w:tcPr/>
          <w:p>
            <w:pPr>
              <w:pStyle w:val="Compact"/>
              <w:jc w:val="right"/>
            </w:pPr>
            <w:r>
              <w:t xml:space="preserve">5.0</w:t>
            </w:r>
          </w:p>
        </w:tc>
        <w:tc>
          <w:tcPr/>
          <w:p>
            <w:pPr>
              <w:pStyle w:val="Compact"/>
              <w:jc w:val="right"/>
            </w:pPr>
            <w:r>
              <w:t xml:space="preserve">$475</w:t>
            </w:r>
          </w:p>
        </w:tc>
        <w:tc>
          <w:tcPr/>
          <w:p>
            <w:pPr>
              <w:pStyle w:val="Compact"/>
              <w:jc w:val="right"/>
            </w:pPr>
            <w:r>
              <w:t xml:space="preserve">$2,375.00</w:t>
            </w:r>
          </w:p>
        </w:tc>
        <w:tc>
          <w:tcPr/>
          <w:p>
            <w:pPr>
              <w:pStyle w:val="Compact"/>
              <w:jc w:val="right"/>
            </w:pPr>
            <w:r>
              <w:t xml:space="preserve">$593.75</w:t>
            </w:r>
          </w:p>
        </w:tc>
      </w:tr>
      <w:tr>
        <w:tc>
          <w:tcPr/>
          <w:p>
            <w:pPr>
              <w:pStyle w:val="Compact"/>
              <w:jc w:val="right"/>
            </w:pPr>
            <w:r>
              <w:t xml:space="preserve">95</w:t>
            </w:r>
          </w:p>
        </w:tc>
        <w:tc>
          <w:tcPr/>
          <w:p>
            <w:pPr>
              <w:pStyle w:val="Compact"/>
              <w:jc w:val="left"/>
            </w:pPr>
            <w:r>
              <w:t xml:space="preserve">05/27</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$625.00</w:t>
            </w:r>
          </w:p>
        </w:tc>
      </w:tr>
      <w:tr>
        <w:tc>
          <w:tcPr/>
          <w:p>
            <w:pPr>
              <w:pStyle w:val="Compact"/>
              <w:jc w:val="right"/>
            </w:pPr>
            <w:r>
              <w:t xml:space="preserve">98</w:t>
            </w:r>
          </w:p>
        </w:tc>
        <w:tc>
          <w:tcPr/>
          <w:p>
            <w:pPr>
              <w:pStyle w:val="Compact"/>
              <w:jc w:val="left"/>
            </w:pPr>
            <w:r>
              <w:t xml:space="preserve">05/28</w:t>
            </w:r>
          </w:p>
        </w:tc>
        <w:tc>
          <w:tcPr/>
          <w:p>
            <w:pPr>
              <w:pStyle w:val="Compact"/>
              <w:jc w:val="left"/>
            </w:pPr>
            <w:r>
              <w:t xml:space="preserve">Hargrove</w:t>
            </w:r>
          </w:p>
        </w:tc>
        <w:tc>
          <w:tcPr/>
          <w:p>
            <w:pPr>
              <w:pStyle w:val="Compact"/>
              <w:jc w:val="right"/>
            </w:pPr>
            <w:r>
              <w:t xml:space="preserve">3.5</w:t>
            </w:r>
          </w:p>
        </w:tc>
        <w:tc>
          <w:tcPr/>
          <w:p>
            <w:pPr>
              <w:pStyle w:val="Compact"/>
              <w:jc w:val="right"/>
            </w:pPr>
            <w:r>
              <w:t xml:space="preserve">$985</w:t>
            </w:r>
          </w:p>
        </w:tc>
        <w:tc>
          <w:tcPr/>
          <w:p>
            <w:pPr>
              <w:pStyle w:val="Compact"/>
              <w:jc w:val="right"/>
            </w:pPr>
            <w:r>
              <w:t xml:space="preserve">$3,447.50</w:t>
            </w:r>
          </w:p>
        </w:tc>
        <w:tc>
          <w:tcPr/>
          <w:p>
            <w:pPr>
              <w:pStyle w:val="Compact"/>
              <w:jc w:val="right"/>
            </w:pPr>
            <w:r>
              <w:t xml:space="preserve">$861.88</w:t>
            </w:r>
          </w:p>
        </w:tc>
      </w:tr>
      <w:tr>
        <w:tc>
          <w:tcPr/>
          <w:p>
            <w:pPr>
              <w:pStyle w:val="Compact"/>
              <w:jc w:val="right"/>
            </w:pPr>
            <w:r>
              <w:t xml:space="preserve">100</w:t>
            </w:r>
          </w:p>
        </w:tc>
        <w:tc>
          <w:tcPr/>
          <w:p>
            <w:pPr>
              <w:pStyle w:val="Compact"/>
              <w:jc w:val="left"/>
            </w:pPr>
            <w:r>
              <w:t xml:space="preserve">05/28</w:t>
            </w:r>
          </w:p>
        </w:tc>
        <w:tc>
          <w:tcPr/>
          <w:p>
            <w:pPr>
              <w:pStyle w:val="Compact"/>
              <w:jc w:val="left"/>
            </w:pPr>
            <w:r>
              <w:t xml:space="preserve">Pettersson</w:t>
            </w:r>
          </w:p>
        </w:tc>
        <w:tc>
          <w:tcPr/>
          <w:p>
            <w:pPr>
              <w:pStyle w:val="Compact"/>
              <w:jc w:val="right"/>
            </w:pPr>
            <w:r>
              <w:t xml:space="preserve">5.0</w:t>
            </w:r>
          </w:p>
        </w:tc>
        <w:tc>
          <w:tcPr/>
          <w:p>
            <w:pPr>
              <w:pStyle w:val="Compact"/>
              <w:jc w:val="right"/>
            </w:pPr>
            <w:r>
              <w:t xml:space="preserve">$475</w:t>
            </w:r>
          </w:p>
        </w:tc>
        <w:tc>
          <w:tcPr/>
          <w:p>
            <w:pPr>
              <w:pStyle w:val="Compact"/>
              <w:jc w:val="right"/>
            </w:pPr>
            <w:r>
              <w:t xml:space="preserve">$2,375.00</w:t>
            </w:r>
          </w:p>
        </w:tc>
        <w:tc>
          <w:tcPr/>
          <w:p>
            <w:pPr>
              <w:pStyle w:val="Compact"/>
              <w:jc w:val="right"/>
            </w:pPr>
            <w:r>
              <w:t xml:space="preserve">$593.75</w:t>
            </w:r>
          </w:p>
        </w:tc>
      </w:tr>
      <w:tr>
        <w:tc>
          <w:tcPr/>
          <w:p>
            <w:pPr>
              <w:pStyle w:val="Compact"/>
              <w:jc w:val="right"/>
            </w:pPr>
            <w:r>
              <w:t xml:space="preserve">101</w:t>
            </w:r>
          </w:p>
        </w:tc>
        <w:tc>
          <w:tcPr/>
          <w:p>
            <w:pPr>
              <w:pStyle w:val="Compact"/>
              <w:jc w:val="left"/>
            </w:pPr>
            <w:r>
              <w:t xml:space="preserve">05/28</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$625</w:t>
            </w:r>
          </w:p>
        </w:tc>
        <w:tc>
          <w:tcPr/>
          <w:p>
            <w:pPr>
              <w:pStyle w:val="Compact"/>
              <w:jc w:val="right"/>
            </w:pPr>
            <w:r>
              <w:t xml:space="preserve">$2,812.50</w:t>
            </w:r>
          </w:p>
        </w:tc>
        <w:tc>
          <w:tcPr/>
          <w:p>
            <w:pPr>
              <w:pStyle w:val="Compact"/>
              <w:jc w:val="right"/>
            </w:pPr>
            <w:r>
              <w:t xml:space="preserve">$703.12</w:t>
            </w:r>
          </w:p>
        </w:tc>
      </w:tr>
      <w:tr>
        <w:tc>
          <w:tcPr/>
          <w:p>
            <w:pPr>
              <w:pStyle w:val="Compact"/>
              <w:jc w:val="right"/>
            </w:pPr>
            <w:r>
              <w:t xml:space="preserve">107</w:t>
            </w:r>
          </w:p>
        </w:tc>
        <w:tc>
          <w:tcPr/>
          <w:p>
            <w:pPr>
              <w:pStyle w:val="Compact"/>
              <w:jc w:val="left"/>
            </w:pPr>
            <w:r>
              <w:t xml:space="preserve">05/29</w:t>
            </w:r>
          </w:p>
        </w:tc>
        <w:tc>
          <w:tcPr/>
          <w:p>
            <w:pPr>
              <w:pStyle w:val="Compact"/>
              <w:jc w:val="left"/>
            </w:pPr>
            <w:r>
              <w:t xml:space="preserve">Pettersson</w:t>
            </w:r>
          </w:p>
        </w:tc>
        <w:tc>
          <w:tcPr/>
          <w:p>
            <w:pPr>
              <w:pStyle w:val="Compact"/>
              <w:jc w:val="right"/>
            </w:pPr>
            <w:r>
              <w:t xml:space="preserve">4.5</w:t>
            </w:r>
          </w:p>
        </w:tc>
        <w:tc>
          <w:tcPr/>
          <w:p>
            <w:pPr>
              <w:pStyle w:val="Compact"/>
              <w:jc w:val="right"/>
            </w:pPr>
            <w:r>
              <w:t xml:space="preserve">$475</w:t>
            </w:r>
          </w:p>
        </w:tc>
        <w:tc>
          <w:tcPr/>
          <w:p>
            <w:pPr>
              <w:pStyle w:val="Compact"/>
              <w:jc w:val="right"/>
            </w:pPr>
            <w:r>
              <w:t xml:space="preserve">$2,137.50</w:t>
            </w:r>
          </w:p>
        </w:tc>
        <w:tc>
          <w:tcPr/>
          <w:p>
            <w:pPr>
              <w:pStyle w:val="Compact"/>
              <w:jc w:val="right"/>
            </w:pPr>
            <w:r>
              <w:t xml:space="preserve">$534.38</w:t>
            </w:r>
          </w:p>
        </w:tc>
      </w:tr>
      <w:tr>
        <w:tc>
          <w:tcPr/>
          <w:p>
            <w:pPr>
              <w:pStyle w:val="Compact"/>
              <w:jc w:val="right"/>
            </w:pPr>
            <w:r>
              <w:t xml:space="preserve">108</w:t>
            </w:r>
          </w:p>
        </w:tc>
        <w:tc>
          <w:tcPr/>
          <w:p>
            <w:pPr>
              <w:pStyle w:val="Compact"/>
              <w:jc w:val="left"/>
            </w:pPr>
            <w:r>
              <w:t xml:space="preserve">05/29</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$625.00</w:t>
            </w:r>
          </w:p>
        </w:tc>
      </w:tr>
      <w:tr>
        <w:tc>
          <w:tcPr/>
          <w:p>
            <w:pPr>
              <w:pStyle w:val="Compact"/>
              <w:jc w:val="right"/>
            </w:pPr>
            <w:r>
              <w:t xml:space="preserve">111</w:t>
            </w:r>
          </w:p>
        </w:tc>
        <w:tc>
          <w:tcPr/>
          <w:p>
            <w:pPr>
              <w:pStyle w:val="Compact"/>
              <w:jc w:val="left"/>
            </w:pPr>
            <w:r>
              <w:t xml:space="preserve">05/30</w:t>
            </w:r>
          </w:p>
        </w:tc>
        <w:tc>
          <w:tcPr/>
          <w:p>
            <w:pPr>
              <w:pStyle w:val="Compact"/>
              <w:jc w:val="left"/>
            </w:pPr>
            <w:r>
              <w:t xml:space="preserve">Hargrove</w:t>
            </w:r>
          </w:p>
        </w:tc>
        <w:tc>
          <w:tcPr/>
          <w:p>
            <w:pPr>
              <w:pStyle w:val="Compact"/>
              <w:jc w:val="right"/>
            </w:pPr>
            <w:r>
              <w:t xml:space="preserve">1.5</w:t>
            </w:r>
          </w:p>
        </w:tc>
        <w:tc>
          <w:tcPr/>
          <w:p>
            <w:pPr>
              <w:pStyle w:val="Compact"/>
              <w:jc w:val="right"/>
            </w:pPr>
            <w:r>
              <w:t xml:space="preserve">$985</w:t>
            </w:r>
          </w:p>
        </w:tc>
        <w:tc>
          <w:tcPr/>
          <w:p>
            <w:pPr>
              <w:pStyle w:val="Compact"/>
              <w:jc w:val="right"/>
            </w:pPr>
            <w:r>
              <w:t xml:space="preserve">$1,477.50</w:t>
            </w:r>
          </w:p>
        </w:tc>
        <w:tc>
          <w:tcPr/>
          <w:p>
            <w:pPr>
              <w:pStyle w:val="Compact"/>
              <w:jc w:val="right"/>
            </w:pPr>
            <w:r>
              <w:t xml:space="preserve">$369.38</w:t>
            </w:r>
          </w:p>
        </w:tc>
      </w:tr>
      <w:tr>
        <w:tc>
          <w:tcPr/>
          <w:p>
            <w:pPr>
              <w:pStyle w:val="Compact"/>
              <w:jc w:val="right"/>
            </w:pPr>
            <w:r>
              <w:t xml:space="preserve">113</w:t>
            </w:r>
          </w:p>
        </w:tc>
        <w:tc>
          <w:tcPr/>
          <w:p>
            <w:pPr>
              <w:pStyle w:val="Compact"/>
              <w:jc w:val="left"/>
            </w:pPr>
            <w:r>
              <w:t xml:space="preserve">05/30</w:t>
            </w:r>
          </w:p>
        </w:tc>
        <w:tc>
          <w:tcPr/>
          <w:p>
            <w:pPr>
              <w:pStyle w:val="Compact"/>
              <w:jc w:val="left"/>
            </w:pPr>
            <w:r>
              <w:t xml:space="preserve">Pettersson</w:t>
            </w:r>
          </w:p>
        </w:tc>
        <w:tc>
          <w:tcPr/>
          <w:p>
            <w:pPr>
              <w:pStyle w:val="Compact"/>
              <w:jc w:val="right"/>
            </w:pPr>
            <w:r>
              <w:t xml:space="preserve">4.0</w:t>
            </w:r>
          </w:p>
        </w:tc>
        <w:tc>
          <w:tcPr/>
          <w:p>
            <w:pPr>
              <w:pStyle w:val="Compact"/>
              <w:jc w:val="right"/>
            </w:pPr>
            <w:r>
              <w:t xml:space="preserve">$475</w:t>
            </w:r>
          </w:p>
        </w:tc>
        <w:tc>
          <w:tcPr/>
          <w:p>
            <w:pPr>
              <w:pStyle w:val="Compact"/>
              <w:jc w:val="right"/>
            </w:pPr>
            <w:r>
              <w:t xml:space="preserve">$1,900.00</w:t>
            </w:r>
          </w:p>
        </w:tc>
        <w:tc>
          <w:tcPr/>
          <w:p>
            <w:pPr>
              <w:pStyle w:val="Compact"/>
              <w:jc w:val="right"/>
            </w:pPr>
            <w:r>
              <w:t xml:space="preserve">$475.00</w:t>
            </w:r>
          </w:p>
        </w:tc>
      </w:tr>
      <w:tr>
        <w:tc>
          <w:tcPr/>
          <w:p>
            <w:pPr>
              <w:pStyle w:val="Compact"/>
              <w:jc w:val="right"/>
            </w:pPr>
            <w:r>
              <w:t xml:space="preserve">114</w:t>
            </w:r>
          </w:p>
        </w:tc>
        <w:tc>
          <w:tcPr/>
          <w:p>
            <w:pPr>
              <w:pStyle w:val="Compact"/>
              <w:jc w:val="left"/>
            </w:pPr>
            <w:r>
              <w:t xml:space="preserve">05/30</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$625.00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$108,200.00</w:t>
            </w:r>
          </w:p>
        </w:tc>
        <w:tc>
          <w:tcPr/>
          <w:p>
            <w:pPr>
              <w:pStyle w:val="Compact"/>
              <w:jc w:val="right"/>
            </w:pPr>
            <w:r>
              <w:rPr>
                <w:b/>
                <w:bCs/>
              </w:rPr>
              <w:t xml:space="preserve">$27,050.01</w:t>
            </w:r>
          </w:p>
        </w:tc>
      </w:tr>
    </w:tbl>
    <w:p>
      <w:pPr>
        <w:pStyle w:val="BodyText"/>
      </w:pPr>
      <w:r>
        <w:rPr>
          <w:b/>
          <w:bCs/>
        </w:rPr>
        <w:t xml:space="preserve">Representative examples of the violation:</w:t>
      </w:r>
    </w:p>
    <w:p>
      <w:pPr>
        <w:pStyle w:val="Compact"/>
        <w:numPr>
          <w:ilvl w:val="0"/>
          <w:numId w:val="1002"/>
        </w:numPr>
      </w:pPr>
      <w:r>
        <w:rPr>
          <w:b/>
          <w:bCs/>
        </w:rPr>
        <w:t xml:space="preserve">Entry 92 (Hargrove, 6.0 hrs):</w:t>
      </w:r>
      <w:r>
        <w:t xml:space="preserve"> </w:t>
      </w:r>
      <w:r>
        <w:t xml:space="preserve">“</w:t>
      </w:r>
      <w:r>
        <w:t xml:space="preserve">Prepare for and conduct strategy session with Pinnacle in-house team regarding summary judgment timeline and expert retention; draft outline for expert discovery plan. Review and edit interrogatory responses prepared by J. Pettersson.</w:t>
      </w:r>
      <w:r>
        <w:t xml:space="preserve">”</w:t>
      </w:r>
      <w:r>
        <w:t xml:space="preserve"> </w:t>
      </w:r>
      <w:r>
        <w:t xml:space="preserve">— Three discrete tasks (client strategy session; draft expert-discovery plan; review/edit interrogatory responses).</w:t>
      </w:r>
    </w:p>
    <w:p>
      <w:pPr>
        <w:pStyle w:val="Compact"/>
        <w:numPr>
          <w:ilvl w:val="0"/>
          <w:numId w:val="1002"/>
        </w:numPr>
      </w:pPr>
      <w:r>
        <w:rPr>
          <w:b/>
          <w:bCs/>
        </w:rPr>
        <w:t xml:space="preserve">Entry 61 (Cho, 6.5 hrs):</w:t>
      </w:r>
      <w:r>
        <w:t xml:space="preserve"> </w:t>
      </w:r>
      <w:r>
        <w:t xml:space="preserve">“</w:t>
      </w:r>
      <w:r>
        <w:t xml:space="preserve">Prepare for and attend deposition of Dr. Rebecca Liu …; post-deposition analysis and team debrief.</w:t>
      </w:r>
      <w:r>
        <w:t xml:space="preserve">”</w:t>
      </w:r>
      <w:r>
        <w:t xml:space="preserve"> </w:t>
      </w:r>
      <w:r>
        <w:t xml:space="preserve">— Three discrete tasks (preparation; deposition attendance; post-deposition analysis/debrief), mirroring the Guideline’s own impermissible example.</w:t>
      </w:r>
    </w:p>
    <w:p>
      <w:pPr>
        <w:pStyle w:val="Compact"/>
        <w:numPr>
          <w:ilvl w:val="0"/>
          <w:numId w:val="1002"/>
        </w:numPr>
      </w:pPr>
      <w:r>
        <w:rPr>
          <w:b/>
          <w:bCs/>
        </w:rPr>
        <w:t xml:space="preserve">Entry 19 (Pettersson, 4.5 hrs):</w:t>
      </w:r>
      <w:r>
        <w:t xml:space="preserve"> </w:t>
      </w:r>
      <w:r>
        <w:t xml:space="preserve">“</w:t>
      </w:r>
      <w:r>
        <w:t xml:space="preserve">Draft motion to compel …; research applicable standards under Fed. R. Civ. P. 37.</w:t>
      </w:r>
      <w:r>
        <w:t xml:space="preserve">”</w:t>
      </w:r>
      <w:r>
        <w:t xml:space="preserve"> </w:t>
      </w:r>
      <w:r>
        <w:t xml:space="preserve">— Drafting combined with research.</w:t>
      </w:r>
    </w:p>
    <w:p>
      <w:pPr>
        <w:pStyle w:val="FirstParagraph"/>
      </w:pPr>
      <w:r>
        <w:rPr>
          <w:b/>
          <w:bCs/>
        </w:rPr>
        <w:t xml:space="preserve">Recommendation: $27,050.01.</w:t>
      </w:r>
      <w:r>
        <w:t xml:space="preserve"> </w:t>
      </w:r>
      <w:r>
        <w:t xml:space="preserve">The Firm may resubmit each entry as separate, individually timed line items within 15 days of notice to avoid the reduction (§ 5.4).</w:t>
      </w:r>
    </w:p>
    <w:p>
      <w:r>
        <w:pict>
          <v:rect style="width:0;height:1.5pt" o:hralign="center" o:hrstd="t" o:hr="t"/>
        </w:pict>
      </w:r>
    </w:p>
    <w:bookmarkEnd w:id="28"/>
    <w:bookmarkStart w:id="33" w:name="d.-tasktimekeeper-appropriateness-6.1"/>
    <w:p>
      <w:pPr>
        <w:pStyle w:val="Heading3"/>
      </w:pPr>
      <w:r>
        <w:t xml:space="preserve">D. Task/Timekeeper Appropriateness (§ 6.1)</w:t>
      </w:r>
    </w:p>
    <w:p>
      <w:pPr>
        <w:pStyle w:val="FirstParagraph"/>
      </w:pPr>
      <w:r>
        <w:rPr>
          <w:b/>
          <w:bCs/>
        </w:rPr>
        <w:t xml:space="preserve">Standard.</w:t>
      </w:r>
      <w:r>
        <w:t xml:space="preserve"> </w:t>
      </w:r>
      <w:r>
        <w:t xml:space="preserve">§ 6.1 requires that each task be assigned to</w:t>
      </w:r>
      <w:r>
        <w:t xml:space="preserve"> </w:t>
      </w:r>
      <w:r>
        <w:t xml:space="preserve">“</w:t>
      </w:r>
      <w:r>
        <w:t xml:space="preserve">the lowest-cost timekeeper capable of competently performing the work.</w:t>
      </w:r>
      <w:r>
        <w:t xml:space="preserve">”</w:t>
      </w:r>
      <w:r>
        <w:t xml:space="preserve"> </w:t>
      </w:r>
      <w:r>
        <w:t xml:space="preserve">Document review and cite-checking by partners or senior associates are</w:t>
      </w:r>
      <w:r>
        <w:t xml:space="preserve"> </w:t>
      </w:r>
      <w:r>
        <w:t xml:space="preserve">“</w:t>
      </w:r>
      <w:r>
        <w:t xml:space="preserve">presumptively inappropriate</w:t>
      </w:r>
      <w:r>
        <w:t xml:space="preserve">”</w:t>
      </w:r>
      <w:r>
        <w:t xml:space="preserve"> </w:t>
      </w:r>
      <w:r>
        <w:t xml:space="preserve">and subject to reduction to the appropriate lower-level rate (§ 6.1(a), (b)). Routine first-level document review by a junior associate is reduced to the contract attorney rate (§ 6.1(a)). Administrative tasks (scheduling, coordinating with court reporters, calendaring) are</w:t>
      </w:r>
      <w:r>
        <w:t xml:space="preserve"> </w:t>
      </w:r>
      <w:r>
        <w:t xml:space="preserve">“</w:t>
      </w:r>
      <w:r>
        <w:t xml:space="preserve">presumptively inappropriate for any attorney</w:t>
      </w:r>
      <w:r>
        <w:t xml:space="preserve">”</w:t>
      </w:r>
      <w:r>
        <w:t xml:space="preserve"> </w:t>
      </w:r>
      <w:r>
        <w:t xml:space="preserve">and are to be written off or reduced to the paralegal rate (§ 6.1(g)–(k); § 2).</w:t>
      </w:r>
    </w:p>
    <w:bookmarkStart w:id="29" w:name="X111d2dc630e70032c8883b77148e70e89b05410"/>
    <w:p>
      <w:pPr>
        <w:pStyle w:val="Heading4"/>
      </w:pPr>
      <w:r>
        <w:t xml:space="preserve">1. Entry 9 — Partner document review (Hargrove, 4.5 hrs / $4,432.50)</w:t>
      </w:r>
    </w:p>
    <w:p>
      <w:pPr>
        <w:pStyle w:val="FirstParagraph"/>
      </w:pPr>
      <w:r>
        <w:t xml:space="preserve">“</w:t>
      </w:r>
      <w:r>
        <w:t xml:space="preserve">Review and analyze documents produced by MedCore in third production batch; prepare detailed memorandum summarizing key findings for client.</w:t>
      </w:r>
      <w:r>
        <w:t xml:space="preserve">”</w:t>
      </w:r>
      <w:r>
        <w:t xml:space="preserve"> </w:t>
      </w:r>
      <w:r>
        <w:t xml:space="preserve">This is document review by the lead partner. § 6.1(a) directs that document review by a partner be</w:t>
      </w:r>
      <w:r>
        <w:t xml:space="preserve"> </w:t>
      </w:r>
      <w:r>
        <w:t xml:space="preserve">“</w:t>
      </w:r>
      <w:r>
        <w:t xml:space="preserve">reduced to the contract attorney rate ($200/hr cap) or the junior associate rate, depending on the nature of the review and whether the exercise of legal judgment was required.</w:t>
      </w:r>
      <w:r>
        <w:t xml:space="preserve">”</w:t>
      </w:r>
      <w:r>
        <w:t xml:space="preserve"> </w:t>
      </w:r>
      <w:r>
        <w:t xml:space="preserve">The Status Report indicates the review involved legal judgment (calibrating the review protocol and identifying key documents for trade-secret claims), so reduction to the</w:t>
      </w:r>
      <w:r>
        <w:t xml:space="preserve"> </w:t>
      </w:r>
      <w:r>
        <w:rPr>
          <w:b/>
          <w:bCs/>
        </w:rPr>
        <w:t xml:space="preserve">junior associate rate ($375/hr)</w:t>
      </w:r>
      <w:r>
        <w:t xml:space="preserve"> </w:t>
      </w:r>
      <w:r>
        <w:t xml:space="preserve">is appropriate rather than the contract-attorney rate.</w:t>
      </w:r>
    </w:p>
    <w:p>
      <w:pPr>
        <w:pStyle w:val="BodyText"/>
      </w:pPr>
      <w:r>
        <w:rPr>
          <w:b/>
          <w:bCs/>
        </w:rPr>
        <w:t xml:space="preserve">Calculation:</w:t>
      </w:r>
      <w:r>
        <w:t xml:space="preserve"> </w:t>
      </w:r>
      <w:r>
        <w:t xml:space="preserve">4.5 × ($985 − $375) =</w:t>
      </w:r>
      <w:r>
        <w:t xml:space="preserve"> </w:t>
      </w:r>
      <w:r>
        <w:rPr>
          <w:b/>
          <w:bCs/>
        </w:rPr>
        <w:t xml:space="preserve">$2,745.00.</w:t>
      </w:r>
    </w:p>
    <w:bookmarkEnd w:id="29"/>
    <w:bookmarkStart w:id="30" w:name="X27577bf2f7b8f18f259eb6a1189a7109c5ce0da"/>
    <w:p>
      <w:pPr>
        <w:pStyle w:val="Heading4"/>
      </w:pPr>
      <w:r>
        <w:t xml:space="preserve">2. Entry 43 — Partner cite-checking (Hargrove, 2.0 hrs / $1,970.00)</w:t>
      </w:r>
    </w:p>
    <w:p>
      <w:pPr>
        <w:pStyle w:val="FirstParagraph"/>
      </w:pPr>
      <w:r>
        <w:t xml:space="preserve">“</w:t>
      </w:r>
      <w:r>
        <w:t xml:space="preserve">Review and revise cite-check memorandum prepared by T. Webb; finalize citations for motion to compel brief.</w:t>
      </w:r>
      <w:r>
        <w:t xml:space="preserve">”</w:t>
      </w:r>
      <w:r>
        <w:t xml:space="preserve"> </w:t>
      </w:r>
      <w:r>
        <w:t xml:space="preserve">Cite-checking is a Routine Task (§ 2) and is</w:t>
      </w:r>
      <w:r>
        <w:t xml:space="preserve"> </w:t>
      </w:r>
      <w:r>
        <w:t xml:space="preserve">“</w:t>
      </w:r>
      <w:r>
        <w:t xml:space="preserve">presumptively inappropriate</w:t>
      </w:r>
      <w:r>
        <w:t xml:space="preserve">”</w:t>
      </w:r>
      <w:r>
        <w:t xml:space="preserve"> </w:t>
      </w:r>
      <w:r>
        <w:t xml:space="preserve">for a partner (§ 6.1(b)), to be reduced to the junior associate rate. (Junior associates Webb and Sengupta performed the underlying cite-checking on this same brief — Entries 47 and 54 — confirming this is junior-level work.)</w:t>
      </w:r>
    </w:p>
    <w:p>
      <w:pPr>
        <w:pStyle w:val="BodyText"/>
      </w:pPr>
      <w:r>
        <w:rPr>
          <w:b/>
          <w:bCs/>
        </w:rPr>
        <w:t xml:space="preserve">Calculation:</w:t>
      </w:r>
      <w:r>
        <w:t xml:space="preserve"> </w:t>
      </w:r>
      <w:r>
        <w:t xml:space="preserve">2.0 × ($985 − $375) =</w:t>
      </w:r>
      <w:r>
        <w:t xml:space="preserve"> </w:t>
      </w:r>
      <w:r>
        <w:rPr>
          <w:b/>
          <w:bCs/>
        </w:rPr>
        <w:t xml:space="preserve">$1,220.00.</w:t>
      </w:r>
    </w:p>
    <w:bookmarkEnd w:id="30"/>
    <w:bookmarkStart w:id="31" w:name="X0ba8f94c01d3e142c131276ae9c667675d1ce46"/>
    <w:p>
      <w:pPr>
        <w:pStyle w:val="Heading4"/>
      </w:pPr>
      <w:r>
        <w:t xml:space="preserve">3. Entry 15 — Administrative tasks by an attorney (Pettersson, 1.5 hrs / $712.50)</w:t>
      </w:r>
    </w:p>
    <w:p>
      <w:pPr>
        <w:pStyle w:val="FirstParagraph"/>
      </w:pPr>
      <w:r>
        <w:t xml:space="preserve">“</w:t>
      </w:r>
      <w:r>
        <w:t xml:space="preserve">Schedule depositions of three remaining witnesses; coordinate court reporter availability; confirm deposition locations.</w:t>
      </w:r>
      <w:r>
        <w:t xml:space="preserve">”</w:t>
      </w:r>
      <w:r>
        <w:t xml:space="preserve"> </w:t>
      </w:r>
      <w:r>
        <w:t xml:space="preserve">This is entirely administrative — scheduling (§ 6.1(g)), coordinating with a court reporter (§ 6.1(h)), and confirming locations (§ 6.1(k)). Administrative tasks</w:t>
      </w:r>
      <w:r>
        <w:t xml:space="preserve"> </w:t>
      </w:r>
      <w:r>
        <w:t xml:space="preserve">“</w:t>
      </w:r>
      <w:r>
        <w:t xml:space="preserve">are considered overhead expenses of Outside Counsel and shall not be billed to Pinnacle at any rate.</w:t>
      </w:r>
      <w:r>
        <w:t xml:space="preserve">”</w:t>
      </w:r>
      <w:r>
        <w:t xml:space="preserve"> </w:t>
      </w:r>
      <w:r>
        <w:t xml:space="preserve">The entry should be written off in full (Pinnacle’s discretion under § 6.1 to reduce to the $175/hr paralegal rate would yield $262.50; full write-off is recommended).</w:t>
      </w:r>
    </w:p>
    <w:p>
      <w:pPr>
        <w:pStyle w:val="BodyText"/>
      </w:pPr>
      <w:r>
        <w:rPr>
          <w:b/>
          <w:bCs/>
        </w:rPr>
        <w:t xml:space="preserve">Recommendation: $712.50</w:t>
      </w:r>
      <w:r>
        <w:t xml:space="preserve"> </w:t>
      </w:r>
      <w:r>
        <w:t xml:space="preserve">(full write-off).</w:t>
      </w:r>
    </w:p>
    <w:bookmarkEnd w:id="31"/>
    <w:bookmarkStart w:id="32" w:name="X4e51abf4bc9a26030888e8e31089db4510b4c27"/>
    <w:p>
      <w:pPr>
        <w:pStyle w:val="Heading4"/>
      </w:pPr>
      <w:r>
        <w:t xml:space="preserve">4. Entry 79 — Junior associate routine document review (Webb, 3.5 hrs / $1,312.50)</w:t>
      </w:r>
    </w:p>
    <w:p>
      <w:pPr>
        <w:pStyle w:val="FirstParagraph"/>
      </w:pPr>
      <w:r>
        <w:t xml:space="preserve">“</w:t>
      </w:r>
      <w:r>
        <w:t xml:space="preserve">Review third batch of MedCore production documents for relevance and privilege.</w:t>
      </w:r>
      <w:r>
        <w:t xml:space="preserve">”</w:t>
      </w:r>
      <w:r>
        <w:t xml:space="preserve"> </w:t>
      </w:r>
      <w:r>
        <w:t xml:space="preserve">This is routine first-level document review. § 6.1(a) provides that</w:t>
      </w:r>
      <w:r>
        <w:t xml:space="preserve"> </w:t>
      </w:r>
      <w:r>
        <w:t xml:space="preserve">“</w:t>
      </w:r>
      <w:r>
        <w:t xml:space="preserve">[d]ocument review by a junior associate that constitutes routine first-level review for relevance or responsiveness → reduced to the contract attorney rate.</w:t>
      </w:r>
      <w:r>
        <w:t xml:space="preserve">”</w:t>
      </w:r>
      <w:r>
        <w:t xml:space="preserve"> </w:t>
      </w:r>
      <w:r>
        <w:t xml:space="preserve">The Status Report confirms Webb</w:t>
      </w:r>
      <w:r>
        <w:t xml:space="preserve"> </w:t>
      </w:r>
      <w:r>
        <w:t xml:space="preserve">“</w:t>
      </w:r>
      <w:r>
        <w:t xml:space="preserve">assisted with document review</w:t>
      </w:r>
      <w:r>
        <w:t xml:space="preserve">”</w:t>
      </w:r>
      <w:r>
        <w:t xml:space="preserve"> </w:t>
      </w:r>
      <w:r>
        <w:t xml:space="preserve">on days when volume exceeded the contract attorney’s capacity — i.e., routine first-level review. Reduce to the contract attorney rate ($200/hr cap).</w:t>
      </w:r>
    </w:p>
    <w:p>
      <w:pPr>
        <w:pStyle w:val="BodyText"/>
      </w:pPr>
      <w:r>
        <w:rPr>
          <w:b/>
          <w:bCs/>
        </w:rPr>
        <w:t xml:space="preserve">Calculation:</w:t>
      </w:r>
      <w:r>
        <w:t xml:space="preserve"> </w:t>
      </w:r>
      <w:r>
        <w:t xml:space="preserve">3.5 × ($375 − $200) =</w:t>
      </w:r>
      <w:r>
        <w:t xml:space="preserve"> </w:t>
      </w:r>
      <w:r>
        <w:rPr>
          <w:b/>
          <w:bCs/>
        </w:rPr>
        <w:t xml:space="preserve">$612.50.</w:t>
      </w:r>
    </w:p>
    <w:p>
      <w:pPr>
        <w:pStyle w:val="BodyText"/>
      </w:pPr>
      <w:r>
        <w:rPr>
          <w:b/>
          <w:bCs/>
        </w:rPr>
        <w:t xml:space="preserve">Combined § 6.1 reduction: $5,290.00.</w:t>
      </w:r>
    </w:p>
    <w:p>
      <w:r>
        <w:pict>
          <v:rect style="width:0;height:1.5pt" o:hralign="center" o:hrstd="t" o:hr="t"/>
        </w:pict>
      </w:r>
    </w:p>
    <w:bookmarkEnd w:id="32"/>
    <w:bookmarkEnd w:id="33"/>
    <w:bookmarkStart w:id="36" w:name="X5286a6a0addfdfab6aad125535b3adec56e1160"/>
    <w:p>
      <w:pPr>
        <w:pStyle w:val="Heading3"/>
      </w:pPr>
      <w:r>
        <w:t xml:space="preserve">E. Conference Attendance and Deposition Staffing (§ 4.3)</w:t>
      </w:r>
    </w:p>
    <w:p>
      <w:pPr>
        <w:pStyle w:val="FirstParagraph"/>
      </w:pPr>
      <w:r>
        <w:rPr>
          <w:b/>
          <w:bCs/>
        </w:rPr>
        <w:t xml:space="preserve">Standard.</w:t>
      </w:r>
      <w:r>
        <w:t xml:space="preserve"> </w:t>
      </w:r>
      <w:r>
        <w:t xml:space="preserve">§ 4.3 limits billing timekeepers for</w:t>
      </w:r>
      <w:r>
        <w:t xml:space="preserve"> </w:t>
      </w:r>
      <w:r>
        <w:t xml:space="preserve">“</w:t>
      </w:r>
      <w:r>
        <w:t xml:space="preserve">any single internal meeting or conference call</w:t>
      </w:r>
      <w:r>
        <w:t xml:space="preserve">”</w:t>
      </w:r>
      <w:r>
        <w:t xml:space="preserve"> </w:t>
      </w:r>
      <w:r>
        <w:t xml:space="preserve">to</w:t>
      </w:r>
      <w:r>
        <w:t xml:space="preserve"> </w:t>
      </w:r>
      <w:r>
        <w:rPr>
          <w:b/>
          <w:bCs/>
        </w:rPr>
        <w:t xml:space="preserve">three (3)</w:t>
      </w:r>
      <w:r>
        <w:t xml:space="preserve">, even for Substantive Case-Strategy Sessions; excess attendees must record time as non-billable. For depositions, two billing attorneys are permitted without approval; a third requires</w:t>
      </w:r>
      <w:r>
        <w:t xml:space="preserve"> </w:t>
      </w:r>
      <w:r>
        <w:rPr>
          <w:b/>
          <w:bCs/>
        </w:rPr>
        <w:t xml:space="preserve">advance approval</w:t>
      </w:r>
      <w:r>
        <w:t xml:space="preserve"> </w:t>
      </w:r>
      <w:r>
        <w:t xml:space="preserve">requested</w:t>
      </w:r>
      <w:r>
        <w:t xml:space="preserve"> </w:t>
      </w:r>
      <w:r>
        <w:t xml:space="preserve">“</w:t>
      </w:r>
      <w:r>
        <w:t xml:space="preserve">no later than five (5) business days before the scheduled deposition,</w:t>
      </w:r>
      <w:r>
        <w:t xml:space="preserve">”</w:t>
      </w:r>
      <w:r>
        <w:t xml:space="preserve"> </w:t>
      </w:r>
      <w:r>
        <w:t xml:space="preserve">and</w:t>
      </w:r>
      <w:r>
        <w:t xml:space="preserve"> </w:t>
      </w:r>
      <w:r>
        <w:t xml:space="preserve">“</w:t>
      </w:r>
      <w:r>
        <w:t xml:space="preserve">[i]n the absence of such advance approval, Pinnacle reserves the right to reduce the time of the additional timekeepers in their entirety.</w:t>
      </w:r>
      <w:r>
        <w:t xml:space="preserve">”</w:t>
      </w:r>
    </w:p>
    <w:bookmarkStart w:id="34" w:name="X964dc41043f2e56c56c833507eed6db40c204e9"/>
    <w:p>
      <w:pPr>
        <w:pStyle w:val="Heading4"/>
      </w:pPr>
      <w:r>
        <w:t xml:space="preserve">1. May 8 team strategy call — five billing timekeepers (excess of two)</w:t>
      </w:r>
    </w:p>
    <w:p>
      <w:pPr>
        <w:pStyle w:val="FirstParagraph"/>
      </w:pPr>
      <w:r>
        <w:t xml:space="preserve">Five timekeepers billed the same May 8 strategy call: Hargrove (3.0, Entry 22), Cho (3.0, Entry 23), Pettersson (3.0, Entry 24), Barros (2.5, Entry 25), and Webb (2.5, Entry 26). The cap is three. Two attendees are excess. Barros is already fully rejected (§ A.1). Of the four</w:t>
      </w:r>
      <w:r>
        <w:t xml:space="preserve"> </w:t>
      </w:r>
      <w:r>
        <w:rPr>
          <w:i/>
          <w:iCs/>
        </w:rPr>
        <w:t xml:space="preserve">approved</w:t>
      </w:r>
      <w:r>
        <w:t xml:space="preserve"> </w:t>
      </w:r>
      <w:r>
        <w:t xml:space="preserve">timekeepers who billed, one is excess. No advance designation of billing attendees was made. Consistent with the</w:t>
      </w:r>
      <w:r>
        <w:t xml:space="preserve"> </w:t>
      </w:r>
      <w:r>
        <w:t xml:space="preserve">“</w:t>
      </w:r>
      <w:r>
        <w:t xml:space="preserve">lowest-cost timekeeper</w:t>
      </w:r>
      <w:r>
        <w:t xml:space="preserve">”</w:t>
      </w:r>
      <w:r>
        <w:t xml:space="preserve"> </w:t>
      </w:r>
      <w:r>
        <w:t xml:space="preserve">principle, the three most senior/essential attendees (Hargrove, Cho, Pettersson) are retained, and the most junior excess attendee —</w:t>
      </w:r>
      <w:r>
        <w:t xml:space="preserve"> </w:t>
      </w:r>
      <w:r>
        <w:rPr>
          <w:b/>
          <w:bCs/>
        </w:rPr>
        <w:t xml:space="preserve">Webb (2.5 hrs / $937.50, Entry 26)</w:t>
      </w:r>
      <w:r>
        <w:t xml:space="preserve"> </w:t>
      </w:r>
      <w:r>
        <w:t xml:space="preserve">— is disallowed.</w:t>
      </w:r>
    </w:p>
    <w:p>
      <w:pPr>
        <w:pStyle w:val="BodyText"/>
      </w:pPr>
      <w:r>
        <w:rPr>
          <w:b/>
          <w:bCs/>
        </w:rPr>
        <w:t xml:space="preserve">Recommendation: $937.50.</w:t>
      </w:r>
    </w:p>
    <w:bookmarkEnd w:id="34"/>
    <w:bookmarkStart w:id="35" w:name="Xe1cf77ed9b9adc2589508da5c0278ed73ad6f85"/>
    <w:p>
      <w:pPr>
        <w:pStyle w:val="Heading4"/>
      </w:pPr>
      <w:r>
        <w:t xml:space="preserve">2. Dr. Rebecca Liu deposition (May 19) — three billing attorneys without approval for the third</w:t>
      </w:r>
    </w:p>
    <w:p>
      <w:pPr>
        <w:pStyle w:val="FirstParagraph"/>
      </w:pPr>
      <w:r>
        <w:t xml:space="preserve">Three attorneys billed the Liu deposition: Hargrove (4.0, Entry 60), Cho (6.5, Entry 61), and Pettersson (5.0, Entry 62). Two deposition attorneys are permitted without approval; a third requires advance approval five business days before the deposition. No such approval was requested or given. Per the Status Report, Cho conducted the direct examination and Hargrove attended to observe and provide real-time strategic guidance — the two primary attorneys. Pettersson attended</w:t>
      </w:r>
      <w:r>
        <w:t xml:space="preserve"> </w:t>
      </w:r>
      <w:r>
        <w:t xml:space="preserve">“</w:t>
      </w:r>
      <w:r>
        <w:t xml:space="preserve">to manage the exhibit presentation, take detailed notes, and prepare a comprehensive testimony summary,</w:t>
      </w:r>
      <w:r>
        <w:t xml:space="preserve">”</w:t>
      </w:r>
      <w:r>
        <w:t xml:space="preserve"> </w:t>
      </w:r>
      <w:r>
        <w:t xml:space="preserve">i.e., the additional (third) timekeeper. § 4.3 permits Pinnacle to</w:t>
      </w:r>
      <w:r>
        <w:t xml:space="preserve"> </w:t>
      </w:r>
      <w:r>
        <w:t xml:space="preserve">“</w:t>
      </w:r>
      <w:r>
        <w:t xml:space="preserve">reduce the time of the additional timekeepers in their entirety.</w:t>
      </w:r>
      <w:r>
        <w:t xml:space="preserve">”</w:t>
      </w:r>
    </w:p>
    <w:p>
      <w:pPr>
        <w:pStyle w:val="BodyText"/>
      </w:pPr>
      <w:r>
        <w:t xml:space="preserve">Pettersson’s Entry 62 (</w:t>
      </w:r>
      <w:r>
        <w:t xml:space="preserve">“</w:t>
      </w:r>
      <w:r>
        <w:t xml:space="preserve">Attend deposition of Dr. Rebecca Liu; prepare summary of testimony and identify key admissions …</w:t>
      </w:r>
      <w:r>
        <w:t xml:space="preserve">”</w:t>
      </w:r>
      <w:r>
        <w:t xml:space="preserve">) is predominantly deposition-attendance time and is block-billed so that the attendance portion cannot be isolated. Because Pettersson is the unapproved third deposition attorney and the entry is chiefly deposition attendance, the entry is reduced in its entirety. (The Firm may seek retroactive approval under § 4.2/§ 10.4 or resubmit any genuinely separate post-deposition summary time as a discrete entry for reconsideration; no block-billing reduction is separately applied to Entry 62 to avoid double-counting.)</w:t>
      </w:r>
    </w:p>
    <w:p>
      <w:pPr>
        <w:pStyle w:val="BodyText"/>
      </w:pPr>
      <w:r>
        <w:rPr>
          <w:b/>
          <w:bCs/>
        </w:rPr>
        <w:t xml:space="preserve">Calculation:</w:t>
      </w:r>
      <w:r>
        <w:t xml:space="preserve"> </w:t>
      </w:r>
      <w:r>
        <w:t xml:space="preserve">5.0 × $475 =</w:t>
      </w:r>
      <w:r>
        <w:t xml:space="preserve"> </w:t>
      </w:r>
      <w:r>
        <w:rPr>
          <w:b/>
          <w:bCs/>
        </w:rPr>
        <w:t xml:space="preserve">$2,375.00.</w:t>
      </w:r>
    </w:p>
    <w:p>
      <w:pPr>
        <w:pStyle w:val="BodyText"/>
      </w:pPr>
      <w:r>
        <w:rPr>
          <w:b/>
          <w:bCs/>
        </w:rPr>
        <w:t xml:space="preserve">Combined § 4.3 reduction: $3,312.50.</w:t>
      </w:r>
    </w:p>
    <w:p>
      <w:r>
        <w:pict>
          <v:rect style="width:0;height:1.5pt" o:hralign="center" o:hrstd="t" o:hr="t"/>
        </w:pict>
      </w:r>
    </w:p>
    <w:bookmarkEnd w:id="35"/>
    <w:bookmarkEnd w:id="36"/>
    <w:bookmarkStart w:id="37" w:name="Xe831f53e10c23dca8fc8a570d3b696f7e8fa98d"/>
    <w:p>
      <w:pPr>
        <w:pStyle w:val="Heading3"/>
      </w:pPr>
      <w:r>
        <w:t xml:space="preserve">F. Monthly Budget Overage Without Pre-Approval (§ 7.3)</w:t>
      </w:r>
    </w:p>
    <w:p>
      <w:pPr>
        <w:pStyle w:val="FirstParagraph"/>
      </w:pPr>
      <w:r>
        <w:rPr>
          <w:b/>
          <w:bCs/>
        </w:rPr>
        <w:t xml:space="preserve">Standard.</w:t>
      </w:r>
      <w:r>
        <w:t xml:space="preserve"> </w:t>
      </w:r>
      <w:r>
        <w:t xml:space="preserve">§ 7.3 requires pre-approval if monthly attorney fees are projected to exceed the high end of the approved range by more than 15%. The Staffing Plan (§ 3) set the approved range at</w:t>
      </w:r>
      <w:r>
        <w:t xml:space="preserve"> </w:t>
      </w:r>
      <w:r>
        <w:rPr>
          <w:b/>
          <w:bCs/>
        </w:rPr>
        <w:t xml:space="preserve">$95,000–$165,000</w:t>
      </w:r>
      <w:r>
        <w:t xml:space="preserve">, so the 115% ceiling is</w:t>
      </w:r>
      <w:r>
        <w:t xml:space="preserve"> </w:t>
      </w:r>
      <w:r>
        <w:rPr>
          <w:b/>
          <w:bCs/>
        </w:rPr>
        <w:t xml:space="preserve">$165,000 × 1.15 = $189,750.00</w:t>
      </w:r>
      <w:r>
        <w:t xml:space="preserve">. Fees exceeding $189,750 without pre-approval may be reduced to that ceiling.</w:t>
      </w:r>
    </w:p>
    <w:p>
      <w:pPr>
        <w:pStyle w:val="BodyText"/>
      </w:pPr>
      <w:r>
        <w:rPr>
          <w:b/>
          <w:bCs/>
        </w:rPr>
        <w:t xml:space="preserve">Finding.</w:t>
      </w:r>
      <w:r>
        <w:t xml:space="preserve"> </w:t>
      </w:r>
      <w:r>
        <w:t xml:space="preserve">As-billed attorney fees total</w:t>
      </w:r>
      <w:r>
        <w:t xml:space="preserve"> </w:t>
      </w:r>
      <w:r>
        <w:rPr>
          <w:b/>
          <w:bCs/>
        </w:rPr>
        <w:t xml:space="preserve">$193,372.50</w:t>
      </w:r>
      <w:r>
        <w:t xml:space="preserve">, which exceeds the $189,750.00 ceiling by</w:t>
      </w:r>
      <w:r>
        <w:t xml:space="preserve"> </w:t>
      </w:r>
      <w:r>
        <w:rPr>
          <w:b/>
          <w:bCs/>
        </w:rPr>
        <w:t xml:space="preserve">$3,622.50</w:t>
      </w:r>
      <w:r>
        <w:t xml:space="preserve">. No pre-approval was sought or given (the only staffing/budget communication in the record is the Barros email, in which Ms. Dominguez stated she wanted to</w:t>
      </w:r>
      <w:r>
        <w:t xml:space="preserve"> </w:t>
      </w:r>
      <w:r>
        <w:t xml:space="preserve">“</w:t>
      </w:r>
      <w:r>
        <w:t xml:space="preserve">check where things stand against the current budget and staffing plan</w:t>
      </w:r>
      <w:r>
        <w:t xml:space="preserve">”</w:t>
      </w:r>
      <w:r>
        <w:t xml:space="preserve">). This is a § 7.3 violation.</w:t>
      </w:r>
    </w:p>
    <w:p>
      <w:pPr>
        <w:pStyle w:val="BodyText"/>
      </w:pPr>
      <w:r>
        <w:rPr>
          <w:b/>
          <w:bCs/>
        </w:rPr>
        <w:t xml:space="preserve">Treatment.</w:t>
      </w:r>
      <w:r>
        <w:t xml:space="preserve"> </w:t>
      </w:r>
      <w:r>
        <w:t xml:space="preserve">§ 7.3 expressly provides that budget-compliance reductions</w:t>
      </w:r>
      <w:r>
        <w:t xml:space="preserve"> </w:t>
      </w:r>
      <w:r>
        <w:t xml:space="preserve">“</w:t>
      </w:r>
      <w:r>
        <w:t xml:space="preserve">do not offset or preclude</w:t>
      </w:r>
      <w:r>
        <w:t xml:space="preserve">”</w:t>
      </w:r>
      <w:r>
        <w:t xml:space="preserve"> </w:t>
      </w:r>
      <w:r>
        <w:t xml:space="preserve">the other Guidelines reductions. The specific reductions in Sections A–E above reduce payable attorney fees to</w:t>
      </w:r>
      <w:r>
        <w:t xml:space="preserve"> </w:t>
      </w:r>
      <w:r>
        <w:rPr>
          <w:b/>
          <w:bCs/>
        </w:rPr>
        <w:t xml:space="preserve">$123,032.49</w:t>
      </w:r>
      <w:r>
        <w:t xml:space="preserve">, which is</w:t>
      </w:r>
      <w:r>
        <w:t xml:space="preserve"> </w:t>
      </w:r>
      <w:r>
        <w:rPr>
          <w:i/>
          <w:iCs/>
        </w:rPr>
        <w:t xml:space="preserve">below</w:t>
      </w:r>
      <w:r>
        <w:t xml:space="preserve"> </w:t>
      </w:r>
      <w:r>
        <w:t xml:space="preserve">the $189,750.00 ceiling. Accordingly, the § 7.3 cap is not the binding constraint, and</w:t>
      </w:r>
      <w:r>
        <w:t xml:space="preserve"> </w:t>
      </w:r>
      <w:r>
        <w:rPr>
          <w:b/>
          <w:bCs/>
        </w:rPr>
        <w:t xml:space="preserve">no additional dollar reduction is required under § 7.3</w:t>
      </w:r>
      <w:r>
        <w:t xml:space="preserve"> </w:t>
      </w:r>
      <w:r>
        <w:t xml:space="preserve">at this time. Pinnacle nonetheless</w:t>
      </w:r>
      <w:r>
        <w:t xml:space="preserve"> </w:t>
      </w:r>
      <w:r>
        <w:rPr>
          <w:b/>
          <w:bCs/>
        </w:rPr>
        <w:t xml:space="preserve">reserves the right to enforce the $189,750.00 ceiling</w:t>
      </w:r>
      <w:r>
        <w:t xml:space="preserve">, and the violation should be documented and addressed: the Firm must obtain pre-approval before any future month exceeds the ceiling and should consider submitting a phase-budget adjustment request under § 7.4 if the elevated discovery volume is expected to persist.</w:t>
      </w:r>
    </w:p>
    <w:p>
      <w:r>
        <w:pict>
          <v:rect style="width:0;height:1.5pt" o:hralign="center" o:hrstd="t" o:hr="t"/>
        </w:pict>
      </w:r>
    </w:p>
    <w:bookmarkEnd w:id="37"/>
    <w:bookmarkStart w:id="39" w:name="g.-expense-review-8"/>
    <w:p>
      <w:pPr>
        <w:pStyle w:val="Heading3"/>
      </w:pPr>
      <w:r>
        <w:t xml:space="preserve">G. Expense Review (§ 8)</w:t>
      </w:r>
    </w:p>
    <w:tbl>
      <w:tblPr>
        <w:tblStyle w:val="Table"/>
        <w:tblW w:type="pct" w:w="5000"/>
        <w:jc w:val="left"/>
        <w:tblLayout w:type="fixed"/>
        <w:tblLook w:firstRow="1" w:lastRow="0" w:firstColumn="0" w:lastColumn="0" w:noHBand="0" w:noVBand="0" w:val="0020"/>
      </w:tblPr>
      <w:tblGrid>
        <w:gridCol w:w="1584"/>
        <w:gridCol w:w="1188"/>
        <w:gridCol w:w="1188"/>
        <w:gridCol w:w="1188"/>
        <w:gridCol w:w="1584"/>
        <w:gridCol w:w="1188"/>
      </w:tblGrid>
      <w:tr>
        <w:trPr>
          <w:tblHeader w:val="on"/>
        </w:trPr>
        <w:tc>
          <w:tcPr/>
          <w:p>
            <w:pPr>
              <w:pStyle w:val="Compact"/>
              <w:jc w:val="right"/>
            </w:pPr>
            <w:r>
              <w:t xml:space="preserve">#</w:t>
            </w:r>
          </w:p>
        </w:tc>
        <w:tc>
          <w:tcPr/>
          <w:p>
            <w:pPr>
              <w:pStyle w:val="Compact"/>
              <w:jc w:val="left"/>
            </w:pPr>
            <w:r>
              <w:t xml:space="preserve">Date</w:t>
            </w:r>
          </w:p>
        </w:tc>
        <w:tc>
          <w:tcPr/>
          <w:p>
            <w:pPr>
              <w:pStyle w:val="Compact"/>
              <w:jc w:val="left"/>
            </w:pPr>
            <w:r>
              <w:t xml:space="preserve">Category</w:t>
            </w:r>
          </w:p>
        </w:tc>
        <w:tc>
          <w:tcPr/>
          <w:p>
            <w:pPr>
              <w:pStyle w:val="Compact"/>
              <w:jc w:val="left"/>
            </w:pPr>
            <w:r>
              <w:t xml:space="preserve">Vendor</w:t>
            </w:r>
          </w:p>
        </w:tc>
        <w:tc>
          <w:tcPr/>
          <w:p>
            <w:pPr>
              <w:pStyle w:val="Compact"/>
              <w:jc w:val="right"/>
            </w:pPr>
            <w:r>
              <w:t xml:space="preserve">Amount</w:t>
            </w:r>
          </w:p>
        </w:tc>
        <w:tc>
          <w:tcPr/>
          <w:p>
            <w:pPr>
              <w:pStyle w:val="Compact"/>
              <w:jc w:val="left"/>
            </w:pPr>
            <w:r>
              <w:t xml:space="preserve">Disposition</w:t>
            </w:r>
          </w:p>
        </w:tc>
      </w:tr>
      <w:tr>
        <w:tc>
          <w:tcPr/>
          <w:p>
            <w:pPr>
              <w:pStyle w:val="Compact"/>
              <w:jc w:val="right"/>
            </w:pPr>
            <w:r>
              <w:t xml:space="preserve">1</w:t>
            </w:r>
          </w:p>
        </w:tc>
        <w:tc>
          <w:tcPr/>
          <w:p>
            <w:pPr>
              <w:pStyle w:val="Compact"/>
              <w:jc w:val="left"/>
            </w:pPr>
            <w:r>
              <w:t xml:space="preserve">05/19</w:t>
            </w:r>
          </w:p>
        </w:tc>
        <w:tc>
          <w:tcPr/>
          <w:p>
            <w:pPr>
              <w:pStyle w:val="Compact"/>
              <w:jc w:val="left"/>
            </w:pPr>
            <w:r>
              <w:t xml:space="preserve">Court Reporting</w:t>
            </w:r>
          </w:p>
        </w:tc>
        <w:tc>
          <w:tcPr/>
          <w:p>
            <w:pPr>
              <w:pStyle w:val="Compact"/>
              <w:jc w:val="left"/>
            </w:pPr>
            <w:r>
              <w:t xml:space="preserve">Grayson Court Reporting Services</w:t>
            </w:r>
          </w:p>
        </w:tc>
        <w:tc>
          <w:tcPr/>
          <w:p>
            <w:pPr>
              <w:pStyle w:val="Compact"/>
              <w:jc w:val="right"/>
            </w:pPr>
            <w:r>
              <w:t xml:space="preserve">$3,200.00</w:t>
            </w:r>
          </w:p>
        </w:tc>
        <w:tc>
          <w:tcPr/>
          <w:p>
            <w:pPr>
              <w:pStyle w:val="Compact"/>
              <w:jc w:val="left"/>
            </w:pPr>
            <w:r>
              <w:t xml:space="preserve">Approved vendor; one copy (compliant with § 8.1).</w:t>
            </w:r>
            <w:r>
              <w:t xml:space="preserve"> </w:t>
            </w:r>
            <w:r>
              <w:rPr>
                <w:b/>
                <w:bCs/>
              </w:rPr>
              <w:t xml:space="preserve">Flag:</w:t>
            </w:r>
            <w:r>
              <w:t xml:space="preserve"> </w:t>
            </w:r>
            <w:r>
              <w:t xml:space="preserve">“</w:t>
            </w:r>
            <w:r>
              <w:t xml:space="preserve">expedited delivery</w:t>
            </w:r>
            <w:r>
              <w:t xml:space="preserve">”</w:t>
            </w:r>
            <w:r>
              <w:t xml:space="preserve"> </w:t>
            </w:r>
            <w:r>
              <w:t xml:space="preserve">implies premium above standard rates; § 8.1 reimburses transcript costs</w:t>
            </w:r>
            <w:r>
              <w:t xml:space="preserve"> </w:t>
            </w:r>
            <w:r>
              <w:t xml:space="preserve">“</w:t>
            </w:r>
            <w:r>
              <w:t xml:space="preserve">at standard rates.</w:t>
            </w:r>
            <w:r>
              <w:t xml:space="preserve">”</w:t>
            </w:r>
            <w:r>
              <w:t xml:space="preserve"> </w:t>
            </w:r>
            <w:r>
              <w:t xml:space="preserve">Request vendor invoice and disallow any expedited premium.</w:t>
            </w:r>
          </w:p>
        </w:tc>
      </w:tr>
      <w:tr>
        <w:tc>
          <w:tcPr/>
          <w:p>
            <w:pPr>
              <w:pStyle w:val="Compact"/>
              <w:jc w:val="right"/>
            </w:pPr>
            <w:r>
              <w:t xml:space="preserve">2</w:t>
            </w:r>
          </w:p>
        </w:tc>
        <w:tc>
          <w:tcPr/>
          <w:p>
            <w:pPr>
              <w:pStyle w:val="Compact"/>
              <w:jc w:val="left"/>
            </w:pPr>
            <w:r>
              <w:t xml:space="preserve">05/18</w:t>
            </w:r>
          </w:p>
        </w:tc>
        <w:tc>
          <w:tcPr/>
          <w:p>
            <w:pPr>
              <w:pStyle w:val="Compact"/>
              <w:jc w:val="left"/>
            </w:pPr>
            <w:r>
              <w:t xml:space="preserve">Travel</w:t>
            </w:r>
          </w:p>
        </w:tc>
        <w:tc>
          <w:tcPr/>
          <w:p>
            <w:pPr>
              <w:pStyle w:val="Compact"/>
              <w:jc w:val="left"/>
            </w:pPr>
            <w:r>
              <w:t xml:space="preserve">Various</w:t>
            </w:r>
          </w:p>
        </w:tc>
        <w:tc>
          <w:tcPr/>
          <w:p>
            <w:pPr>
              <w:pStyle w:val="Compact"/>
              <w:jc w:val="right"/>
            </w:pPr>
            <w:r>
              <w:t xml:space="preserve">$2,100.00</w:t>
            </w:r>
          </w:p>
        </w:tc>
        <w:tc>
          <w:tcPr/>
          <w:p>
            <w:pPr>
              <w:pStyle w:val="Compact"/>
              <w:jc w:val="left"/>
            </w:pPr>
            <w:r>
              <w:rPr>
                <w:b/>
                <w:bCs/>
              </w:rPr>
              <w:t xml:space="preserve">Disallow — see below.</w:t>
            </w:r>
          </w:p>
        </w:tc>
      </w:tr>
      <w:tr>
        <w:tc>
          <w:tcPr/>
          <w:p>
            <w:pPr>
              <w:pStyle w:val="Compact"/>
              <w:jc w:val="right"/>
            </w:pPr>
            <w:r>
              <w:t xml:space="preserve">3</w:t>
            </w:r>
          </w:p>
        </w:tc>
        <w:tc>
          <w:tcPr/>
          <w:p>
            <w:pPr>
              <w:pStyle w:val="Compact"/>
              <w:jc w:val="left"/>
            </w:pPr>
            <w:r>
              <w:t xml:space="preserve">05/31</w:t>
            </w:r>
          </w:p>
        </w:tc>
        <w:tc>
          <w:tcPr/>
          <w:p>
            <w:pPr>
              <w:pStyle w:val="Compact"/>
              <w:jc w:val="left"/>
            </w:pPr>
            <w:r>
              <w:t xml:space="preserve">E-Discovery Hosting</w:t>
            </w:r>
          </w:p>
        </w:tc>
        <w:tc>
          <w:tcPr/>
          <w:p>
            <w:pPr>
              <w:pStyle w:val="Compact"/>
              <w:jc w:val="left"/>
            </w:pPr>
            <w:r>
              <w:t xml:space="preserve">Tripoint Litigation Support LLC</w:t>
            </w:r>
          </w:p>
        </w:tc>
        <w:tc>
          <w:tcPr/>
          <w:p>
            <w:pPr>
              <w:pStyle w:val="Compact"/>
              <w:jc w:val="right"/>
            </w:pPr>
            <w:r>
              <w:t xml:space="preserve">$2,650.00</w:t>
            </w:r>
          </w:p>
        </w:tc>
        <w:tc>
          <w:tcPr/>
          <w:p>
            <w:pPr>
              <w:pStyle w:val="Compact"/>
              <w:jc w:val="left"/>
            </w:pPr>
            <w:r>
              <w:t xml:space="preserve">Approved vendor, pass-through.</w:t>
            </w:r>
            <w:r>
              <w:t xml:space="preserve"> </w:t>
            </w:r>
            <w:r>
              <w:rPr>
                <w:b/>
                <w:bCs/>
              </w:rPr>
              <w:t xml:space="preserve">Flag:</w:t>
            </w:r>
            <w:r>
              <w:t xml:space="preserve"> </w:t>
            </w:r>
            <w:r>
              <w:t xml:space="preserve">§ 8.1 makes e-discovery charges</w:t>
            </w:r>
            <w:r>
              <w:t xml:space="preserve"> </w:t>
            </w:r>
            <w:r>
              <w:t xml:space="preserve">“</w:t>
            </w:r>
            <w:r>
              <w:t xml:space="preserve">subject to pre-approval</w:t>
            </w:r>
            <w:r>
              <w:t xml:space="preserve">”</w:t>
            </w:r>
            <w:r>
              <w:t xml:space="preserve">; confirm pre-approval documentation on file.</w:t>
            </w:r>
          </w:p>
        </w:tc>
      </w:tr>
      <w:tr>
        <w:tc>
          <w:tcPr/>
          <w:p>
            <w:pPr>
              <w:pStyle w:val="Compact"/>
              <w:jc w:val="right"/>
            </w:pPr>
            <w:r>
              <w:t xml:space="preserve">4</w:t>
            </w:r>
          </w:p>
        </w:tc>
        <w:tc>
          <w:tcPr/>
          <w:p>
            <w:pPr>
              <w:pStyle w:val="Compact"/>
              <w:jc w:val="left"/>
            </w:pPr>
            <w:r>
              <w:t xml:space="preserve">05/15</w:t>
            </w:r>
          </w:p>
        </w:tc>
        <w:tc>
          <w:tcPr/>
          <w:p>
            <w:pPr>
              <w:pStyle w:val="Compact"/>
              <w:jc w:val="left"/>
            </w:pPr>
            <w:r>
              <w:t xml:space="preserve">Courier / Delivery</w:t>
            </w:r>
          </w:p>
        </w:tc>
        <w:tc>
          <w:tcPr/>
          <w:p>
            <w:pPr>
              <w:pStyle w:val="Compact"/>
              <w:jc w:val="left"/>
            </w:pPr>
            <w:r>
              <w:t xml:space="preserve">Various</w:t>
            </w:r>
          </w:p>
        </w:tc>
        <w:tc>
          <w:tcPr/>
          <w:p>
            <w:pPr>
              <w:pStyle w:val="Compact"/>
              <w:jc w:val="right"/>
            </w:pPr>
            <w:r>
              <w:t xml:space="preserve">$500.00</w:t>
            </w:r>
          </w:p>
        </w:tc>
        <w:tc>
          <w:tcPr/>
          <w:p>
            <w:pPr>
              <w:pStyle w:val="Compact"/>
              <w:jc w:val="left"/>
            </w:pPr>
            <w:r>
              <w:t xml:space="preserve">Allow (time-sensitive service/filing per § 8.1).</w:t>
            </w:r>
          </w:p>
        </w:tc>
      </w:tr>
    </w:tbl>
    <w:bookmarkStart w:id="38" w:name="expense-2-travel-2100.00-disallowed"/>
    <w:p>
      <w:pPr>
        <w:pStyle w:val="Heading4"/>
      </w:pPr>
      <w:r>
        <w:t xml:space="preserve">Expense #2 — Travel ($2,100.00) — Disallowed</w:t>
      </w:r>
    </w:p>
    <w:p>
      <w:pPr>
        <w:pStyle w:val="FirstParagraph"/>
      </w:pPr>
      <w:r>
        <w:t xml:space="preserve">The entry seeks</w:t>
      </w:r>
      <w:r>
        <w:t xml:space="preserve"> </w:t>
      </w:r>
      <w:r>
        <w:t xml:space="preserve">“</w:t>
      </w:r>
      <w:r>
        <w:t xml:space="preserve">Travel expenses for D. Hargrove and K. Cho to attend Dr. Rebecca Liu deposition — mileage, parking, meals.</w:t>
      </w:r>
      <w:r>
        <w:t xml:space="preserve">”</w:t>
      </w:r>
      <w:r>
        <w:t xml:space="preserve"> </w:t>
      </w:r>
      <w:r>
        <w:t xml:space="preserve">The Status Report states the Liu deposition</w:t>
      </w:r>
      <w:r>
        <w:t xml:space="preserve"> </w:t>
      </w:r>
      <w:r>
        <w:t xml:space="preserve">“</w:t>
      </w:r>
      <w:r>
        <w:t xml:space="preserve">was taken at the offices of Hargrove &amp; Linden LLP in Atlanta, Georgia.</w:t>
      </w:r>
      <w:r>
        <w:t xml:space="preserve">”</w:t>
      </w:r>
      <w:r>
        <w:t xml:space="preserve"> </w:t>
      </w:r>
      <w:r>
        <w:t xml:space="preserve">Hargrove and Cho are H&amp;L attorneys based at that Atlanta office. Travel to one’s own office is local travel. The expense fails on three independent grounds:</w:t>
      </w:r>
    </w:p>
    <w:p>
      <w:pPr>
        <w:pStyle w:val="Compact"/>
        <w:numPr>
          <w:ilvl w:val="0"/>
          <w:numId w:val="1003"/>
        </w:numPr>
      </w:pPr>
      <w:r>
        <w:rPr>
          <w:b/>
          <w:bCs/>
        </w:rPr>
        <w:t xml:space="preserve">Local travel (§ 6.4):</w:t>
      </w:r>
      <w:r>
        <w:t xml:space="preserve"> </w:t>
      </w:r>
      <w:r>
        <w:t xml:space="preserve">“</w:t>
      </w:r>
      <w:r>
        <w:t xml:space="preserve">Local travel within the Atlanta metropolitan area is not billable under any circumstances.</w:t>
      </w:r>
      <w:r>
        <w:t xml:space="preserve">”</w:t>
      </w:r>
    </w:p>
    <w:p>
      <w:pPr>
        <w:pStyle w:val="Compact"/>
        <w:numPr>
          <w:ilvl w:val="0"/>
          <w:numId w:val="1003"/>
        </w:numPr>
      </w:pPr>
      <w:r>
        <w:rPr>
          <w:b/>
          <w:bCs/>
        </w:rPr>
        <w:t xml:space="preserve">No pre-approval (§ 8.3):</w:t>
      </w:r>
      <w:r>
        <w:t xml:space="preserve"> </w:t>
      </w:r>
      <w:r>
        <w:t xml:space="preserve">Aggregate travel exceeding $1,000</w:t>
      </w:r>
      <w:r>
        <w:t xml:space="preserve"> </w:t>
      </w:r>
      <w:r>
        <w:t xml:space="preserve">“</w:t>
      </w:r>
      <w:r>
        <w:t xml:space="preserve">must be pre-approved by the Designated In-House Counsel.</w:t>
      </w:r>
      <w:r>
        <w:t xml:space="preserve">”</w:t>
      </w:r>
      <w:r>
        <w:t xml:space="preserve"> </w:t>
      </w:r>
      <w:r>
        <w:t xml:space="preserve">$2,100 exceeds $1,000; no pre-approval is evidenced.</w:t>
      </w:r>
    </w:p>
    <w:p>
      <w:pPr>
        <w:pStyle w:val="Compact"/>
        <w:numPr>
          <w:ilvl w:val="0"/>
          <w:numId w:val="1003"/>
        </w:numPr>
      </w:pPr>
      <w:r>
        <w:rPr>
          <w:b/>
          <w:bCs/>
        </w:rPr>
        <w:t xml:space="preserve">Meals (§ 8.2):</w:t>
      </w:r>
      <w:r>
        <w:t xml:space="preserve"> </w:t>
      </w:r>
      <w:r>
        <w:t xml:space="preserve">Meals are reimbursable only</w:t>
      </w:r>
      <w:r>
        <w:t xml:space="preserve"> </w:t>
      </w:r>
      <w:r>
        <w:t xml:space="preserve">“</w:t>
      </w:r>
      <w:r>
        <w:t xml:space="preserve">during approved out-of-town travel or working sessions extending past 8:00 p.m.</w:t>
      </w:r>
      <w:r>
        <w:t xml:space="preserve">”</w:t>
      </w:r>
      <w:r>
        <w:t xml:space="preserve"> </w:t>
      </w:r>
      <w:r>
        <w:t xml:space="preserve">Neither condition is met (the travel was local and no out-of-town travel was approved).</w:t>
      </w:r>
    </w:p>
    <w:p>
      <w:pPr>
        <w:pStyle w:val="FirstParagraph"/>
      </w:pPr>
      <w:r>
        <w:rPr>
          <w:b/>
          <w:bCs/>
        </w:rPr>
        <w:t xml:space="preserve">Recommendation: disallow $2,100.00.</w:t>
      </w:r>
    </w:p>
    <w:p>
      <w:pPr>
        <w:pStyle w:val="BodyText"/>
      </w:pPr>
      <w:r>
        <w:rPr>
          <w:b/>
          <w:bCs/>
        </w:rPr>
        <w:t xml:space="preserve">Expense reduction total: $2,100.00.</w:t>
      </w:r>
      <w:r>
        <w:t xml:space="preserve"> </w:t>
      </w:r>
      <w:r>
        <w:t xml:space="preserve">(Court-reporting and e-discovery items are flagged for documentation/verification rather than quantified reduction, pending the vendor invoices and pre-approval records.)</w:t>
      </w:r>
    </w:p>
    <w:p>
      <w:r>
        <w:pict>
          <v:rect style="width:0;height:1.5pt" o:hralign="center" o:hrstd="t" o:hr="t"/>
        </w:pict>
      </w:r>
    </w:p>
    <w:bookmarkEnd w:id="38"/>
    <w:bookmarkEnd w:id="39"/>
    <w:bookmarkStart w:id="40" w:name="X554b2d6cc9d70356c6983ea1e10fbed421ee73c"/>
    <w:p>
      <w:pPr>
        <w:pStyle w:val="Heading3"/>
      </w:pPr>
      <w:r>
        <w:t xml:space="preserve">H. Invoice Format — Missing Budget-to-Actual Reconciliation (§§ 7.2, 9.1(g))</w:t>
      </w:r>
    </w:p>
    <w:p>
      <w:pPr>
        <w:pStyle w:val="FirstParagraph"/>
      </w:pPr>
      <w:r>
        <w:t xml:space="preserve">§ 9.1(g) requires each invoice to include</w:t>
      </w:r>
      <w:r>
        <w:t xml:space="preserve"> </w:t>
      </w:r>
      <w:r>
        <w:t xml:space="preserve">“</w:t>
      </w:r>
      <w:r>
        <w:t xml:space="preserve">[a] budget-to-actual reconciliation as required by § 7.2, showing both the current period and cumulative figures.</w:t>
      </w:r>
      <w:r>
        <w:t xml:space="preserve">”</w:t>
      </w:r>
      <w:r>
        <w:t xml:space="preserve"> </w:t>
      </w:r>
      <w:r>
        <w:t xml:space="preserve">§ 7.2 further requires a</w:t>
      </w:r>
      <w:r>
        <w:t xml:space="preserve"> </w:t>
      </w:r>
      <w:r>
        <w:t xml:space="preserve">“</w:t>
      </w:r>
      <w:r>
        <w:t xml:space="preserve">narrative explanation of any variance greater than ten percent (10%) from the midpoint of the approved monthly range.</w:t>
      </w:r>
      <w:r>
        <w:t xml:space="preserve">”</w:t>
      </w:r>
      <w:r>
        <w:t xml:space="preserve"> </w:t>
      </w:r>
      <w:r>
        <w:t xml:space="preserve">The approved midpoint is $130,000; as-billed fees of $193,372.50 represent a</w:t>
      </w:r>
      <w:r>
        <w:t xml:space="preserve"> </w:t>
      </w:r>
      <w:r>
        <w:rPr>
          <w:b/>
          <w:bCs/>
        </w:rPr>
        <w:t xml:space="preserve">~48.7% variance</w:t>
      </w:r>
      <w:r>
        <w:t xml:space="preserve"> </w:t>
      </w:r>
      <w:r>
        <w:t xml:space="preserve">above midpoint. The invoice contains no budget-to-actual reconciliation and no variance narrative. (The Status Report discusses case activity but does not provide the § 7.2 budget reconciliation or variance analysis, and is not part of the invoice.)</w:t>
      </w:r>
    </w:p>
    <w:p>
      <w:pPr>
        <w:pStyle w:val="BodyText"/>
      </w:pPr>
      <w:r>
        <w:rPr>
          <w:b/>
          <w:bCs/>
        </w:rPr>
        <w:t xml:space="preserve">Recommendation:</w:t>
      </w:r>
      <w:r>
        <w:t xml:space="preserve"> </w:t>
      </w:r>
      <w:r>
        <w:t xml:space="preserve">No dollar reduction, but the Firm should be required to</w:t>
      </w:r>
      <w:r>
        <w:t xml:space="preserve"> </w:t>
      </w:r>
      <w:r>
        <w:rPr>
          <w:b/>
          <w:bCs/>
        </w:rPr>
        <w:t xml:space="preserve">resubmit the invoice with the § 7.2 / § 9.1(g) budget-to-actual reconciliation</w:t>
      </w:r>
      <w:r>
        <w:t xml:space="preserve"> </w:t>
      </w:r>
      <w:r>
        <w:t xml:space="preserve">(current-period and cumulative figures, percentage of phase budget consumed, and a narrative explanation of the variance) before payment is released.</w:t>
      </w:r>
    </w:p>
    <w:p>
      <w:r>
        <w:pict>
          <v:rect style="width:0;height:1.5pt" o:hralign="center" o:hrstd="t" o:hr="t"/>
        </w:pict>
      </w:r>
    </w:p>
    <w:bookmarkEnd w:id="40"/>
    <w:bookmarkStart w:id="41" w:name="Xee323f61a898ab5fee9b7f15ad2661f10b8505d"/>
    <w:p>
      <w:pPr>
        <w:pStyle w:val="Heading3"/>
      </w:pPr>
      <w:r>
        <w:t xml:space="preserve">I. Other Observations (no quantified reduction)</w:t>
      </w:r>
    </w:p>
    <w:p>
      <w:pPr>
        <w:numPr>
          <w:ilvl w:val="0"/>
          <w:numId w:val="1004"/>
        </w:numPr>
      </w:pPr>
      <w:r>
        <w:rPr>
          <w:b/>
          <w:bCs/>
        </w:rPr>
        <w:t xml:space="preserve">Partner hours above expected range.</w:t>
      </w:r>
      <w:r>
        <w:t xml:space="preserve"> </w:t>
      </w:r>
      <w:r>
        <w:t xml:space="preserve">Hargrove billed 38.5 hours, above the Staffing Plan’s expected 15–25 hrs/month. The Status Report attributes this to the Liu deposition, the May 27 client strategy session, and personal document review. The excess is addressed through the task-appropriateness (§ D.1–D.2) and budget (§ F) reductions; no separate reduction is recommended, but the Firm’s projection that hours</w:t>
      </w:r>
      <w:r>
        <w:t xml:space="preserve"> </w:t>
      </w:r>
      <w:r>
        <w:t xml:space="preserve">“</w:t>
      </w:r>
      <w:r>
        <w:t xml:space="preserve">will return to more typical levels in June and July</w:t>
      </w:r>
      <w:r>
        <w:t xml:space="preserve">”</w:t>
      </w:r>
      <w:r>
        <w:t xml:space="preserve"> </w:t>
      </w:r>
      <w:r>
        <w:t xml:space="preserve">should be monitored.</w:t>
      </w:r>
    </w:p>
    <w:p>
      <w:pPr>
        <w:numPr>
          <w:ilvl w:val="0"/>
          <w:numId w:val="1004"/>
        </w:numPr>
      </w:pPr>
      <w:r>
        <w:rPr>
          <w:b/>
          <w:bCs/>
        </w:rPr>
        <w:t xml:space="preserve">Multi-level review (§ 6.2).</w:t>
      </w:r>
      <w:r>
        <w:t xml:space="preserve"> </w:t>
      </w:r>
      <w:r>
        <w:t xml:space="preserve">Several work products passed through three levels (e.g., the motion to compel: Pettersson drafted → Cho reviewed → Hargrove reviewed/cite-checked). § 6.2 presumes a single supervisory review round is reasonable and treats additional rounds as requiring justification. For a $47.5 million trade-secret matter with a contested motion to compel, two review rounds are defensible, so no reduction is recommended; the Firm should be mindful of cumulative review costs in future months.</w:t>
      </w:r>
    </w:p>
    <w:p>
      <w:pPr>
        <w:numPr>
          <w:ilvl w:val="0"/>
          <w:numId w:val="1004"/>
        </w:numPr>
      </w:pPr>
      <w:r>
        <w:rPr>
          <w:b/>
          <w:bCs/>
        </w:rPr>
        <w:t xml:space="preserve">Time-entry narratives (§ 9.2).</w:t>
      </w:r>
      <w:r>
        <w:t xml:space="preserve"> </w:t>
      </w:r>
      <w:r>
        <w:t xml:space="preserve">Narratives are generally adequately specific. Entry 79 (</w:t>
      </w:r>
      <w:r>
        <w:t xml:space="preserve">“</w:t>
      </w:r>
      <w:r>
        <w:t xml:space="preserve">Review third batch of MedCore production documents for relevance and privilege</w:t>
      </w:r>
      <w:r>
        <w:t xml:space="preserve">”</w:t>
      </w:r>
      <w:r>
        <w:t xml:space="preserve">) is generic compared to the contract attorney’s Bates-range-specific entries but identifies the production batch and is not so vague as to warrant rejection.</w:t>
      </w:r>
    </w:p>
    <w:p>
      <w:pPr>
        <w:numPr>
          <w:ilvl w:val="0"/>
          <w:numId w:val="1004"/>
        </w:numPr>
      </w:pPr>
      <w:r>
        <w:rPr>
          <w:b/>
          <w:bCs/>
        </w:rPr>
        <w:t xml:space="preserve">Billing increments (§ 5.5).</w:t>
      </w:r>
      <w:r>
        <w:t xml:space="preserve"> </w:t>
      </w:r>
      <w:r>
        <w:t xml:space="preserve">All entries are recorded in 0.1-hour multiples (e.g., 0.5, 6.5); no impermissible quarter-hour increments were found.</w:t>
      </w:r>
    </w:p>
    <w:p>
      <w:pPr>
        <w:numPr>
          <w:ilvl w:val="0"/>
          <w:numId w:val="1004"/>
        </w:numPr>
      </w:pPr>
      <w:r>
        <w:rPr>
          <w:b/>
          <w:bCs/>
        </w:rPr>
        <w:t xml:space="preserve">Rate caps (§ 5.1).</w:t>
      </w:r>
      <w:r>
        <w:t xml:space="preserve"> </w:t>
      </w:r>
      <w:r>
        <w:t xml:space="preserve">All timekeepers other than Tate are within their category caps (Hargrove $985 &lt; $1,000; Cho $625 &lt; $650; Pettersson/Barros $475 &lt; $500; Webb/Sengupta $375 &lt; $400).</w:t>
      </w:r>
    </w:p>
    <w:p>
      <w:r>
        <w:pict>
          <v:rect style="width:0;height:1.5pt" o:hralign="center" o:hrstd="t" o:hr="t"/>
        </w:pict>
      </w:r>
    </w:p>
    <w:bookmarkEnd w:id="41"/>
    <w:bookmarkEnd w:id="42"/>
    <w:bookmarkStart w:id="43" w:name="vi.-reduction-calculation-summary"/>
    <w:p>
      <w:pPr>
        <w:pStyle w:val="Heading2"/>
      </w:pPr>
      <w:r>
        <w:t xml:space="preserve">VI. Reduction Calculation Summary</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t xml:space="preserve">Category</w:t>
            </w:r>
          </w:p>
        </w:tc>
        <w:tc>
          <w:tcPr/>
          <w:p>
            <w:pPr>
              <w:pStyle w:val="Compact"/>
              <w:jc w:val="left"/>
            </w:pPr>
            <w:r>
              <w:t xml:space="preserve">Authority</w:t>
            </w:r>
          </w:p>
        </w:tc>
        <w:tc>
          <w:tcPr/>
          <w:p>
            <w:pPr>
              <w:pStyle w:val="Compact"/>
              <w:jc w:val="right"/>
            </w:pPr>
            <w:r>
              <w:t xml:space="preserve">As Billed</w:t>
            </w:r>
          </w:p>
        </w:tc>
        <w:tc>
          <w:tcPr/>
          <w:p>
            <w:pPr>
              <w:pStyle w:val="Compact"/>
              <w:jc w:val="right"/>
            </w:pPr>
            <w:r>
              <w:t xml:space="preserve">Reduction</w:t>
            </w:r>
          </w:p>
        </w:tc>
        <w:tc>
          <w:tcPr/>
          <w:p>
            <w:pPr>
              <w:pStyle w:val="Compact"/>
              <w:jc w:val="right"/>
            </w:pPr>
            <w:r>
              <w:t xml:space="preserve">Revised</w:t>
            </w:r>
          </w:p>
        </w:tc>
      </w:tr>
      <w:tr>
        <w:tc>
          <w:tcPr/>
          <w:p>
            <w:pPr>
              <w:pStyle w:val="Compact"/>
              <w:jc w:val="left"/>
            </w:pPr>
            <w:r>
              <w:t xml:space="preserve">Unapproved timekeeper — Barros</w:t>
            </w:r>
          </w:p>
        </w:tc>
        <w:tc>
          <w:tcPr/>
          <w:p>
            <w:pPr>
              <w:pStyle w:val="Compact"/>
              <w:jc w:val="left"/>
            </w:pPr>
            <w:r>
              <w:t xml:space="preserve">§ 4.2</w:t>
            </w:r>
          </w:p>
        </w:tc>
        <w:tc>
          <w:tcPr/>
          <w:p>
            <w:pPr>
              <w:pStyle w:val="Compact"/>
              <w:jc w:val="right"/>
            </w:pPr>
            <w:r>
              <w:t xml:space="preserve">$21,375.00</w:t>
            </w:r>
          </w:p>
        </w:tc>
        <w:tc>
          <w:tcPr/>
          <w:p>
            <w:pPr>
              <w:pStyle w:val="Compact"/>
              <w:jc w:val="right"/>
            </w:pPr>
            <w:r>
              <w:t xml:space="preserve">$21,375.00</w:t>
            </w:r>
          </w:p>
        </w:tc>
        <w:tc>
          <w:tcPr/>
          <w:p>
            <w:pPr>
              <w:pStyle w:val="Compact"/>
              <w:jc w:val="right"/>
            </w:pPr>
            <w:r>
              <w:t xml:space="preserve">$0.00</w:t>
            </w:r>
          </w:p>
        </w:tc>
      </w:tr>
      <w:tr>
        <w:tc>
          <w:tcPr/>
          <w:p>
            <w:pPr>
              <w:pStyle w:val="Compact"/>
              <w:jc w:val="left"/>
            </w:pPr>
            <w:r>
              <w:t xml:space="preserve">Unapproved timekeeper — Sengupta</w:t>
            </w:r>
          </w:p>
        </w:tc>
        <w:tc>
          <w:tcPr/>
          <w:p>
            <w:pPr>
              <w:pStyle w:val="Compact"/>
              <w:jc w:val="left"/>
            </w:pPr>
            <w:r>
              <w:t xml:space="preserve">§ 4.2</w:t>
            </w:r>
          </w:p>
        </w:tc>
        <w:tc>
          <w:tcPr/>
          <w:p>
            <w:pPr>
              <w:pStyle w:val="Compact"/>
              <w:jc w:val="right"/>
            </w:pPr>
            <w:r>
              <w:t xml:space="preserve">$10,312.50</w:t>
            </w:r>
          </w:p>
        </w:tc>
        <w:tc>
          <w:tcPr/>
          <w:p>
            <w:pPr>
              <w:pStyle w:val="Compact"/>
              <w:jc w:val="right"/>
            </w:pPr>
            <w:r>
              <w:t xml:space="preserve">$10,312.50</w:t>
            </w:r>
          </w:p>
        </w:tc>
        <w:tc>
          <w:tcPr/>
          <w:p>
            <w:pPr>
              <w:pStyle w:val="Compact"/>
              <w:jc w:val="right"/>
            </w:pPr>
            <w:r>
              <w:t xml:space="preserve">$0.00</w:t>
            </w:r>
          </w:p>
        </w:tc>
      </w:tr>
      <w:tr>
        <w:tc>
          <w:tcPr/>
          <w:p>
            <w:pPr>
              <w:pStyle w:val="Compact"/>
              <w:jc w:val="left"/>
            </w:pPr>
            <w:r>
              <w:t xml:space="preserve">Contract attorney rate — Tate</w:t>
            </w:r>
          </w:p>
        </w:tc>
        <w:tc>
          <w:tcPr/>
          <w:p>
            <w:pPr>
              <w:pStyle w:val="Compact"/>
              <w:jc w:val="left"/>
            </w:pPr>
            <w:r>
              <w:t xml:space="preserve">§ 5.1</w:t>
            </w:r>
          </w:p>
        </w:tc>
        <w:tc>
          <w:tcPr/>
          <w:p>
            <w:pPr>
              <w:pStyle w:val="Compact"/>
              <w:jc w:val="right"/>
            </w:pPr>
            <w:r>
              <w:t xml:space="preserve">$25,200.00</w:t>
            </w:r>
          </w:p>
        </w:tc>
        <w:tc>
          <w:tcPr/>
          <w:p>
            <w:pPr>
              <w:pStyle w:val="Compact"/>
              <w:jc w:val="right"/>
            </w:pPr>
            <w:r>
              <w:t xml:space="preserve">$3,000.00</w:t>
            </w:r>
          </w:p>
        </w:tc>
        <w:tc>
          <w:tcPr/>
          <w:p>
            <w:pPr>
              <w:pStyle w:val="Compact"/>
              <w:jc w:val="right"/>
            </w:pPr>
            <w:r>
              <w:t xml:space="preserve">$22,200.00</w:t>
            </w:r>
          </w:p>
        </w:tc>
      </w:tr>
      <w:tr>
        <w:tc>
          <w:tcPr/>
          <w:p>
            <w:pPr>
              <w:pStyle w:val="Compact"/>
              <w:jc w:val="left"/>
            </w:pPr>
            <w:r>
              <w:t xml:space="preserve">Block billing (44 entries)</w:t>
            </w:r>
          </w:p>
        </w:tc>
        <w:tc>
          <w:tcPr/>
          <w:p>
            <w:pPr>
              <w:pStyle w:val="Compact"/>
              <w:jc w:val="left"/>
            </w:pPr>
            <w:r>
              <w:t xml:space="preserve">§ 5.4</w:t>
            </w:r>
          </w:p>
        </w:tc>
        <w:tc>
          <w:tcPr/>
          <w:p>
            <w:pPr>
              <w:pStyle w:val="Compact"/>
              <w:jc w:val="right"/>
            </w:pPr>
            <w:r>
              <w:t xml:space="preserve">(within above)</w:t>
            </w:r>
          </w:p>
        </w:tc>
        <w:tc>
          <w:tcPr/>
          <w:p>
            <w:pPr>
              <w:pStyle w:val="Compact"/>
              <w:jc w:val="right"/>
            </w:pPr>
            <w:r>
              <w:t xml:space="preserve">$27,050.01</w:t>
            </w:r>
          </w:p>
        </w:tc>
        <w:tc>
          <w:tcPr/>
          <w:p>
            <w:pPr>
              <w:pStyle w:val="Compact"/>
              <w:jc w:val="right"/>
            </w:pPr>
            <w:r>
              <w:t xml:space="preserve">—</w:t>
            </w:r>
          </w:p>
        </w:tc>
      </w:tr>
      <w:tr>
        <w:tc>
          <w:tcPr/>
          <w:p>
            <w:pPr>
              <w:pStyle w:val="Compact"/>
              <w:jc w:val="left"/>
            </w:pPr>
            <w:r>
              <w:t xml:space="preserve">Partner document review — Entry 9</w:t>
            </w:r>
          </w:p>
        </w:tc>
        <w:tc>
          <w:tcPr/>
          <w:p>
            <w:pPr>
              <w:pStyle w:val="Compact"/>
              <w:jc w:val="left"/>
            </w:pPr>
            <w:r>
              <w:t xml:space="preserve">§ 6.1(a)</w:t>
            </w:r>
          </w:p>
        </w:tc>
        <w:tc>
          <w:tcPr/>
          <w:p>
            <w:pPr>
              <w:pStyle w:val="Compact"/>
              <w:jc w:val="right"/>
            </w:pPr>
            <w:r>
              <w:t xml:space="preserve">$4,432.50</w:t>
            </w:r>
          </w:p>
        </w:tc>
        <w:tc>
          <w:tcPr/>
          <w:p>
            <w:pPr>
              <w:pStyle w:val="Compact"/>
              <w:jc w:val="right"/>
            </w:pPr>
            <w:r>
              <w:t xml:space="preserve">$2,745.00</w:t>
            </w:r>
          </w:p>
        </w:tc>
        <w:tc>
          <w:tcPr/>
          <w:p>
            <w:pPr>
              <w:pStyle w:val="Compact"/>
              <w:jc w:val="right"/>
            </w:pPr>
            <w:r>
              <w:t xml:space="preserve">$1,687.50</w:t>
            </w:r>
          </w:p>
        </w:tc>
      </w:tr>
      <w:tr>
        <w:tc>
          <w:tcPr/>
          <w:p>
            <w:pPr>
              <w:pStyle w:val="Compact"/>
              <w:jc w:val="left"/>
            </w:pPr>
            <w:r>
              <w:t xml:space="preserve">Partner cite-checking — Entry 43</w:t>
            </w:r>
          </w:p>
        </w:tc>
        <w:tc>
          <w:tcPr/>
          <w:p>
            <w:pPr>
              <w:pStyle w:val="Compact"/>
              <w:jc w:val="left"/>
            </w:pPr>
            <w:r>
              <w:t xml:space="preserve">§ 6.1(b)</w:t>
            </w:r>
          </w:p>
        </w:tc>
        <w:tc>
          <w:tcPr/>
          <w:p>
            <w:pPr>
              <w:pStyle w:val="Compact"/>
              <w:jc w:val="right"/>
            </w:pPr>
            <w:r>
              <w:t xml:space="preserve">$1,970.00</w:t>
            </w:r>
          </w:p>
        </w:tc>
        <w:tc>
          <w:tcPr/>
          <w:p>
            <w:pPr>
              <w:pStyle w:val="Compact"/>
              <w:jc w:val="right"/>
            </w:pPr>
            <w:r>
              <w:t xml:space="preserve">$1,220.00</w:t>
            </w:r>
          </w:p>
        </w:tc>
        <w:tc>
          <w:tcPr/>
          <w:p>
            <w:pPr>
              <w:pStyle w:val="Compact"/>
              <w:jc w:val="right"/>
            </w:pPr>
            <w:r>
              <w:t xml:space="preserve">$750.00</w:t>
            </w:r>
          </w:p>
        </w:tc>
      </w:tr>
      <w:tr>
        <w:tc>
          <w:tcPr/>
          <w:p>
            <w:pPr>
              <w:pStyle w:val="Compact"/>
              <w:jc w:val="left"/>
            </w:pPr>
            <w:r>
              <w:t xml:space="preserve">Administrative tasks — Entry 15</w:t>
            </w:r>
          </w:p>
        </w:tc>
        <w:tc>
          <w:tcPr/>
          <w:p>
            <w:pPr>
              <w:pStyle w:val="Compact"/>
              <w:jc w:val="left"/>
            </w:pPr>
            <w:r>
              <w:t xml:space="preserve">§ 6.1(g)–(k)</w:t>
            </w:r>
          </w:p>
        </w:tc>
        <w:tc>
          <w:tcPr/>
          <w:p>
            <w:pPr>
              <w:pStyle w:val="Compact"/>
              <w:jc w:val="right"/>
            </w:pPr>
            <w:r>
              <w:t xml:space="preserve">$712.50</w:t>
            </w:r>
          </w:p>
        </w:tc>
        <w:tc>
          <w:tcPr/>
          <w:p>
            <w:pPr>
              <w:pStyle w:val="Compact"/>
              <w:jc w:val="right"/>
            </w:pPr>
            <w:r>
              <w:t xml:space="preserve">$712.50</w:t>
            </w:r>
          </w:p>
        </w:tc>
        <w:tc>
          <w:tcPr/>
          <w:p>
            <w:pPr>
              <w:pStyle w:val="Compact"/>
              <w:jc w:val="right"/>
            </w:pPr>
            <w:r>
              <w:t xml:space="preserve">$0.00</w:t>
            </w:r>
          </w:p>
        </w:tc>
      </w:tr>
      <w:tr>
        <w:tc>
          <w:tcPr/>
          <w:p>
            <w:pPr>
              <w:pStyle w:val="Compact"/>
              <w:jc w:val="left"/>
            </w:pPr>
            <w:r>
              <w:t xml:space="preserve">Junior assoc. doc review — Entry 79</w:t>
            </w:r>
          </w:p>
        </w:tc>
        <w:tc>
          <w:tcPr/>
          <w:p>
            <w:pPr>
              <w:pStyle w:val="Compact"/>
              <w:jc w:val="left"/>
            </w:pPr>
            <w:r>
              <w:t xml:space="preserve">§ 6.1(a)</w:t>
            </w:r>
          </w:p>
        </w:tc>
        <w:tc>
          <w:tcPr/>
          <w:p>
            <w:pPr>
              <w:pStyle w:val="Compact"/>
              <w:jc w:val="right"/>
            </w:pPr>
            <w:r>
              <w:t xml:space="preserve">$1,312.50</w:t>
            </w:r>
          </w:p>
        </w:tc>
        <w:tc>
          <w:tcPr/>
          <w:p>
            <w:pPr>
              <w:pStyle w:val="Compact"/>
              <w:jc w:val="right"/>
            </w:pPr>
            <w:r>
              <w:t xml:space="preserve">$612.50</w:t>
            </w:r>
          </w:p>
        </w:tc>
        <w:tc>
          <w:tcPr/>
          <w:p>
            <w:pPr>
              <w:pStyle w:val="Compact"/>
              <w:jc w:val="right"/>
            </w:pPr>
            <w:r>
              <w:t xml:space="preserve">$700.00</w:t>
            </w:r>
          </w:p>
        </w:tc>
      </w:tr>
      <w:tr>
        <w:tc>
          <w:tcPr/>
          <w:p>
            <w:pPr>
              <w:pStyle w:val="Compact"/>
              <w:jc w:val="left"/>
            </w:pPr>
            <w:r>
              <w:t xml:space="preserve">Excess meeting staffing — Entry 26</w:t>
            </w:r>
          </w:p>
        </w:tc>
        <w:tc>
          <w:tcPr/>
          <w:p>
            <w:pPr>
              <w:pStyle w:val="Compact"/>
              <w:jc w:val="left"/>
            </w:pPr>
            <w:r>
              <w:t xml:space="preserve">§ 4.3</w:t>
            </w:r>
          </w:p>
        </w:tc>
        <w:tc>
          <w:tcPr/>
          <w:p>
            <w:pPr>
              <w:pStyle w:val="Compact"/>
              <w:jc w:val="right"/>
            </w:pPr>
            <w:r>
              <w:t xml:space="preserve">$937.50</w:t>
            </w:r>
          </w:p>
        </w:tc>
        <w:tc>
          <w:tcPr/>
          <w:p>
            <w:pPr>
              <w:pStyle w:val="Compact"/>
              <w:jc w:val="right"/>
            </w:pPr>
            <w:r>
              <w:t xml:space="preserve">$937.50</w:t>
            </w:r>
          </w:p>
        </w:tc>
        <w:tc>
          <w:tcPr/>
          <w:p>
            <w:pPr>
              <w:pStyle w:val="Compact"/>
              <w:jc w:val="right"/>
            </w:pPr>
            <w:r>
              <w:t xml:space="preserve">$0.00</w:t>
            </w:r>
          </w:p>
        </w:tc>
      </w:tr>
      <w:tr>
        <w:tc>
          <w:tcPr/>
          <w:p>
            <w:pPr>
              <w:pStyle w:val="Compact"/>
              <w:jc w:val="left"/>
            </w:pPr>
            <w:r>
              <w:t xml:space="preserve">Excess deposition staffing — Entry 62</w:t>
            </w:r>
          </w:p>
        </w:tc>
        <w:tc>
          <w:tcPr/>
          <w:p>
            <w:pPr>
              <w:pStyle w:val="Compact"/>
              <w:jc w:val="left"/>
            </w:pPr>
            <w:r>
              <w:t xml:space="preserve">§ 4.3</w:t>
            </w:r>
          </w:p>
        </w:tc>
        <w:tc>
          <w:tcPr/>
          <w:p>
            <w:pPr>
              <w:pStyle w:val="Compact"/>
              <w:jc w:val="right"/>
            </w:pPr>
            <w:r>
              <w:t xml:space="preserve">$2,375.00</w:t>
            </w:r>
          </w:p>
        </w:tc>
        <w:tc>
          <w:tcPr/>
          <w:p>
            <w:pPr>
              <w:pStyle w:val="Compact"/>
              <w:jc w:val="right"/>
            </w:pPr>
            <w:r>
              <w:t xml:space="preserve">$2,375.00</w:t>
            </w:r>
          </w:p>
        </w:tc>
        <w:tc>
          <w:tcPr/>
          <w:p>
            <w:pPr>
              <w:pStyle w:val="Compact"/>
              <w:jc w:val="right"/>
            </w:pPr>
            <w:r>
              <w:t xml:space="preserve">$0.00</w:t>
            </w:r>
          </w:p>
        </w:tc>
      </w:tr>
      <w:tr>
        <w:tc>
          <w:tcPr/>
          <w:p>
            <w:pPr>
              <w:pStyle w:val="Compact"/>
              <w:jc w:val="left"/>
            </w:pPr>
            <w:r>
              <w:rPr>
                <w:b/>
                <w:bCs/>
              </w:rPr>
              <w:t xml:space="preserve">Attorney Fees subtotal</w:t>
            </w:r>
          </w:p>
        </w:tc>
        <w:tc>
          <w:tcPr/>
          <w:p>
            <w:pPr>
              <w:pStyle w:val="Compact"/>
            </w:pPr>
          </w:p>
        </w:tc>
        <w:tc>
          <w:tcPr/>
          <w:p>
            <w:pPr>
              <w:pStyle w:val="Compact"/>
              <w:jc w:val="right"/>
            </w:pPr>
            <w:r>
              <w:rPr>
                <w:b/>
                <w:bCs/>
              </w:rPr>
              <w:t xml:space="preserve">$193,372.50</w:t>
            </w:r>
          </w:p>
        </w:tc>
        <w:tc>
          <w:tcPr/>
          <w:p>
            <w:pPr>
              <w:pStyle w:val="Compact"/>
              <w:jc w:val="right"/>
            </w:pPr>
            <w:r>
              <w:rPr>
                <w:b/>
                <w:bCs/>
              </w:rPr>
              <w:t xml:space="preserve">$70,340.01</w:t>
            </w:r>
          </w:p>
        </w:tc>
        <w:tc>
          <w:tcPr/>
          <w:p>
            <w:pPr>
              <w:pStyle w:val="Compact"/>
              <w:jc w:val="right"/>
            </w:pPr>
            <w:r>
              <w:rPr>
                <w:b/>
                <w:bCs/>
              </w:rPr>
              <w:t xml:space="preserve">$123,032.49</w:t>
            </w:r>
          </w:p>
        </w:tc>
      </w:tr>
      <w:tr>
        <w:tc>
          <w:tcPr/>
          <w:p>
            <w:pPr>
              <w:pStyle w:val="Compact"/>
              <w:jc w:val="left"/>
            </w:pPr>
            <w:r>
              <w:t xml:space="preserve">Non-reimbursable travel — Expense #2</w:t>
            </w:r>
          </w:p>
        </w:tc>
        <w:tc>
          <w:tcPr/>
          <w:p>
            <w:pPr>
              <w:pStyle w:val="Compact"/>
              <w:jc w:val="left"/>
            </w:pPr>
            <w:r>
              <w:t xml:space="preserve">§§ 6.4, 8.2, 8.3</w:t>
            </w:r>
          </w:p>
        </w:tc>
        <w:tc>
          <w:tcPr/>
          <w:p>
            <w:pPr>
              <w:pStyle w:val="Compact"/>
              <w:jc w:val="right"/>
            </w:pPr>
            <w:r>
              <w:t xml:space="preserve">$2,100.00</w:t>
            </w:r>
          </w:p>
        </w:tc>
        <w:tc>
          <w:tcPr/>
          <w:p>
            <w:pPr>
              <w:pStyle w:val="Compact"/>
              <w:jc w:val="right"/>
            </w:pPr>
            <w:r>
              <w:t xml:space="preserve">$2,100.00</w:t>
            </w:r>
          </w:p>
        </w:tc>
        <w:tc>
          <w:tcPr/>
          <w:p>
            <w:pPr>
              <w:pStyle w:val="Compact"/>
              <w:jc w:val="right"/>
            </w:pPr>
            <w:r>
              <w:t xml:space="preserve">$0.00</w:t>
            </w:r>
          </w:p>
        </w:tc>
      </w:tr>
      <w:tr>
        <w:tc>
          <w:tcPr/>
          <w:p>
            <w:pPr>
              <w:pStyle w:val="Compact"/>
              <w:jc w:val="left"/>
            </w:pPr>
            <w:r>
              <w:rPr>
                <w:b/>
                <w:bCs/>
              </w:rPr>
              <w:t xml:space="preserve">Expenses subtotal</w:t>
            </w:r>
          </w:p>
        </w:tc>
        <w:tc>
          <w:tcPr/>
          <w:p>
            <w:pPr>
              <w:pStyle w:val="Compact"/>
            </w:pPr>
          </w:p>
        </w:tc>
        <w:tc>
          <w:tcPr/>
          <w:p>
            <w:pPr>
              <w:pStyle w:val="Compact"/>
              <w:jc w:val="right"/>
            </w:pPr>
            <w:r>
              <w:rPr>
                <w:b/>
                <w:bCs/>
              </w:rPr>
              <w:t xml:space="preserve">$8,450.00</w:t>
            </w:r>
          </w:p>
        </w:tc>
        <w:tc>
          <w:tcPr/>
          <w:p>
            <w:pPr>
              <w:pStyle w:val="Compact"/>
              <w:jc w:val="right"/>
            </w:pPr>
            <w:r>
              <w:rPr>
                <w:b/>
                <w:bCs/>
              </w:rPr>
              <w:t xml:space="preserve">$2,100.00</w:t>
            </w:r>
          </w:p>
        </w:tc>
        <w:tc>
          <w:tcPr/>
          <w:p>
            <w:pPr>
              <w:pStyle w:val="Compact"/>
              <w:jc w:val="right"/>
            </w:pPr>
            <w:r>
              <w:rPr>
                <w:b/>
                <w:bCs/>
              </w:rPr>
              <w:t xml:space="preserve">$6,350.00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$201,822.50</w:t>
            </w:r>
          </w:p>
        </w:tc>
        <w:tc>
          <w:tcPr/>
          <w:p>
            <w:pPr>
              <w:pStyle w:val="Compact"/>
              <w:jc w:val="right"/>
            </w:pPr>
            <w:r>
              <w:rPr>
                <w:b/>
                <w:bCs/>
              </w:rPr>
              <w:t xml:space="preserve">$72,440.01</w:t>
            </w:r>
          </w:p>
        </w:tc>
        <w:tc>
          <w:tcPr/>
          <w:p>
            <w:pPr>
              <w:pStyle w:val="Compact"/>
              <w:jc w:val="right"/>
            </w:pPr>
            <w:r>
              <w:rPr>
                <w:b/>
                <w:bCs/>
              </w:rPr>
              <w:t xml:space="preserve">$129,382.49</w:t>
            </w:r>
          </w:p>
        </w:tc>
      </w:tr>
    </w:tbl>
    <w:p>
      <w:pPr>
        <w:pStyle w:val="BodyText"/>
      </w:pPr>
      <w:r>
        <w:rPr>
          <w:b/>
          <w:bCs/>
        </w:rPr>
        <w:t xml:space="preserve">Budget overage (§ 7.3):</w:t>
      </w:r>
      <w:r>
        <w:t xml:space="preserve"> </w:t>
      </w:r>
      <w:r>
        <w:t xml:space="preserve">As-billed attorney fees ($193,372.50) exceed the $189,750.00 ceiling by $3,622.50 without pre-approval — violation documented; no additional dollar reduction required because the specific reductions above bring fees below the ceiling. Pinnacle reserves the right to enforce the ceiling.</w:t>
      </w:r>
    </w:p>
    <w:p>
      <w:r>
        <w:pict>
          <v:rect style="width:0;height:1.5pt" o:hralign="center" o:hrstd="t" o:hr="t"/>
        </w:pict>
      </w:r>
    </w:p>
    <w:bookmarkEnd w:id="43"/>
    <w:bookmarkStart w:id="44" w:name="vii.-recommendations-and-next-steps"/>
    <w:p>
      <w:pPr>
        <w:pStyle w:val="Heading2"/>
      </w:pPr>
      <w:r>
        <w:t xml:space="preserve">VII. Recommendations and Next Steps</w:t>
      </w:r>
    </w:p>
    <w:p>
      <w:pPr>
        <w:numPr>
          <w:ilvl w:val="0"/>
          <w:numId w:val="1005"/>
        </w:numPr>
      </w:pPr>
      <w:r>
        <w:rPr>
          <w:b/>
          <w:bCs/>
        </w:rPr>
        <w:t xml:space="preserve">Approve payment of $129,382.49</w:t>
      </w:r>
      <w:r>
        <w:t xml:space="preserve"> </w:t>
      </w:r>
      <w:r>
        <w:t xml:space="preserve">(revised attorney fees $123,032.49 + revised expenses $6,350.00), and</w:t>
      </w:r>
      <w:r>
        <w:t xml:space="preserve"> </w:t>
      </w:r>
      <w:r>
        <w:rPr>
          <w:b/>
          <w:bCs/>
        </w:rPr>
        <w:t xml:space="preserve">withhold the remaining $72,440.01</w:t>
      </w:r>
      <w:r>
        <w:t xml:space="preserve"> </w:t>
      </w:r>
      <w:r>
        <w:t xml:space="preserve">pending resolution.</w:t>
      </w:r>
    </w:p>
    <w:p>
      <w:pPr>
        <w:numPr>
          <w:ilvl w:val="0"/>
          <w:numId w:val="1005"/>
        </w:numPr>
      </w:pPr>
      <w:r>
        <w:rPr>
          <w:b/>
          <w:bCs/>
        </w:rPr>
        <w:t xml:space="preserve">Reject all fees for Nina Barros ($21,375.00) and Priya Sengupta ($10,312.50)</w:t>
      </w:r>
      <w:r>
        <w:t xml:space="preserve"> </w:t>
      </w:r>
      <w:r>
        <w:t xml:space="preserve">as unapproved timekeepers. If the Firm wishes any portion reconsidered, it must submit a written § 4.2 staffing-change request (name, role, rate, reason, anticipated hours, budget impact) and seek retroactive approval; Pinnacle retains discretion under § 4.2 to grant or deny.</w:t>
      </w:r>
    </w:p>
    <w:p>
      <w:pPr>
        <w:numPr>
          <w:ilvl w:val="0"/>
          <w:numId w:val="1005"/>
        </w:numPr>
      </w:pPr>
      <w:r>
        <w:rPr>
          <w:b/>
          <w:bCs/>
        </w:rPr>
        <w:t xml:space="preserve">Re-rate Marcus Tate to $185/hr</w:t>
      </w:r>
      <w:r>
        <w:t xml:space="preserve"> </w:t>
      </w:r>
      <w:r>
        <w:t xml:space="preserve">and confirm the Redwood Document Solutions pass-through rate for all future invoices; the $210 rate is neither cap-compliant nor consistent with the approved Staffing Plan.</w:t>
      </w:r>
    </w:p>
    <w:p>
      <w:pPr>
        <w:numPr>
          <w:ilvl w:val="0"/>
          <w:numId w:val="1005"/>
        </w:numPr>
      </w:pPr>
      <w:r>
        <w:rPr>
          <w:b/>
          <w:bCs/>
        </w:rPr>
        <w:t xml:space="preserve">Provide the Firm 15 days to resubmit the 44 block-billed entries</w:t>
      </w:r>
      <w:r>
        <w:t xml:space="preserve"> </w:t>
      </w:r>
      <w:r>
        <w:t xml:space="preserve">as separate, individually timed line items (§ 5.4). For any entry not timely resubmitted, the 25% reduction stands.</w:t>
      </w:r>
    </w:p>
    <w:p>
      <w:pPr>
        <w:numPr>
          <w:ilvl w:val="0"/>
          <w:numId w:val="1005"/>
        </w:numPr>
      </w:pPr>
      <w:r>
        <w:rPr>
          <w:b/>
          <w:bCs/>
        </w:rPr>
        <w:t xml:space="preserve">Sustain the § 6.1 task-appropriateness reductions</w:t>
      </w:r>
      <w:r>
        <w:t xml:space="preserve"> </w:t>
      </w:r>
      <w:r>
        <w:t xml:space="preserve">(Entries 9, 43, 15, 79) and remind the Firm that document review, cite-checking, and administrative scheduling are not partner-level or attorney-billable tasks.</w:t>
      </w:r>
    </w:p>
    <w:p>
      <w:pPr>
        <w:numPr>
          <w:ilvl w:val="0"/>
          <w:numId w:val="1005"/>
        </w:numPr>
      </w:pPr>
      <w:r>
        <w:rPr>
          <w:b/>
          <w:bCs/>
        </w:rPr>
        <w:t xml:space="preserve">Sustain the § 4.3 staffing reductions</w:t>
      </w:r>
      <w:r>
        <w:t xml:space="preserve"> </w:t>
      </w:r>
      <w:r>
        <w:t xml:space="preserve">and remind the Firm to (a) designate billing attendees in advance for any meeting exceeding three timekeepers and (b) request advance approval for any deposition requiring more than two billing attorneys at least five business days in advance.</w:t>
      </w:r>
    </w:p>
    <w:p>
      <w:pPr>
        <w:numPr>
          <w:ilvl w:val="0"/>
          <w:numId w:val="1005"/>
        </w:numPr>
      </w:pPr>
      <w:r>
        <w:rPr>
          <w:b/>
          <w:bCs/>
        </w:rPr>
        <w:t xml:space="preserve">Disallow the $2,100.00 travel expense</w:t>
      </w:r>
      <w:r>
        <w:t xml:space="preserve"> </w:t>
      </w:r>
      <w:r>
        <w:t xml:space="preserve">and request the vendor invoice for the court-reporting charge (to confirm standard vs. expedited rates) and the pre-approval record for the e-discovery hosting charge.</w:t>
      </w:r>
    </w:p>
    <w:p>
      <w:pPr>
        <w:numPr>
          <w:ilvl w:val="0"/>
          <w:numId w:val="1005"/>
        </w:numPr>
      </w:pPr>
      <w:r>
        <w:rPr>
          <w:b/>
          <w:bCs/>
        </w:rPr>
        <w:t xml:space="preserve">Require resubmission with the § 7.2 / § 9.1(g) budget-to-actual reconciliation</w:t>
      </w:r>
      <w:r>
        <w:t xml:space="preserve"> </w:t>
      </w:r>
      <w:r>
        <w:t xml:space="preserve">(current and cumulative figures, percentage of phase budget consumed, and a &gt;10% variance narrative) before final payment processing.</w:t>
      </w:r>
    </w:p>
    <w:p>
      <w:pPr>
        <w:numPr>
          <w:ilvl w:val="0"/>
          <w:numId w:val="1005"/>
        </w:numPr>
      </w:pPr>
      <w:r>
        <w:rPr>
          <w:b/>
          <w:bCs/>
        </w:rPr>
        <w:t xml:space="preserve">Address the § 7.3 budget overage:</w:t>
      </w:r>
      <w:r>
        <w:t xml:space="preserve"> </w:t>
      </w:r>
      <w:r>
        <w:t xml:space="preserve">notify the Firm in writing that May fees exceeded the 115% ceiling without pre-approval; require pre-approval before any future month exceeds the ceiling; and invite a § 7.4 phase-budget adjustment request if the elevated discovery volume is expected to continue through the September 30 close.</w:t>
      </w:r>
    </w:p>
    <w:p>
      <w:pPr>
        <w:numPr>
          <w:ilvl w:val="0"/>
          <w:numId w:val="1005"/>
        </w:numPr>
      </w:pPr>
      <w:r>
        <w:rPr>
          <w:b/>
          <w:bCs/>
        </w:rPr>
        <w:t xml:space="preserve">Issue the reduction notice</w:t>
      </w:r>
      <w:r>
        <w:t xml:space="preserve"> </w:t>
      </w:r>
      <w:r>
        <w:t xml:space="preserve">through Pinnacle’s e-billing system, itemizing each reduction by entry and authority so the Firm may exercise its § 10.3 appeal rights within 30 days.</w:t>
      </w:r>
    </w:p>
    <w:p>
      <w:r>
        <w:pict>
          <v:rect style="width:0;height:1.5pt" o:hralign="center" o:hrstd="t" o:hr="t"/>
        </w:pict>
      </w:r>
    </w:p>
    <w:p>
      <w:pPr>
        <w:pStyle w:val="FirstParagraph"/>
      </w:pPr>
      <w:r>
        <w:rPr>
          <w:i/>
          <w:iCs/>
        </w:rPr>
        <w:t xml:space="preserve">Prepared by Legal Billing Review, Office of the General Counsel, Pinnacle Health Systems, Inc. This memorandum is privileged and confidential, prepared in anticipation of litigation, and intended solely for the use of Pinnacle’s legal department. All citations to</w:t>
      </w:r>
      <w:r>
        <w:rPr>
          <w:i/>
          <w:iCs/>
        </w:rPr>
        <w:t xml:space="preserve"> </w:t>
      </w:r>
      <w:r>
        <w:rPr>
          <w:i/>
          <w:iCs/>
        </w:rPr>
        <w:t xml:space="preserve">“</w:t>
      </w:r>
      <w:r>
        <w:rPr>
          <w:i/>
          <w:iCs/>
        </w:rPr>
        <w:t xml:space="preserve">§</w:t>
      </w:r>
      <w:r>
        <w:rPr>
          <w:i/>
          <w:iCs/>
        </w:rPr>
        <w:t xml:space="preserve">”</w:t>
      </w:r>
      <w:r>
        <w:rPr>
          <w:i/>
          <w:iCs/>
        </w:rPr>
        <w:t xml:space="preserve"> </w:t>
      </w:r>
      <w:r>
        <w:rPr>
          <w:i/>
          <w:iCs/>
        </w:rPr>
        <w:t xml:space="preserve">refer to Pinnacle’s Outside Counsel Billing Guidelines (January 1, 2023) unless otherwise noted;</w:t>
      </w:r>
      <w:r>
        <w:rPr>
          <w:i/>
          <w:iCs/>
        </w:rPr>
        <w:t xml:space="preserve"> </w:t>
      </w:r>
      <w:r>
        <w:rPr>
          <w:i/>
          <w:iCs/>
        </w:rPr>
        <w:t xml:space="preserve">“</w:t>
      </w:r>
      <w:r>
        <w:rPr>
          <w:i/>
          <w:iCs/>
        </w:rPr>
        <w:t xml:space="preserve">Staffing Plan</w:t>
      </w:r>
      <w:r>
        <w:rPr>
          <w:i/>
          <w:iCs/>
        </w:rPr>
        <w:t xml:space="preserve">”</w:t>
      </w:r>
      <w:r>
        <w:rPr>
          <w:i/>
          <w:iCs/>
        </w:rPr>
        <w:t xml:space="preserve"> </w:t>
      </w:r>
      <w:r>
        <w:rPr>
          <w:i/>
          <w:iCs/>
        </w:rPr>
        <w:t xml:space="preserve">refers to the Approved Discovery-Phase Staffing Plan dated February 10, 2025.</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2026-06-27T20:38:06Z</dcterms:created>
  <dcterms:modified xsi:type="dcterms:W3CDTF">2026-06-27T20:38:06Z</dcterms:modified>
</cp:coreProperties>
</file>

<file path=docProps/custom.xml><?xml version="1.0" encoding="utf-8"?>
<Properties xmlns="http://schemas.openxmlformats.org/officeDocument/2006/custom-properties" xmlns:vt="http://schemas.openxmlformats.org/officeDocument/2006/docPropsVTypes"/>
</file>