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Plaintiff’s</w:t>
      </w:r>
      <w:r>
        <w:t xml:space="preserve"> </w:t>
      </w:r>
      <w:r>
        <w:t xml:space="preserve">First</w:t>
      </w:r>
      <w:r>
        <w:t xml:space="preserve"> </w:t>
      </w:r>
      <w:r>
        <w:t xml:space="preserve">Set</w:t>
      </w:r>
      <w:r>
        <w:t xml:space="preserve"> </w:t>
      </w:r>
      <w:r>
        <w:t xml:space="preserve">of</w:t>
      </w:r>
      <w:r>
        <w:t xml:space="preserve"> </w:t>
      </w:r>
      <w:r>
        <w:t xml:space="preserve">Interrogatories</w:t>
      </w:r>
      <w:r>
        <w:t xml:space="preserve"> </w:t>
      </w:r>
      <w:r>
        <w:t xml:space="preserve">to</w:t>
      </w:r>
      <w:r>
        <w:t xml:space="preserve"> </w:t>
      </w:r>
      <w:r>
        <w:t xml:space="preserve">Defendant</w:t>
      </w:r>
      <w:r>
        <w:t xml:space="preserve"> </w:t>
      </w:r>
      <w:r>
        <w:t xml:space="preserve">Veridian</w:t>
      </w:r>
      <w:r>
        <w:t xml:space="preserve"> </w:t>
      </w:r>
      <w:r>
        <w:t xml:space="preserve">Health</w:t>
      </w:r>
      <w:r>
        <w:t xml:space="preserve"> </w:t>
      </w:r>
      <w:r>
        <w:t xml:space="preserve">Systems,</w:t>
      </w:r>
      <w:r>
        <w:t xml:space="preserve"> </w:t>
      </w:r>
      <w:r>
        <w:t xml:space="preserve">LLC</w:t>
      </w:r>
    </w:p>
    <w:bookmarkStart w:id="20" w:name="X9ec2dba4c42b63b369c3602a5589fedc1381fa5"/>
    <w:p>
      <w:pPr>
        <w:pStyle w:val="Heading1"/>
      </w:pPr>
      <w:r>
        <w:t xml:space="preserve">IN THE UNITED STATES DISTRICT COURT FOR THE WESTERN DISTRICT OF TEXAS AUSTIN DIVISION</w:t>
      </w:r>
    </w:p>
    <w:p>
      <w:pPr>
        <w:pStyle w:val="FirstParagraph"/>
      </w:pPr>
      <w:r>
        <w:rPr>
          <w:b/>
          <w:bCs/>
        </w:rPr>
        <w:t xml:space="preserve">CASTILLO MEDICAL TECHNOLOGIES, INC.,</w:t>
      </w:r>
      <w:r>
        <w:t xml:space="preserve"> </w:t>
      </w:r>
      <w:r>
        <w:t xml:space="preserve">a Delaware corporation,</w:t>
      </w:r>
    </w:p>
    <w:p>
      <w:pPr>
        <w:pStyle w:val="BodyText"/>
      </w:pPr>
      <w:r>
        <w:t xml:space="preserve">Plaintiff,</w:t>
      </w:r>
    </w:p>
    <w:p>
      <w:pPr>
        <w:pStyle w:val="FirstParagraph"/>
      </w:pPr>
      <w:r>
        <w:rPr>
          <w:b/>
          <w:bCs/>
        </w:rPr>
        <w:t xml:space="preserve">RYAN OSHIRO,</w:t>
      </w:r>
      <w:r>
        <w:t xml:space="preserve"> </w:t>
      </w:r>
      <w:r>
        <w:t xml:space="preserve">an individual; and</w:t>
      </w:r>
      <w:r>
        <w:t xml:space="preserve"> </w:t>
      </w:r>
      <w:r>
        <w:rPr>
          <w:b/>
          <w:bCs/>
        </w:rPr>
        <w:t xml:space="preserve">VERIDIAN HEALTH SYSTEMS, LLC,</w:t>
      </w:r>
      <w:r>
        <w:t xml:space="preserve"> </w:t>
      </w:r>
      <w:r>
        <w:t xml:space="preserve">a Virginia limited liability company,</w:t>
      </w:r>
    </w:p>
    <w:p>
      <w:pPr>
        <w:pStyle w:val="BodyText"/>
      </w:pPr>
      <w:r>
        <w:t xml:space="preserve">Defendants.</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rPr>
                <w:b/>
                <w:bCs/>
              </w:rPr>
              <w:t xml:space="preserve">Civil Action No. 1:24-cv-03841-RLH</w:t>
            </w:r>
          </w:p>
        </w:tc>
      </w:tr>
      <w:tr>
        <w:tc>
          <w:tcPr/>
          <w:p>
            <w:pPr>
              <w:pStyle w:val="Compact"/>
            </w:pPr>
          </w:p>
        </w:tc>
        <w:tc>
          <w:tcPr/>
          <w:p>
            <w:pPr>
              <w:pStyle w:val="Compact"/>
              <w:jc w:val="left"/>
            </w:pPr>
            <w:r>
              <w:rPr>
                <w:b/>
                <w:bCs/>
              </w:rPr>
              <w:t xml:space="preserve">Hon. Rebecca L. Hightower</w:t>
            </w:r>
          </w:p>
        </w:tc>
      </w:tr>
      <w:tr>
        <w:tc>
          <w:tcPr/>
          <w:p>
            <w:pPr>
              <w:pStyle w:val="Compact"/>
            </w:pPr>
          </w:p>
        </w:tc>
        <w:tc>
          <w:tcPr/>
          <w:p>
            <w:pPr>
              <w:pStyle w:val="Compact"/>
              <w:jc w:val="left"/>
            </w:pPr>
            <w:r>
              <w:rPr>
                <w:b/>
                <w:bCs/>
              </w:rPr>
              <w:t xml:space="preserve">JURY TRIAL DEMANDED</w:t>
            </w:r>
          </w:p>
        </w:tc>
      </w:tr>
    </w:tbl>
    <w:bookmarkEnd w:id="20"/>
    <w:bookmarkStart w:id="25" w:name="X804c0a0f28c3a3d27b9997d4e72a738cac7704e"/>
    <w:p>
      <w:pPr>
        <w:pStyle w:val="Heading1"/>
      </w:pPr>
      <w:r>
        <w:t xml:space="preserve">PLAINTIFF CASTILLO MEDICAL TECHNOLOGIES, INC.’S FIRST SET OF INTERROGATORIES (NO. 1 THROUGH NO. 24) TO DEFENDANT VERIDIAN HEALTH SYSTEMS, LLC</w:t>
      </w:r>
    </w:p>
    <w:p>
      <w:pPr>
        <w:pStyle w:val="FirstParagraph"/>
      </w:pPr>
      <w:r>
        <w:t xml:space="preserve">Pursuant to Rules 26 and 33 of the Federal Rules of Civil Procedure, the Local Rules of this Court, and the Court’s Scheduling Order entered September 4, 2024,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hereby serves upon Defendant Veridian Health Systems, LLC (</w:t>
      </w:r>
      <w:r>
        <w:t xml:space="preserve">“</w:t>
      </w:r>
      <w:r>
        <w:t xml:space="preserve">Veridian</w:t>
      </w:r>
      <w:r>
        <w:t xml:space="preserve">”</w:t>
      </w:r>
      <w:r>
        <w:t xml:space="preserve">) the following First Set of Interrogatories, and requests that Veridian serve its sworn answers, in writing and under oath, within thirty (30) days after service of these interrogatories, as provided by Fed. R. Civ. P. 33(b)(2).</w:t>
      </w:r>
    </w:p>
    <w:bookmarkStart w:id="21" w:name="definitions"/>
    <w:p>
      <w:pPr>
        <w:pStyle w:val="Heading2"/>
      </w:pPr>
      <w:r>
        <w:t xml:space="preserve">DEFINITIONS</w:t>
      </w:r>
    </w:p>
    <w:p>
      <w:pPr>
        <w:pStyle w:val="FirstParagraph"/>
      </w:pPr>
      <w:r>
        <w:t xml:space="preserve">As used in these interrogatories, the following terms have the meanings set forth below:</w:t>
      </w:r>
    </w:p>
    <w:p>
      <w:pPr>
        <w:numPr>
          <w:ilvl w:val="0"/>
          <w:numId w:val="1002"/>
        </w:numPr>
      </w:pPr>
      <w:r>
        <w:rPr>
          <w:b/>
          <w:bCs/>
        </w:rPr>
        <w:t xml:space="preserve">“</w:t>
      </w:r>
      <w:r>
        <w:rPr>
          <w:b/>
          <w:bCs/>
        </w:rPr>
        <w:t xml:space="preserve">CMT</w:t>
      </w:r>
      <w:r>
        <w:rPr>
          <w:b/>
          <w:bCs/>
        </w:rPr>
        <w:t xml:space="preserve">”</w:t>
      </w:r>
      <w:r>
        <w:t xml:space="preserve"> </w:t>
      </w:r>
      <w:r>
        <w:t xml:space="preserve">means Castillo Medical Technologies, Inc.</w:t>
      </w:r>
    </w:p>
    <w:p>
      <w:pPr>
        <w:numPr>
          <w:ilvl w:val="0"/>
          <w:numId w:val="1002"/>
        </w:numPr>
      </w:pPr>
      <w:r>
        <w:rPr>
          <w:b/>
          <w:bCs/>
        </w:rPr>
        <w:t xml:space="preserve">“</w:t>
      </w:r>
      <w:r>
        <w:rPr>
          <w:b/>
          <w:bCs/>
        </w:rPr>
        <w:t xml:space="preserve">Veridian</w:t>
      </w:r>
      <w:r>
        <w:rPr>
          <w:b/>
          <w:bCs/>
        </w:rPr>
        <w:t xml:space="preserve">”</w:t>
      </w:r>
      <w:r>
        <w:t xml:space="preserve"> </w:t>
      </w:r>
      <w:r>
        <w:t xml:space="preserve">means Veridian Health Systems, LLC, and its present and former officers, directors, members, managers, employees, agents, attorneys, consultants, contractors, and any other persons acting on its behalf or subject to its control.</w:t>
      </w:r>
    </w:p>
    <w:p>
      <w:pPr>
        <w:numPr>
          <w:ilvl w:val="0"/>
          <w:numId w:val="1002"/>
        </w:numPr>
      </w:pPr>
      <w:r>
        <w:rPr>
          <w:b/>
          <w:bCs/>
        </w:rPr>
        <w:t xml:space="preserve">“</w:t>
      </w:r>
      <w:r>
        <w:rPr>
          <w:b/>
          <w:bCs/>
        </w:rPr>
        <w:t xml:space="preserve">Oshiro</w:t>
      </w:r>
      <w:r>
        <w:rPr>
          <w:b/>
          <w:bCs/>
        </w:rPr>
        <w:t xml:space="preserve">”</w:t>
      </w:r>
      <w:r>
        <w:t xml:space="preserve"> </w:t>
      </w:r>
      <w:r>
        <w:t xml:space="preserve">means Ryan Oshiro.</w:t>
      </w:r>
    </w:p>
    <w:p>
      <w:pPr>
        <w:numPr>
          <w:ilvl w:val="0"/>
          <w:numId w:val="1002"/>
        </w:numPr>
      </w:pPr>
      <w:r>
        <w:rPr>
          <w:b/>
          <w:bCs/>
        </w:rPr>
        <w:t xml:space="preserve">“</w:t>
      </w:r>
      <w:r>
        <w:rPr>
          <w:b/>
          <w:bCs/>
        </w:rPr>
        <w:t xml:space="preserve">CMT Trade Secrets</w:t>
      </w:r>
      <w:r>
        <w:rPr>
          <w:b/>
          <w:bCs/>
        </w:rPr>
        <w:t xml:space="preserve">”</w:t>
      </w:r>
      <w:r>
        <w:t xml:space="preserve"> </w:t>
      </w:r>
      <w:r>
        <w:t xml:space="preserve">means, individually and collectively, the NeuralPath Algorithm, the PrecisionDrive System, and the PathPlanner Module, as those terms are used in the First Amended Complaint, including all related source code, algorithms, signal-processing methods, calibration protocols, CAD schematics, mechanical designs, engineering tolerances, control logic, training datasets, model weights, hyperparameters, model architectures, error-correction methodologies, and documentation.</w:t>
      </w:r>
    </w:p>
    <w:p>
      <w:pPr>
        <w:numPr>
          <w:ilvl w:val="0"/>
          <w:numId w:val="1002"/>
        </w:numPr>
      </w:pPr>
      <w:r>
        <w:rPr>
          <w:b/>
          <w:bCs/>
        </w:rPr>
        <w:t xml:space="preserve">“</w:t>
      </w:r>
      <w:r>
        <w:rPr>
          <w:b/>
          <w:bCs/>
        </w:rPr>
        <w:t xml:space="preserve">CMT Confidential Information</w:t>
      </w:r>
      <w:r>
        <w:rPr>
          <w:b/>
          <w:bCs/>
        </w:rPr>
        <w:t xml:space="preserve">”</w:t>
      </w:r>
      <w:r>
        <w:t xml:space="preserve"> </w:t>
      </w:r>
      <w:r>
        <w:t xml:space="preserve">means any information constituting</w:t>
      </w:r>
      <w:r>
        <w:t xml:space="preserve"> </w:t>
      </w:r>
      <w:r>
        <w:t xml:space="preserve">“</w:t>
      </w:r>
      <w:r>
        <w:t xml:space="preserve">Confidential Information</w:t>
      </w:r>
      <w:r>
        <w:t xml:space="preserve">”</w:t>
      </w:r>
      <w:r>
        <w:t xml:space="preserve"> </w:t>
      </w:r>
      <w:r>
        <w:t xml:space="preserve">as that term is defined in the Confidentiality, Non-Disclosure, and Invention Assignment Agreement between CMT and Oshiro dated March 5, 2018 (the</w:t>
      </w:r>
      <w:r>
        <w:t xml:space="preserve"> </w:t>
      </w:r>
      <w:r>
        <w:t xml:space="preserve">“</w:t>
      </w:r>
      <w:r>
        <w:t xml:space="preserve">NDA</w:t>
      </w:r>
      <w:r>
        <w:t xml:space="preserve">”</w:t>
      </w:r>
      <w:r>
        <w:t xml:space="preserve">).</w:t>
      </w:r>
    </w:p>
    <w:p>
      <w:pPr>
        <w:numPr>
          <w:ilvl w:val="0"/>
          <w:numId w:val="1002"/>
        </w:numPr>
      </w:pPr>
      <w:r>
        <w:rPr>
          <w:b/>
          <w:bCs/>
        </w:rPr>
        <w:t xml:space="preserve">“</w:t>
      </w:r>
      <w:r>
        <w:rPr>
          <w:b/>
          <w:bCs/>
        </w:rPr>
        <w:t xml:space="preserve">SynapticEdge</w:t>
      </w:r>
      <w:r>
        <w:rPr>
          <w:b/>
          <w:bCs/>
        </w:rPr>
        <w:t xml:space="preserve">”</w:t>
      </w:r>
      <w:r>
        <w:t xml:space="preserve"> </w:t>
      </w:r>
      <w:r>
        <w:t xml:space="preserve">means the SynapticEdge surgical robotics platform announced by Veridian on June 11, 2024, together with all features, modules, subsystems, components, software, and hardware associated with it, in any stage of development.</w:t>
      </w:r>
    </w:p>
    <w:p>
      <w:pPr>
        <w:numPr>
          <w:ilvl w:val="0"/>
          <w:numId w:val="1002"/>
        </w:numPr>
      </w:pPr>
      <w:r>
        <w:rPr>
          <w:b/>
          <w:bCs/>
        </w:rPr>
        <w:t xml:space="preserve">“</w:t>
      </w:r>
      <w:r>
        <w:rPr>
          <w:b/>
          <w:bCs/>
        </w:rPr>
        <w:t xml:space="preserve">NeuroGuide 4.0</w:t>
      </w:r>
      <w:r>
        <w:rPr>
          <w:b/>
          <w:bCs/>
        </w:rPr>
        <w:t xml:space="preserve">”</w:t>
      </w:r>
      <w:r>
        <w:t xml:space="preserve"> </w:t>
      </w:r>
      <w:r>
        <w:t xml:space="preserve">means CMT’s next-generation surgical robotics platform, including the NeuralPath Algorithm, the PrecisionDrive System, and the PathPlanner Module.</w:t>
      </w:r>
    </w:p>
    <w:p>
      <w:pPr>
        <w:numPr>
          <w:ilvl w:val="0"/>
          <w:numId w:val="1002"/>
        </w:numPr>
      </w:pPr>
      <w:r>
        <w:rPr>
          <w:b/>
          <w:bCs/>
        </w:rPr>
        <w:t xml:space="preserve">“</w:t>
      </w:r>
      <w:r>
        <w:rPr>
          <w:b/>
          <w:bCs/>
        </w:rPr>
        <w:t xml:space="preserve">USB Drive</w:t>
      </w:r>
      <w:r>
        <w:rPr>
          <w:b/>
          <w:bCs/>
        </w:rPr>
        <w:t xml:space="preserve">”</w:t>
      </w:r>
      <w:r>
        <w:t xml:space="preserve"> </w:t>
      </w:r>
      <w:r>
        <w:t xml:space="preserve">means the 2TB Corsair portable external USB storage device bearing serial number CX-8827491, and any copies, clones, forensic images, backups, or duplicates thereof, in whole or in part.</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joint venture, or other legal entity.</w:t>
      </w:r>
    </w:p>
    <w:p>
      <w:pPr>
        <w:numPr>
          <w:ilvl w:val="0"/>
          <w:numId w:val="1002"/>
        </w:numPr>
      </w:pPr>
      <w:r>
        <w:rPr>
          <w:b/>
          <w:bCs/>
        </w:rPr>
        <w:t xml:space="preserve">“</w:t>
      </w:r>
      <w:r>
        <w:rPr>
          <w:b/>
          <w:bCs/>
        </w:rPr>
        <w:t xml:space="preserve">Communication</w:t>
      </w:r>
      <w:r>
        <w:rPr>
          <w:b/>
          <w:bCs/>
        </w:rPr>
        <w:t xml:space="preserve">”</w:t>
      </w:r>
      <w:r>
        <w:t xml:space="preserve"> </w:t>
      </w:r>
      <w:r>
        <w:t xml:space="preserve">means any exchange of information, whether oral, written, or electronic, including but not limited to emails, text messages, LinkedIn messages, instant messages, messages on Slack, Microsoft Teams, or similar platforms, voicemails, memoranda, letters, and conversations.</w:t>
      </w:r>
    </w:p>
    <w:p>
      <w:pPr>
        <w:numPr>
          <w:ilvl w:val="0"/>
          <w:numId w:val="1002"/>
        </w:numPr>
      </w:pPr>
      <w:r>
        <w:rPr>
          <w:b/>
          <w:bCs/>
        </w:rPr>
        <w:t xml:space="preserve">“</w:t>
      </w:r>
      <w:r>
        <w:rPr>
          <w:b/>
          <w:bCs/>
        </w:rPr>
        <w:t xml:space="preserve">Document</w:t>
      </w:r>
      <w:r>
        <w:rPr>
          <w:b/>
          <w:bCs/>
        </w:rPr>
        <w:t xml:space="preserve">”</w:t>
      </w:r>
      <w:r>
        <w:t xml:space="preserve"> </w:t>
      </w:r>
      <w:r>
        <w:t xml:space="preserve">has the meaning given in Fed. R. Civ. P. 34(a), and includes all writings, drawings, graphs, charts, photographs, sound recordings, images, and other data or information compilations stored on any medium, including electronically stored information.</w:t>
      </w:r>
    </w:p>
    <w:p>
      <w:pPr>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Identification</w:t>
      </w:r>
      <w:r>
        <w:rPr>
          <w:b/>
          <w:bCs/>
        </w:rPr>
        <w:t xml:space="preserve">”</w:t>
      </w:r>
      <w:r>
        <w:t xml:space="preserve"> </w:t>
      </w:r>
      <w:r>
        <w:t xml:space="preserve">means:</w:t>
      </w:r>
    </w:p>
    <w:p>
      <w:pPr>
        <w:numPr>
          <w:ilvl w:val="1"/>
          <w:numId w:val="1003"/>
        </w:numPr>
      </w:pPr>
      <w:r>
        <w:t xml:space="preserve">when used with respect to a</w:t>
      </w:r>
      <w:r>
        <w:t xml:space="preserve"> </w:t>
      </w:r>
      <w:r>
        <w:rPr>
          <w:b/>
          <w:bCs/>
        </w:rPr>
        <w:t xml:space="preserve">Person</w:t>
      </w:r>
      <w:r>
        <w:t xml:space="preserve">, to state the person’s full name, current or last-known business and residential addresses, telephone number, email address, current employer or affiliation, and the person’s relationship to Veridian;</w:t>
      </w:r>
    </w:p>
    <w:p>
      <w:pPr>
        <w:numPr>
          <w:ilvl w:val="1"/>
          <w:numId w:val="1003"/>
        </w:numPr>
      </w:pPr>
      <w:r>
        <w:t xml:space="preserve">when used with respect to a</w:t>
      </w:r>
      <w:r>
        <w:t xml:space="preserve"> </w:t>
      </w:r>
      <w:r>
        <w:rPr>
          <w:b/>
          <w:bCs/>
        </w:rPr>
        <w:t xml:space="preserve">Document</w:t>
      </w:r>
      <w:r>
        <w:t xml:space="preserve">, to state its type (e.g., email, contract, memorandum), title or description, date, author, recipient(s), custodian, and sufficient information to enable Plaintiff to request its production pursuant to Fed. R. Civ. P. 34; and</w:t>
      </w:r>
    </w:p>
    <w:p>
      <w:pPr>
        <w:numPr>
          <w:ilvl w:val="1"/>
          <w:numId w:val="1003"/>
        </w:numPr>
      </w:pPr>
      <w:r>
        <w:t xml:space="preserve">when used with respect to a</w:t>
      </w:r>
      <w:r>
        <w:t xml:space="preserve"> </w:t>
      </w:r>
      <w:r>
        <w:rPr>
          <w:b/>
          <w:bCs/>
        </w:rPr>
        <w:t xml:space="preserve">Communication</w:t>
      </w:r>
      <w:r>
        <w:t xml:space="preserve">, to state its date, the participants, the form or medium, and the general subject matter.</w:t>
      </w:r>
    </w:p>
    <w:p>
      <w:pPr>
        <w:numPr>
          <w:ilvl w:val="0"/>
          <w:numId w:val="1002"/>
        </w:numPr>
      </w:pPr>
      <w:r>
        <w:rPr>
          <w:b/>
          <w:bCs/>
        </w:rPr>
        <w:t xml:space="preserve">“</w:t>
      </w:r>
      <w:r>
        <w:rPr>
          <w:b/>
          <w:bCs/>
        </w:rPr>
        <w:t xml:space="preserve">Furukawa,</w:t>
      </w:r>
      <w:r>
        <w:rPr>
          <w:b/>
          <w:bCs/>
        </w:rPr>
        <w:t xml:space="preserve">”</w:t>
      </w:r>
      <w:r>
        <w:rPr>
          <w:b/>
          <w:bCs/>
        </w:rPr>
        <w:t xml:space="preserve"> </w:t>
      </w:r>
      <w:r>
        <w:rPr>
          <w:b/>
          <w:bCs/>
        </w:rPr>
        <w:t xml:space="preserve">“</w:t>
      </w:r>
      <w:r>
        <w:rPr>
          <w:b/>
          <w:bCs/>
        </w:rPr>
        <w:t xml:space="preserve">Briggs,</w:t>
      </w:r>
      <w:r>
        <w:rPr>
          <w:b/>
          <w:bCs/>
        </w:rPr>
        <w:t xml:space="preserve">”</w:t>
      </w:r>
      <w:r>
        <w:t xml:space="preserve"> </w:t>
      </w:r>
      <w:r>
        <w:t xml:space="preserve">and</w:t>
      </w:r>
      <w:r>
        <w:t xml:space="preserve"> </w:t>
      </w:r>
      <w:r>
        <w:rPr>
          <w:b/>
          <w:bCs/>
        </w:rPr>
        <w:t xml:space="preserve">“</w:t>
      </w:r>
      <w:r>
        <w:rPr>
          <w:b/>
          <w:bCs/>
        </w:rPr>
        <w:t xml:space="preserve">Moreno</w:t>
      </w:r>
      <w:r>
        <w:rPr>
          <w:b/>
          <w:bCs/>
        </w:rPr>
        <w:t xml:space="preserve">”</w:t>
      </w:r>
      <w:r>
        <w:t xml:space="preserve"> </w:t>
      </w:r>
      <w:r>
        <w:t xml:space="preserve">mean Dr. Kenji Furukawa, Samantha Briggs, and David Moreno, respectively.</w:t>
      </w:r>
    </w:p>
    <w:bookmarkEnd w:id="21"/>
    <w:bookmarkStart w:id="22" w:name="instructions"/>
    <w:p>
      <w:pPr>
        <w:pStyle w:val="Heading2"/>
      </w:pPr>
      <w:r>
        <w:t xml:space="preserve">INSTRUCTIONS</w:t>
      </w:r>
    </w:p>
    <w:p>
      <w:pPr>
        <w:numPr>
          <w:ilvl w:val="0"/>
          <w:numId w:val="1004"/>
        </w:numPr>
      </w:pPr>
      <w:r>
        <w:rPr>
          <w:b/>
          <w:bCs/>
        </w:rPr>
        <w:t xml:space="preserve">Scope of Answers.</w:t>
      </w:r>
      <w:r>
        <w:t xml:space="preserve"> </w:t>
      </w:r>
      <w:r>
        <w:t xml:space="preserve">Veridian is required to answer each of the following interrogatories separately and fully in writing and under oath. In accordance with Fed. R. Civ. P. 33(a)(1) and (b)(1), Veridian shall furnish the information known or reasonably available to it, including all information in the possession of, or reasonably obtainable from, its officers, directors, members, managers, employees, agents, attorneys, consultants, and other persons subject to its control.</w:t>
      </w:r>
    </w:p>
    <w:p>
      <w:pPr>
        <w:numPr>
          <w:ilvl w:val="0"/>
          <w:numId w:val="1004"/>
        </w:numPr>
      </w:pPr>
      <w:r>
        <w:rPr>
          <w:b/>
          <w:bCs/>
        </w:rPr>
        <w:t xml:space="preserve">Continuing Obligation.</w:t>
      </w:r>
      <w:r>
        <w:t xml:space="preserve"> </w:t>
      </w:r>
      <w:r>
        <w:t xml:space="preserve">These interrogatories are continuing in nature. Veridian is obligated to supplement its answers promptly and in accordance with Fed. R. Civ. P. 26(e) whenever it learns that a response is incomplete or incorrect.</w:t>
      </w:r>
    </w:p>
    <w:p>
      <w:pPr>
        <w:numPr>
          <w:ilvl w:val="0"/>
          <w:numId w:val="1004"/>
        </w:numPr>
      </w:pPr>
      <w:r>
        <w:rPr>
          <w:b/>
          <w:bCs/>
        </w:rPr>
        <w:t xml:space="preserve">Objections.</w:t>
      </w:r>
      <w:r>
        <w:t xml:space="preserve"> </w:t>
      </w:r>
      <w:r>
        <w:t xml:space="preserve">If Veridian objects to any interrogatory, it shall state the specific grounds for the objection with particularity and shall nevertheless answer the interrogatory to the fullest extent not objectionable, in accordance with Fed. R. Civ. P. 33(b)(4). A general or boilerplate objection is insufficient.</w:t>
      </w:r>
    </w:p>
    <w:p>
      <w:pPr>
        <w:numPr>
          <w:ilvl w:val="0"/>
          <w:numId w:val="1004"/>
        </w:numPr>
      </w:pPr>
      <w:r>
        <w:rPr>
          <w:b/>
          <w:bCs/>
        </w:rPr>
        <w:t xml:space="preserve">Inability to Answer Fully.</w:t>
      </w:r>
      <w:r>
        <w:t xml:space="preserve"> </w:t>
      </w:r>
      <w:r>
        <w:t xml:space="preserve">If Veridian is unable to answer any interrogatory in full, it shall state so, shall set forth the extent to which it is able to answer, shall describe the efforts it has made to obtain the information, and shall state the reason for its inability to answer further.</w:t>
      </w:r>
    </w:p>
    <w:p>
      <w:pPr>
        <w:numPr>
          <w:ilvl w:val="0"/>
          <w:numId w:val="1004"/>
        </w:numPr>
      </w:pPr>
      <w:r>
        <w:rPr>
          <w:b/>
          <w:bCs/>
        </w:rPr>
        <w:t xml:space="preserve">Reference to Documents.</w:t>
      </w:r>
      <w:r>
        <w:t xml:space="preserve"> </w:t>
      </w:r>
      <w:r>
        <w:t xml:space="preserve">Where an interrogatory calls for the Identification of Documents, Veridian shall identify each responsive Document as provided in the definition of</w:t>
      </w:r>
      <w:r>
        <w:t xml:space="preserve"> </w:t>
      </w:r>
      <w:r>
        <w:t xml:space="preserve">“</w:t>
      </w:r>
      <w:r>
        <w:t xml:space="preserve">Identify</w:t>
      </w:r>
      <w:r>
        <w:t xml:space="preserve">”</w:t>
      </w:r>
      <w:r>
        <w:t xml:space="preserve"> </w:t>
      </w:r>
      <w:r>
        <w:t xml:space="preserve">above. Production of Documents may be sought separately through Plaintiff’s requests for production of documents.</w:t>
      </w:r>
    </w:p>
    <w:p>
      <w:pPr>
        <w:numPr>
          <w:ilvl w:val="0"/>
          <w:numId w:val="1004"/>
        </w:numPr>
      </w:pPr>
      <w:r>
        <w:rPr>
          <w:b/>
          <w:bCs/>
        </w:rPr>
        <w:t xml:space="preserve">Contention Interrogatories.</w:t>
      </w:r>
      <w:r>
        <w:t xml:space="preserve"> </w:t>
      </w:r>
      <w:r>
        <w:t xml:space="preserve">Several interrogatories request the factual basis for Veridian’s contentions or defenses. Veridian shall provide a complete statement of all facts, the Identification of all Persons with knowledge of those facts, and the Identification of all Documents supporting each contention or defense. If Veridian has not yet formed a complete response to any such interrogatory, it shall so state and shall supplement its answer as soon as the information becomes available.</w:t>
      </w:r>
    </w:p>
    <w:p>
      <w:pPr>
        <w:numPr>
          <w:ilvl w:val="0"/>
          <w:numId w:val="1004"/>
        </w:numPr>
      </w:pPr>
      <w:r>
        <w:rPr>
          <w:b/>
          <w:bCs/>
        </w:rPr>
        <w:t xml:space="preserve">Privilege.</w:t>
      </w:r>
      <w:r>
        <w:t xml:space="preserve"> </w:t>
      </w:r>
      <w:r>
        <w:t xml:space="preserve">If Veridian withholds information on the basis of any privilege, including the attorney-client privilege or the attorney work-product doctrine, it shall: (a) expressly assert the privilege; (b) describe the nature of the withheld information in a manner that, without revealing the privileged content, enables Plaintiff to assess the applicability of the privilege; and (c) provide the information required by Fed. R. Civ. P. 26(b)(5)(A), including the date, participants, and general subject matter of any withheld Communication, in a form consistent with a privilege log.</w:t>
      </w:r>
    </w:p>
    <w:p>
      <w:pPr>
        <w:numPr>
          <w:ilvl w:val="0"/>
          <w:numId w:val="1004"/>
        </w:numPr>
      </w:pPr>
      <w:r>
        <w:rPr>
          <w:b/>
          <w:bCs/>
        </w:rPr>
        <w:t xml:space="preserve">Confidentiality.</w:t>
      </w:r>
      <w:r>
        <w:t xml:space="preserve"> </w:t>
      </w:r>
      <w:r>
        <w:t xml:space="preserve">These interrogatories are subject to the Protective Order entered in this action. Veridian may designate any answer, or portion thereof,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as appropriate under the Protective Order.</w:t>
      </w:r>
    </w:p>
    <w:p>
      <w:pPr>
        <w:numPr>
          <w:ilvl w:val="0"/>
          <w:numId w:val="1004"/>
        </w:numPr>
      </w:pPr>
      <w:r>
        <w:rPr>
          <w:b/>
          <w:bCs/>
        </w:rPr>
        <w:t xml:space="preserve">General.</w:t>
      </w:r>
      <w:r>
        <w:t xml:space="preserve"> </w:t>
      </w:r>
      <w:r>
        <w:t xml:space="preserve">The singular includes the plural and vice versa;</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are used in the inclusive sense; and any reference to the CMT Trade Secrets includes each of the NeuralPath Algorithm, the PrecisionDrive System, and the PathPlanner Module, individually and collectively.</w:t>
      </w:r>
    </w:p>
    <w:bookmarkEnd w:id="22"/>
    <w:bookmarkStart w:id="23" w:name="interrogatories"/>
    <w:p>
      <w:pPr>
        <w:pStyle w:val="Heading2"/>
      </w:pPr>
      <w:r>
        <w:t xml:space="preserve">INTERROGATORIES</w:t>
      </w:r>
    </w:p>
    <w:p>
      <w:pPr>
        <w:pStyle w:val="FirstParagraph"/>
      </w:pPr>
      <w:r>
        <w:rPr>
          <w:b/>
          <w:bCs/>
        </w:rPr>
        <w:t xml:space="preserve">INTERROGATORY NO. 1:</w:t>
      </w:r>
      <w:r>
        <w:t xml:space="preserve"> </w:t>
      </w:r>
      <w:r>
        <w:t xml:space="preserve">State the date on which Veridian first conceived of, authorized, or commenced development of the SynapticEdge platform, and set forth in chronological order each significant milestone in the development of SynapticEdge from inception through June 11, 2024, including for each milestone the date, the Persons involved, and a description of the work completed.</w:t>
      </w:r>
    </w:p>
    <w:p>
      <w:pPr>
        <w:pStyle w:val="BodyText"/>
      </w:pPr>
      <w:r>
        <w:rPr>
          <w:b/>
          <w:bCs/>
        </w:rPr>
        <w:t xml:space="preserve">INTERROGATORY NO. 2:</w:t>
      </w:r>
      <w:r>
        <w:t xml:space="preserve"> </w:t>
      </w:r>
      <w:r>
        <w:t xml:space="preserve">Identify each Person who participated in or contributed to the conception, design, development, testing, validation, marketing, or launch of SynapticEdge, and for each such Person state their full name and job title, the date they began working on SynapticEdge, their role on the project, and the specific tasks or components on which they worked.</w:t>
      </w:r>
    </w:p>
    <w:p>
      <w:pPr>
        <w:pStyle w:val="BodyText"/>
      </w:pPr>
      <w:r>
        <w:rPr>
          <w:b/>
          <w:bCs/>
        </w:rPr>
        <w:t xml:space="preserve">INTERROGATORY NO. 3:</w:t>
      </w:r>
      <w:r>
        <w:t xml:space="preserve"> </w:t>
      </w:r>
      <w:r>
        <w:t xml:space="preserve">Describe in detail the specific contributions that Oshiro made to SynapticEdge from his first day of employment at Veridian through June 11, 2024, including the specific features, modules, algorithms, components, or subsystems on which he worked, the dates of his work, and the Persons with whom he worked.</w:t>
      </w:r>
    </w:p>
    <w:p>
      <w:pPr>
        <w:pStyle w:val="BodyText"/>
      </w:pPr>
      <w:r>
        <w:rPr>
          <w:b/>
          <w:bCs/>
        </w:rPr>
        <w:t xml:space="preserve">INTERROGATORY NO. 4:</w:t>
      </w:r>
      <w:r>
        <w:t xml:space="preserve"> </w:t>
      </w:r>
      <w:r>
        <w:t xml:space="preserve">Describe the state of development of SynapticEdge as of March 18, 2024 (the date Oshiro commenced employment at Veridian), including which features, modules, or components of SynapticEdge had been completed, were in development, or had not yet been commenced as of that date, and Identify all Documents reflecting the status of SynapticEdge development as of that date.</w:t>
      </w:r>
    </w:p>
    <w:p>
      <w:pPr>
        <w:pStyle w:val="BodyText"/>
      </w:pPr>
      <w:r>
        <w:rPr>
          <w:b/>
          <w:bCs/>
        </w:rPr>
        <w:t xml:space="preserve">INTERROGATORY NO. 5:</w:t>
      </w:r>
      <w:r>
        <w:t xml:space="preserve"> </w:t>
      </w:r>
      <w:r>
        <w:t xml:space="preserve">State whether Veridian contends that SynapticEdge, or any feature, module, or component thereof, was conceived or developed independently of, and without use of or reference to, any CMT Trade Secret or CMT Confidential Information, and if so, set forth in detail the factual basis for that contention, including the dates on which development occurred, the Persons who performed the work, the resources used, and the Identification of all Documents that support the contention.</w:t>
      </w:r>
    </w:p>
    <w:p>
      <w:pPr>
        <w:pStyle w:val="BodyText"/>
      </w:pPr>
      <w:r>
        <w:rPr>
          <w:b/>
          <w:bCs/>
        </w:rPr>
        <w:t xml:space="preserve">INTERROGATORY NO. 6:</w:t>
      </w:r>
      <w:r>
        <w:t xml:space="preserve"> </w:t>
      </w:r>
      <w:r>
        <w:t xml:space="preserve">Describe how each of the following features of SynapticEdge was developed, including for each feature the Persons who developed it, the dates of development, and the sources of information, data, or know-how relied upon in developing it: the real-time neural mapping overlay; the harmonic micro-actuation system; the AI-powered surgical pathway planning module; the surgeon calibration workflow; and the predictive error-correction protocol for robotic arm drift.</w:t>
      </w:r>
    </w:p>
    <w:p>
      <w:pPr>
        <w:pStyle w:val="BodyText"/>
      </w:pPr>
      <w:r>
        <w:rPr>
          <w:b/>
          <w:bCs/>
        </w:rPr>
        <w:t xml:space="preserve">INTERROGATORY NO. 7:</w:t>
      </w:r>
      <w:r>
        <w:t xml:space="preserve"> </w:t>
      </w:r>
      <w:r>
        <w:t xml:space="preserve">State whether, prior to the announcement of SynapticEdge on June 11, 2024, Veridian had developed, marketed, sold, or publicly disclosed any surgical robotics product, feature, or technology directed to neurosurgical applications, and if so, Identify each such product or technology, state the date of its development or release, and Identify the Persons involved in its development.</w:t>
      </w:r>
    </w:p>
    <w:p>
      <w:pPr>
        <w:pStyle w:val="BodyText"/>
      </w:pPr>
      <w:r>
        <w:rPr>
          <w:b/>
          <w:bCs/>
        </w:rPr>
        <w:t xml:space="preserve">INTERROGATORY NO. 8:</w:t>
      </w:r>
      <w:r>
        <w:t xml:space="preserve"> </w:t>
      </w:r>
      <w:r>
        <w:t xml:space="preserve">State whether any officer, director, employee, agent, or representative of Veridian had knowledge of, or was informed of or given access to, any CMT Trade Secret or CMT Confidential Information at any time before or during Oshiro’s employment at Veridian, and for each instance describe the source of such knowledge or access, the date, the Person who possessed or received it, and the content of the information.</w:t>
      </w:r>
    </w:p>
    <w:p>
      <w:pPr>
        <w:pStyle w:val="BodyText"/>
      </w:pPr>
      <w:r>
        <w:rPr>
          <w:b/>
          <w:bCs/>
        </w:rPr>
        <w:t xml:space="preserve">INTERROGATORY NO. 9:</w:t>
      </w:r>
      <w:r>
        <w:t xml:space="preserve"> </w:t>
      </w:r>
      <w:r>
        <w:t xml:space="preserve">State whether any CMT Trade Secret or CMT Confidential Information was used, referenced, incorporated into, derived from, or relied upon in the conception, design, development, testing, or marketing of SynapticEdge or any feature thereof, and if so, describe in detail the manner in which such information was used and Identify the Persons who used it.</w:t>
      </w:r>
    </w:p>
    <w:p>
      <w:pPr>
        <w:pStyle w:val="BodyText"/>
      </w:pPr>
      <w:r>
        <w:rPr>
          <w:b/>
          <w:bCs/>
        </w:rPr>
        <w:t xml:space="preserve">INTERROGATORY NO. 10:</w:t>
      </w:r>
      <w:r>
        <w:t xml:space="preserve"> </w:t>
      </w:r>
      <w:r>
        <w:t xml:space="preserve">State whether Veridian or any of its officers, directors, employees, agents, or representatives has ever received, accessed, copied, viewed, downloaded, stored, transmitted, or used any CMT file, data, or CMT Confidential Information, including any data originating from or contained on the USB Drive; and state whether the USB Drive, or any copy, clone, or image thereof, has ever been connected to, accessed by, or copied onto any Veridian computer, server, workstation, or other device; and for each instance describe the circumstances, including the date, the device, and the Person involved.</w:t>
      </w:r>
    </w:p>
    <w:p>
      <w:pPr>
        <w:pStyle w:val="BodyText"/>
      </w:pPr>
      <w:r>
        <w:rPr>
          <w:b/>
          <w:bCs/>
        </w:rPr>
        <w:t xml:space="preserve">INTERROGATORY NO. 11:</w:t>
      </w:r>
      <w:r>
        <w:t xml:space="preserve"> </w:t>
      </w:r>
      <w:r>
        <w:t xml:space="preserve">Describe in detail Veridian’s recruitment and hiring of Oshiro, including the November 29, 2023 LinkedIn job posting for</w:t>
      </w:r>
      <w:r>
        <w:t xml:space="preserve"> </w:t>
      </w:r>
      <w:r>
        <w:t xml:space="preserve">“</w:t>
      </w:r>
      <w:r>
        <w:t xml:space="preserve">SVP, Product Development — Surgical Robotics</w:t>
      </w:r>
      <w:r>
        <w:t xml:space="preserve">”</w:t>
      </w:r>
      <w:r>
        <w:t xml:space="preserve">; the December 3, 2023 LinkedIn message from Marcus Trent to Oshiro; all Communications between any Veridian Person and Oshiro from November 1, 2023 through March 18, 2024; and any discussion during the recruitment or hiring process concerning CMT, the NeuroGuide 4.0 platform, the CMT Trade Secrets, CMT’s development roadmap, or any other CMT Confidential Information.</w:t>
      </w:r>
    </w:p>
    <w:p>
      <w:pPr>
        <w:pStyle w:val="BodyText"/>
      </w:pPr>
      <w:r>
        <w:rPr>
          <w:b/>
          <w:bCs/>
        </w:rPr>
        <w:t xml:space="preserve">INTERROGATORY NO. 12:</w:t>
      </w:r>
      <w:r>
        <w:t xml:space="preserve"> </w:t>
      </w:r>
      <w:r>
        <w:t xml:space="preserve">State the full terms of the compensation and benefits package offered to and accepted by Oshiro in connection with his employment at Veridian, including base salary, signing bonus, equity grants, vesting terms, and any other compensation or benefits, and describe the basis on which that package was determined, including the Persons who approved it and the Identification of all Documents reflecting the determination.</w:t>
      </w:r>
    </w:p>
    <w:p>
      <w:pPr>
        <w:pStyle w:val="BodyText"/>
      </w:pPr>
      <w:r>
        <w:rPr>
          <w:b/>
          <w:bCs/>
        </w:rPr>
        <w:t xml:space="preserve">INTERROGATORY NO. 13:</w:t>
      </w:r>
      <w:r>
        <w:t xml:space="preserve"> </w:t>
      </w:r>
      <w:r>
        <w:t xml:space="preserve">State whether Veridian, at any time before or after hiring Oshiro, knew or had reason to know that Oshiro was subject to confidentiality, non-disclosure, non-solicitation, or invention-assignment obligations to CMT pursuant to the NDA or otherwise, and describe in detail any inquiry, investigation, or review Veridian conducted concerning Oshiro’s obligations to CMT, including the dates, the Persons who conducted the inquiry, and the results.</w:t>
      </w:r>
    </w:p>
    <w:p>
      <w:pPr>
        <w:pStyle w:val="BodyText"/>
      </w:pPr>
      <w:r>
        <w:rPr>
          <w:b/>
          <w:bCs/>
        </w:rPr>
        <w:t xml:space="preserve">INTERROGATORY NO. 14:</w:t>
      </w:r>
      <w:r>
        <w:t xml:space="preserve"> </w:t>
      </w:r>
      <w:r>
        <w:t xml:space="preserve">Describe in detail any information barriers, ethical walls, clean-room procedures, screening protocols, onboarding procedures, or other measures that Veridian implemented, before or after hiring Oshiro, Furukawa, Briggs, or Moreno, to prevent the use, disclosure, or incorporation of any CMT Trade Secret or CMT Confidential Information in Veridian’s products or operations; and if no such measures were implemented, state so and explain why.</w:t>
      </w:r>
    </w:p>
    <w:p>
      <w:pPr>
        <w:pStyle w:val="BodyText"/>
      </w:pPr>
      <w:r>
        <w:rPr>
          <w:b/>
          <w:bCs/>
        </w:rPr>
        <w:t xml:space="preserve">INTERROGATORY NO. 15:</w:t>
      </w:r>
      <w:r>
        <w:t xml:space="preserve"> </w:t>
      </w:r>
      <w:r>
        <w:t xml:space="preserve">State whether Veridian, Oshiro, or any other Veridian Person solicited, recruited, interviewed, offered employment to, or hired Furukawa, Briggs, or Moreno, and for each such individual describe in detail the circumstances, including who initiated contact, the dates of all Communications, Oshiro’s involvement, and the terms of compensation and benefits offered.</w:t>
      </w:r>
    </w:p>
    <w:p>
      <w:pPr>
        <w:pStyle w:val="BodyText"/>
      </w:pPr>
      <w:r>
        <w:rPr>
          <w:b/>
          <w:bCs/>
        </w:rPr>
        <w:t xml:space="preserve">INTERROGATORY NO. 16:</w:t>
      </w:r>
      <w:r>
        <w:t xml:space="preserve"> </w:t>
      </w:r>
      <w:r>
        <w:t xml:space="preserve">Identify each Person who is or has been employed by, or engaged as a consultant or contractor by, Veridian at any time from November 1, 2023 to the present who was formerly employed by CMT, and for each such Person state their dates of employment at CMT and at Veridian, their role at each company, and the circumstances of their hiring at Veridian.</w:t>
      </w:r>
    </w:p>
    <w:p>
      <w:pPr>
        <w:pStyle w:val="BodyText"/>
      </w:pPr>
      <w:r>
        <w:rPr>
          <w:b/>
          <w:bCs/>
        </w:rPr>
        <w:t xml:space="preserve">INTERROGATORY NO. 17:</w:t>
      </w:r>
      <w:r>
        <w:t xml:space="preserve"> </w:t>
      </w:r>
      <w:r>
        <w:t xml:space="preserve">Describe in detail the $60 million Series C investment in Veridian led by Thorncastle Ventures, including the date the investment was agreed or closed, the terms of the investment, the intended use of the proceeds, and any representations or statements Veridian made to Thorncastle Ventures or any other investor concerning SynapticEdge, its development, its technology, or CMT or CMT’s technology.</w:t>
      </w:r>
    </w:p>
    <w:p>
      <w:pPr>
        <w:pStyle w:val="BodyText"/>
      </w:pPr>
      <w:r>
        <w:rPr>
          <w:b/>
          <w:bCs/>
        </w:rPr>
        <w:t xml:space="preserve">INTERROGATORY NO. 18:</w:t>
      </w:r>
      <w:r>
        <w:t xml:space="preserve"> </w:t>
      </w:r>
      <w:r>
        <w:t xml:space="preserve">State the total revenue, profit, cost savings, capital raised, increase in valuation, or other economic benefit that Veridian has derived, or expects to derive, from SynapticEdge, and describe in detail the basis for each amount stated, including the Identification of all Documents relied upon and the Persons who prepared the estimates.</w:t>
      </w:r>
    </w:p>
    <w:p>
      <w:pPr>
        <w:pStyle w:val="BodyText"/>
      </w:pPr>
      <w:r>
        <w:rPr>
          <w:b/>
          <w:bCs/>
        </w:rPr>
        <w:t xml:space="preserve">INTERROGATORY NO. 19:</w:t>
      </w:r>
      <w:r>
        <w:t xml:space="preserve"> </w:t>
      </w:r>
      <w:r>
        <w:t xml:space="preserve">State whether Veridian contends that any of the CMT Trade Secrets is not a trade secret under the Defend Trade Secrets Act, 18 U.S.C. § 1836 et seq., or the Texas Uniform Trade Secrets Act, Tex. Civ. Prac. &amp; Rem. Code § 134A.001 et seq.; is publicly known or readily ascertainable through proper means; or that CMT failed to take reasonable measures to maintain its secrecy; and if so, set forth in detail the factual basis for each such contention, including the Identification of all Documents and Persons supporting it.</w:t>
      </w:r>
    </w:p>
    <w:p>
      <w:pPr>
        <w:pStyle w:val="BodyText"/>
      </w:pPr>
      <w:r>
        <w:rPr>
          <w:b/>
          <w:bCs/>
        </w:rPr>
        <w:t xml:space="preserve">INTERROGATORY NO. 20:</w:t>
      </w:r>
      <w:r>
        <w:t xml:space="preserve"> </w:t>
      </w:r>
      <w:r>
        <w:t xml:space="preserve">Identify each affirmative defense that Veridian has asserted or intends to assert in this action, and for each such defense set forth in detail the factual basis, including the facts supporting the defense, the Identification of all Documents supporting it, and the Identification of all Persons with knowledge of the facts supporting it.</w:t>
      </w:r>
    </w:p>
    <w:p>
      <w:pPr>
        <w:pStyle w:val="BodyText"/>
      </w:pPr>
      <w:r>
        <w:rPr>
          <w:b/>
          <w:bCs/>
        </w:rPr>
        <w:t xml:space="preserve">INTERROGATORY NO. 21:</w:t>
      </w:r>
      <w:r>
        <w:t xml:space="preserve"> </w:t>
      </w:r>
      <w:r>
        <w:t xml:space="preserve">Identify all customers, hospitals, medical institutions, healthcare systems, investors, or other third parties to whom Veridian has marketed, licensed, sold, offered for sale, demonstrated, or provided access to SynapticEdge or any feature thereof, and for each describe the date, the nature of the interaction, and any agreements or commitments entered into.</w:t>
      </w:r>
    </w:p>
    <w:p>
      <w:pPr>
        <w:pStyle w:val="BodyText"/>
      </w:pPr>
      <w:r>
        <w:rPr>
          <w:b/>
          <w:bCs/>
        </w:rPr>
        <w:t xml:space="preserve">INTERROGATORY NO. 22:</w:t>
      </w:r>
      <w:r>
        <w:t xml:space="preserve"> </w:t>
      </w:r>
      <w:r>
        <w:t xml:space="preserve">State whether Veridian has returned, destroyed, or otherwise disposed of any CMT Confidential Information, CMT Trade Secret, or CMT file (including any data from the USB Drive) that came into Veridian’s possession, custody, or control; and if so, describe in detail the date, manner, and circumstances of the return or destruction and the Persons who performed it; and if any such materials remain in Veridian’s possession, custody, or control, state their current location and the Identity of the custodian.</w:t>
      </w:r>
    </w:p>
    <w:p>
      <w:pPr>
        <w:pStyle w:val="BodyText"/>
      </w:pPr>
      <w:r>
        <w:rPr>
          <w:b/>
          <w:bCs/>
        </w:rPr>
        <w:t xml:space="preserve">INTERROGATORY NO. 23:</w:t>
      </w:r>
      <w:r>
        <w:t xml:space="preserve"> </w:t>
      </w:r>
      <w:r>
        <w:t xml:space="preserve">Identify each Person whom Veridian believes has knowledge of facts relevant to the claims or defenses asserted in this action, and for each such Person state the general subject matter of their knowledge and their current or last-known address, telephone number, and employer.</w:t>
      </w:r>
    </w:p>
    <w:p>
      <w:pPr>
        <w:pStyle w:val="BodyText"/>
      </w:pPr>
      <w:r>
        <w:rPr>
          <w:b/>
          <w:bCs/>
        </w:rPr>
        <w:t xml:space="preserve">INTERROGATORY NO. 24:</w:t>
      </w:r>
      <w:r>
        <w:t xml:space="preserve"> </w:t>
      </w:r>
      <w:r>
        <w:t xml:space="preserve">State whether any Document or electronically stored information relating to the claims or defenses in this action, or to the development of SynapticEdge, the recruitment or hiring of Oshiro, or the recruitment or hiring of Furukawa, Briggs, or Moreno, has been lost, deleted, destroyed, altered, or rendered inaccessible after Veridian’s duty to preserve arose; and if so, describe in detail the circumstances, including the date, the nature of the information, the Person responsible, and the reason for the loss or destruction.</w:t>
      </w:r>
    </w:p>
    <w:p>
      <w:pPr>
        <w:pStyle w:val="BodyText"/>
      </w:pPr>
      <w:r>
        <w:t xml:space="preserve">Dated: December 20, 2024</w:t>
      </w:r>
    </w:p>
    <w:p>
      <w:pPr>
        <w:pStyle w:val="BodyText"/>
      </w:pPr>
      <w:r>
        <w:t xml:space="preserve">Respectfully submitted,</w:t>
      </w:r>
    </w:p>
    <w:p>
      <w:pPr>
        <w:pStyle w:val="BodyText"/>
      </w:pPr>
      <w:r>
        <w:t xml:space="preserve">HARGROVE, PELL &amp; SUTTON LLP</w:t>
      </w:r>
    </w:p>
    <w:p>
      <w:pPr>
        <w:pStyle w:val="BodyText"/>
      </w:pPr>
      <w:r>
        <w:t xml:space="preserve">By: 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br/>
      </w:r>
      <w:r>
        <w:t xml:space="preserve">State Bar No. 24058319</w:t>
      </w:r>
    </w:p>
    <w:p>
      <w:pPr>
        <w:pStyle w:val="BodyText"/>
      </w:pPr>
      <w:r>
        <w:t xml:space="preserve">Kevin Nakamura</w:t>
      </w:r>
      <w:r>
        <w:br/>
      </w:r>
      <w:r>
        <w:t xml:space="preserve">State Bar No. 24091742</w:t>
      </w:r>
    </w:p>
    <w:p>
      <w:pPr>
        <w:pStyle w:val="BodyText"/>
      </w:pPr>
      <w:r>
        <w:t xml:space="preserve">Hargrove, Pell &amp; Sutton LLP</w:t>
      </w:r>
      <w:r>
        <w:br/>
      </w:r>
      <w:r>
        <w:t xml:space="preserve">2900 Elm Street, 40th Floor</w:t>
      </w:r>
      <w:r>
        <w:br/>
      </w:r>
      <w:r>
        <w:t xml:space="preserve">Dallas, Texas 75201</w:t>
      </w:r>
      <w:r>
        <w:br/>
      </w:r>
      <w:r>
        <w:t xml:space="preserve">Telephone: (214) 555-8200</w:t>
      </w:r>
      <w:r>
        <w:br/>
      </w:r>
      <w:r>
        <w:t xml:space="preserve">Facsimile: (214) 555-8201</w:t>
      </w:r>
      <w:r>
        <w:br/>
      </w:r>
      <w:r>
        <w:t xml:space="preserve">Email: mhargrove@hargrovelaw.com</w:t>
      </w:r>
      <w:r>
        <w:br/>
      </w:r>
      <w:r>
        <w:t xml:space="preserve">Email: knakamura@hargrovelaw.com</w:t>
      </w:r>
    </w:p>
    <w:p>
      <w:pPr>
        <w:pStyle w:val="BodyText"/>
      </w:pPr>
      <w:r>
        <w:rPr>
          <w:i/>
          <w:iCs/>
        </w:rPr>
        <w:t xml:space="preserve">Attorneys for Plaintiff Castillo Medical Technologies, Inc.</w:t>
      </w:r>
    </w:p>
    <w:bookmarkEnd w:id="23"/>
    <w:bookmarkStart w:id="24" w:name="certificate-of-service"/>
    <w:p>
      <w:pPr>
        <w:pStyle w:val="Heading2"/>
      </w:pPr>
      <w:r>
        <w:t xml:space="preserve">CERTIFICATE OF SERVICE</w:t>
      </w:r>
    </w:p>
    <w:p>
      <w:pPr>
        <w:pStyle w:val="FirstParagraph"/>
      </w:pPr>
      <w:r>
        <w:t xml:space="preserve">I hereby certify that on the 20th day of December, 2024, a true and correct copy of the foregoing Plaintiff’s First Set of Interrogatories to Defendant Veridian Health Systems, LLC was served upon all counsel of record via the Court’s CM/ECF electronic filing system and, for those counsel not registered for CM/ECF, via electronic mail, as follows:</w:t>
      </w:r>
    </w:p>
    <w:p>
      <w:pPr>
        <w:pStyle w:val="BodyText"/>
      </w:pPr>
      <w:r>
        <w:t xml:space="preserve">Stephen Osei, Esq.</w:t>
      </w:r>
      <w:r>
        <w:br/>
      </w:r>
      <w:r>
        <w:t xml:space="preserve">Drummond &amp; Wakefield LLP</w:t>
      </w:r>
      <w:r>
        <w:br/>
      </w:r>
      <w:r>
        <w:t xml:space="preserve">1150 K Street NW, Suite 1200</w:t>
      </w:r>
      <w:r>
        <w:br/>
      </w:r>
      <w:r>
        <w:t xml:space="preserve">Washington, DC 20005</w:t>
      </w:r>
      <w:r>
        <w:br/>
      </w:r>
      <w:r>
        <w:rPr>
          <w:i/>
          <w:iCs/>
        </w:rPr>
        <w:t xml:space="preserve">Counsel for Defendant Veridian Health Systems, LLC</w:t>
      </w:r>
    </w:p>
    <w:p>
      <w:pPr>
        <w:pStyle w:val="BodyText"/>
      </w:pPr>
      <w:r>
        <w:t xml:space="preserve">Patricia Dominguez, Esq.</w:t>
      </w:r>
      <w:r>
        <w:br/>
      </w:r>
      <w:r>
        <w:t xml:space="preserve">Barlow &amp; Crane PLLC</w:t>
      </w:r>
      <w:r>
        <w:br/>
      </w:r>
      <w:r>
        <w:rPr>
          <w:i/>
          <w:iCs/>
        </w:rPr>
        <w:t xml:space="preserve">Counsel for Defendant Ryan Oshiro</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First Set of Interrogatories to Defendant Veridian Health Systems, LLC</dc:title>
  <dc:creator/>
  <cp:keywords/>
  <dcterms:created xsi:type="dcterms:W3CDTF">2026-06-23T05:42:33Z</dcterms:created>
  <dcterms:modified xsi:type="dcterms:W3CDTF">2026-06-23T05:42:33Z</dcterms:modified>
</cp:coreProperties>
</file>

<file path=docProps/custom.xml><?xml version="1.0" encoding="utf-8"?>
<Properties xmlns="http://schemas.openxmlformats.org/officeDocument/2006/custom-properties" xmlns:vt="http://schemas.openxmlformats.org/officeDocument/2006/docPropsVTypes"/>
</file>