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9ec2dba4c42b63b369c3602a5589fedc1381fa5"/>
    <w:p>
      <w:pPr>
        <w:pStyle w:val="Heading1"/>
      </w:pPr>
      <w:r>
        <w:t xml:space="preserve">IN THE UNITED STATES DISTRICT COURT FOR THE WESTERN DISTRICT OF TEXAS AUSTIN DIVISION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CASTILLO MEDICAL TECHNOLOGIES, INC.,</w:t>
            </w:r>
            <w:r>
              <w:t xml:space="preserve"> </w:t>
            </w:r>
            <w:r>
              <w:t xml:space="preserve">Plaintiff,</w:t>
            </w:r>
          </w:p>
        </w:tc>
        <w:tc>
          <w:tcPr/>
          <w:p>
            <w:pPr>
              <w:pStyle w:val="Compact"/>
              <w:jc w:val="left"/>
            </w:pPr>
            <w:r>
              <w:rPr>
                <w:b/>
                <w:bCs/>
              </w:rPr>
              <w:t xml:space="preserve">Civil Action No. 1:24-cv-03841-RLH</w:t>
            </w:r>
          </w:p>
        </w:tc>
      </w:tr>
      <w:tr>
        <w:tc>
          <w:tcPr/>
          <w:p>
            <w:pPr>
              <w:pStyle w:val="Compact"/>
              <w:jc w:val="left"/>
            </w:pPr>
            <w:r>
              <w:t xml:space="preserve">v.</w:t>
            </w:r>
          </w:p>
        </w:tc>
        <w:tc>
          <w:tcPr/>
          <w:p>
            <w:pPr>
              <w:pStyle w:val="Compact"/>
            </w:pPr>
          </w:p>
        </w:tc>
      </w:tr>
      <w:tr>
        <w:tc>
          <w:tcPr/>
          <w:p>
            <w:pPr>
              <w:pStyle w:val="Compact"/>
              <w:jc w:val="left"/>
            </w:pPr>
            <w:r>
              <w:rPr>
                <w:b/>
                <w:bCs/>
              </w:rPr>
              <w:t xml:space="preserve">RYAN OSHIRO</w:t>
            </w:r>
            <w:r>
              <w:t xml:space="preserve"> </w:t>
            </w:r>
            <w:r>
              <w:t xml:space="preserve">and</w:t>
            </w:r>
            <w:r>
              <w:t xml:space="preserve"> </w:t>
            </w:r>
            <w:r>
              <w:rPr>
                <w:b/>
                <w:bCs/>
              </w:rPr>
              <w:t xml:space="preserve">VERIDIAN HEALTH SYSTEMS, LLC,</w:t>
            </w:r>
            <w:r>
              <w:t xml:space="preserve"> </w:t>
            </w:r>
            <w:r>
              <w:t xml:space="preserve">Defendants.</w:t>
            </w:r>
          </w:p>
        </w:tc>
        <w:tc>
          <w:tcPr/>
          <w:p>
            <w:pPr>
              <w:pStyle w:val="Compact"/>
              <w:jc w:val="left"/>
            </w:pPr>
            <w:r>
              <w:t xml:space="preserve">Hon. Rebecca L. Hightower</w:t>
            </w:r>
          </w:p>
        </w:tc>
      </w:tr>
      <w:tr>
        <w:tc>
          <w:tcPr/>
          <w:p>
            <w:pPr>
              <w:pStyle w:val="Compact"/>
            </w:pPr>
          </w:p>
        </w:tc>
        <w:tc>
          <w:tcPr/>
          <w:p>
            <w:pPr>
              <w:pStyle w:val="Compact"/>
              <w:jc w:val="left"/>
            </w:pPr>
            <w:r>
              <w:rPr>
                <w:b/>
                <w:bCs/>
              </w:rPr>
              <w:t xml:space="preserve">JURY TRIAL DEMANDED</w:t>
            </w:r>
          </w:p>
        </w:tc>
      </w:tr>
    </w:tbl>
    <w:bookmarkStart w:id="20" w:name="Xe0dc6e2b632de160ca66e4eed01dfcf21f1b527"/>
    <w:p>
      <w:pPr>
        <w:pStyle w:val="Heading2"/>
      </w:pPr>
      <w:r>
        <w:t xml:space="preserve">PLAINTIFF’S FIRST SET OF INTERROGATORIES TO DEFENDANT VERIDIAN HEALTH SYSTEMS, LLC</w:t>
      </w:r>
    </w:p>
    <w:p>
      <w:pPr>
        <w:pStyle w:val="FirstParagraph"/>
      </w:pPr>
      <w:r>
        <w:t xml:space="preserve">Pursuant to Rules 26 and 33 of the Federal Rules of Civil Procedure, the Local Rules of this Court, and the Scheduling Order entered by the Honorable Rebecca L. Hightower on September 4, 2024, Plaintiff Castillo Medical Technologies, Inc. (</w:t>
      </w:r>
      <w:r>
        <w:t xml:space="preserve">“</w:t>
      </w:r>
      <w:r>
        <w:t xml:space="preserve">CMT</w:t>
      </w:r>
      <w:r>
        <w:t xml:space="preserve">”</w:t>
      </w:r>
      <w:r>
        <w:t xml:space="preserve"> </w:t>
      </w:r>
      <w:r>
        <w:t xml:space="preserve">or</w:t>
      </w:r>
      <w:r>
        <w:t xml:space="preserve"> </w:t>
      </w:r>
      <w:r>
        <w:t xml:space="preserve">“</w:t>
      </w:r>
      <w:r>
        <w:t xml:space="preserve">Plaintiff</w:t>
      </w:r>
      <w:r>
        <w:t xml:space="preserve">”</w:t>
      </w:r>
      <w:r>
        <w:t xml:space="preserve">), by and through its undersigned counsel, propounds the following First Set of Interrogatories to Defendant Veridian Health Systems, LLC (</w:t>
      </w:r>
      <w:r>
        <w:t xml:space="preserve">“</w:t>
      </w:r>
      <w:r>
        <w:t xml:space="preserve">Veridian</w:t>
      </w:r>
      <w:r>
        <w:t xml:space="preserve">”</w:t>
      </w:r>
      <w:r>
        <w:t xml:space="preserve"> </w:t>
      </w:r>
      <w:r>
        <w:t xml:space="preserve">or</w:t>
      </w:r>
      <w:r>
        <w:t xml:space="preserve"> </w:t>
      </w:r>
      <w:r>
        <w:t xml:space="preserve">“</w:t>
      </w:r>
      <w:r>
        <w:t xml:space="preserve">Defendant</w:t>
      </w:r>
      <w:r>
        <w:t xml:space="preserve">”</w:t>
      </w:r>
      <w:r>
        <w:t xml:space="preserve">). Veridian is requested to serve its sworn answers, together with any objections, within thirty (30) days after the service of these Interrogatories, as provided by Fed. R. Civ. P. 33(b)(2). These Interrogatories are directed solely to Defendant Veridian Health Systems, LLC.</w:t>
      </w:r>
    </w:p>
    <w:bookmarkEnd w:id="20"/>
    <w:bookmarkStart w:id="21" w:name="general-instructions"/>
    <w:p>
      <w:pPr>
        <w:pStyle w:val="Heading2"/>
      </w:pPr>
      <w:r>
        <w:t xml:space="preserve">GENERAL INSTRUCTIONS</w:t>
      </w:r>
    </w:p>
    <w:p>
      <w:pPr>
        <w:numPr>
          <w:ilvl w:val="0"/>
          <w:numId w:val="1001"/>
        </w:numPr>
      </w:pPr>
      <w:r>
        <w:rPr>
          <w:b/>
          <w:bCs/>
        </w:rPr>
        <w:t xml:space="preserve">Continuing Obligation.</w:t>
      </w:r>
      <w:r>
        <w:t xml:space="preserve"> </w:t>
      </w:r>
      <w:r>
        <w:t xml:space="preserve">These Interrogatories are continuing in nature. Veridian is obligated to serve supplemental answers promptly whenever it learns of information that renders a prior answer incomplete, incorrect, or misleading, pursuant to Fed. R. Civ. P. 26(e).</w:t>
      </w:r>
    </w:p>
    <w:p>
      <w:pPr>
        <w:numPr>
          <w:ilvl w:val="0"/>
          <w:numId w:val="1001"/>
        </w:numPr>
      </w:pPr>
      <w:r>
        <w:rPr>
          <w:b/>
          <w:bCs/>
        </w:rPr>
        <w:t xml:space="preserve">Full and Complete Answers.</w:t>
      </w:r>
      <w:r>
        <w:t xml:space="preserve"> </w:t>
      </w:r>
      <w:r>
        <w:t xml:space="preserve">Veridian must answer each Interrogatory separately, fully, and in writing under oath. If Veridian cannot answer an Interrogatory fully, it must answer to the extent possible, state the extent to which it can answer, and explain why it cannot answer further. Fed. R. Civ. P. 33(b)(3). An evasive or incomplete answer is treated as a failure to answer. Fed. R. Civ. P. 33(a)(2).</w:t>
      </w:r>
    </w:p>
    <w:p>
      <w:pPr>
        <w:numPr>
          <w:ilvl w:val="0"/>
          <w:numId w:val="1001"/>
        </w:numPr>
      </w:pPr>
      <w:r>
        <w:rPr>
          <w:b/>
          <w:bCs/>
        </w:rPr>
        <w:t xml:space="preserve">Objections.</w:t>
      </w:r>
      <w:r>
        <w:t xml:space="preserve"> </w:t>
      </w:r>
      <w:r>
        <w:t xml:space="preserve">If Veridian objects to an Interrogatory, it must state the specific grounds for the objection with particularity and answer the remaining portion of the Interrogatory to which no objection is made. Fed. R. Civ. P. 33(b)(4). General, boilerplate, or</w:t>
      </w:r>
      <w:r>
        <w:t xml:space="preserve"> </w:t>
      </w:r>
      <w:r>
        <w:t xml:space="preserve">“</w:t>
      </w:r>
      <w:r>
        <w:t xml:space="preserve">subject to</w:t>
      </w:r>
      <w:r>
        <w:t xml:space="preserve">”</w:t>
      </w:r>
      <w:r>
        <w:t xml:space="preserve"> </w:t>
      </w:r>
      <w:r>
        <w:t xml:space="preserve">objections that do not state specific grounds are not permitted.</w:t>
      </w:r>
    </w:p>
    <w:p>
      <w:pPr>
        <w:numPr>
          <w:ilvl w:val="0"/>
          <w:numId w:val="1001"/>
        </w:numPr>
      </w:pPr>
      <w:r>
        <w:rPr>
          <w:b/>
          <w:bCs/>
        </w:rPr>
        <w:t xml:space="preserve">Privilege.</w:t>
      </w:r>
      <w:r>
        <w:t xml:space="preserve"> </w:t>
      </w:r>
      <w:r>
        <w:t xml:space="preserve">If Veridian withholds information on the basis of privilege, work-product protection, or any other protection, it must provide a privilege log that, for each withheld Document or Communication, identifies: (a) the nature of the privilege or protection asserted; (b) the type of Document or Communication; (c) the date, author, and all recipients (including cc’s and bcc’s); (d) the subject matter; and (e) the specific basis for the claim, in accordance with Fed. R. Civ. P. 26(b)(5)(A) and any Protective Order entered in this action.</w:t>
      </w:r>
    </w:p>
    <w:p>
      <w:pPr>
        <w:numPr>
          <w:ilvl w:val="0"/>
          <w:numId w:val="1001"/>
        </w:numPr>
      </w:pPr>
      <w:r>
        <w:rPr>
          <w:b/>
          <w:bCs/>
        </w:rPr>
        <w:t xml:space="preserve">Scope of Inquiry.</w:t>
      </w:r>
      <w:r>
        <w:t xml:space="preserve"> </w:t>
      </w:r>
      <w:r>
        <w:t xml:space="preserve">Each answer must be based on information in Veridian’s possession, custody, or control, including information in the possession of its officers, directors, employees, agents, attorneys, consultants, contractors, and any other Person acting on its behalf or subject to its control. If an answer is based on information and belief rather than actual knowledge, Veridian must so state and identify the basis for the belief.</w:t>
      </w:r>
    </w:p>
    <w:p>
      <w:pPr>
        <w:numPr>
          <w:ilvl w:val="0"/>
          <w:numId w:val="1001"/>
        </w:numPr>
      </w:pPr>
      <w:r>
        <w:rPr>
          <w:b/>
          <w:bCs/>
        </w:rPr>
        <w:t xml:space="preserve">Supporting Persons and Documents.</w:t>
      </w:r>
      <w:r>
        <w:t xml:space="preserve"> </w:t>
      </w:r>
      <w:r>
        <w:t xml:space="preserve">For each Interrogatory, Veridian must identify (a) every Person who provided information used to formulate the answer, and (b) every Document that supports, contradicts, or otherwise relates to the answer. If a Document is being produced in response to a separate request for production, Veridian may identify it by Bates-number range rather than repeating the description.</w:t>
      </w:r>
    </w:p>
    <w:p>
      <w:pPr>
        <w:numPr>
          <w:ilvl w:val="0"/>
          <w:numId w:val="1001"/>
        </w:numPr>
      </w:pPr>
      <w:r>
        <w:rPr>
          <w:b/>
          <w:bCs/>
        </w:rPr>
        <w:t xml:space="preserve">Subparts.</w:t>
      </w:r>
      <w:r>
        <w:t xml:space="preserve"> </w:t>
      </w:r>
      <w:r>
        <w:t xml:space="preserve">These Interrogatories are propounded in compliance with the twenty-five (25) interrogatory limit established by the Court’s Scheduling Order, including all discrete subparts. Where an Interrogatory contains subparts, each subpart is a logically and factually related component of a single, unified inquiry on the same subject matter, as contemplated by the Scheduling Order.</w:t>
      </w:r>
    </w:p>
    <w:p>
      <w:pPr>
        <w:numPr>
          <w:ilvl w:val="0"/>
          <w:numId w:val="1001"/>
        </w:numPr>
      </w:pPr>
      <w:r>
        <w:rPr>
          <w:b/>
          <w:bCs/>
        </w:rPr>
        <w:t xml:space="preserve">Proportionality.</w:t>
      </w:r>
      <w:r>
        <w:t xml:space="preserve"> </w:t>
      </w:r>
      <w:r>
        <w:t xml:space="preserve">These Interrogatories are tailored to the claims and defenses in this action and to the specifically identified trade secrets at issue—the NeuralPath Algorithm, the PrecisionDrive System, and the PathPlanner Module—and are proportional to the needs of the case consistent with Fed. R. Civ. P. 26(b)(1).</w:t>
      </w:r>
    </w:p>
    <w:p>
      <w:pPr>
        <w:numPr>
          <w:ilvl w:val="0"/>
          <w:numId w:val="1001"/>
        </w:numPr>
      </w:pPr>
      <w:r>
        <w:rPr>
          <w:b/>
          <w:bCs/>
        </w:rPr>
        <w:t xml:space="preserve">Protective Order.</w:t>
      </w:r>
      <w:r>
        <w:t xml:space="preserve"> </w:t>
      </w:r>
      <w:r>
        <w:t xml:space="preserve">Veridian is reminded that any answer containing or identifying trade secret or other confidential information may be designated and handled in accordance with the Protective Order entered in this action.</w:t>
      </w:r>
    </w:p>
    <w:p>
      <w:pPr>
        <w:numPr>
          <w:ilvl w:val="0"/>
          <w:numId w:val="1001"/>
        </w:numPr>
      </w:pPr>
      <w:r>
        <w:rPr>
          <w:b/>
          <w:bCs/>
        </w:rPr>
        <w:t xml:space="preserve">Defined Terms.</w:t>
      </w:r>
      <w:r>
        <w:t xml:space="preserve"> </w:t>
      </w:r>
      <w:r>
        <w:t xml:space="preserve">The terms used in these Interrogatories have the meanings set forth in the Definitions below. Capitalized terms used in the First Amended Complaint have the same meanings herein.</w:t>
      </w:r>
    </w:p>
    <w:bookmarkEnd w:id="21"/>
    <w:bookmarkStart w:id="22" w:name="definitions"/>
    <w:p>
      <w:pPr>
        <w:pStyle w:val="Heading2"/>
      </w:pPr>
      <w:r>
        <w:t xml:space="preserve">DEFINITIONS</w:t>
      </w:r>
    </w:p>
    <w:p>
      <w:pPr>
        <w:pStyle w:val="FirstParagraph"/>
      </w:pPr>
      <w:r>
        <w:rPr>
          <w:b/>
          <w:bCs/>
        </w:rPr>
        <w:t xml:space="preserve">A.</w:t>
      </w:r>
      <w:r>
        <w:t xml:space="preserve"> </w:t>
      </w:r>
      <w:r>
        <w:t xml:space="preserve">“</w:t>
      </w:r>
      <w:r>
        <w:t xml:space="preserve">CMT</w:t>
      </w:r>
      <w:r>
        <w:t xml:space="preserve">”</w:t>
      </w:r>
      <w:r>
        <w:t xml:space="preserve"> </w:t>
      </w:r>
      <w:r>
        <w:t xml:space="preserve">or</w:t>
      </w:r>
      <w:r>
        <w:t xml:space="preserve"> </w:t>
      </w:r>
      <w:r>
        <w:t xml:space="preserve">“</w:t>
      </w:r>
      <w:r>
        <w:t xml:space="preserve">Plaintiff</w:t>
      </w:r>
      <w:r>
        <w:t xml:space="preserve">”</w:t>
      </w:r>
      <w:r>
        <w:t xml:space="preserve"> </w:t>
      </w:r>
      <w:r>
        <w:t xml:space="preserve">means Castillo Medical Technologies, Inc.</w:t>
      </w:r>
    </w:p>
    <w:p>
      <w:pPr>
        <w:pStyle w:val="BodyText"/>
      </w:pPr>
      <w:r>
        <w:rPr>
          <w:b/>
          <w:bCs/>
        </w:rPr>
        <w:t xml:space="preserve">B.</w:t>
      </w:r>
      <w:r>
        <w:t xml:space="preserve"> </w:t>
      </w:r>
      <w:r>
        <w:t xml:space="preserve">“</w:t>
      </w:r>
      <w:r>
        <w:t xml:space="preserve">Veridian,</w:t>
      </w:r>
      <w:r>
        <w:t xml:space="preserve">”</w:t>
      </w:r>
      <w:r>
        <w:t xml:space="preserve"> </w:t>
      </w:r>
      <w:r>
        <w:t xml:space="preserve">“</w:t>
      </w:r>
      <w:r>
        <w:t xml:space="preserve">Defendant,</w:t>
      </w:r>
      <w:r>
        <w:t xml:space="preserve">”</w:t>
      </w:r>
      <w:r>
        <w:t xml:space="preserve"> </w:t>
      </w:r>
      <w:r>
        <w:t xml:space="preserve">or</w:t>
      </w:r>
      <w:r>
        <w:t xml:space="preserve"> </w:t>
      </w:r>
      <w:r>
        <w:t xml:space="preserve">“</w:t>
      </w:r>
      <w:r>
        <w:t xml:space="preserve">you</w:t>
      </w:r>
      <w:r>
        <w:t xml:space="preserve">”</w:t>
      </w:r>
      <w:r>
        <w:t xml:space="preserve"> </w:t>
      </w:r>
      <w:r>
        <w:t xml:space="preserve">means Veridian Health Systems, LLC, and includes its officers, directors, employees, agents, attorneys, consultants, contractors, predecessors, successors, and assigns, and any other Person acting on its behalf or subject to its control.</w:t>
      </w:r>
    </w:p>
    <w:p>
      <w:pPr>
        <w:pStyle w:val="BodyText"/>
      </w:pPr>
      <w:r>
        <w:rPr>
          <w:b/>
          <w:bCs/>
        </w:rPr>
        <w:t xml:space="preserve">C.</w:t>
      </w:r>
      <w:r>
        <w:t xml:space="preserve"> </w:t>
      </w:r>
      <w:r>
        <w:t xml:space="preserve">“</w:t>
      </w:r>
      <w:r>
        <w:t xml:space="preserve">Oshiro</w:t>
      </w:r>
      <w:r>
        <w:t xml:space="preserve">”</w:t>
      </w:r>
      <w:r>
        <w:t xml:space="preserve"> </w:t>
      </w:r>
      <w:r>
        <w:t xml:space="preserve">means Ryan Oshiro.</w:t>
      </w:r>
    </w:p>
    <w:p>
      <w:pPr>
        <w:pStyle w:val="BodyText"/>
      </w:pPr>
      <w:r>
        <w:rPr>
          <w:b/>
          <w:bCs/>
        </w:rPr>
        <w:t xml:space="preserve">D.</w:t>
      </w:r>
      <w:r>
        <w:t xml:space="preserve"> </w:t>
      </w:r>
      <w:r>
        <w:t xml:space="preserve">“</w:t>
      </w:r>
      <w:r>
        <w:t xml:space="preserve">CMT Trade Secrets</w:t>
      </w:r>
      <w:r>
        <w:t xml:space="preserve">”</w:t>
      </w:r>
      <w:r>
        <w:t xml:space="preserve"> </w:t>
      </w:r>
      <w:r>
        <w:t xml:space="preserve">means the three proprietary technologies identified in the First Amended Complaint: (i) the NeuralPath Algorithm; (ii) the PrecisionDrive System; and (iii) the PathPlanner Module.</w:t>
      </w:r>
    </w:p>
    <w:p>
      <w:pPr>
        <w:pStyle w:val="BodyText"/>
      </w:pPr>
      <w:r>
        <w:rPr>
          <w:b/>
          <w:bCs/>
        </w:rPr>
        <w:t xml:space="preserve">E.</w:t>
      </w:r>
      <w:r>
        <w:t xml:space="preserve"> </w:t>
      </w:r>
      <w:r>
        <w:t xml:space="preserve">“</w:t>
      </w:r>
      <w:r>
        <w:t xml:space="preserve">CMT Confidential Information</w:t>
      </w:r>
      <w:r>
        <w:t xml:space="preserve">”</w:t>
      </w:r>
      <w:r>
        <w:t xml:space="preserve"> </w:t>
      </w:r>
      <w:r>
        <w:t xml:space="preserve">means any information, data, or material that constitutes Confidential Information as defined in the NDA, including the CMT Trade Secrets and any files, source code, CAD schematics, training datasets, model weights, R&amp;D roadmap documents, competitive intelligence memoranda, or other materials originating from CMT or its VaultDrive repository.</w:t>
      </w:r>
    </w:p>
    <w:p>
      <w:pPr>
        <w:pStyle w:val="BodyText"/>
      </w:pPr>
      <w:r>
        <w:rPr>
          <w:b/>
          <w:bCs/>
        </w:rPr>
        <w:t xml:space="preserve">F.</w:t>
      </w:r>
      <w:r>
        <w:t xml:space="preserve"> </w:t>
      </w:r>
      <w:r>
        <w:t xml:space="preserve">“</w:t>
      </w:r>
      <w:r>
        <w:t xml:space="preserve">SynapticEdge</w:t>
      </w:r>
      <w:r>
        <w:t xml:space="preserve">”</w:t>
      </w:r>
      <w:r>
        <w:t xml:space="preserve"> </w:t>
      </w:r>
      <w:r>
        <w:t xml:space="preserve">means the surgical robotics platform announced by Veridian on June 11, 2024, including all features, components, subsystems, software, hardware, designs, and documentation associated with it.</w:t>
      </w:r>
    </w:p>
    <w:p>
      <w:pPr>
        <w:pStyle w:val="BodyText"/>
      </w:pPr>
      <w:r>
        <w:rPr>
          <w:b/>
          <w:bCs/>
        </w:rPr>
        <w:t xml:space="preserve">G.</w:t>
      </w:r>
      <w:r>
        <w:t xml:space="preserve"> </w:t>
      </w:r>
      <w:r>
        <w:t xml:space="preserve">“</w:t>
      </w:r>
      <w:r>
        <w:t xml:space="preserve">USB Drive</w:t>
      </w:r>
      <w:r>
        <w:t xml:space="preserve">”</w:t>
      </w:r>
      <w:r>
        <w:t xml:space="preserve"> </w:t>
      </w:r>
      <w:r>
        <w:t xml:space="preserve">means the 2TB Corsair portable external USB storage device bearing serial number CX-8827491, and any copies, clones, forensic images, or reproductions thereof.</w:t>
      </w:r>
    </w:p>
    <w:p>
      <w:pPr>
        <w:pStyle w:val="BodyText"/>
      </w:pPr>
      <w:r>
        <w:rPr>
          <w:b/>
          <w:bCs/>
        </w:rPr>
        <w:t xml:space="preserve">H.</w:t>
      </w:r>
      <w:r>
        <w:t xml:space="preserve"> </w:t>
      </w:r>
      <w:r>
        <w:t xml:space="preserve">“</w:t>
      </w:r>
      <w:r>
        <w:t xml:space="preserve">VaultDrive</w:t>
      </w:r>
      <w:r>
        <w:t xml:space="preserve">”</w:t>
      </w:r>
      <w:r>
        <w:t xml:space="preserve"> </w:t>
      </w:r>
      <w:r>
        <w:t xml:space="preserve">means CMT’s secure, access-controlled engineering repository.</w:t>
      </w:r>
    </w:p>
    <w:p>
      <w:pPr>
        <w:pStyle w:val="BodyText"/>
      </w:pPr>
      <w:r>
        <w:rPr>
          <w:b/>
          <w:bCs/>
        </w:rPr>
        <w:t xml:space="preserve">I.</w:t>
      </w:r>
      <w:r>
        <w:t xml:space="preserve"> </w:t>
      </w:r>
      <w:r>
        <w:t xml:space="preserve">“</w:t>
      </w:r>
      <w:r>
        <w:t xml:space="preserve">NDA</w:t>
      </w:r>
      <w:r>
        <w:t xml:space="preserve">”</w:t>
      </w:r>
      <w:r>
        <w:t xml:space="preserve"> </w:t>
      </w:r>
      <w:r>
        <w:t xml:space="preserve">means the Confidentiality, Non-Disclosure, and Invention Assignment Agreement between CMT and Oshiro dated March 5, 2018.</w:t>
      </w:r>
    </w:p>
    <w:p>
      <w:pPr>
        <w:pStyle w:val="BodyText"/>
      </w:pPr>
      <w:r>
        <w:rPr>
          <w:b/>
          <w:bCs/>
        </w:rPr>
        <w:t xml:space="preserve">J.</w:t>
      </w:r>
      <w:r>
        <w:t xml:space="preserve"> </w:t>
      </w:r>
      <w:r>
        <w:t xml:space="preserve">“</w:t>
      </w:r>
      <w:r>
        <w:t xml:space="preserve">NeuroGuide 4.0</w:t>
      </w:r>
      <w:r>
        <w:t xml:space="preserve">”</w:t>
      </w:r>
      <w:r>
        <w:t xml:space="preserve"> </w:t>
      </w:r>
      <w:r>
        <w:t xml:space="preserve">means CMT’s next-generation surgical robotics platform incorporating the CMT Trade Secrets.</w:t>
      </w:r>
    </w:p>
    <w:p>
      <w:pPr>
        <w:pStyle w:val="BodyText"/>
      </w:pPr>
      <w:r>
        <w:rPr>
          <w:b/>
          <w:bCs/>
        </w:rPr>
        <w:t xml:space="preserve">K.</w:t>
      </w:r>
      <w:r>
        <w:t xml:space="preserve"> </w:t>
      </w:r>
      <w:r>
        <w:t xml:space="preserve">“</w:t>
      </w:r>
      <w:r>
        <w:t xml:space="preserve">The Three Engineers</w:t>
      </w:r>
      <w:r>
        <w:t xml:space="preserve">”</w:t>
      </w:r>
      <w:r>
        <w:t xml:space="preserve"> </w:t>
      </w:r>
      <w:r>
        <w:t xml:space="preserve">means Dr. Kenji Furukawa, Samantha Briggs, and David Moreno.</w:t>
      </w:r>
    </w:p>
    <w:p>
      <w:pPr>
        <w:pStyle w:val="BodyText"/>
      </w:pPr>
      <w:r>
        <w:rPr>
          <w:b/>
          <w:bCs/>
        </w:rPr>
        <w:t xml:space="preserve">L.</w:t>
      </w:r>
      <w:r>
        <w:t xml:space="preserve"> </w:t>
      </w:r>
      <w:r>
        <w:t xml:space="preserve">“</w:t>
      </w:r>
      <w:r>
        <w:t xml:space="preserve">Person</w:t>
      </w:r>
      <w:r>
        <w:t xml:space="preserve">”</w:t>
      </w:r>
      <w:r>
        <w:t xml:space="preserve"> </w:t>
      </w:r>
      <w:r>
        <w:t xml:space="preserve">means any individual, corporation, partnership, limited liability company, association, or other entity.</w:t>
      </w:r>
    </w:p>
    <w:p>
      <w:pPr>
        <w:pStyle w:val="BodyText"/>
      </w:pPr>
      <w:r>
        <w:rPr>
          <w:b/>
          <w:bCs/>
        </w:rPr>
        <w:t xml:space="preserve">M.</w:t>
      </w:r>
      <w:r>
        <w:t xml:space="preserve"> </w:t>
      </w:r>
      <w:r>
        <w:t xml:space="preserve">“</w:t>
      </w:r>
      <w:r>
        <w:t xml:space="preserve">Identify,</w:t>
      </w:r>
      <w:r>
        <w:t xml:space="preserve">”</w:t>
      </w:r>
      <w:r>
        <w:t xml:space="preserve"> </w:t>
      </w:r>
      <w:r>
        <w:t xml:space="preserve">when used with reference to a Person, means to state the person’s full name, current or last-known business address and telephone number, present or last-known employer and position, and the person’s relationship to Veridian.</w:t>
      </w:r>
    </w:p>
    <w:p>
      <w:pPr>
        <w:pStyle w:val="BodyText"/>
      </w:pPr>
      <w:r>
        <w:rPr>
          <w:b/>
          <w:bCs/>
        </w:rPr>
        <w:t xml:space="preserve">N.</w:t>
      </w:r>
      <w:r>
        <w:t xml:space="preserve"> </w:t>
      </w:r>
      <w:r>
        <w:t xml:space="preserve">“</w:t>
      </w:r>
      <w:r>
        <w:t xml:space="preserve">Identify,</w:t>
      </w:r>
      <w:r>
        <w:t xml:space="preserve">”</w:t>
      </w:r>
      <w:r>
        <w:t xml:space="preserve"> </w:t>
      </w:r>
      <w:r>
        <w:t xml:space="preserve">when used with reference to a Document, means to state the type of Document (e.g., email, memorandum, contract), its date, author, all recipients (including cc’s and bcc’s), the custodian or location where it is maintained, and a brief description of its subject matter. If the Document is being produced in response to a separate request for production, Veridian may identify it by Bates-number range.</w:t>
      </w:r>
    </w:p>
    <w:p>
      <w:pPr>
        <w:pStyle w:val="BodyText"/>
      </w:pPr>
      <w:r>
        <w:rPr>
          <w:b/>
          <w:bCs/>
        </w:rPr>
        <w:t xml:space="preserve">O.</w:t>
      </w:r>
      <w:r>
        <w:t xml:space="preserve"> </w:t>
      </w:r>
      <w:r>
        <w:t xml:space="preserve">“</w:t>
      </w:r>
      <w:r>
        <w:t xml:space="preserve">Identify,</w:t>
      </w:r>
      <w:r>
        <w:t xml:space="preserve">”</w:t>
      </w:r>
      <w:r>
        <w:t xml:space="preserve"> </w:t>
      </w:r>
      <w:r>
        <w:t xml:space="preserve">when used with reference to a Communication, means to state its date, all participants (including all persons present), the manner or medium of communication (e.g., in person, telephone, email, LinkedIn message, text message, Slack or Microsoft Teams message), and the subject matter discussed.</w:t>
      </w:r>
    </w:p>
    <w:p>
      <w:pPr>
        <w:pStyle w:val="BodyText"/>
      </w:pPr>
      <w:r>
        <w:rPr>
          <w:b/>
          <w:bCs/>
        </w:rPr>
        <w:t xml:space="preserve">P.</w:t>
      </w:r>
      <w:r>
        <w:t xml:space="preserve"> </w:t>
      </w:r>
      <w:r>
        <w:t xml:space="preserve">“</w:t>
      </w:r>
      <w:r>
        <w:t xml:space="preserve">Document</w:t>
      </w:r>
      <w:r>
        <w:t xml:space="preserve">”</w:t>
      </w:r>
      <w:r>
        <w:t xml:space="preserve"> </w:t>
      </w:r>
      <w:r>
        <w:t xml:space="preserve">means all writings, recordings, and electronically stored information of any kind, however stored or maintained, including emails, text messages, instant messages, messages on platforms such as LinkedIn, Slack, or Microsoft Teams, memoranda, reports, contracts, source code, design files, CAD files, presentations, spreadsheets, and any other tangible or electronic record.</w:t>
      </w:r>
    </w:p>
    <w:p>
      <w:pPr>
        <w:pStyle w:val="BodyText"/>
      </w:pPr>
      <w:r>
        <w:rPr>
          <w:b/>
          <w:bCs/>
        </w:rPr>
        <w:t xml:space="preserve">Q.</w:t>
      </w:r>
      <w:r>
        <w:t xml:space="preserve"> </w:t>
      </w:r>
      <w:r>
        <w:t xml:space="preserve">“</w:t>
      </w:r>
      <w:r>
        <w:t xml:space="preserve">State</w:t>
      </w:r>
      <w:r>
        <w:t xml:space="preserve">”</w:t>
      </w:r>
      <w:r>
        <w:t xml:space="preserve"> </w:t>
      </w:r>
      <w:r>
        <w:t xml:space="preserve">or</w:t>
      </w:r>
      <w:r>
        <w:t xml:space="preserve"> </w:t>
      </w:r>
      <w:r>
        <w:t xml:space="preserve">“</w:t>
      </w:r>
      <w:r>
        <w:t xml:space="preserve">describe</w:t>
      </w:r>
      <w:r>
        <w:t xml:space="preserve">”</w:t>
      </w:r>
      <w:r>
        <w:t xml:space="preserve"> </w:t>
      </w:r>
      <w:r>
        <w:t xml:space="preserve">means to set forth the relevant facts in full, including dates, persons, places, and Documents, to the extent known to Veridian.</w:t>
      </w:r>
    </w:p>
    <w:bookmarkEnd w:id="22"/>
    <w:bookmarkStart w:id="23" w:name="interrogatories"/>
    <w:p>
      <w:pPr>
        <w:pStyle w:val="Heading2"/>
      </w:pPr>
      <w:r>
        <w:t xml:space="preserve">INTERROGATORIES</w:t>
      </w:r>
    </w:p>
    <w:p>
      <w:pPr>
        <w:pStyle w:val="FirstParagraph"/>
      </w:pPr>
      <w:r>
        <w:rPr>
          <w:b/>
          <w:bCs/>
        </w:rPr>
        <w:t xml:space="preserve">INTERROGATORY NO. 1:</w:t>
      </w:r>
      <w:r>
        <w:t xml:space="preserve"> </w:t>
      </w:r>
      <w:r>
        <w:t xml:space="preserve">State Veridian’s full legal name, form of organization, state of formation, date of formation, and principal place of business, and identify all of Veridian’s current members, managers, partners, officers, and directors, and for each, state the person’s citizenship (or, for any entity member, the citizenship of each member of that entity).</w:t>
      </w:r>
    </w:p>
    <w:p>
      <w:pPr>
        <w:pStyle w:val="BodyText"/>
      </w:pPr>
      <w:r>
        <w:rPr>
          <w:b/>
          <w:bCs/>
        </w:rPr>
        <w:t xml:space="preserve">INTERROGATORY NO. 2:</w:t>
      </w:r>
      <w:r>
        <w:t xml:space="preserve"> </w:t>
      </w:r>
      <w:r>
        <w:t xml:space="preserve">Describe in detail Veridian’s recruitment and hiring of Oshiro, including: (a) the date and circumstances under which the decision to recruit Oshiro for the position of Senior Vice President of Product Development was made, and identify each Person who participated in that decision; (b) all Communications between any Veridian Person and Oshiro from November 1, 2023 through March 18, 2024, including the LinkedIn message sent by Marcus Trent to Oshiro on or about December 3, 2023; and (c) whether, during the recruitment process, any Veridian Person discussed with Oshiro the NeuroGuide 4.0 platform, the CMT Trade Secrets, CMT’s development roadmap, or any other CMT Confidential Information, and if so, describe each such discussion, including the date, participants, and subject matter.</w:t>
      </w:r>
    </w:p>
    <w:p>
      <w:pPr>
        <w:pStyle w:val="BodyText"/>
      </w:pPr>
      <w:r>
        <w:rPr>
          <w:b/>
          <w:bCs/>
        </w:rPr>
        <w:t xml:space="preserve">INTERROGATORY NO. 3:</w:t>
      </w:r>
      <w:r>
        <w:t xml:space="preserve"> </w:t>
      </w:r>
      <w:r>
        <w:t xml:space="preserve">State whether, at any time before or during the recruitment or hiring of Oshiro, Veridian (or any of its officers, directors, employees, or agents) knew, was informed, or had reason to know: (a) that Oshiro was employed by CMT as Vice President of Engineering; (b) that Oshiro had access to CMT’s trade secrets or Confidential Information, including the CMT Trade Secrets; or (c) that Oshiro was subject to confidentiality, non-disclosure, non-solicitation, or invention-assignment obligations to CMT, including the NDA. For each item, identify the Person who knew or was informed, the source of the information, the date, and what, if anything, Veridian did in response.</w:t>
      </w:r>
    </w:p>
    <w:p>
      <w:pPr>
        <w:pStyle w:val="BodyText"/>
      </w:pPr>
      <w:r>
        <w:rPr>
          <w:b/>
          <w:bCs/>
        </w:rPr>
        <w:t xml:space="preserve">INTERROGATORY NO. 4:</w:t>
      </w:r>
      <w:r>
        <w:t xml:space="preserve"> </w:t>
      </w:r>
      <w:r>
        <w:t xml:space="preserve">State the terms and conditions of Oshiro’s employment with Veridian, including his title, duties and responsibilities, reporting structure, start date, base salary, signing bonus, equity grants, and any other compensation or benefits, and identify all Documents reflecting or relating to such terms (including any offer letter, employment agreement, or compensation plan).</w:t>
      </w:r>
    </w:p>
    <w:p>
      <w:pPr>
        <w:pStyle w:val="BodyText"/>
      </w:pPr>
      <w:r>
        <w:rPr>
          <w:b/>
          <w:bCs/>
        </w:rPr>
        <w:t xml:space="preserve">INTERROGATORY NO. 5:</w:t>
      </w:r>
      <w:r>
        <w:t xml:space="preserve"> </w:t>
      </w:r>
      <w:r>
        <w:t xml:space="preserve">State whether the USB Drive, or any copy, clone, forensic image, or reproduction thereof, has ever been in Veridian’s possession, custody, or control, or connected to or accessed by any Veridian computer, server, workstation, mobile device, or other system. If so, for each instance, state: (a) the date(s) and location(s); (b) the Person(s) who connected, accessed, or possessed it; (c) what was done with the USB Drive or its contents; and (d) the current location of the USB Drive and all copies, clones, images, or reproductions thereof.</w:t>
      </w:r>
    </w:p>
    <w:p>
      <w:pPr>
        <w:pStyle w:val="BodyText"/>
      </w:pPr>
      <w:r>
        <w:rPr>
          <w:b/>
          <w:bCs/>
        </w:rPr>
        <w:t xml:space="preserve">INTERROGATORY NO. 6:</w:t>
      </w:r>
      <w:r>
        <w:t xml:space="preserve"> </w:t>
      </w:r>
      <w:r>
        <w:t xml:space="preserve">Identify all CMT Confidential Information, CMT Trade Secrets, or any files, data, source code, CAD schematics, training datasets, model weights, or other materials originating from CMT or VaultDrive that are or were at any time in Veridian’s possession, custody, or control, or in the possession of any Veridian officer, director, employee, or agent. For each, state how and when it was obtained, the Person(s) who obtained or received it, and what was done with it.</w:t>
      </w:r>
    </w:p>
    <w:p>
      <w:pPr>
        <w:pStyle w:val="BodyText"/>
      </w:pPr>
      <w:r>
        <w:rPr>
          <w:b/>
          <w:bCs/>
        </w:rPr>
        <w:t xml:space="preserve">INTERROGATORY NO. 7:</w:t>
      </w:r>
      <w:r>
        <w:t xml:space="preserve"> </w:t>
      </w:r>
      <w:r>
        <w:t xml:space="preserve">Describe in detail the development history of SynapticEdge, including: (a) the date on which development of SynapticEdge commenced; (b) for each of the five technical features announced on June 11, 2024 (real-time neural mapping overlay, harmonic micro-actuation system, AI-powered surgical pathway planning, surgeon calibration workflow, and predictive error-correction protocol), the date on which that feature was conceived, designed, prototyped, and tested; (c) all Persons involved in the development of SynapticEdge, both before and after Oshiro’s arrival, their roles, and the dates of their involvement; and (d) all sources of the technology, designs, source code, data, and know-how incorporated into SynapticEdge.</w:t>
      </w:r>
    </w:p>
    <w:p>
      <w:pPr>
        <w:pStyle w:val="BodyText"/>
      </w:pPr>
      <w:r>
        <w:rPr>
          <w:b/>
          <w:bCs/>
        </w:rPr>
        <w:t xml:space="preserve">INTERROGATORY NO. 8:</w:t>
      </w:r>
      <w:r>
        <w:t xml:space="preserve"> </w:t>
      </w:r>
      <w:r>
        <w:t xml:space="preserve">State whether any CMT Trade Secret, CMT Confidential Information, or any information, file, data, source code, design, or material derived from or based upon CMT’s technology was used, incorporated, referenced, or relied upon in the conception, design, development, testing, marketing, or demonstration of SynapticEdge. If so, for each instance, identify the CMT material used, the Person(s) who used it, the SynapticEdge feature or component in which it was used, and the manner in which it was used.</w:t>
      </w:r>
    </w:p>
    <w:p>
      <w:pPr>
        <w:pStyle w:val="BodyText"/>
      </w:pPr>
      <w:r>
        <w:rPr>
          <w:b/>
          <w:bCs/>
        </w:rPr>
        <w:t xml:space="preserve">INTERROGATORY NO. 9:</w:t>
      </w:r>
      <w:r>
        <w:t xml:space="preserve"> </w:t>
      </w:r>
      <w:r>
        <w:t xml:space="preserve">If Veridian contends that SynapticEdge, or any feature thereof, was developed independently of CMT’s trade secrets or Confidential Information, or was in development prior to Oshiro’s hiring (as represented by Veridian’s counsel at the August 1, 2024 hearing on Plaintiff’s Motion for Temporary Restraining Order), state all facts supporting that contention, including: (a) the date on which development of SynapticEdge and each feature commenced; (b) the state of development of SynapticEdge as of March 18, 2024; (c) all Persons involved in development before and after Oshiro’s arrival, their roles, and dates of involvement; (d) all Documents evidencing such development, including source code repository commit logs, project management records, engineering milestone reports, and internal Communications; and (e) all sources of technology, designs, source code, and data relied upon.</w:t>
      </w:r>
    </w:p>
    <w:p>
      <w:pPr>
        <w:pStyle w:val="BodyText"/>
      </w:pPr>
      <w:r>
        <w:rPr>
          <w:b/>
          <w:bCs/>
        </w:rPr>
        <w:t xml:space="preserve">INTERROGATORY NO. 10:</w:t>
      </w:r>
      <w:r>
        <w:t xml:space="preserve"> </w:t>
      </w:r>
      <w:r>
        <w:t xml:space="preserve">Describe in detail all contributions Oshiro has made to the SynapticEdge platform since his employment with Veridian commenced, including the specific features, components, designs, source code, or data he worked on, the dates of his work, the Persons with whom he worked, and identify all Documents reflecting his contributions.</w:t>
      </w:r>
    </w:p>
    <w:p>
      <w:pPr>
        <w:pStyle w:val="BodyText"/>
      </w:pPr>
      <w:r>
        <w:rPr>
          <w:b/>
          <w:bCs/>
        </w:rPr>
        <w:t xml:space="preserve">INTERROGATORY NO. 11:</w:t>
      </w:r>
      <w:r>
        <w:t xml:space="preserve"> </w:t>
      </w:r>
      <w:r>
        <w:t xml:space="preserve">State Veridian’s contentions regarding the five areas of technical overlap between SynapticEdge and CMT’s NeuroGuide 4.0 platform identified in the Preliminary Expert Report of Dr. Lena Yilmaz dated August 20, 2024 (sub-12 millisecond neural mapping overlay latency; harmonic micro-actuation configuration; machine-learning surgical pathway planning workflow; surgeon calibration user-interface workflow; and error-correction protocol for robotic arm drift). For each of the five areas, state whether Veridian admits or denies the existence of the overlap, and if Veridian denies the overlap or contends it results from independent development, state all facts supporting Veridian’s position.</w:t>
      </w:r>
    </w:p>
    <w:p>
      <w:pPr>
        <w:pStyle w:val="BodyText"/>
      </w:pPr>
      <w:r>
        <w:rPr>
          <w:b/>
          <w:bCs/>
        </w:rPr>
        <w:t xml:space="preserve">INTERROGATORY NO. 12:</w:t>
      </w:r>
      <w:r>
        <w:t xml:space="preserve"> </w:t>
      </w:r>
      <w:r>
        <w:t xml:space="preserve">State whether Veridian implemented any information barriers, ethical walls, clean-room procedures, screening protocols, or other measures designed to prevent the use or disclosure of CMT’s trade secrets or Confidential Information in connection with Oshiro’s employment, the employment of the Three Engineers, or the development of SynapticEdge. If so, describe each measure, the date it was implemented, the Person(s) responsible for implementing and enforcing it, and identify all Documents relating thereto. If no such measures were implemented, state so.</w:t>
      </w:r>
    </w:p>
    <w:p>
      <w:pPr>
        <w:pStyle w:val="BodyText"/>
      </w:pPr>
      <w:r>
        <w:rPr>
          <w:b/>
          <w:bCs/>
        </w:rPr>
        <w:t xml:space="preserve">INTERROGATORY NO. 13:</w:t>
      </w:r>
      <w:r>
        <w:t xml:space="preserve"> </w:t>
      </w:r>
      <w:r>
        <w:t xml:space="preserve">State whether Veridian has any policy, practice, or procedure regarding the onboarding of new employees who previously worked for a competitor, including any policy or practice concerning materials, files, or information that a new employee may bring from a former employer, and any steps Veridian takes to determine whether a new hire is in possession of a former employer’s proprietary or confidential materials. Describe any such policy, practice, or procedure, and state whether and how it was applied to Oshiro, Dr. Kenji Furukawa, Samantha Briggs, and David Moreno, including any inquiry Veridian made into whether any of them brought CMT materials to Veridian.</w:t>
      </w:r>
    </w:p>
    <w:p>
      <w:pPr>
        <w:pStyle w:val="BodyText"/>
      </w:pPr>
      <w:r>
        <w:rPr>
          <w:b/>
          <w:bCs/>
        </w:rPr>
        <w:t xml:space="preserve">INTERROGATORY NO. 14:</w:t>
      </w:r>
      <w:r>
        <w:t xml:space="preserve"> </w:t>
      </w:r>
      <w:r>
        <w:t xml:space="preserve">Describe in detail Veridian’s recruitment and hiring of each of the Three Engineers (Dr. Kenji Furukawa, Samantha Briggs, and David Moreno), including: (a) the date and circumstances of Veridian’s first contact with each individual; (b) all Communications between any Veridian Person and each individual from January 1, 2024 to the present; (c) the role of Oshiro, if any, in the decision to recruit, interview, or hire each individual; (d) the terms of each individual’s employment at Veridian, including title, duties, compensation, and start date; and (e) whether Veridian knew that each individual was subject to confidentiality or non-solicitation obligations to CMT, and whether Veridian knew that Oshiro was subject to an eighteen (18)-month non-solicitation obligation to CMT (running through September 1, 2025) prohibiting him from soliciting CMT employees.</w:t>
      </w:r>
    </w:p>
    <w:p>
      <w:pPr>
        <w:pStyle w:val="BodyText"/>
      </w:pPr>
      <w:r>
        <w:rPr>
          <w:b/>
          <w:bCs/>
        </w:rPr>
        <w:t xml:space="preserve">INTERROGATORY NO. 15:</w:t>
      </w:r>
      <w:r>
        <w:t xml:space="preserve"> </w:t>
      </w:r>
      <w:r>
        <w:t xml:space="preserve">Describe in detail Veridian’s commercialization, marketing, licensing, sale, or offering for sale of SynapticEdge, including: (a) all customers, hospitals, health systems, or other entities to which SynapticEdge has been marketed, licensed, sold, offered for sale, demonstrated, or deployed (including beta testing or trial deployments); (b) all revenue received or projected from SynapticEdge; (c) all regulatory submissions made or planned with respect to SynapticEdge; and (d) all marketing materials, presentations, or demonstrations relating to SynapticEdge.</w:t>
      </w:r>
    </w:p>
    <w:p>
      <w:pPr>
        <w:pStyle w:val="BodyText"/>
      </w:pPr>
      <w:r>
        <w:rPr>
          <w:b/>
          <w:bCs/>
        </w:rPr>
        <w:t xml:space="preserve">INTERROGATORY NO. 16:</w:t>
      </w:r>
      <w:r>
        <w:t xml:space="preserve"> </w:t>
      </w:r>
      <w:r>
        <w:t xml:space="preserve">Identify all Communications between Veridian (or any Veridian Person) and any hospital, health system, medical center, or other actual or prospective customer of CMT, from January 1, 2024 to the present, in which SynapticEdge, CMT, the NeuroGuide platform, or CMT’s trade secrets or Confidential Information was discussed, and for each, state the date, participants, and subject matter.</w:t>
      </w:r>
    </w:p>
    <w:p>
      <w:pPr>
        <w:pStyle w:val="BodyText"/>
      </w:pPr>
      <w:r>
        <w:rPr>
          <w:b/>
          <w:bCs/>
        </w:rPr>
        <w:t xml:space="preserve">INTERROGATORY NO. 17:</w:t>
      </w:r>
      <w:r>
        <w:t xml:space="preserve"> </w:t>
      </w:r>
      <w:r>
        <w:t xml:space="preserve">Describe in detail the sixty million dollar ($60,000,000) Series C investment in Veridian led by Thorncastle Ventures announced on June 11, 2024, including: (a) the date and terms of the investment; (b) the use or intended use of the proceeds; (c) the role, if any, that SynapticEdge, Oshiro, or CMT’s technology played in Veridian’s efforts to raise the investment; and (d) Veridian’s total funding to date. Identify all Documents relating to the Series C investment, including any pitch materials, due diligence materials, or investor Communications that reference SynapticEdge, Oshiro, CMT, or CMT’s technology.</w:t>
      </w:r>
    </w:p>
    <w:p>
      <w:pPr>
        <w:pStyle w:val="BodyText"/>
      </w:pPr>
      <w:r>
        <w:rPr>
          <w:b/>
          <w:bCs/>
        </w:rPr>
        <w:t xml:space="preserve">INTERROGATORY NO. 18:</w:t>
      </w:r>
      <w:r>
        <w:t xml:space="preserve"> </w:t>
      </w:r>
      <w:r>
        <w:t xml:space="preserve">State the full extent of Veridian’s financial benefit, enrichment, or avoided costs attributable to SynapticEdge, including: (a) all revenue, profits, or projected profits from SynapticEdge; (b) any research and development costs Veridian avoided or reduced as a result of using or incorporating CMT’s technology; (c) any increase in Veridian’s valuation attributable to SynapticEdge; and (d) the methodology and Documents Veridian used to calculate any such amount.</w:t>
      </w:r>
    </w:p>
    <w:p>
      <w:pPr>
        <w:pStyle w:val="BodyText"/>
      </w:pPr>
      <w:r>
        <w:rPr>
          <w:b/>
          <w:bCs/>
        </w:rPr>
        <w:t xml:space="preserve">INTERROGATORY NO. 19:</w:t>
      </w:r>
      <w:r>
        <w:t xml:space="preserve"> </w:t>
      </w:r>
      <w:r>
        <w:t xml:space="preserve">Describe in detail all steps Veridian has taken to preserve Documents and electronically stored information relevant to this litigation, including: (a) the date(s) on which Veridian issued any litigation hold notice(s), the Persons to whom such notice(s) were issued, and the terms of the hold; (b) all custodians whose electronically stored information has been preserved; and (c) whether any Documents or electronically stored information relevant to this litigation have been lost, deleted, altered, or destroyed since June 28, 2024 (the date of Plaintiff’s litigation hold letter), and if so, describe each item, the date, the circumstances, and the Person(s) responsible.</w:t>
      </w:r>
    </w:p>
    <w:p>
      <w:pPr>
        <w:pStyle w:val="BodyText"/>
      </w:pPr>
      <w:r>
        <w:rPr>
          <w:b/>
          <w:bCs/>
        </w:rPr>
        <w:t xml:space="preserve">INTERROGATORY NO. 20:</w:t>
      </w:r>
      <w:r>
        <w:t xml:space="preserve"> </w:t>
      </w:r>
      <w:r>
        <w:t xml:space="preserve">If Veridian disputes that the NeuralPath Algorithm, the PrecisionDrive System, or the PathPlanner Module constitutes a</w:t>
      </w:r>
      <w:r>
        <w:t xml:space="preserve"> </w:t>
      </w:r>
      <w:r>
        <w:t xml:space="preserve">“</w:t>
      </w:r>
      <w:r>
        <w:t xml:space="preserve">trade secret</w:t>
      </w:r>
      <w:r>
        <w:t xml:space="preserve">”</w:t>
      </w:r>
      <w:r>
        <w:t xml:space="preserve"> </w:t>
      </w:r>
      <w:r>
        <w:t xml:space="preserve">under the Defend Trade Secrets Act, 18 U.S.C. § 1839(3), or the Texas Uniform Trade Secrets Act, Tex. Civ. Prac. &amp; Rem. Code § 134A.002(6), state all facts supporting that position, including Veridian’s contention as to whether each technology is generally known to, or readily ascertainable through proper means by, others who can obtain economic value from its disclosure or use, and whether CMT took reasonable measures to maintain its secrecy.</w:t>
      </w:r>
    </w:p>
    <w:p>
      <w:pPr>
        <w:pStyle w:val="BodyText"/>
      </w:pPr>
      <w:r>
        <w:rPr>
          <w:b/>
          <w:bCs/>
        </w:rPr>
        <w:t xml:space="preserve">INTERROGATORY NO. 21:</w:t>
      </w:r>
      <w:r>
        <w:t xml:space="preserve"> </w:t>
      </w:r>
      <w:r>
        <w:t xml:space="preserve">If Veridian disputes that its conduct in connection with the recruitment of Oshiro, the development of SynapticEdge, or the recruitment of the Three Engineers was willful and malicious, state all facts supporting that position, including all facts on which Veridian relies to contend that it did not know, and had no reason to know, that Oshiro acquired CMT’s trade secrets through improper means or in breach of his obligations to CMT.</w:t>
      </w:r>
    </w:p>
    <w:p>
      <w:pPr>
        <w:pStyle w:val="BodyText"/>
      </w:pPr>
      <w:r>
        <w:rPr>
          <w:b/>
          <w:bCs/>
        </w:rPr>
        <w:t xml:space="preserve">INTERROGATORY NO. 22:</w:t>
      </w:r>
      <w:r>
        <w:t xml:space="preserve"> </w:t>
      </w:r>
      <w:r>
        <w:t xml:space="preserve">If Veridian disputes any element of Plaintiff’s claim for tortious interference with business relations (Count IV of the First Amended Complaint), state all facts supporting Veridian’s position, including Veridian’s contentions regarding: (a) the existence of CMT’s business relationships with the twenty-eight (28) hospitals described in the First Amended Complaint and with the Three Engineers; (b) Veridian’s knowledge of those relationships; and (c) whether Veridian’s conduct was independently tortious or improper, as opposed to incidental to the pursuit of Veridian’s own legitimate business interests.</w:t>
      </w:r>
    </w:p>
    <w:p>
      <w:pPr>
        <w:pStyle w:val="BodyText"/>
      </w:pPr>
      <w:r>
        <w:rPr>
          <w:b/>
          <w:bCs/>
        </w:rPr>
        <w:t xml:space="preserve">INTERROGATORY NO. 23:</w:t>
      </w:r>
      <w:r>
        <w:t xml:space="preserve"> </w:t>
      </w:r>
      <w:r>
        <w:t xml:space="preserve">If Veridian disputes Plaintiff’s calculation of damages, including the eighty-two million dollar ($82,000,000) in actual damages alleged in the First Amended Complaint (comprising thirty-four million dollars ($34,000,000) in lost licensing revenue, forty-six point three million dollars ($46,300,000) in research and development investment losses, and one point seven million dollars ($1,700,000) in reengineering costs), state all facts supporting Veridian’s position, including the basis for any alternative calculation of damages and identify all Documents supporting Veridian’s damages contentions.</w:t>
      </w:r>
    </w:p>
    <w:p>
      <w:pPr>
        <w:pStyle w:val="BodyText"/>
      </w:pPr>
      <w:r>
        <w:rPr>
          <w:b/>
          <w:bCs/>
        </w:rPr>
        <w:t xml:space="preserve">INTERROGATORY NO. 24:</w:t>
      </w:r>
      <w:r>
        <w:t xml:space="preserve"> </w:t>
      </w:r>
      <w:r>
        <w:t xml:space="preserve">Identify every Person who has knowledge of facts relevant to the claims or defenses in this action, and for each Person, state the subject matter of that Person’s knowledge. This Interrogatory is intended to encompass, without limitation, Persons with knowledge of: the recruitment and hiring of Oshiro; the USB Drive and any CMT files; the development of SynapticEdge; the recruitment of the Three Engineers; Veridian’s knowledge of CMT’s trade secrets or Confidential Information; and Veridian’s preservation of Documents and electronically stored information.</w:t>
      </w:r>
    </w:p>
    <w:p>
      <w:pPr>
        <w:pStyle w:val="BodyText"/>
      </w:pPr>
      <w:r>
        <w:rPr>
          <w:b/>
          <w:bCs/>
        </w:rPr>
        <w:t xml:space="preserve">INTERROGATORY NO. 25:</w:t>
      </w:r>
      <w:r>
        <w:t xml:space="preserve"> </w:t>
      </w:r>
      <w:r>
        <w:t xml:space="preserve">Identify every expert witness whom Veridian may use at trial to present evidence under Federal Rules of Evidence 702, 703, or 705, and for each, state: (a) the expert’s name, address, and qualifications; (b) the subject matter on which the expert is expected to present evidence; (c) a summary of the facts and opinions to which the expert is expected to testify; (d) the expert’s compensation; and (e) identify all reports or writings the expert has prepared or relied upon.</w:t>
      </w:r>
    </w:p>
    <w:bookmarkEnd w:id="23"/>
    <w:bookmarkStart w:id="24" w:name="dated-november-1-2024"/>
    <w:p>
      <w:pPr>
        <w:pStyle w:val="Heading2"/>
      </w:pPr>
      <w:r>
        <w:t xml:space="preserve">DATED: November 1, 2024</w:t>
      </w:r>
    </w:p>
    <w:p>
      <w:pPr>
        <w:pStyle w:val="FirstParagraph"/>
      </w:pPr>
      <w:r>
        <w:t xml:space="preserve">Respectfully submitted,</w:t>
      </w:r>
    </w:p>
    <w:p>
      <w:pPr>
        <w:pStyle w:val="BodyText"/>
      </w:pPr>
      <w:r>
        <w:t xml:space="preserve">HARGROVE, PELL &amp; SUTTON LLP</w:t>
      </w:r>
    </w:p>
    <w:p>
      <w:pPr>
        <w:pStyle w:val="BodyText"/>
      </w:pPr>
      <w:r>
        <w:t xml:space="preserve">By: _____________________</w:t>
      </w:r>
    </w:p>
    <w:p>
      <w:pPr>
        <w:pStyle w:val="BodyText"/>
      </w:pPr>
      <w:r>
        <w:t xml:space="preserve">Margaret</w:t>
      </w:r>
      <w:r>
        <w:t xml:space="preserve"> </w:t>
      </w:r>
      <w:r>
        <w:t xml:space="preserve">“</w:t>
      </w:r>
      <w:r>
        <w:t xml:space="preserve">Meg</w:t>
      </w:r>
      <w:r>
        <w:t xml:space="preserve">”</w:t>
      </w:r>
      <w:r>
        <w:t xml:space="preserve"> </w:t>
      </w:r>
      <w:r>
        <w:t xml:space="preserve">Hargrove</w:t>
      </w:r>
      <w:r>
        <w:t xml:space="preserve"> </w:t>
      </w:r>
      <w:r>
        <w:t xml:space="preserve">State Bar No. 24058319</w:t>
      </w:r>
    </w:p>
    <w:p>
      <w:pPr>
        <w:pStyle w:val="BodyText"/>
      </w:pPr>
      <w:r>
        <w:t xml:space="preserve">Kevin Nakamura</w:t>
      </w:r>
      <w:r>
        <w:t xml:space="preserve"> </w:t>
      </w:r>
      <w:r>
        <w:t xml:space="preserve">State Bar No. 24091742</w:t>
      </w:r>
    </w:p>
    <w:p>
      <w:pPr>
        <w:pStyle w:val="BodyText"/>
      </w:pPr>
      <w:r>
        <w:t xml:space="preserve">Hargrove, Pell &amp; Sutton LLP</w:t>
      </w:r>
      <w:r>
        <w:t xml:space="preserve"> </w:t>
      </w:r>
      <w:r>
        <w:t xml:space="preserve">2900 Elm Street, 40th Floor</w:t>
      </w:r>
      <w:r>
        <w:t xml:space="preserve"> </w:t>
      </w:r>
      <w:r>
        <w:t xml:space="preserve">Dallas, Texas 75201</w:t>
      </w:r>
      <w:r>
        <w:t xml:space="preserve"> </w:t>
      </w:r>
      <w:r>
        <w:t xml:space="preserve">Telephone: (214) 555-8200</w:t>
      </w:r>
      <w:r>
        <w:t xml:space="preserve"> </w:t>
      </w:r>
      <w:r>
        <w:t xml:space="preserve">Facsimile: (214) 555-8201</w:t>
      </w:r>
      <w:r>
        <w:t xml:space="preserve"> </w:t>
      </w:r>
      <w:r>
        <w:t xml:space="preserve">Email: mhargrove@harpellsutton.com</w:t>
      </w:r>
      <w:r>
        <w:t xml:space="preserve"> </w:t>
      </w:r>
      <w:r>
        <w:t xml:space="preserve">Email: knakamura@harpellsutton.com</w:t>
      </w:r>
    </w:p>
    <w:p>
      <w:pPr>
        <w:pStyle w:val="BodyText"/>
      </w:pPr>
      <w:r>
        <w:rPr>
          <w:i/>
          <w:iCs/>
        </w:rPr>
        <w:t xml:space="preserve">Attorneys for Plaintiff Castillo Medical Technologies, Inc.</w:t>
      </w:r>
    </w:p>
    <w:bookmarkEnd w:id="24"/>
    <w:bookmarkStart w:id="25" w:name="certificate-of-service"/>
    <w:p>
      <w:pPr>
        <w:pStyle w:val="Heading2"/>
      </w:pPr>
      <w:r>
        <w:t xml:space="preserve">CERTIFICATE OF SERVICE</w:t>
      </w:r>
    </w:p>
    <w:p>
      <w:pPr>
        <w:pStyle w:val="FirstParagraph"/>
      </w:pPr>
      <w:r>
        <w:t xml:space="preserve">I hereby certify that on November 1, 2024, a true and correct copy of the foregoing Plaintiff’s First Set of Interrogatories to Defendant Veridian Health Systems, LLC was served via the Court’s CM/ECF electronic filing system on all counsel of record, including:</w:t>
      </w:r>
    </w:p>
    <w:p>
      <w:pPr>
        <w:pStyle w:val="BodyText"/>
      </w:pPr>
      <w:r>
        <w:t xml:space="preserve">Stephen Osei</w:t>
      </w:r>
      <w:r>
        <w:t xml:space="preserve"> </w:t>
      </w:r>
      <w:r>
        <w:t xml:space="preserve">Drummond &amp; Wakefield LLP</w:t>
      </w:r>
      <w:r>
        <w:t xml:space="preserve"> </w:t>
      </w:r>
      <w:r>
        <w:t xml:space="preserve">1150 K Street NW, Suite 1200</w:t>
      </w:r>
      <w:r>
        <w:t xml:space="preserve"> </w:t>
      </w:r>
      <w:r>
        <w:t xml:space="preserve">Washington, DC 20005</w:t>
      </w:r>
      <w:r>
        <w:t xml:space="preserve"> </w:t>
      </w:r>
      <w:r>
        <w:rPr>
          <w:i/>
          <w:iCs/>
        </w:rPr>
        <w:t xml:space="preserve">Counsel for Defendant Veridian Health Systems, LLC</w:t>
      </w:r>
    </w:p>
    <w:p>
      <w:pPr>
        <w:pStyle w:val="BodyText"/>
      </w:pPr>
      <w:r>
        <w:t xml:space="preserve">Patricia Dominguez</w:t>
      </w:r>
      <w:r>
        <w:t xml:space="preserve"> </w:t>
      </w:r>
      <w:r>
        <w:t xml:space="preserve">Barlow &amp; Crane PLLC</w:t>
      </w:r>
      <w:r>
        <w:t xml:space="preserve"> </w:t>
      </w:r>
      <w:r>
        <w:rPr>
          <w:i/>
          <w:iCs/>
        </w:rPr>
        <w:t xml:space="preserve">Counsel for Defendant Ryan Oshiro</w:t>
      </w:r>
    </w:p>
    <w:p>
      <w:pPr>
        <w:pStyle w:val="BodyText"/>
      </w:pPr>
      <w:r>
        <w:t xml:space="preserve">________________________________________</w:t>
      </w:r>
    </w:p>
    <w:p>
      <w:pPr>
        <w:pStyle w:val="BodyText"/>
      </w:pPr>
      <w:r>
        <w:t xml:space="preserve">Margaret</w:t>
      </w:r>
      <w:r>
        <w:t xml:space="preserve"> </w:t>
      </w:r>
      <w:r>
        <w:t xml:space="preserve">“</w:t>
      </w:r>
      <w:r>
        <w:t xml:space="preserve">Meg</w:t>
      </w:r>
      <w:r>
        <w:t xml:space="preserve">”</w:t>
      </w:r>
      <w:r>
        <w:t xml:space="preserve"> </w:t>
      </w:r>
      <w:r>
        <w:t xml:space="preserve">Hargrove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2026-06-27T20:51:18Z</dcterms:created>
  <dcterms:modified xsi:type="dcterms:W3CDTF">2026-06-27T20:51:18Z</dcterms:modified>
</cp:coreProperties>
</file>

<file path=docProps/custom.xml><?xml version="1.0" encoding="utf-8"?>
<Properties xmlns="http://schemas.openxmlformats.org/officeDocument/2006/custom-properties" xmlns:vt="http://schemas.openxmlformats.org/officeDocument/2006/docPropsVTypes"/>
</file>