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cs="Times New Roman"/>
          <w:b/>
          <w:i w:val="0"/>
          <w:sz w:val="24"/>
          <w:u w:val="none"/>
          <w:caps w:val="true"/>
        </w:rPr>
        <w:t>STONEBRIDGE &amp; CALLOWAY LLP</w:t>
      </w:r>
    </w:p>
    <w:p>
      <w:pPr>
        <w:spacing w:after="0" w:before="0" w:line="480" w:lineRule="auto"/>
        <w:jc w:val="center"/>
      </w:pPr>
      <w:r>
        <w:rPr>
          <w:rFonts w:ascii="Times New Roman" w:hAnsi="Times New Roman" w:cs="Times New Roman"/>
          <w:b w:val="0"/>
          <w:i w:val="0"/>
          <w:sz w:val="22"/>
          <w:u w:val="none"/>
        </w:rPr>
        <w:t>600 Congress Avenue, Suite 2800  •  Austin, Texas 78701</w:t>
      </w:r>
    </w:p>
    <w:p>
      <w:pPr>
        <w:spacing w:after="160" w:before="0" w:line="480" w:lineRule="auto"/>
        <w:jc w:val="center"/>
      </w:pPr>
      <w:r>
        <w:rPr>
          <w:rFonts w:ascii="Times New Roman" w:hAnsi="Times New Roman" w:cs="Times New Roman"/>
          <w:b w:val="0"/>
          <w:i w:val="0"/>
          <w:sz w:val="22"/>
          <w:u w:val="none"/>
        </w:rPr>
        <w:t>Telephone (512) 555-4200  •  Facsimile (512) 555-4201</w:t>
      </w:r>
    </w:p>
    <w:p>
      <w:pPr>
        <w:spacing w:after="200" w:before="0" w:line="480" w:lineRule="auto"/>
        <w:jc w:val="center"/>
      </w:pPr>
      <w:r>
        <w:rPr>
          <w:rFonts w:ascii="Times New Roman" w:hAnsi="Times New Roman" w:cs="Times New Roman"/>
          <w:b/>
          <w:i w:val="0"/>
          <w:sz w:val="22"/>
          <w:u w:val="none"/>
        </w:rPr>
        <w:t>PRIVILEGED &amp; CONFIDENTIAL  •  ATTORNEY WORK PRODUCT</w:t>
      </w:r>
    </w:p>
    <w:p>
      <w:pPr>
        <w:keepNext/>
        <w:spacing w:before="0" w:after="40" w:line="480" w:lineRule="auto"/>
        <w:jc w:val="left"/>
      </w:pPr>
      <w:r>
        <w:rPr>
          <w:rFonts w:ascii="Times New Roman" w:hAnsi="Times New Roman" w:cs="Times New Roman"/>
          <w:b/>
          <w:i w:val="0"/>
          <w:sz w:val="24"/>
          <w:u w:val="single"/>
          <w:caps w:val="true"/>
        </w:rPr>
        <w:t>MEMORANDUM</w:t>
      </w:r>
    </w:p>
    <w:p>
      <w:pPr>
        <w:spacing w:line="240" w:lineRule="auto" w:after="40"/>
      </w:pPr>
      <w:r>
        <w:rPr>
          <w:rFonts w:ascii="Times New Roman" w:hAnsi="Times New Roman" w:cs="Times New Roman"/>
          <w:b/>
          <w:i w:val="0"/>
          <w:sz w:val="24"/>
          <w:u w:val="none"/>
        </w:rPr>
        <w:t xml:space="preserve">TO:  </w:t>
      </w:r>
      <w:r>
        <w:rPr>
          <w:rFonts w:ascii="Times New Roman" w:hAnsi="Times New Roman" w:cs="Times New Roman"/>
          <w:b w:val="0"/>
          <w:i w:val="0"/>
          <w:sz w:val="24"/>
          <w:u w:val="none"/>
        </w:rPr>
        <w:t>Margaret "Meg" Calloway, Lead Partner; David Arsenault, Senior Associate</w:t>
      </w:r>
    </w:p>
    <w:p>
      <w:pPr>
        <w:spacing w:line="240" w:lineRule="auto" w:after="40"/>
      </w:pPr>
      <w:r>
        <w:rPr>
          <w:rFonts w:ascii="Times New Roman" w:hAnsi="Times New Roman" w:cs="Times New Roman"/>
          <w:b/>
          <w:i w:val="0"/>
          <w:sz w:val="24"/>
          <w:u w:val="none"/>
        </w:rPr>
        <w:t xml:space="preserve">FROM:  </w:t>
      </w:r>
      <w:r>
        <w:rPr>
          <w:rFonts w:ascii="Times New Roman" w:hAnsi="Times New Roman" w:cs="Times New Roman"/>
          <w:b w:val="0"/>
          <w:i w:val="0"/>
          <w:sz w:val="24"/>
          <w:u w:val="none"/>
        </w:rPr>
        <w:t>Litigation Team, Stonebridge &amp; Calloway LLP</w:t>
      </w:r>
    </w:p>
    <w:p>
      <w:pPr>
        <w:spacing w:line="240" w:lineRule="auto" w:after="40"/>
      </w:pPr>
      <w:r>
        <w:rPr>
          <w:rFonts w:ascii="Times New Roman" w:hAnsi="Times New Roman" w:cs="Times New Roman"/>
          <w:b/>
          <w:i w:val="0"/>
          <w:sz w:val="24"/>
          <w:u w:val="none"/>
        </w:rPr>
        <w:t xml:space="preserve">DATE:  </w:t>
      </w:r>
      <w:r>
        <w:rPr>
          <w:rFonts w:ascii="Times New Roman" w:hAnsi="Times New Roman" w:cs="Times New Roman"/>
          <w:b w:val="0"/>
          <w:i w:val="0"/>
          <w:sz w:val="24"/>
          <w:u w:val="none"/>
        </w:rPr>
        <w:t>January 12, 2024</w:t>
      </w:r>
    </w:p>
    <w:p>
      <w:pPr>
        <w:spacing w:line="240" w:lineRule="auto" w:after="40"/>
      </w:pPr>
      <w:r>
        <w:rPr>
          <w:rFonts w:ascii="Times New Roman" w:hAnsi="Times New Roman" w:cs="Times New Roman"/>
          <w:b/>
          <w:i w:val="0"/>
          <w:sz w:val="24"/>
          <w:u w:val="none"/>
        </w:rPr>
        <w:t xml:space="preserve">RE:  </w:t>
      </w:r>
      <w:r>
        <w:rPr>
          <w:rFonts w:ascii="Times New Roman" w:hAnsi="Times New Roman" w:cs="Times New Roman"/>
          <w:b w:val="0"/>
          <w:i w:val="0"/>
          <w:sz w:val="24"/>
          <w:u w:val="none"/>
        </w:rPr>
        <w:t>Threshold Issues — Filing of Rule 12(b)(6) Motion to Dismiss; Arcadia Health Systems, LLC v. Meridian Cloud Solutions, Inc., No. 1:23-cv-00847-CMA (W.D. Tex., Austin Div.)</w:t>
      </w:r>
    </w:p>
    <w:p>
      <w:pPr>
        <w:spacing w:after="80" w:before="0" w:line="480" w:lineRule="auto"/>
        <w:jc w:val="left"/>
      </w:pPr>
    </w:p>
    <w:p>
      <w:pPr>
        <w:spacing w:after="120"/>
        <w:pBdr>
          <w:bottom w:val="single" w:sz="6" w:space="1" w:color="auto"/>
        </w:pBdr>
      </w:pPr>
    </w:p>
    <w:p>
      <w:pPr>
        <w:spacing w:after="0" w:before="0" w:line="480" w:lineRule="auto"/>
        <w:jc w:val="left"/>
      </w:pPr>
      <w:r>
        <w:rPr>
          <w:rFonts w:ascii="Times New Roman" w:hAnsi="Times New Roman" w:cs="Times New Roman"/>
          <w:b w:val="0"/>
          <w:i w:val="0"/>
          <w:sz w:val="24"/>
          <w:u w:val="none"/>
        </w:rPr>
        <w:t>This memorandum flags threshold issues the team should resolve before or contemporaneously with filing the accompanying Rule 12(b)(6) motion to dismiss ("MTD"), proposed order, and this memo. The MTD is strong on the merits—the research compilation supports dismissal of all five counts—but several threshold matters warrant attention because they could affect the motion's viability, the forum, or the relief obtained. Issues are listed in approximate order of urgency.</w:t>
      </w:r>
    </w:p>
    <w:p>
      <w:pPr>
        <w:keepNext/>
        <w:spacing w:before="120" w:after="40" w:line="480" w:lineRule="auto"/>
        <w:jc w:val="left"/>
      </w:pPr>
      <w:r>
        <w:rPr>
          <w:rFonts w:ascii="Times New Roman" w:hAnsi="Times New Roman" w:cs="Times New Roman"/>
          <w:b/>
          <w:i w:val="0"/>
          <w:sz w:val="24"/>
          <w:u w:val="none"/>
        </w:rPr>
        <w:t>1.  Subject-Matter Jurisdiction — A Likely Complete-Diversity Defect (HIGHEST PRIORITY).</w:t>
      </w:r>
    </w:p>
    <w:p>
      <w:pPr>
        <w:spacing w:after="0" w:before="0" w:line="480" w:lineRule="auto"/>
        <w:jc w:val="left"/>
      </w:pPr>
      <w:r>
        <w:rPr>
          <w:rFonts w:ascii="Times New Roman" w:hAnsi="Times New Roman" w:cs="Times New Roman"/>
          <w:b w:val="0"/>
          <w:i w:val="0"/>
          <w:sz w:val="24"/>
          <w:u w:val="none"/>
        </w:rPr>
        <w:t>The most significant threshold issue is a likely defect in the Court's diversity jurisdiction. The Notice of Removal alleges that "Plaintiff Arcadia Health Systems, LLC is a citizen of the State of Texas," reasoning only from the domicile of Dr. Okonkwo as managing member. That analysis is incomplete. An LLC's citizenship is determined by tracing through all of its members, and a limited partnership's citizenship by tracing through all of its partners. Harvey v. Grey Wolf Drilling Co., 542 F.3d 1077, 1080 (5th Cir. 2008); Carden v. Arkoma Assocs., 494 U.S. 185, 195–96 (1990).</w:t>
      </w:r>
    </w:p>
    <w:p>
      <w:pPr>
        <w:spacing w:after="0" w:before="0" w:line="480" w:lineRule="auto"/>
        <w:jc w:val="left"/>
      </w:pPr>
      <w:r>
        <w:rPr>
          <w:rFonts w:ascii="Times New Roman" w:hAnsi="Times New Roman" w:cs="Times New Roman"/>
          <w:b w:val="0"/>
          <w:i w:val="0"/>
          <w:sz w:val="24"/>
          <w:u w:val="none"/>
        </w:rPr>
        <w:t>The FAC itself (and Arcadia's Operating Agreement, produced in discovery) disclose Arcadia's full ownership chain. FAC ¶¶ 7–8. Arcadia's three members are: (1) Dr. Rachel Okonkwo (Texas); (2) Martin Schreiber (Texas); and (3) Apex Medical Ventures, LP, a Delaware limited partnership. Apex's partners are (a) Apex Medical Ventures GP, Inc.—a Delaware corporation with its principal place of business in Wilmington, Delaware (a citizen of Delaware)—and (b) the Okonkwo Family Trust (trustee and beneficiary domiciled in Texas). Arcadia is therefore a citizen of both Texas and Delaware. Meridian is a citizen of both Delaware (incorporation) and Texas (principal place of business, Austin). FAC ¶ 9. Because both parties share citizenship in Delaware and Texas, complete diversity does not exist, and the Court likely lacks subject-matter jurisdiction under 28 U.S.C. § 1332(a). Subject-matter jurisdiction cannot be waived and may be raised sua sponte at any time. Arbaugh v. Y &amp; H Corp., 546 U.S. 500, 514 (2006).</w:t>
      </w:r>
    </w:p>
    <w:p>
      <w:pPr>
        <w:spacing w:after="0" w:before="0" w:line="480" w:lineRule="auto"/>
        <w:jc w:val="left"/>
      </w:pPr>
      <w:r>
        <w:rPr>
          <w:rFonts w:ascii="Times New Roman" w:hAnsi="Times New Roman" w:cs="Times New Roman"/>
          <w:b w:val="0"/>
          <w:i w:val="0"/>
          <w:sz w:val="24"/>
          <w:u w:val="none"/>
        </w:rPr>
        <w:t>Strategic implications. This is a two-edged sword and requires a deliberate client decision:</w:t>
      </w:r>
    </w:p>
    <w:p>
      <w:pPr>
        <w:spacing w:after="0" w:before="0" w:line="480" w:lineRule="auto"/>
        <w:ind w:left="360"/>
        <w:jc w:val="left"/>
      </w:pPr>
      <w:r>
        <w:rPr>
          <w:rFonts w:ascii="Times New Roman" w:hAnsi="Times New Roman" w:cs="Times New Roman"/>
          <w:b w:val="0"/>
          <w:i w:val="0"/>
          <w:sz w:val="24"/>
          <w:u w:val="none"/>
        </w:rPr>
        <w:t>(a)  If we do nothing, the Court (or Arcadia) may raise the defect at any time, potentially after we have invested in the MTD and discovery, and the case would be remanded to Bexar County state court—the forum Arcadia originally chose.</w:t>
      </w:r>
    </w:p>
    <w:p>
      <w:pPr>
        <w:spacing w:after="0" w:before="0" w:line="480" w:lineRule="auto"/>
        <w:ind w:left="360"/>
        <w:jc w:val="left"/>
      </w:pPr>
      <w:r>
        <w:rPr>
          <w:rFonts w:ascii="Times New Roman" w:hAnsi="Times New Roman" w:cs="Times New Roman"/>
          <w:b w:val="0"/>
          <w:i w:val="0"/>
          <w:sz w:val="24"/>
          <w:u w:val="none"/>
        </w:rPr>
        <w:t>(b)  If we move to remand (or alert the Court), we surrender the federal forum. The federal forum has real advantages: Judge Alvarez's rigorous pleading standards (which favor our MTD), the bench trial (the § 12.9 jury waiver is being enforced), and the procedural predictability of federal court. State court in Bexar County is Arcadia's home court and may be less hospitable to our contract-based defenses.</w:t>
      </w:r>
    </w:p>
    <w:p>
      <w:pPr>
        <w:spacing w:after="0" w:before="0" w:line="480" w:lineRule="auto"/>
        <w:ind w:left="360"/>
        <w:jc w:val="left"/>
      </w:pPr>
      <w:r>
        <w:rPr>
          <w:rFonts w:ascii="Times New Roman" w:hAnsi="Times New Roman" w:cs="Times New Roman"/>
          <w:b w:val="0"/>
          <w:i w:val="0"/>
          <w:sz w:val="24"/>
          <w:u w:val="none"/>
        </w:rPr>
        <w:t>(c)  The trust-citizenship question deserves a closer look. The Operating Agreement describes the Okonkwo Family Trust as a revocable inter vivos trust with Dr. Okonkwo as sole trustee and primary beneficiary. Fifth Circuit law generally looks to the trustee's citizenship for a trust, but the analysis can turn on whether the trust resembles an unincorporated association. Even assuming the trust is a Texas citizen, the Apex GP's Delaware citizenship is alone sufficient to destroy diversity—so the defect holds under any trust-citizenship theory.</w:t>
      </w:r>
    </w:p>
    <w:p>
      <w:pPr>
        <w:spacing w:after="0" w:before="0" w:line="480" w:lineRule="auto"/>
        <w:jc w:val="left"/>
      </w:pPr>
      <w:r>
        <w:rPr>
          <w:rFonts w:ascii="Times New Roman" w:hAnsi="Times New Roman" w:cs="Times New Roman"/>
          <w:b w:val="0"/>
          <w:i w:val="0"/>
          <w:sz w:val="24"/>
          <w:u w:val="none"/>
        </w:rPr>
        <w:t>Recommendation. We should (i) confirm the citizenship analysis against the Apex partnership agreement (already requested) and any trust documents; (ii) present the client with a written forum-strategy decision (federal MTD vs. state-court remand) before filing; and (iii) regardless of the client's choice, preserve the objection—the Answer already reserves "all rights and defenses related to subject matter jurisdiction." If the client elects to proceed in federal court, we should be prepared for the Court to raise the issue sua sponte and to address it in a separate jurisdictional filing rather than burying it in the MTD.</w:t>
      </w:r>
    </w:p>
    <w:p>
      <w:pPr>
        <w:keepNext/>
        <w:spacing w:before="120" w:after="40" w:line="480" w:lineRule="auto"/>
        <w:jc w:val="left"/>
      </w:pPr>
      <w:r>
        <w:rPr>
          <w:rFonts w:ascii="Times New Roman" w:hAnsi="Times New Roman" w:cs="Times New Roman"/>
          <w:b/>
          <w:i w:val="0"/>
          <w:sz w:val="24"/>
          <w:u w:val="none"/>
        </w:rPr>
        <w:t>2.  Post-Answer Posture — Rule 12(b)(6) vs. Rule 12(c).</w:t>
      </w:r>
    </w:p>
    <w:p>
      <w:pPr>
        <w:spacing w:after="0" w:before="0" w:line="480" w:lineRule="auto"/>
        <w:jc w:val="left"/>
      </w:pPr>
      <w:r>
        <w:rPr>
          <w:rFonts w:ascii="Times New Roman" w:hAnsi="Times New Roman" w:cs="Times New Roman"/>
          <w:b w:val="0"/>
          <w:i w:val="0"/>
          <w:sz w:val="24"/>
          <w:u w:val="none"/>
        </w:rPr>
        <w:t>Meridian answered the FAC on October 2, 2023, before moving to dismiss. Rule 12(h)(2) preserves a failure-to-state-a-claim defense raised after answering, and the Answer expressly preserved the Rule 12(b)(6) defense (First Affirmative Defense; Reservation of Rights). The Court's Standing Order § 3.4 permits post-answer Rule 12(b)(6) motions where the defense was preserved and treats them under the Rule 12(b)(6) standard. The Scheduling Order, however, states the Court will "treat any such motion as a Rule 12(c) motion for judgment on the pleadings, evaluated under the same standard as a Rule 12(b)(6) motion."</w:t>
      </w:r>
    </w:p>
    <w:p>
      <w:pPr>
        <w:spacing w:after="0" w:before="0" w:line="480" w:lineRule="auto"/>
        <w:jc w:val="left"/>
      </w:pPr>
      <w:r>
        <w:rPr>
          <w:rFonts w:ascii="Times New Roman" w:hAnsi="Times New Roman" w:cs="Times New Roman"/>
          <w:b w:val="0"/>
          <w:i w:val="0"/>
          <w:sz w:val="24"/>
          <w:u w:val="none"/>
        </w:rPr>
        <w:t>The practical effect is nil—the Twombly/Iqbal standard is identical—but the caption and framing should anticipate the Court's characterization. The MTD is captioned as a Rule 12(b)(6) motion (consistent with the Standing Order and the task), and the legal-standard section notes the preserved defense. If the Court recharacterizes it as Rule 12(c), no prejudice arises because the standard and the documents reviewable (the FAC plus the MSLSA/SOW-1/Change Orders referenced in and central to it) are the same. One caution: under Rule 12(c), the Court may also consider the Answer; our Answer's affirmative allegations (e.g., the 45-day PM gap, the 75-day API-spec delay, Linden Park's migration errors) are consistent with—not contrary to—the MTD, so recharacterization does not hurt us.</w:t>
      </w:r>
    </w:p>
    <w:p>
      <w:pPr>
        <w:keepNext/>
        <w:spacing w:before="120" w:after="40" w:line="480" w:lineRule="auto"/>
        <w:jc w:val="left"/>
      </w:pPr>
      <w:r>
        <w:rPr>
          <w:rFonts w:ascii="Times New Roman" w:hAnsi="Times New Roman" w:cs="Times New Roman"/>
          <w:b/>
          <w:i w:val="0"/>
          <w:sz w:val="24"/>
          <w:u w:val="none"/>
        </w:rPr>
        <w:t>3.  Choice of Law — Delaware (Contract) vs. Texas (Tort).</w:t>
      </w:r>
    </w:p>
    <w:p>
      <w:pPr>
        <w:spacing w:after="0" w:before="0" w:line="480" w:lineRule="auto"/>
        <w:jc w:val="left"/>
      </w:pPr>
      <w:r>
        <w:rPr>
          <w:rFonts w:ascii="Times New Roman" w:hAnsi="Times New Roman" w:cs="Times New Roman"/>
          <w:b w:val="0"/>
          <w:i w:val="0"/>
          <w:sz w:val="24"/>
          <w:u w:val="none"/>
        </w:rPr>
        <w:t>Section 12.7 selects Delaware law for the contract, without regard to conflict-of-law principles. Delaware law therefore governs Count I and the unjust-enrichment analysis (both Delaware and Texas bar unjust enrichment where an express contract governs, so the result is the same). For the tort claims (Counts II–III), the scope of § 12.7 is debatable: a broad reading extends Delaware law to all claims arising from the contractual relationship, while the most-significant-relationship test (all contacts point to Texas) likely brings Texas law to bear. The MTD argues the tort claims fail under either body of law—Delaware's broader economic-loss doctrine and anti-reliance doctrine (Brasby, Kuhn, Eagle Industries) and Texas's duty-based economic-loss rule and puffery/reliance doctrine (Sharyland, Chapman, Pizza Hut, Presidio). We should be prepared for Arcadia to argue Texas law applies to the torts and to respond that the claims fail under Texas law regardless. The DTPA (Count V) is a Texas statute in any event, and the § 17.49(f) exemption is dispositive without regard to choice of law.</w:t>
      </w:r>
    </w:p>
    <w:p>
      <w:pPr>
        <w:keepNext/>
        <w:spacing w:before="120" w:after="40" w:line="480" w:lineRule="auto"/>
        <w:jc w:val="left"/>
      </w:pPr>
      <w:r>
        <w:rPr>
          <w:rFonts w:ascii="Times New Roman" w:hAnsi="Times New Roman" w:cs="Times New Roman"/>
          <w:b/>
          <w:i w:val="0"/>
          <w:sz w:val="24"/>
          <w:u w:val="none"/>
        </w:rPr>
        <w:t>4.  DTPA — Verify the § 17.49(f) Text and Confirm the $25M Asset Alternative.</w:t>
      </w:r>
    </w:p>
    <w:p>
      <w:pPr>
        <w:spacing w:after="0" w:before="0" w:line="480" w:lineRule="auto"/>
        <w:jc w:val="left"/>
      </w:pPr>
      <w:r>
        <w:rPr>
          <w:rFonts w:ascii="Times New Roman" w:hAnsi="Times New Roman" w:cs="Times New Roman"/>
          <w:b w:val="0"/>
          <w:i w:val="0"/>
          <w:sz w:val="24"/>
          <w:u w:val="none"/>
        </w:rPr>
        <w:t>The MTD leads with the § 17.49(f) exemption: a transaction involving total consideration by the consumer of more than $500,000, unless the consumer is an individual. Arcadia is an LLC and total consideration is $17,050,000—a clean, dispositive, no-facts-needed ground. Two cautions:</w:t>
      </w:r>
    </w:p>
    <w:p>
      <w:pPr>
        <w:spacing w:after="0" w:before="0" w:line="480" w:lineRule="auto"/>
        <w:ind w:left="360"/>
        <w:jc w:val="left"/>
      </w:pPr>
      <w:r>
        <w:rPr>
          <w:rFonts w:ascii="Times New Roman" w:hAnsi="Times New Roman" w:cs="Times New Roman"/>
          <w:b w:val="0"/>
          <w:i w:val="0"/>
          <w:sz w:val="24"/>
          <w:u w:val="none"/>
        </w:rPr>
        <w:t>(a)  Statutory-text verification. The research memo frames § 17.49(f) as the $500,000 consideration threshold ("unless the consumer is an individual"), while the Answer's Thirteenth Affirmative Defense references a $25 million asset test. The DTPA has been amended repeatedly. Before the response brief is filed, we should pull the current, official text of § 17.49(f) from the Texas Legislature's website and confirm the precise operative language and effective date, so the citation in the MTD and any reply is exact. The $500,000 consideration argument does not depend on the asset test, so it stands even if the asset language is narrower than the Answer assumed.</w:t>
      </w:r>
    </w:p>
    <w:p>
      <w:pPr>
        <w:spacing w:after="0" w:before="0" w:line="480" w:lineRule="auto"/>
        <w:ind w:left="360"/>
        <w:jc w:val="left"/>
      </w:pPr>
      <w:r>
        <w:rPr>
          <w:rFonts w:ascii="Times New Roman" w:hAnsi="Times New Roman" w:cs="Times New Roman"/>
          <w:b w:val="0"/>
          <w:i w:val="0"/>
          <w:sz w:val="24"/>
          <w:u w:val="none"/>
        </w:rPr>
        <w:t>(b)  The $25 million asset alternative. If the current statute also exempts transactions by a business consumer with assets of $25 million or more, that is an independent ground—but it requires proof of Arcadia's total assets as of the transaction. The FAC does not state Arcadia's assets (it states $62 million in annual revenue and $30 million-plus in infrastructure investments, which strongly implies assets above $25 million). Our July 10, 2023 DTPA-response letter already demanded Arcadia's audited/reviewed financials. We should press that demand in discovery and, if the asset ground is needed, support it with Arcadia's balance sheet rather than inference.</w:t>
      </w:r>
    </w:p>
    <w:p>
      <w:pPr>
        <w:keepNext/>
        <w:spacing w:before="120" w:after="40" w:line="480" w:lineRule="auto"/>
        <w:jc w:val="left"/>
      </w:pPr>
      <w:r>
        <w:rPr>
          <w:rFonts w:ascii="Times New Roman" w:hAnsi="Times New Roman" w:cs="Times New Roman"/>
          <w:b/>
          <w:i w:val="0"/>
          <w:sz w:val="24"/>
          <w:u w:val="none"/>
        </w:rPr>
        <w:t>5.  DTPA — Possible Noncompliance with the 60-Day Pre-Suit Notice (§ 17.505(a)).</w:t>
      </w:r>
    </w:p>
    <w:p>
      <w:pPr>
        <w:spacing w:after="0" w:before="0" w:line="480" w:lineRule="auto"/>
        <w:jc w:val="left"/>
      </w:pPr>
      <w:r>
        <w:rPr>
          <w:rFonts w:ascii="Times New Roman" w:hAnsi="Times New Roman" w:cs="Times New Roman"/>
          <w:b w:val="0"/>
          <w:i w:val="0"/>
          <w:sz w:val="24"/>
          <w:u w:val="none"/>
        </w:rPr>
        <w:t>Section 17.505(a) requires a consumer to give written notice at least 60 days before filing suit. Arcadia's DTPA demand letter is dated June 15, 2023; the Original Petition was filed August 7, 2023—only 53 days later, i.e., before the 60-day period expired. (Our July 10, 2023 response letter refers to Arcadia's letter as dated June 26, 2023; if that is the operative date, the gap is only 42 days. Either way, the 60-day period was not satisfied.) This is a threshold defect, but it is not a clean Rule 12(b)(6) basis for dismissal: the remedy for noncompliance is abatement, not dismissal, see Tex. Bus. &amp; Com. Code § 17.505(d), and it depends on dates outside the FAC. We therefore did not make it a primary MTD ground. Recommendation: preserve it as a defense/plea in abatement, and consider raising it if the DTPA count somehow survives the § 17.49(f) exemption. We should also reconcile the June 15 vs. June 26 date discrepancy in the record.</w:t>
      </w:r>
    </w:p>
    <w:p>
      <w:pPr>
        <w:keepNext/>
        <w:spacing w:before="120" w:after="40" w:line="480" w:lineRule="auto"/>
        <w:jc w:val="left"/>
      </w:pPr>
      <w:r>
        <w:rPr>
          <w:rFonts w:ascii="Times New Roman" w:hAnsi="Times New Roman" w:cs="Times New Roman"/>
          <w:b/>
          <w:i w:val="0"/>
          <w:sz w:val="24"/>
          <w:u w:val="none"/>
        </w:rPr>
        <w:t>6.  Section 8.1 Liability Cap — Calculate the Exact Amount.</w:t>
      </w:r>
    </w:p>
    <w:p>
      <w:pPr>
        <w:spacing w:after="0" w:before="0" w:line="480" w:lineRule="auto"/>
        <w:jc w:val="left"/>
      </w:pPr>
      <w:r>
        <w:rPr>
          <w:rFonts w:ascii="Times New Roman" w:hAnsi="Times New Roman" w:cs="Times New Roman"/>
          <w:b w:val="0"/>
          <w:i w:val="0"/>
          <w:sz w:val="24"/>
          <w:u w:val="none"/>
        </w:rPr>
        <w:t>The MTD's alternative argument caps all damages at the fees paid or payable in the twelve months preceding "the event giving rise to such liability." Two open items: (a) the relevant 12-month period and the "event" that triggers it are ambiguous (the alleged pre-sale misrepresentations predate any fees; Go-Live was January 15, 2023; the first complaint was March 8, 2023); and (b) we need Meridian's billing records to compute the exact cap. The August 25, 2022 project status report shows $6.53 million invoiced to date as of that report, with milestone-based billing thereafter. We should obtain the complete invoice/payment ledger and compute the cap under each plausible trigger date so the alternative relief is precise if the Court reaches it.</w:t>
      </w:r>
    </w:p>
    <w:p>
      <w:pPr>
        <w:keepNext/>
        <w:spacing w:before="120" w:after="40" w:line="480" w:lineRule="auto"/>
        <w:jc w:val="left"/>
      </w:pPr>
      <w:r>
        <w:rPr>
          <w:rFonts w:ascii="Times New Roman" w:hAnsi="Times New Roman" w:cs="Times New Roman"/>
          <w:b/>
          <w:i w:val="0"/>
          <w:sz w:val="24"/>
          <w:u w:val="none"/>
        </w:rPr>
        <w:t>7.  Count I Strategy — Full Dismissal vs. Damages Limitation.</w:t>
      </w:r>
    </w:p>
    <w:p>
      <w:pPr>
        <w:spacing w:after="0" w:before="0" w:line="480" w:lineRule="auto"/>
        <w:jc w:val="left"/>
      </w:pPr>
      <w:r>
        <w:rPr>
          <w:rFonts w:ascii="Times New Roman" w:hAnsi="Times New Roman" w:cs="Times New Roman"/>
          <w:b w:val="0"/>
          <w:i w:val="0"/>
          <w:sz w:val="24"/>
          <w:u w:val="none"/>
        </w:rPr>
        <w:t>The MTD seeks full dismissal of Count I (deemed acceptance, expired warranty, exclusive remedies, misattributed data-migration breaches) and, in the alternative, dismissal of all consequential/punitive damages and application of the § 8.1 cap. Full dismissal of a breach-of-contract claim at the pleading stage is aggressive; courts sometimes view deemed-acceptance and warranty-expiration as affirmative defenses better resolved on a more developed record. Simulados (W.D. Tex.) and Precision Healthcare (N.D. Tex.) support us, but the Court may prefer to limit damages rather than dismiss the count outright. The dual-track framing in the MTD hedges this risk. If the Court signals reluctance to dismiss Count I entirely at the hearing, we should be ready to press the alternative (which is very strong: the consequential-damages waiver alone eliminates roughly $30 million of the $47.3 million demand, and Arcadia's counsel expressly accepted that waiver "knowingly and with the benefit of legal counsel").</w:t>
      </w:r>
    </w:p>
    <w:p>
      <w:pPr>
        <w:keepNext/>
        <w:spacing w:before="120" w:after="40" w:line="480" w:lineRule="auto"/>
        <w:jc w:val="left"/>
      </w:pPr>
      <w:r>
        <w:rPr>
          <w:rFonts w:ascii="Times New Roman" w:hAnsi="Times New Roman" w:cs="Times New Roman"/>
          <w:b/>
          <w:i w:val="0"/>
          <w:sz w:val="24"/>
          <w:u w:val="none"/>
        </w:rPr>
        <w:t>8.  Jury-Trial Waiver (§ 12.9) — Confirm Enforceability.</w:t>
      </w:r>
    </w:p>
    <w:p>
      <w:pPr>
        <w:spacing w:after="0" w:before="0" w:line="480" w:lineRule="auto"/>
        <w:jc w:val="left"/>
      </w:pPr>
      <w:r>
        <w:rPr>
          <w:rFonts w:ascii="Times New Roman" w:hAnsi="Times New Roman" w:cs="Times New Roman"/>
          <w:b w:val="0"/>
          <w:i w:val="0"/>
          <w:sz w:val="24"/>
          <w:u w:val="none"/>
        </w:rPr>
        <w:t>The Scheduling Order confirms the parties waived jury trial under § 12.9 and that the case will be tried to the bench. The FAC nonetheless demands a jury (FAC ¶ 122), and our Answer conditionally demands a jury should the Court find the waiver unenforceable. This does not affect the MTD, but it affects trial strategy and the value of the federal forum. We should confirm there is no basis to challenge the waiver (it is mutual, negotiated, and expressly acknowledged in § 12.9), and be prepared to enforce it if the case proceeds. The negotiation record confirms Arcadia's counsel expressly agreed to the jury waiver.</w:t>
      </w:r>
    </w:p>
    <w:p>
      <w:pPr>
        <w:keepNext/>
        <w:spacing w:before="120" w:after="40" w:line="480" w:lineRule="auto"/>
        <w:jc w:val="left"/>
      </w:pPr>
      <w:r>
        <w:rPr>
          <w:rFonts w:ascii="Times New Roman" w:hAnsi="Times New Roman" w:cs="Times New Roman"/>
          <w:b/>
          <w:i w:val="0"/>
          <w:sz w:val="24"/>
          <w:u w:val="none"/>
        </w:rPr>
        <w:t>9.  Documents the Court May Consider — Stay Within the Pleadings.</w:t>
      </w:r>
    </w:p>
    <w:p>
      <w:pPr>
        <w:spacing w:after="0" w:before="0" w:line="480" w:lineRule="auto"/>
        <w:jc w:val="left"/>
      </w:pPr>
      <w:r>
        <w:rPr>
          <w:rFonts w:ascii="Times New Roman" w:hAnsi="Times New Roman" w:cs="Times New Roman"/>
          <w:b w:val="0"/>
          <w:i w:val="0"/>
          <w:sz w:val="24"/>
          <w:u w:val="none"/>
        </w:rPr>
        <w:t>The MTD relies on the FAC plus documents referenced in and central to it: the MSLSA, SOW-1, the four Change Orders, the December 9, 2021 proposal, the August 25, 2022 project status report, and the March 8, 2023 email. Lormand permits consideration of these without conversion. We deliberately did not rely on the Schreiber due-diligence memo, the contract-negotiation email chain, or the support-ticket summary as primary MTD authority, because they are not referenced in the FAC and relying on them could trigger Rule 12(d) conversion. They remain powerful for summary judgment and for rebutting any Arcadia response that opens the door. If Arcadia's response introduces these materials (or argues reliance/due diligence), we can deploy them in the reply or move for partial summary judgment.</w:t>
      </w:r>
    </w:p>
    <w:p>
      <w:pPr>
        <w:keepNext/>
        <w:spacing w:before="120" w:after="40" w:line="480" w:lineRule="auto"/>
        <w:jc w:val="left"/>
      </w:pPr>
      <w:r>
        <w:rPr>
          <w:rFonts w:ascii="Times New Roman" w:hAnsi="Times New Roman" w:cs="Times New Roman"/>
          <w:b/>
          <w:i w:val="0"/>
          <w:sz w:val="24"/>
          <w:u w:val="none"/>
        </w:rPr>
        <w:t>10.  Filing Mechanics.</w:t>
      </w:r>
    </w:p>
    <w:p>
      <w:pPr>
        <w:spacing w:after="0" w:before="0" w:line="480" w:lineRule="auto"/>
        <w:jc w:val="left"/>
      </w:pPr>
      <w:r>
        <w:rPr>
          <w:rFonts w:ascii="Times New Roman" w:hAnsi="Times New Roman" w:cs="Times New Roman"/>
          <w:b w:val="0"/>
          <w:i w:val="0"/>
          <w:sz w:val="24"/>
          <w:u w:val="none"/>
        </w:rPr>
        <w:t>The MTD is within the Standing Order's 25-page limit for motions to dismiss (exclusive of the caption, table of authorities, signature block, and certificates). The proposed order is filed separately as a .docx, per Standing Order § 3.5; we will update the docket-entry number in the proposed order within one business day of filing. The certificate of conference is included in the MTD; if the Court prefers it as a separate docket entry, we will file it separately. The dispositive-motion deadline is January 15, 2024; the response is due 21 days later and the reply 14 days after that. We should calendar those dates and begin drafting the reply in anticipation of Arcadia's likely arguments (consumer status, fraudulent-inducement exception to the economic loss rule, and an attempt to distinguish Simulados).</w:t>
      </w:r>
    </w:p>
    <w:p>
      <w:pPr>
        <w:spacing w:after="120" w:before="0" w:line="480" w:lineRule="auto"/>
        <w:jc w:val="left"/>
      </w:pPr>
    </w:p>
    <w:p>
      <w:pPr>
        <w:spacing w:after="0" w:before="0" w:line="480" w:lineRule="auto"/>
        <w:jc w:val="left"/>
      </w:pPr>
      <w:r>
        <w:rPr>
          <w:rFonts w:ascii="Times New Roman" w:hAnsi="Times New Roman" w:cs="Times New Roman"/>
          <w:b w:val="0"/>
          <w:i w:val="0"/>
          <w:sz w:val="24"/>
          <w:u w:val="none"/>
        </w:rPr>
        <w:t>Please advise on the forum-strategy decision in Item 1 at your earliest convenience, as it may affect whether and how we file the MTD. We are available to discuss any of the foregoing.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