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cs="Times New Roman"/>
          <w:b/>
          <w:i w:val="0"/>
          <w:sz w:val="24"/>
          <w:u w:val="none"/>
          <w:caps w:val="true"/>
        </w:rPr>
        <w:t>UNITED STATES DISTRICT COURT</w:t>
      </w:r>
    </w:p>
    <w:p>
      <w:pPr>
        <w:spacing w:after="0" w:before="0" w:line="480" w:lineRule="auto"/>
        <w:jc w:val="center"/>
      </w:pPr>
      <w:r>
        <w:rPr>
          <w:rFonts w:ascii="Times New Roman" w:hAnsi="Times New Roman" w:cs="Times New Roman"/>
          <w:b/>
          <w:i w:val="0"/>
          <w:sz w:val="24"/>
          <w:u w:val="none"/>
          <w:caps w:val="true"/>
        </w:rPr>
        <w:t>WESTERN DISTRICT OF TEXAS</w:t>
      </w:r>
    </w:p>
    <w:p>
      <w:pPr>
        <w:spacing w:after="120" w:before="0" w:line="480" w:lineRule="auto"/>
        <w:jc w:val="center"/>
      </w:pPr>
      <w:r>
        <w:rPr>
          <w:rFonts w:ascii="Times New Roman" w:hAnsi="Times New Roman" w:cs="Times New Roman"/>
          <w:b/>
          <w:i w:val="0"/>
          <w:sz w:val="24"/>
          <w:u w:val="none"/>
          <w:caps w:val="true"/>
        </w:rPr>
        <w:t>AUSTIN DIVISION</w:t>
      </w:r>
    </w:p>
    <w:tbl>
      <w:tblPr>
        <w:tblW w:type="auto" w:w="0"/>
        <w:tblLook w:firstColumn="1" w:firstRow="1" w:lastColumn="0" w:lastRow="0" w:noHBand="0" w:noVBand="1" w:val="04A0"/>
      </w:tblPr>
      <w:tblGrid>
        <w:gridCol w:w="4680"/>
        <w:gridCol w:w="4680"/>
      </w:tblGrid>
      <w:tr>
        <w:tc>
          <w:tcPr>
            <w:tcW w:type="dxa" w:w="4680"/>
          </w:tcPr>
          <w:p>
            <w:pPr>
              <w:spacing w:line="240" w:lineRule="auto" w:after="0"/>
            </w:pPr>
            <w:r>
              <w:rPr>
                <w:rFonts w:ascii="Times New Roman" w:hAnsi="Times New Roman" w:cs="Times New Roman"/>
                <w:b w:val="0"/>
                <w:i w:val="0"/>
                <w:sz w:val="24"/>
                <w:u w:val="none"/>
              </w:rPr>
              <w:t>ARCADIA HEALTH SYSTEMS, LLC,</w:t>
            </w:r>
          </w:p>
        </w:tc>
        <w:tc>
          <w:tcPr>
            <w:tcW w:type="dxa" w:w="4680"/>
            <w:vMerge w:val="restart"/>
          </w:tcPr>
          <w:p>
            <w:pPr>
              <w:spacing w:line="240" w:lineRule="auto" w:after="0"/>
            </w:pPr>
            <w:r>
              <w:rPr>
                <w:rFonts w:ascii="Times New Roman" w:hAnsi="Times New Roman" w:cs="Times New Roman"/>
                <w:b w:val="0"/>
                <w:i w:val="0"/>
                <w:sz w:val="24"/>
                <w:u w:val="none"/>
              </w:rPr>
              <w:t>Civil Action No. 1:23-cv-00847-CMA</w:t>
            </w:r>
          </w:p>
        </w:tc>
      </w:tr>
      <w:tr>
        <w:tc>
          <w:tcPr>
            <w:tcW w:type="dxa" w:w="4680"/>
          </w:tcPr>
          <w:p>
            <w:pPr>
              <w:spacing w:line="240" w:lineRule="auto" w:after="0"/>
            </w:pPr>
            <w:r>
              <w:rPr>
                <w:rFonts w:ascii="Times New Roman" w:hAnsi="Times New Roman" w:cs="Times New Roman"/>
                <w:b w:val="0"/>
                <w:i w:val="0"/>
                <w:sz w:val="24"/>
                <w:u w:val="none"/>
              </w:rPr>
              <w:t>Plaintiff,</w:t>
            </w:r>
          </w:p>
        </w:tc>
        <w:tc>
          <w:tcPr>
            <w:tcW w:type="dxa" w:w="4680"/>
            <w:vMerge/>
          </w:tcPr>
          <w:p>
            <w:pPr>
              <w:spacing w:line="240" w:lineRule="auto" w:after="0"/>
            </w:pPr>
          </w:p>
        </w:tc>
      </w:tr>
      <w:tr>
        <w:tc>
          <w:tcPr>
            <w:tcW w:type="dxa" w:w="4680"/>
          </w:tcPr>
          <w:p>
            <w:pPr>
              <w:spacing w:line="240" w:lineRule="auto" w:after="0"/>
            </w:pPr>
            <w:r>
              <w:rPr>
                <w:rFonts w:ascii="Times New Roman" w:hAnsi="Times New Roman" w:cs="Times New Roman"/>
                <w:b w:val="0"/>
                <w:i w:val="0"/>
                <w:sz w:val="24"/>
                <w:u w:val="none"/>
              </w:rPr>
              <w:t>v.</w:t>
            </w:r>
          </w:p>
        </w:tc>
        <w:tc>
          <w:tcPr>
            <w:tcW w:type="dxa" w:w="4680"/>
            <w:vMerge/>
          </w:tcPr>
          <w:p>
            <w:pPr>
              <w:spacing w:line="240" w:lineRule="auto" w:after="0"/>
            </w:pPr>
          </w:p>
        </w:tc>
      </w:tr>
      <w:tr>
        <w:tc>
          <w:tcPr>
            <w:tcW w:type="dxa" w:w="4680"/>
          </w:tcPr>
          <w:p>
            <w:pPr>
              <w:spacing w:line="240" w:lineRule="auto" w:after="0"/>
            </w:pPr>
            <w:r>
              <w:rPr>
                <w:rFonts w:ascii="Times New Roman" w:hAnsi="Times New Roman" w:cs="Times New Roman"/>
                <w:b w:val="0"/>
                <w:i w:val="0"/>
                <w:sz w:val="24"/>
                <w:u w:val="none"/>
              </w:rPr>
              <w:t>MERIDIAN CLOUD SOLUTIONS, INC.,</w:t>
            </w:r>
          </w:p>
        </w:tc>
        <w:tc>
          <w:tcPr>
            <w:tcW w:type="dxa" w:w="4680"/>
            <w:vMerge/>
          </w:tcPr>
          <w:p>
            <w:pPr>
              <w:spacing w:line="240" w:lineRule="auto" w:after="0"/>
            </w:pPr>
          </w:p>
        </w:tc>
      </w:tr>
    </w:tbl>
    <w:p>
      <w:pPr>
        <w:spacing w:after="200" w:before="0" w:line="480" w:lineRule="auto"/>
        <w:jc w:val="left"/>
      </w:pPr>
      <w:r>
        <w:rPr>
          <w:rFonts w:ascii="Times New Roman" w:hAnsi="Times New Roman" w:cs="Times New Roman"/>
          <w:b w:val="0"/>
          <w:i w:val="0"/>
          <w:sz w:val="24"/>
          <w:u w:val="none"/>
        </w:rPr>
        <w:t>Defendant.</w:t>
      </w:r>
    </w:p>
    <w:p>
      <w:pPr>
        <w:keepNext/>
        <w:spacing w:before="0" w:after="40" w:line="480" w:lineRule="auto"/>
        <w:jc w:val="left"/>
      </w:pPr>
      <w:r>
        <w:rPr>
          <w:rFonts w:ascii="Times New Roman" w:hAnsi="Times New Roman" w:cs="Times New Roman"/>
          <w:b/>
          <w:i w:val="0"/>
          <w:sz w:val="24"/>
          <w:u w:val="single"/>
          <w:caps w:val="true"/>
        </w:rPr>
        <w:t>ORDER</w:t>
      </w:r>
    </w:p>
    <w:p>
      <w:pPr>
        <w:spacing w:after="0" w:before="0" w:line="480" w:lineRule="auto"/>
        <w:jc w:val="left"/>
      </w:pPr>
      <w:r>
        <w:rPr>
          <w:rFonts w:ascii="Times New Roman" w:hAnsi="Times New Roman" w:cs="Times New Roman"/>
          <w:b w:val="0"/>
          <w:i w:val="0"/>
          <w:sz w:val="24"/>
          <w:u w:val="none"/>
        </w:rPr>
        <w:t>On this day came on to be considered Defendant Meridian Cloud Solutions, Inc.'s Motion to Dismiss Plaintiff's First Amended Complaint Pursuant to Federal Rule of Civil Procedure 12(b)(6) (Dkt. No. [___]), and the Court, having reviewed the Motion, the First Amended Complaint, the governing Master Software License and Services Agreement and related documents, and the applicable law, is of the opinion that the Motion should be granted.</w:t>
      </w:r>
    </w:p>
    <w:p>
      <w:pPr>
        <w:keepNext/>
        <w:spacing w:before="80" w:after="40" w:line="480" w:lineRule="auto"/>
        <w:jc w:val="left"/>
      </w:pPr>
      <w:r>
        <w:rPr>
          <w:rFonts w:ascii="Times New Roman" w:hAnsi="Times New Roman" w:cs="Times New Roman"/>
          <w:b/>
          <w:i w:val="0"/>
          <w:sz w:val="24"/>
          <w:u w:val="none"/>
        </w:rPr>
        <w:t>IT IS THEREFORE ORDERED, ADJUDGED, AND DECREED that Defendant Meridian Cloud Solutions, Inc.'s Motion to Dismiss (Dkt. No. [___]) is GRANTED.</w:t>
      </w:r>
    </w:p>
    <w:p>
      <w:pPr>
        <w:spacing w:after="0" w:before="0" w:line="480" w:lineRule="auto"/>
        <w:jc w:val="left"/>
      </w:pPr>
      <w:r>
        <w:rPr>
          <w:rFonts w:ascii="Times New Roman" w:hAnsi="Times New Roman" w:cs="Times New Roman"/>
          <w:b w:val="0"/>
          <w:i w:val="0"/>
          <w:sz w:val="24"/>
          <w:u w:val="none"/>
        </w:rPr>
        <w:t>IT IS FURTHER ORDERED that all five counts of Plaintiff Arcadia Health Systems, LLC's First Amended Complaint are DISMISSED WITH PREJUDICE, namely:</w:t>
      </w:r>
    </w:p>
    <w:p>
      <w:pPr>
        <w:spacing w:after="0" w:before="0" w:line="480" w:lineRule="auto"/>
        <w:ind w:left="720"/>
        <w:jc w:val="left"/>
      </w:pPr>
      <w:r>
        <w:rPr>
          <w:rFonts w:ascii="Times New Roman" w:hAnsi="Times New Roman" w:cs="Times New Roman"/>
          <w:b w:val="0"/>
          <w:i w:val="0"/>
          <w:sz w:val="24"/>
          <w:u w:val="none"/>
        </w:rPr>
        <w:t>(1)  Count I — Breach of Contract;</w:t>
      </w:r>
    </w:p>
    <w:p>
      <w:pPr>
        <w:spacing w:after="0" w:before="0" w:line="480" w:lineRule="auto"/>
        <w:ind w:left="720"/>
        <w:jc w:val="left"/>
      </w:pPr>
      <w:r>
        <w:rPr>
          <w:rFonts w:ascii="Times New Roman" w:hAnsi="Times New Roman" w:cs="Times New Roman"/>
          <w:b w:val="0"/>
          <w:i w:val="0"/>
          <w:sz w:val="24"/>
          <w:u w:val="none"/>
        </w:rPr>
        <w:t>(2)  Count II — Fraud;</w:t>
      </w:r>
    </w:p>
    <w:p>
      <w:pPr>
        <w:spacing w:after="0" w:before="0" w:line="480" w:lineRule="auto"/>
        <w:ind w:left="720"/>
        <w:jc w:val="left"/>
      </w:pPr>
      <w:r>
        <w:rPr>
          <w:rFonts w:ascii="Times New Roman" w:hAnsi="Times New Roman" w:cs="Times New Roman"/>
          <w:b w:val="0"/>
          <w:i w:val="0"/>
          <w:sz w:val="24"/>
          <w:u w:val="none"/>
        </w:rPr>
        <w:t>(3)  Count III — Negligent Misrepresentation;</w:t>
      </w:r>
    </w:p>
    <w:p>
      <w:pPr>
        <w:spacing w:after="0" w:before="0" w:line="480" w:lineRule="auto"/>
        <w:ind w:left="720"/>
        <w:jc w:val="left"/>
      </w:pPr>
      <w:r>
        <w:rPr>
          <w:rFonts w:ascii="Times New Roman" w:hAnsi="Times New Roman" w:cs="Times New Roman"/>
          <w:b w:val="0"/>
          <w:i w:val="0"/>
          <w:sz w:val="24"/>
          <w:u w:val="none"/>
        </w:rPr>
        <w:t>(4)  Count IV — Unjust Enrichment; and</w:t>
      </w:r>
    </w:p>
    <w:p>
      <w:pPr>
        <w:spacing w:after="0" w:before="0" w:line="480" w:lineRule="auto"/>
        <w:ind w:left="720"/>
        <w:jc w:val="left"/>
      </w:pPr>
      <w:r>
        <w:rPr>
          <w:rFonts w:ascii="Times New Roman" w:hAnsi="Times New Roman" w:cs="Times New Roman"/>
          <w:b w:val="0"/>
          <w:i w:val="0"/>
          <w:sz w:val="24"/>
          <w:u w:val="none"/>
        </w:rPr>
        <w:t>(5)  Count V — Violation of the Texas Deceptive Trade Practices–Consumer Protection Act, Tex. Bus. &amp; Com. Code §§ 17.41–17.63.</w:t>
      </w:r>
    </w:p>
    <w:p>
      <w:pPr>
        <w:spacing w:after="0" w:before="0" w:line="480" w:lineRule="auto"/>
        <w:jc w:val="left"/>
      </w:pPr>
      <w:r>
        <w:rPr>
          <w:rFonts w:ascii="Times New Roman" w:hAnsi="Times New Roman" w:cs="Times New Roman"/>
          <w:b w:val="0"/>
          <w:i w:val="0"/>
          <w:sz w:val="24"/>
          <w:u w:val="none"/>
        </w:rPr>
        <w:t>IT IS FURTHER ORDERED that, in the event the Court does not dismiss Count I in its entirety, all of Plaintiff's claims for consequential, incidental, special, punitive, and exemplary damages—including claims for lost profits, increased operating costs, reputational harm, and treble damages—are DISMISSED WITH PREJUDICE as barred by Section 8.2 of the Master Software License and Services Agreement, and all remaining damages are limited to the aggregate-liability cap set forth in Section 8.1 of that Agreement.</w:t>
      </w:r>
    </w:p>
    <w:p>
      <w:pPr>
        <w:spacing w:after="0" w:before="0" w:line="480" w:lineRule="auto"/>
        <w:jc w:val="left"/>
      </w:pPr>
      <w:r>
        <w:rPr>
          <w:rFonts w:ascii="Times New Roman" w:hAnsi="Times New Roman" w:cs="Times New Roman"/>
          <w:b w:val="0"/>
          <w:i w:val="0"/>
          <w:sz w:val="24"/>
          <w:u w:val="none"/>
        </w:rPr>
        <w:t>IT IS FURTHER ORDERED that Plaintiff Arcadia Health Systems, LLC shall take nothing by its First Amended Complaint, that all claims against Defendant Meridian Cloud Solutions, Inc. are DISMISSED WITH PREJUDICE, and that Defendant Meridian Cloud Solutions, Inc. be go hence without day and recover its costs of court, for which execution may issue, together with such other and further relief to which Defendant may be entitled under the Master Software License and Services Agreement or applicable law.</w:t>
      </w:r>
    </w:p>
    <w:p>
      <w:pPr>
        <w:spacing w:after="0" w:before="0" w:line="480" w:lineRule="auto"/>
        <w:jc w:val="left"/>
      </w:pPr>
      <w:r>
        <w:rPr>
          <w:rFonts w:ascii="Times New Roman" w:hAnsi="Times New Roman" w:cs="Times New Roman"/>
          <w:b w:val="0"/>
          <w:i w:val="0"/>
          <w:sz w:val="24"/>
          <w:u w:val="none"/>
        </w:rPr>
        <w:t>IT IS FINALLY ORDERED that this Order is final and appealable as to all claims and all parties, and that the Clerk of Court is directed to close this case.</w:t>
      </w:r>
    </w:p>
    <w:p>
      <w:pPr>
        <w:spacing w:after="0" w:before="0" w:line="480" w:lineRule="auto"/>
        <w:jc w:val="left"/>
      </w:pPr>
    </w:p>
    <w:p>
      <w:pPr>
        <w:spacing w:after="400" w:before="0" w:line="480" w:lineRule="auto"/>
        <w:jc w:val="left"/>
      </w:pPr>
      <w:r>
        <w:rPr>
          <w:rFonts w:ascii="Times New Roman" w:hAnsi="Times New Roman" w:cs="Times New Roman"/>
          <w:b w:val="0"/>
          <w:i w:val="0"/>
          <w:sz w:val="24"/>
          <w:u w:val="none"/>
        </w:rPr>
        <w:t>SIGNED on this _____ day of ____________, 2024.</w:t>
      </w:r>
    </w:p>
    <w:p>
      <w:pPr>
        <w:spacing w:after="0" w:before="0" w:line="480" w:lineRule="auto"/>
        <w:jc w:val="left"/>
      </w:pPr>
      <w:r>
        <w:rPr>
          <w:rFonts w:ascii="Times New Roman" w:hAnsi="Times New Roman" w:cs="Times New Roman"/>
          <w:b w:val="0"/>
          <w:i w:val="0"/>
          <w:sz w:val="24"/>
          <w:u w:val="none"/>
        </w:rPr>
        <w:t>_______________________________________</w:t>
      </w:r>
    </w:p>
    <w:p>
      <w:pPr>
        <w:spacing w:after="0" w:before="0" w:line="480" w:lineRule="auto"/>
        <w:jc w:val="left"/>
      </w:pPr>
      <w:r>
        <w:rPr>
          <w:rFonts w:ascii="Times New Roman" w:hAnsi="Times New Roman" w:cs="Times New Roman"/>
          <w:b/>
          <w:i w:val="0"/>
          <w:sz w:val="24"/>
          <w:u w:val="none"/>
        </w:rPr>
        <w:t>THE HONORABLE CATHERINE M. ALVAREZ</w:t>
      </w:r>
    </w:p>
    <w:p>
      <w:pPr>
        <w:spacing w:after="0" w:before="0" w:line="480" w:lineRule="auto"/>
        <w:jc w:val="left"/>
      </w:pPr>
      <w:r>
        <w:rPr>
          <w:rFonts w:ascii="Times New Roman" w:hAnsi="Times New Roman" w:cs="Times New Roman"/>
          <w:b w:val="0"/>
          <w:i w:val="0"/>
          <w:sz w:val="24"/>
          <w:u w:val="none"/>
        </w:rPr>
        <w:t>United States District Judge</w:t>
      </w:r>
    </w:p>
    <w:p>
      <w:pPr>
        <w:spacing w:after="0" w:before="0" w:line="480" w:lineRule="auto"/>
        <w:jc w:val="left"/>
      </w:pPr>
      <w:r>
        <w:rPr>
          <w:rFonts w:ascii="Times New Roman" w:hAnsi="Times New Roman" w:cs="Times New Roman"/>
          <w:b w:val="0"/>
          <w:i w:val="0"/>
          <w:sz w:val="24"/>
          <w:u w:val="none"/>
        </w:rPr>
        <w:t>Western District of Texas</w:t>
      </w:r>
    </w:p>
    <w:p>
      <w:pPr>
        <w:spacing w:after="0" w:before="0" w:line="480" w:lineRule="auto"/>
        <w:jc w:val="left"/>
      </w:pPr>
      <w:r>
        <w:rPr>
          <w:rFonts w:ascii="Times New Roman" w:hAnsi="Times New Roman" w:cs="Times New Roman"/>
          <w:b w:val="0"/>
          <w:i w:val="0"/>
          <w:sz w:val="24"/>
          <w:u w:val="none"/>
        </w:rPr>
        <w:t>Austin Division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