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ettlement-statement-notes-memo"/>
    <w:p>
      <w:pPr>
        <w:pStyle w:val="Heading1"/>
      </w:pPr>
      <w:r>
        <w:t xml:space="preserve">SETTLEMENT STATEMENT — NOTES MEMO</w:t>
      </w:r>
    </w:p>
    <w:bookmarkStart w:id="20" w:name="X7a549bfd731dc11029d4de98c70ecd2275473c7"/>
    <w:p>
      <w:pPr>
        <w:pStyle w:val="Heading2"/>
      </w:pPr>
      <w:r>
        <w:t xml:space="preserve">Re: Closing of 4280 Harborview Boulevard, Bridgeport, CT 06604</w:t>
      </w:r>
    </w:p>
    <w:p>
      <w:pPr>
        <w:pStyle w:val="FirstParagraph"/>
      </w:pPr>
      <w:r>
        <w:rPr>
          <w:b/>
          <w:bCs/>
        </w:rPr>
        <w:t xml:space="preserve">To:</w:t>
      </w:r>
      <w:r>
        <w:t xml:space="preserve"> </w:t>
      </w:r>
      <w:r>
        <w:t xml:space="preserve">File; Closing Officer (Lorraine M. Grasso, Pinnacle Abstract &amp; Title LLC); Buyer’s Counsel (Nora F. Kapadia, Esq.); Seller’s Counsel (David H. Clement, Esq.); Lender (Marcus J. Pellegrino, Tidewater Savings Bank)</w:t>
      </w:r>
      <w:r>
        <w:t xml:space="preserve"> </w:t>
      </w:r>
      <w:r>
        <w:rPr>
          <w:b/>
          <w:bCs/>
        </w:rPr>
        <w:t xml:space="preserve">From:</w:t>
      </w:r>
      <w:r>
        <w:t xml:space="preserve"> </w:t>
      </w:r>
      <w:r>
        <w:t xml:space="preserve">Closing Agent / Settlement Statement Preparer</w:t>
      </w:r>
      <w:r>
        <w:t xml:space="preserve"> </w:t>
      </w:r>
      <w:r>
        <w:rPr>
          <w:b/>
          <w:bCs/>
        </w:rPr>
        <w:t xml:space="preserve">Date:</w:t>
      </w:r>
      <w:r>
        <w:t xml:space="preserve"> </w:t>
      </w:r>
      <w:r>
        <w:t xml:space="preserve">July 14, 2025</w:t>
      </w:r>
      <w:r>
        <w:t xml:space="preserve"> </w:t>
      </w:r>
      <w:r>
        <w:rPr>
          <w:b/>
          <w:bCs/>
        </w:rPr>
        <w:t xml:space="preserve">Re:</w:t>
      </w:r>
      <w:r>
        <w:t xml:space="preserve"> </w:t>
      </w:r>
      <w:r>
        <w:t xml:space="preserve">Discrepancies, assumptions, and items requiring confirmation — Settlement Statement for closing scheduled July 15, 2025</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memo accompanies the Settlement Statement prepared for the July 15, 2025 closing of the sale of 4280 Harborview Boulevard, Bridgeport, CT 06604 (the</w:t>
      </w:r>
      <w:r>
        <w:t xml:space="preserve"> </w:t>
      </w:r>
      <w:r>
        <w:t xml:space="preserve">“</w:t>
      </w:r>
      <w:r>
        <w:t xml:space="preserve">Property</w:t>
      </w:r>
      <w:r>
        <w:t xml:space="preserve">”</w:t>
      </w:r>
      <w:r>
        <w:t xml:space="preserve">) by the Estate of Gerald T. Whitford (the</w:t>
      </w:r>
      <w:r>
        <w:t xml:space="preserve"> </w:t>
      </w:r>
      <w:r>
        <w:t xml:space="preserve">“</w:t>
      </w:r>
      <w:r>
        <w:t xml:space="preserve">Seller</w:t>
      </w:r>
      <w:r>
        <w:t xml:space="preserve">”</w:t>
      </w:r>
      <w:r>
        <w:t xml:space="preserve">) to Meridian Cove Properties LLC (the</w:t>
      </w:r>
      <w:r>
        <w:t xml:space="preserve"> </w:t>
      </w:r>
      <w:r>
        <w:t xml:space="preserve">“</w:t>
      </w:r>
      <w:r>
        <w:t xml:space="preserve">Buyer</w:t>
      </w:r>
      <w:r>
        <w:t xml:space="preserve">”</w:t>
      </w:r>
      <w:r>
        <w:t xml:space="preserve">). It documents the assumptions used in preparing the statement, discrepancies identified among the closing documents, and items that should be confirmed or resolved at or promptly after closing. The Settlement Statement reconciles in full (Total Funds In = Total Funds Out = $3,920,412.12; Cash from Buyer = $1,085,412.12; Net to Seller = $2,864,663.83).</w:t>
      </w:r>
    </w:p>
    <w:p>
      <w:r>
        <w:pict>
          <v:rect style="width:0;height:1.5pt" o:hralign="center" o:hrstd="t" o:hr="t"/>
        </w:pict>
      </w:r>
    </w:p>
    <w:bookmarkEnd w:id="21"/>
    <w:bookmarkStart w:id="22" w:name="key-assumptions"/>
    <w:p>
      <w:pPr>
        <w:pStyle w:val="Heading2"/>
      </w:pPr>
      <w:r>
        <w:t xml:space="preserve">2. Key Assumptions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Assumption</w:t>
            </w:r>
          </w:p>
        </w:tc>
        <w:tc>
          <w:tcPr/>
          <w:p>
            <w:pPr>
              <w:pStyle w:val="Compact"/>
              <w:jc w:val="left"/>
            </w:pPr>
            <w:r>
              <w:t xml:space="preserve">Basis / Impact</w:t>
            </w:r>
          </w:p>
        </w:tc>
      </w:tr>
      <w:tr>
        <w:tc>
          <w:tcPr/>
          <w:p>
            <w:pPr>
              <w:pStyle w:val="Compact"/>
              <w:jc w:val="left"/>
            </w:pPr>
            <w:r>
              <w:t xml:space="preserve">A-1</w:t>
            </w:r>
          </w:p>
        </w:tc>
        <w:tc>
          <w:tcPr/>
          <w:p>
            <w:pPr>
              <w:pStyle w:val="Compact"/>
              <w:jc w:val="left"/>
            </w:pPr>
            <w:r>
              <w:rPr>
                <w:b/>
                <w:bCs/>
              </w:rPr>
              <w:t xml:space="preserve">Closing occurs July 15, 2025</w:t>
            </w:r>
            <w:r>
              <w:t xml:space="preserve">, within the lien payoff good-through date of July 20, 2025.</w:t>
            </w:r>
          </w:p>
        </w:tc>
        <w:tc>
          <w:tcPr/>
          <w:p>
            <w:pPr>
              <w:pStyle w:val="Compact"/>
              <w:jc w:val="left"/>
            </w:pPr>
            <w:r>
              <w:t xml:space="preserve">No per-diem interest adjustment is applied to the Harborstone payoffs. If closing is delayed beyond July 20, 2025, per-diem interest of $112.67/day (1st mortgage) and ~$27.93/day (HELOC) must be added, and an updated tax payoff statement must be obtained (tax payoff valid only through July 20, 2025).</w:t>
            </w:r>
          </w:p>
        </w:tc>
      </w:tr>
      <w:tr>
        <w:tc>
          <w:tcPr/>
          <w:p>
            <w:pPr>
              <w:pStyle w:val="Compact"/>
              <w:jc w:val="left"/>
            </w:pPr>
            <w:r>
              <w:t xml:space="preserve">A-2</w:t>
            </w:r>
          </w:p>
        </w:tc>
        <w:tc>
          <w:tcPr/>
          <w:p>
            <w:pPr>
              <w:pStyle w:val="Compact"/>
              <w:jc w:val="left"/>
            </w:pPr>
            <w:r>
              <w:rPr>
                <w:b/>
                <w:bCs/>
              </w:rPr>
              <w:t xml:space="preserve">FY2025–2026 property tax estimated at the current-year levy of $52,480.00.</w:t>
            </w:r>
          </w:p>
        </w:tc>
        <w:tc>
          <w:tcPr/>
          <w:p>
            <w:pPr>
              <w:pStyle w:val="Compact"/>
              <w:jc w:val="left"/>
            </w:pPr>
            <w:r>
              <w:t xml:space="preserve">The new mill rate has not been set (Tax Certificate §3). The proration credit of $2,012.93 (Seller’s 14 days) is an estimate. The parties must reprorate within 90 days of closing when the actual bill issues (PSA §7.1(b), §7.7).</w:t>
            </w:r>
          </w:p>
        </w:tc>
      </w:tr>
      <w:tr>
        <w:tc>
          <w:tcPr/>
          <w:p>
            <w:pPr>
              <w:pStyle w:val="Compact"/>
              <w:jc w:val="left"/>
            </w:pPr>
            <w:r>
              <w:t xml:space="preserve">A-3</w:t>
            </w:r>
          </w:p>
        </w:tc>
        <w:tc>
          <w:tcPr/>
          <w:p>
            <w:pPr>
              <w:pStyle w:val="Compact"/>
              <w:jc w:val="left"/>
            </w:pPr>
            <w:r>
              <w:rPr>
                <w:b/>
                <w:bCs/>
              </w:rPr>
              <w:t xml:space="preserve">CT conveyance tax estimated at $44,750.00</w:t>
            </w:r>
            <w:r>
              <w:t xml:space="preserve"> </w:t>
            </w:r>
            <w:r>
              <w:t xml:space="preserve">($22,375.00 each), per Title Commitment Schedule C.</w:t>
            </w:r>
          </w:p>
        </w:tc>
        <w:tc>
          <w:tcPr/>
          <w:p>
            <w:pPr>
              <w:pStyle w:val="Compact"/>
              <w:jc w:val="left"/>
            </w:pPr>
            <w:r>
              <w:t xml:space="preserve">The actual amount will be confirmed upon preparation and filing of Form OP-236 using the tiered rate structure applicable to the City of Bridgeport. Any difference will be adjusted at or after closing.</w:t>
            </w:r>
          </w:p>
        </w:tc>
      </w:tr>
      <w:tr>
        <w:tc>
          <w:tcPr/>
          <w:p>
            <w:pPr>
              <w:pStyle w:val="Compact"/>
              <w:jc w:val="left"/>
            </w:pPr>
            <w:r>
              <w:t xml:space="preserve">A-4</w:t>
            </w:r>
          </w:p>
        </w:tc>
        <w:tc>
          <w:tcPr/>
          <w:p>
            <w:pPr>
              <w:pStyle w:val="Compact"/>
              <w:jc w:val="left"/>
            </w:pPr>
            <w:r>
              <w:rPr>
                <w:b/>
                <w:bCs/>
              </w:rPr>
              <w:t xml:space="preserve">Security deposits credited at principal only — $32,400.00.</w:t>
            </w:r>
          </w:p>
        </w:tc>
        <w:tc>
          <w:tcPr/>
          <w:p>
            <w:pPr>
              <w:pStyle w:val="Compact"/>
              <w:jc w:val="left"/>
            </w:pPr>
            <w:r>
              <w:t xml:space="preserve">The rent roll/security deposit schedule states deposits are held</w:t>
            </w:r>
            <w:r>
              <w:t xml:space="preserve"> </w:t>
            </w:r>
            <w:r>
              <w:t xml:space="preserve">“</w:t>
            </w:r>
            <w:r>
              <w:t xml:space="preserve">principal only.</w:t>
            </w:r>
            <w:r>
              <w:t xml:space="preserve">”</w:t>
            </w:r>
            <w:r>
              <w:t xml:space="preserve"> </w:t>
            </w:r>
            <w:r>
              <w:t xml:space="preserve">Residential deposits are held in an interest-bearing account per CT §47a-21; accrued interest is</w:t>
            </w:r>
            <w:r>
              <w:t xml:space="preserve"> </w:t>
            </w:r>
            <w:r>
              <w:rPr>
                <w:b/>
                <w:bCs/>
              </w:rPr>
              <w:t xml:space="preserve">not quantified</w:t>
            </w:r>
            <w:r>
              <w:t xml:space="preserve"> </w:t>
            </w:r>
            <w:r>
              <w:t xml:space="preserve">in any delivered document and is not included in the $32,400.00 credit. See Item D-5 below.</w:t>
            </w:r>
          </w:p>
        </w:tc>
      </w:tr>
      <w:tr>
        <w:tc>
          <w:tcPr/>
          <w:p>
            <w:pPr>
              <w:pStyle w:val="Compact"/>
              <w:jc w:val="left"/>
            </w:pPr>
            <w:r>
              <w:t xml:space="preserve">A-5</w:t>
            </w:r>
          </w:p>
        </w:tc>
        <w:tc>
          <w:tcPr/>
          <w:p>
            <w:pPr>
              <w:pStyle w:val="Compact"/>
              <w:jc w:val="left"/>
            </w:pPr>
            <w:r>
              <w:rPr>
                <w:b/>
                <w:bCs/>
              </w:rPr>
              <w:t xml:space="preserve">Earnest money credited at $195,000.00 principal only.</w:t>
            </w:r>
          </w:p>
        </w:tc>
        <w:tc>
          <w:tcPr/>
          <w:p>
            <w:pPr>
              <w:pStyle w:val="Compact"/>
              <w:jc w:val="left"/>
            </w:pPr>
            <w:r>
              <w:t xml:space="preserve">The PSA (§3.2(d)) provides that interest earned on the earnest money is credited to Buyer at closing. The accrued interest amount is</w:t>
            </w:r>
            <w:r>
              <w:t xml:space="preserve"> </w:t>
            </w:r>
            <w:r>
              <w:rPr>
                <w:b/>
                <w:bCs/>
              </w:rPr>
              <w:t xml:space="preserve">not stated</w:t>
            </w:r>
            <w:r>
              <w:t xml:space="preserve"> </w:t>
            </w:r>
            <w:r>
              <w:t xml:space="preserve">in any document and is not reflected on the settlement statement. See Item D-6 below.</w:t>
            </w:r>
          </w:p>
        </w:tc>
      </w:tr>
      <w:tr>
        <w:tc>
          <w:tcPr/>
          <w:p>
            <w:pPr>
              <w:pStyle w:val="Compact"/>
              <w:jc w:val="left"/>
            </w:pPr>
            <w:r>
              <w:t xml:space="preserve">A-6</w:t>
            </w:r>
          </w:p>
        </w:tc>
        <w:tc>
          <w:tcPr/>
          <w:p>
            <w:pPr>
              <w:pStyle w:val="Compact"/>
              <w:jc w:val="left"/>
            </w:pPr>
            <w:r>
              <w:rPr>
                <w:b/>
                <w:bCs/>
              </w:rPr>
              <w:t xml:space="preserve">Only the water/sewer (WPCA) utility account is settled at closing.</w:t>
            </w:r>
          </w:p>
        </w:tc>
        <w:tc>
          <w:tcPr/>
          <w:p>
            <w:pPr>
              <w:pStyle w:val="Compact"/>
              <w:jc w:val="left"/>
            </w:pPr>
            <w:r>
              <w:t xml:space="preserve">No gas or electric account statements were provided. Gas and electric are assumed to be tenant-paid or transferred to Buyer’s name outside closing, with no proration required based on available documentation. See Item D-7 below.</w:t>
            </w:r>
          </w:p>
        </w:tc>
      </w:tr>
      <w:tr>
        <w:tc>
          <w:tcPr/>
          <w:p>
            <w:pPr>
              <w:pStyle w:val="Compact"/>
              <w:jc w:val="left"/>
            </w:pPr>
            <w:r>
              <w:t xml:space="preserve">A-7</w:t>
            </w:r>
          </w:p>
        </w:tc>
        <w:tc>
          <w:tcPr/>
          <w:p>
            <w:pPr>
              <w:pStyle w:val="Compact"/>
              <w:jc w:val="left"/>
            </w:pPr>
            <w:r>
              <w:rPr>
                <w:b/>
                <w:bCs/>
              </w:rPr>
              <w:t xml:space="preserve">Heating oil valued at Seller’s last delivered price of $3.85/gallon</w:t>
            </w:r>
            <w:r>
              <w:t xml:space="preserve"> </w:t>
            </w:r>
            <w:r>
              <w:t xml:space="preserve">for 180 gallons.</w:t>
            </w:r>
          </w:p>
        </w:tc>
        <w:tc>
          <w:tcPr/>
          <w:p>
            <w:pPr>
              <w:pStyle w:val="Compact"/>
              <w:jc w:val="left"/>
            </w:pPr>
            <w:r>
              <w:t xml:space="preserve">Based on the pre-closing inspection gauge reading (July 14, 2025) and the Shoreline Fuel &amp; Oil Co. delivery receipt (June 2, 2025). Reimbursement = $693.00 (PSA §7.6).</w:t>
            </w:r>
          </w:p>
        </w:tc>
      </w:tr>
      <w:tr>
        <w:tc>
          <w:tcPr/>
          <w:p>
            <w:pPr>
              <w:pStyle w:val="Compact"/>
              <w:jc w:val="left"/>
            </w:pPr>
            <w:r>
              <w:t xml:space="preserve">A-8</w:t>
            </w:r>
          </w:p>
        </w:tc>
        <w:tc>
          <w:tcPr/>
          <w:p>
            <w:pPr>
              <w:pStyle w:val="Compact"/>
              <w:jc w:val="left"/>
            </w:pPr>
            <w:r>
              <w:rPr>
                <w:b/>
                <w:bCs/>
              </w:rPr>
              <w:t xml:space="preserve">Repair Escrow of $45,000.00 is a Seller holdback, not a Buyer credit.</w:t>
            </w:r>
          </w:p>
        </w:tc>
        <w:tc>
          <w:tcPr/>
          <w:p>
            <w:pPr>
              <w:pStyle w:val="Compact"/>
              <w:jc w:val="left"/>
            </w:pPr>
            <w:r>
              <w:t xml:space="preserve">Per PSA §8.4, the escrow is funded from Seller’s proceeds, held by the Escrow Agent in a segregated interest-bearing account, and disbursed only for completed roof repairs with lien waivers. It is shown as a Seller charge/deduction and is</w:t>
            </w:r>
            <w:r>
              <w:t xml:space="preserve"> </w:t>
            </w:r>
            <w:r>
              <w:rPr>
                <w:b/>
                <w:bCs/>
              </w:rPr>
              <w:t xml:space="preserve">not</w:t>
            </w:r>
            <w:r>
              <w:t xml:space="preserve"> </w:t>
            </w:r>
            <w:r>
              <w:t xml:space="preserve">credited to Buyer.</w:t>
            </w:r>
          </w:p>
        </w:tc>
      </w:tr>
      <w:tr>
        <w:tc>
          <w:tcPr/>
          <w:p>
            <w:pPr>
              <w:pStyle w:val="Compact"/>
              <w:jc w:val="left"/>
            </w:pPr>
            <w:r>
              <w:t xml:space="preserve">A-9</w:t>
            </w:r>
          </w:p>
        </w:tc>
        <w:tc>
          <w:tcPr/>
          <w:p>
            <w:pPr>
              <w:pStyle w:val="Compact"/>
              <w:jc w:val="left"/>
            </w:pPr>
            <w:r>
              <w:rPr>
                <w:b/>
                <w:bCs/>
              </w:rPr>
              <w:t xml:space="preserve">Rent proration computed lease-by-lease, then aggregated</w:t>
            </w:r>
            <w:r>
              <w:t xml:space="preserve"> </w:t>
            </w:r>
            <w:r>
              <w:t xml:space="preserve">(PSA §7.2(d)), with fractional cents rounded to the nearest cent and any remaining balance allocated to Buyer (PSA §7.2(c)).</w:t>
            </w:r>
          </w:p>
        </w:tc>
        <w:tc>
          <w:tcPr/>
          <w:p>
            <w:pPr>
              <w:pStyle w:val="Compact"/>
              <w:jc w:val="left"/>
            </w:pPr>
            <w:r>
              <w:t xml:space="preserve">This produces Seller’s share = $10,658.05 and Buyer’s share = $12,941.95 (a 1-cent difference from the aggregate method, allocated to Buyer per the contract).</w:t>
            </w:r>
          </w:p>
        </w:tc>
      </w:tr>
      <w:tr>
        <w:tc>
          <w:tcPr/>
          <w:p>
            <w:pPr>
              <w:pStyle w:val="Compact"/>
              <w:jc w:val="left"/>
            </w:pPr>
            <w:r>
              <w:t xml:space="preserve">A-10</w:t>
            </w:r>
          </w:p>
        </w:tc>
        <w:tc>
          <w:tcPr/>
          <w:p>
            <w:pPr>
              <w:pStyle w:val="Compact"/>
              <w:jc w:val="left"/>
            </w:pPr>
            <w:r>
              <w:rPr>
                <w:b/>
                <w:bCs/>
              </w:rPr>
              <w:t xml:space="preserve">No brokerage commission.</w:t>
            </w:r>
          </w:p>
        </w:tc>
        <w:tc>
          <w:tcPr/>
          <w:p>
            <w:pPr>
              <w:pStyle w:val="Compact"/>
              <w:jc w:val="left"/>
            </w:pPr>
            <w:r>
              <w:t xml:space="preserve">PSA §15.7 confirms no broker was involved; no commission line appears on the statement.</w:t>
            </w:r>
          </w:p>
        </w:tc>
      </w:tr>
    </w:tbl>
    <w:p>
      <w:r>
        <w:pict>
          <v:rect style="width:0;height:1.5pt" o:hralign="center" o:hrstd="t" o:hr="t"/>
        </w:pict>
      </w:r>
    </w:p>
    <w:bookmarkEnd w:id="22"/>
    <w:bookmarkStart w:id="33" w:name="X2cf6d4b61b7307c053251b77c7e00b16e35266e"/>
    <w:p>
      <w:pPr>
        <w:pStyle w:val="Heading2"/>
      </w:pPr>
      <w:r>
        <w:t xml:space="preserve">3. Discrepancies Identified Across Closing Documents</w:t>
      </w:r>
    </w:p>
    <w:p>
      <w:pPr>
        <w:pStyle w:val="FirstParagraph"/>
      </w:pPr>
      <w:r>
        <w:t xml:space="preserve">The following inconsistencies appear among the closing documents and should be reconciled or noted for the file. None is expected to delay closing, but each should be confirmed.</w:t>
      </w:r>
    </w:p>
    <w:bookmarkStart w:id="23" w:name="d-1.-title-commitment-number-mismatch"/>
    <w:p>
      <w:pPr>
        <w:pStyle w:val="Heading3"/>
      </w:pPr>
      <w:r>
        <w:t xml:space="preserve">D-1. Title Commitment Number Mismatch</w:t>
      </w:r>
    </w:p>
    <w:p>
      <w:pPr>
        <w:pStyle w:val="FirstParagraph"/>
      </w:pPr>
      <w:r>
        <w:t xml:space="preserve">The Purchase and Sale Agreement (§5.1) references Title Commitment</w:t>
      </w:r>
      <w:r>
        <w:t xml:space="preserve"> </w:t>
      </w:r>
      <w:r>
        <w:rPr>
          <w:b/>
          <w:bCs/>
        </w:rPr>
        <w:t xml:space="preserve">No. PCT-2025-08814</w:t>
      </w:r>
      <w:r>
        <w:t xml:space="preserve">, dated April 30, 2025. The actual title commitment delivered for closing bears</w:t>
      </w:r>
      <w:r>
        <w:t xml:space="preserve"> </w:t>
      </w:r>
      <w:r>
        <w:rPr>
          <w:b/>
          <w:bCs/>
        </w:rPr>
        <w:t xml:space="preserve">Commitment No. TC-2025-07182</w:t>
      </w:r>
      <w:r>
        <w:t xml:space="preserve">, effective June 18, 2025. The settlement statement uses the operative commitment (TC-2025-07182).</w:t>
      </w:r>
      <w:r>
        <w:t xml:space="preserve"> </w:t>
      </w:r>
      <w:r>
        <w:rPr>
          <w:i/>
          <w:iCs/>
        </w:rPr>
        <w:t xml:space="preserve">Recommend confirming with the Title Company that the April 30 commitment was superseded and that TC-2025-07182 is the controlling commitment.</w:t>
      </w:r>
    </w:p>
    <w:bookmarkEnd w:id="23"/>
    <w:bookmarkStart w:id="24" w:name="d-2.-title-insurer-name-inconsistency"/>
    <w:p>
      <w:pPr>
        <w:pStyle w:val="Heading3"/>
      </w:pPr>
      <w:r>
        <w:t xml:space="preserve">D-2. Title Insurer Name Inconsistency</w:t>
      </w:r>
    </w:p>
    <w:p>
      <w:pPr>
        <w:pStyle w:val="FirstParagraph"/>
      </w:pPr>
      <w:r>
        <w:t xml:space="preserve">The title commitment header states it is issued on behalf of</w:t>
      </w:r>
      <w:r>
        <w:t xml:space="preserve"> </w:t>
      </w:r>
      <w:r>
        <w:rPr>
          <w:b/>
          <w:bCs/>
        </w:rPr>
        <w:t xml:space="preserve">“</w:t>
      </w:r>
      <w:r>
        <w:rPr>
          <w:b/>
          <w:bCs/>
        </w:rPr>
        <w:t xml:space="preserve">Continental Fidelity Title Insurance Company,</w:t>
      </w:r>
      <w:r>
        <w:rPr>
          <w:b/>
          <w:bCs/>
        </w:rPr>
        <w:t xml:space="preserve">”</w:t>
      </w:r>
      <w:r>
        <w:t xml:space="preserve"> </w:t>
      </w:r>
      <w:r>
        <w:t xml:space="preserve">but the body text and Conditions and Stipulations repeatedly refer to</w:t>
      </w:r>
      <w:r>
        <w:t xml:space="preserve"> </w:t>
      </w:r>
      <w:r>
        <w:rPr>
          <w:b/>
          <w:bCs/>
        </w:rPr>
        <w:t xml:space="preserve">“</w:t>
      </w:r>
      <w:r>
        <w:rPr>
          <w:b/>
          <w:bCs/>
        </w:rPr>
        <w:t xml:space="preserve">Continental Hartleigh Title Insurance Company.</w:t>
      </w:r>
      <w:r>
        <w:rPr>
          <w:b/>
          <w:bCs/>
        </w:rPr>
        <w:t xml:space="preserve">”</w:t>
      </w:r>
      <w:r>
        <w:t xml:space="preserve"> </w:t>
      </w:r>
      <w:r>
        <w:t xml:space="preserve">The countersignature block again uses</w:t>
      </w:r>
      <w:r>
        <w:t xml:space="preserve"> </w:t>
      </w:r>
      <w:r>
        <w:t xml:space="preserve">“</w:t>
      </w:r>
      <w:r>
        <w:t xml:space="preserve">Continental Fidelity.</w:t>
      </w:r>
      <w:r>
        <w:t xml:space="preserve">”</w:t>
      </w:r>
      <w:r>
        <w:t xml:space="preserve"> </w:t>
      </w:r>
      <w:r>
        <w:rPr>
          <w:i/>
          <w:iCs/>
        </w:rPr>
        <w:t xml:space="preserve">Recommend confirming the correct legal name of the underwriter before the policies are issued, as this affects the policy face and Schedule A.</w:t>
      </w:r>
    </w:p>
    <w:bookmarkEnd w:id="24"/>
    <w:bookmarkStart w:id="25" w:name="d-3.-conflicting-party-addresses"/>
    <w:p>
      <w:pPr>
        <w:pStyle w:val="Heading3"/>
      </w:pPr>
      <w:r>
        <w:t xml:space="preserve">D-3. Conflicting Party Addresses</w:t>
      </w:r>
    </w:p>
    <w:p>
      <w:pPr>
        <w:pStyle w:val="FirstParagraph"/>
      </w:pPr>
      <w:r>
        <w:t xml:space="preserve">Several parties are shown at more than one address across the documents:</w:t>
      </w:r>
      <w:r>
        <w:t xml:space="preserve"> </w:t>
      </w:r>
      <w:r>
        <w:t xml:space="preserve">-</w:t>
      </w:r>
      <w:r>
        <w:t xml:space="preserve"> </w:t>
      </w:r>
      <w:r>
        <w:rPr>
          <w:b/>
          <w:bCs/>
        </w:rPr>
        <w:t xml:space="preserve">Pinnacle Abstract &amp; Title LLC</w:t>
      </w:r>
      <w:r>
        <w:t xml:space="preserve"> </w:t>
      </w:r>
      <w:r>
        <w:t xml:space="preserve">appears at 88 Field Point Road, Greenwich, CT 06830 (PSA; title commitment); at 3100 Main Street, Suite 204, Bridgeport, CT 06604 (lien payoff cover letter); and at 1200 Post Road East, Suite 214, Westport, CT 06880 (tax lien statement request).</w:t>
      </w:r>
      <w:r>
        <w:t xml:space="preserve"> </w:t>
      </w:r>
      <w:r>
        <w:t xml:space="preserve">-</w:t>
      </w:r>
      <w:r>
        <w:t xml:space="preserve"> </w:t>
      </w:r>
      <w:r>
        <w:rPr>
          <w:b/>
          <w:bCs/>
        </w:rPr>
        <w:t xml:space="preserve">Buyer’s Counsel (Ridgeline Law Group PLLC / Nora F. Kapadia)</w:t>
      </w:r>
      <w:r>
        <w:t xml:space="preserve"> </w:t>
      </w:r>
      <w:r>
        <w:t xml:space="preserve">appears at 915 Chapel Street, Suite 400, New Haven, CT 06510 (PSA; title commitment) and at 55 Railroad Avenue, Suite 300, Greenwich, CT 06830 (lien payoff cover letter).</w:t>
      </w:r>
      <w:r>
        <w:t xml:space="preserve"> </w:t>
      </w:r>
      <w:r>
        <w:t xml:space="preserve">-</w:t>
      </w:r>
      <w:r>
        <w:t xml:space="preserve"> </w:t>
      </w:r>
      <w:r>
        <w:rPr>
          <w:b/>
          <w:bCs/>
        </w:rPr>
        <w:t xml:space="preserve">Seller’s Counsel (Ashford, Clement &amp; Paige LLP)</w:t>
      </w:r>
      <w:r>
        <w:t xml:space="preserve"> </w:t>
      </w:r>
      <w:r>
        <w:t xml:space="preserve">appears at 200 Atlantic Street, 14th Floor, Stamford, CT 06901 (PSA) with phone (203) 325-6600, but the lien payoff letters and probate certificate use (203) 547-8100 / (203) 555-4100.</w:t>
      </w:r>
    </w:p>
    <w:p>
      <w:pPr>
        <w:pStyle w:val="BodyText"/>
      </w:pPr>
      <w:r>
        <w:rPr>
          <w:i/>
          <w:iCs/>
        </w:rPr>
        <w:t xml:space="preserve">Recommend confirming the correct service/mailing addresses for wire confirmations and post-closing deliveries.</w:t>
      </w:r>
    </w:p>
    <w:bookmarkEnd w:id="25"/>
    <w:bookmarkStart w:id="26" w:name="X23732c585bc0d93d9a3c6688a5707944d1a1f0e"/>
    <w:p>
      <w:pPr>
        <w:pStyle w:val="Heading3"/>
      </w:pPr>
      <w:r>
        <w:t xml:space="preserve">D-4. Conflicting Recording References for Liens</w:t>
      </w:r>
    </w:p>
    <w:p>
      <w:pPr>
        <w:pStyle w:val="FirstParagraph"/>
      </w:pPr>
      <w:r>
        <w:t xml:space="preserve">The recording volume/page citations for the existing liens differ between the Title Commitment and the lien payoff letters: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Lien</w:t>
            </w:r>
          </w:p>
        </w:tc>
        <w:tc>
          <w:tcPr/>
          <w:p>
            <w:pPr>
              <w:pStyle w:val="Compact"/>
              <w:jc w:val="left"/>
            </w:pPr>
            <w:r>
              <w:t xml:space="preserve">Title Commitment reference</w:t>
            </w:r>
          </w:p>
        </w:tc>
        <w:tc>
          <w:tcPr/>
          <w:p>
            <w:pPr>
              <w:pStyle w:val="Compact"/>
              <w:jc w:val="left"/>
            </w:pPr>
            <w:r>
              <w:t xml:space="preserve">Payoff letter / summary reference</w:t>
            </w:r>
          </w:p>
        </w:tc>
      </w:tr>
      <w:tr>
        <w:tc>
          <w:tcPr/>
          <w:p>
            <w:pPr>
              <w:pStyle w:val="Compact"/>
              <w:jc w:val="left"/>
            </w:pPr>
            <w:r>
              <w:t xml:space="preserve">First Mortgage (Harborstone)</w:t>
            </w:r>
          </w:p>
        </w:tc>
        <w:tc>
          <w:tcPr/>
          <w:p>
            <w:pPr>
              <w:pStyle w:val="Compact"/>
              <w:jc w:val="left"/>
            </w:pPr>
            <w:r>
              <w:t xml:space="preserve">Vol. 1087, Pg. 445</w:t>
            </w:r>
          </w:p>
        </w:tc>
        <w:tc>
          <w:tcPr/>
          <w:p>
            <w:pPr>
              <w:pStyle w:val="Compact"/>
              <w:jc w:val="left"/>
            </w:pPr>
            <w:r>
              <w:t xml:space="preserve">Vol. 312, Pg. 88 (this is the deed/plat reference, not the mortgage)</w:t>
            </w:r>
          </w:p>
        </w:tc>
      </w:tr>
      <w:tr>
        <w:tc>
          <w:tcPr/>
          <w:p>
            <w:pPr>
              <w:pStyle w:val="Compact"/>
              <w:jc w:val="left"/>
            </w:pPr>
            <w:r>
              <w:t xml:space="preserve">HELOC (Harborstone)</w:t>
            </w:r>
          </w:p>
        </w:tc>
        <w:tc>
          <w:tcPr/>
          <w:p>
            <w:pPr>
              <w:pStyle w:val="Compact"/>
              <w:jc w:val="left"/>
            </w:pPr>
            <w:r>
              <w:t xml:space="preserve">Vol. 1204, Pg. 218</w:t>
            </w:r>
          </w:p>
        </w:tc>
        <w:tc>
          <w:tcPr/>
          <w:p>
            <w:pPr>
              <w:pStyle w:val="Compact"/>
              <w:jc w:val="left"/>
            </w:pPr>
            <w:r>
              <w:t xml:space="preserve">Vol. 487, Pg. 112</w:t>
            </w:r>
          </w:p>
        </w:tc>
      </w:tr>
      <w:tr>
        <w:tc>
          <w:tcPr/>
          <w:p>
            <w:pPr>
              <w:pStyle w:val="Compact"/>
              <w:jc w:val="left"/>
            </w:pPr>
            <w:r>
              <w:t xml:space="preserve">Mechanic’s Lien (Northbridge)</w:t>
            </w:r>
          </w:p>
        </w:tc>
        <w:tc>
          <w:tcPr/>
          <w:p>
            <w:pPr>
              <w:pStyle w:val="Compact"/>
              <w:jc w:val="left"/>
            </w:pPr>
            <w:r>
              <w:t xml:space="preserve">Vol. 1398, Pg. 77</w:t>
            </w:r>
          </w:p>
        </w:tc>
        <w:tc>
          <w:tcPr/>
          <w:p>
            <w:pPr>
              <w:pStyle w:val="Compact"/>
              <w:jc w:val="left"/>
            </w:pPr>
            <w:r>
              <w:t xml:space="preserve">Vol. 1064, Pg. 517</w:t>
            </w:r>
          </w:p>
        </w:tc>
      </w:tr>
      <w:tr>
        <w:tc>
          <w:tcPr/>
          <w:p>
            <w:pPr>
              <w:pStyle w:val="Compact"/>
              <w:jc w:val="left"/>
            </w:pPr>
            <w:r>
              <w:t xml:space="preserve">CT DRS Estate Tax Lien</w:t>
            </w:r>
          </w:p>
        </w:tc>
        <w:tc>
          <w:tcPr/>
          <w:p>
            <w:pPr>
              <w:pStyle w:val="Compact"/>
              <w:jc w:val="left"/>
            </w:pPr>
            <w:r>
              <w:t xml:space="preserve">(not specified)</w:t>
            </w:r>
          </w:p>
        </w:tc>
        <w:tc>
          <w:tcPr/>
          <w:p>
            <w:pPr>
              <w:pStyle w:val="Compact"/>
              <w:jc w:val="left"/>
            </w:pPr>
            <w:r>
              <w:t xml:space="preserve">Vol. 1087, Pg. 234</w:t>
            </w:r>
          </w:p>
        </w:tc>
      </w:tr>
    </w:tbl>
    <w:p>
      <w:pPr>
        <w:pStyle w:val="BodyText"/>
      </w:pPr>
      <w:r>
        <w:rPr>
          <w:i/>
          <w:iCs/>
        </w:rPr>
        <w:t xml:space="preserve">The payoff amounts are consistent across documents and control for disbursement. The recording references should be verified against the Bridgeport Land Records so that the correct instruments are released/satisfied. The Title Company should confirm the correct volume/page for each release.</w:t>
      </w:r>
    </w:p>
    <w:bookmarkEnd w:id="26"/>
    <w:bookmarkStart w:id="27" w:name="X042b1a0a5b750a563e31b4d04b9d7b2e1281e38"/>
    <w:p>
      <w:pPr>
        <w:pStyle w:val="Heading3"/>
      </w:pPr>
      <w:r>
        <w:t xml:space="preserve">D-5. Security Deposit Interest Not Quantified</w:t>
      </w:r>
    </w:p>
    <w:p>
      <w:pPr>
        <w:pStyle w:val="FirstParagraph"/>
      </w:pPr>
      <w:r>
        <w:t xml:space="preserve">The security deposit schedule credits</w:t>
      </w:r>
      <w:r>
        <w:t xml:space="preserve"> </w:t>
      </w:r>
      <w:r>
        <w:rPr>
          <w:b/>
          <w:bCs/>
        </w:rPr>
        <w:t xml:space="preserve">principal only ($32,400.00)</w:t>
      </w:r>
      <w:r>
        <w:t xml:space="preserve">. However, the management agreement (§6.1) and the rent roll both state that residential deposits are held in an</w:t>
      </w:r>
      <w:r>
        <w:t xml:space="preserve"> </w:t>
      </w:r>
      <w:r>
        <w:rPr>
          <w:b/>
          <w:bCs/>
        </w:rPr>
        <w:t xml:space="preserve">interest-bearing</w:t>
      </w:r>
      <w:r>
        <w:t xml:space="preserve"> </w:t>
      </w:r>
      <w:r>
        <w:t xml:space="preserve">escrow account at Harborstone Federal Credit Union</w:t>
      </w:r>
      <w:r>
        <w:t xml:space="preserve"> </w:t>
      </w:r>
      <w:r>
        <w:t xml:space="preserve">“</w:t>
      </w:r>
      <w:r>
        <w:t xml:space="preserve">per Connecticut law</w:t>
      </w:r>
      <w:r>
        <w:t xml:space="preserve">”</w:t>
      </w:r>
      <w:r>
        <w:t xml:space="preserve"> </w:t>
      </w:r>
      <w:r>
        <w:t xml:space="preserve">(CT §47a-21, which generally requires payment of interest on residential security deposits). The amount of accrued interest is not stated in any delivered document.</w:t>
      </w:r>
      <w:r>
        <w:t xml:space="preserve"> </w:t>
      </w:r>
      <w:r>
        <w:rPr>
          <w:i/>
          <w:iCs/>
        </w:rPr>
        <w:t xml:space="preserve">The accrued residential deposit interest should be calculated by Bayshore Management Co. / Harborstone FCU and added to the $32,400.00 credit to Buyer (and corresponding debit to Seller) at or before closing. The settlement statement currently reflects principal only.</w:t>
      </w:r>
    </w:p>
    <w:bookmarkEnd w:id="27"/>
    <w:bookmarkStart w:id="28" w:name="X6aa30c635365637867eddeea8ccb14fbaac5cee"/>
    <w:p>
      <w:pPr>
        <w:pStyle w:val="Heading3"/>
      </w:pPr>
      <w:r>
        <w:t xml:space="preserve">D-6. Earnest Money Interest Not Quantified</w:t>
      </w:r>
    </w:p>
    <w:p>
      <w:pPr>
        <w:pStyle w:val="FirstParagraph"/>
      </w:pPr>
      <w:r>
        <w:t xml:space="preserve">PSA §3.2(d) provides that the earnest money is held in an interest-bearing account and that all interest is credited to Buyer at closing. The accrued interest on the $195,000.00 (held since April 24 and May 22, 2025) is</w:t>
      </w:r>
      <w:r>
        <w:t xml:space="preserve"> </w:t>
      </w:r>
      <w:r>
        <w:rPr>
          <w:b/>
          <w:bCs/>
        </w:rPr>
        <w:t xml:space="preserve">not stated</w:t>
      </w:r>
      <w:r>
        <w:t xml:space="preserve"> </w:t>
      </w:r>
      <w:r>
        <w:t xml:space="preserve">in any document.</w:t>
      </w:r>
      <w:r>
        <w:t xml:space="preserve"> </w:t>
      </w:r>
      <w:r>
        <w:rPr>
          <w:i/>
          <w:iCs/>
        </w:rPr>
        <w:t xml:space="preserve">The Escrow Agent should confirm the accrued interest and add it as a credit to Buyer (reducing Buyer’s cash required to close). The settlement statement currently reflects $195,000.00 principal only.</w:t>
      </w:r>
    </w:p>
    <w:bookmarkEnd w:id="28"/>
    <w:bookmarkStart w:id="29" w:name="X067c70dc65a440ee74f4230a9da84f5783d27ba"/>
    <w:p>
      <w:pPr>
        <w:pStyle w:val="Heading3"/>
      </w:pPr>
      <w:r>
        <w:t xml:space="preserve">D-7. Gas / Electric Utility Accounts Not Addressed</w:t>
      </w:r>
    </w:p>
    <w:p>
      <w:pPr>
        <w:pStyle w:val="FirstParagraph"/>
      </w:pPr>
      <w:r>
        <w:t xml:space="preserve">PSA §7.5 requires proration of</w:t>
      </w:r>
      <w:r>
        <w:t xml:space="preserve"> </w:t>
      </w:r>
      <w:r>
        <w:t xml:space="preserve">“</w:t>
      </w:r>
      <w:r>
        <w:t xml:space="preserve">water, sewer, gas, electric, and any other municipal services.</w:t>
      </w:r>
      <w:r>
        <w:t xml:space="preserve">”</w:t>
      </w:r>
      <w:r>
        <w:t xml:space="preserve"> </w:t>
      </w:r>
      <w:r>
        <w:t xml:space="preserve">Only the water/sewer (WPCA) account statement was provided. The building’s gas-fired water heater and any common-area electric are not addressed.</w:t>
      </w:r>
      <w:r>
        <w:t xml:space="preserve"> </w:t>
      </w:r>
      <w:r>
        <w:rPr>
          <w:i/>
          <w:iCs/>
        </w:rPr>
        <w:t xml:space="preserve">Confirm whether gas/electric are on tenant-paid accounts or master-metered accounts requiring proration or transfer. If master-metered, final readings and prorations should be obtained and added to the statement.</w:t>
      </w:r>
    </w:p>
    <w:bookmarkEnd w:id="29"/>
    <w:bookmarkStart w:id="30" w:name="X58587acaff4b7535dffa89602bafd69cb25d78d"/>
    <w:p>
      <w:pPr>
        <w:pStyle w:val="Heading3"/>
      </w:pPr>
      <w:r>
        <w:t xml:space="preserve">D-8. Water/Sewer Treatment — Contract vs. Payoff Statement</w:t>
      </w:r>
    </w:p>
    <w:p>
      <w:pPr>
        <w:pStyle w:val="FirstParagraph"/>
      </w:pPr>
      <w:r>
        <w:t xml:space="preserve">PSA §7.5(a) states that where a utility billing period ends on or before the Closing Date,</w:t>
      </w:r>
      <w:r>
        <w:t xml:space="preserve"> </w:t>
      </w:r>
      <w:r>
        <w:t xml:space="preserve">“</w:t>
      </w:r>
      <w:r>
        <w:t xml:space="preserve">the full unpaid balance shall be credited to Buyer on the settlement statement.</w:t>
      </w:r>
      <w:r>
        <w:t xml:space="preserve">”</w:t>
      </w:r>
      <w:r>
        <w:t xml:space="preserve"> </w:t>
      </w:r>
      <w:r>
        <w:t xml:space="preserve">The WPCA billing period (May 15 – July 14, 2025) ends July 14, one day before closing, so the entire $1,847.60 is Seller’s. The City of Bridgeport Tax Status Certificate, however, includes this $1,847.60 in the</w:t>
      </w:r>
      <w:r>
        <w:t xml:space="preserve"> </w:t>
      </w:r>
      <w:r>
        <w:t xml:space="preserve">“</w:t>
      </w:r>
      <w:r>
        <w:t xml:space="preserve">Total Due to City of Bridgeport</w:t>
      </w:r>
      <w:r>
        <w:t xml:space="preserve">”</w:t>
      </w:r>
      <w:r>
        <w:t xml:space="preserve"> </w:t>
      </w:r>
      <w:r>
        <w:t xml:space="preserve">($30,450.40) to be</w:t>
      </w:r>
      <w:r>
        <w:t xml:space="preserve"> </w:t>
      </w:r>
      <w:r>
        <w:rPr>
          <w:b/>
          <w:bCs/>
        </w:rPr>
        <w:t xml:space="preserve">paid at closing from Seller’s proceeds</w:t>
      </w:r>
      <w:r>
        <w:t xml:space="preserve">. The settlement statement treats the $1,847.60 as a</w:t>
      </w:r>
      <w:r>
        <w:t xml:space="preserve"> </w:t>
      </w:r>
      <w:r>
        <w:rPr>
          <w:b/>
          <w:bCs/>
        </w:rPr>
        <w:t xml:space="preserve">Seller charge paid to the City at closing</w:t>
      </w:r>
      <w:r>
        <w:t xml:space="preserve"> </w:t>
      </w:r>
      <w:r>
        <w:t xml:space="preserve">(consistent with the tax/payoff certificate), which fully protects Buyer (Buyer bears $0).</w:t>
      </w:r>
      <w:r>
        <w:t xml:space="preserve"> </w:t>
      </w:r>
      <w:r>
        <w:rPr>
          <w:i/>
          <w:iCs/>
        </w:rPr>
        <w:t xml:space="preserve">If the parties prefer the contract’s literal</w:t>
      </w:r>
      <w:r>
        <w:rPr>
          <w:i/>
          <w:iCs/>
        </w:rPr>
        <w:t xml:space="preserve"> </w:t>
      </w:r>
      <w:r>
        <w:rPr>
          <w:i/>
          <w:iCs/>
        </w:rPr>
        <w:t xml:space="preserve">“</w:t>
      </w:r>
      <w:r>
        <w:rPr>
          <w:i/>
          <w:iCs/>
        </w:rPr>
        <w:t xml:space="preserve">credit to Buyer</w:t>
      </w:r>
      <w:r>
        <w:rPr>
          <w:i/>
          <w:iCs/>
        </w:rPr>
        <w:t xml:space="preserve">”</w:t>
      </w:r>
      <w:r>
        <w:rPr>
          <w:i/>
          <w:iCs/>
        </w:rPr>
        <w:t xml:space="preserve"> </w:t>
      </w:r>
      <w:r>
        <w:rPr>
          <w:i/>
          <w:iCs/>
        </w:rPr>
        <w:t xml:space="preserve">treatment (Buyer pays the August 1 bill and is reimbursed via credit), the entry can be reclassified without changing the net result; the Seller’s proceeds are reduced by $1,847.60 either way.</w:t>
      </w:r>
    </w:p>
    <w:bookmarkEnd w:id="30"/>
    <w:bookmarkStart w:id="31" w:name="Xdf0b89e1e8f78a1be9d047f46b9b2182c812ad1"/>
    <w:p>
      <w:pPr>
        <w:pStyle w:val="Heading3"/>
      </w:pPr>
      <w:r>
        <w:t xml:space="preserve">D-9. First-Mortgage Payoff Includes Escrow Shortage and Release Fee</w:t>
      </w:r>
    </w:p>
    <w:p>
      <w:pPr>
        <w:pStyle w:val="FirstParagraph"/>
      </w:pPr>
      <w:r>
        <w:t xml:space="preserve">The Harborstone first-mortgage payoff of $687,412.33 includes an</w:t>
      </w:r>
      <w:r>
        <w:t xml:space="preserve"> </w:t>
      </w:r>
      <w:r>
        <w:rPr>
          <w:b/>
          <w:bCs/>
        </w:rPr>
        <w:t xml:space="preserve">escrow shortage/deficiency of $539.00</w:t>
      </w:r>
      <w:r>
        <w:t xml:space="preserve"> </w:t>
      </w:r>
      <w:r>
        <w:t xml:space="preserve">and a</w:t>
      </w:r>
      <w:r>
        <w:t xml:space="preserve"> </w:t>
      </w:r>
      <w:r>
        <w:rPr>
          <w:b/>
          <w:bCs/>
        </w:rPr>
        <w:t xml:space="preserve">release/reconveyance preparation fee of $75.00</w:t>
      </w:r>
      <w:r>
        <w:t xml:space="preserve">. These are embedded in the payoff total and are paid from Seller’s proceeds.</w:t>
      </w:r>
      <w:r>
        <w:t xml:space="preserve"> </w:t>
      </w:r>
      <w:r>
        <w:rPr>
          <w:i/>
          <w:iCs/>
        </w:rPr>
        <w:t xml:space="preserve">No separate action required, but note that the release preparation fee is distinct from the $73.00 recording fee charged to Seller for recording the release.</w:t>
      </w:r>
    </w:p>
    <w:bookmarkEnd w:id="31"/>
    <w:bookmarkStart w:id="32" w:name="X22857aaa21f7b76199e09cccd1b71f5d6b167b0"/>
    <w:p>
      <w:pPr>
        <w:pStyle w:val="Heading3"/>
      </w:pPr>
      <w:r>
        <w:t xml:space="preserve">D-10. Mechanic’s Lien — Settlement vs. Claimed Amount</w:t>
      </w:r>
    </w:p>
    <w:p>
      <w:pPr>
        <w:pStyle w:val="FirstParagraph"/>
      </w:pPr>
      <w:r>
        <w:t xml:space="preserve">The Northbridge mechanic’s lien was filed for</w:t>
      </w:r>
      <w:r>
        <w:t xml:space="preserve"> </w:t>
      </w:r>
      <w:r>
        <w:rPr>
          <w:b/>
          <w:bCs/>
        </w:rPr>
        <w:t xml:space="preserve">$37,500.00</w:t>
      </w:r>
      <w:r>
        <w:t xml:space="preserve"> </w:t>
      </w:r>
      <w:r>
        <w:t xml:space="preserve">but is being settled for</w:t>
      </w:r>
      <w:r>
        <w:t xml:space="preserve"> </w:t>
      </w:r>
      <w:r>
        <w:rPr>
          <w:b/>
          <w:bCs/>
        </w:rPr>
        <w:t xml:space="preserve">$31,000.00</w:t>
      </w:r>
      <w:r>
        <w:t xml:space="preserve"> </w:t>
      </w:r>
      <w:r>
        <w:t xml:space="preserve">(a $6,500 reduction). The settlement is contingent on the closing occurring by August 31, 2025 (Northbridge letter).</w:t>
      </w:r>
      <w:r>
        <w:t xml:space="preserve"> </w:t>
      </w:r>
      <w:r>
        <w:rPr>
          <w:i/>
          <w:iCs/>
        </w:rPr>
        <w:t xml:space="preserve">Ensure the signed Release of Mechanic’s Lien in recordable form is delivered at closing simultaneously with the $31,000.00 disbursement.</w:t>
      </w:r>
    </w:p>
    <w:p>
      <w:r>
        <w:pict>
          <v:rect style="width:0;height:1.5pt" o:hralign="center" o:hrstd="t" o:hr="t"/>
        </w:pict>
      </w:r>
    </w:p>
    <w:bookmarkEnd w:id="32"/>
    <w:bookmarkEnd w:id="33"/>
    <w:bookmarkStart w:id="34" w:name="Xc00064caa8f63033ded7c42159c3e3b3437e37b"/>
    <w:p>
      <w:pPr>
        <w:pStyle w:val="Heading2"/>
      </w:pPr>
      <w:r>
        <w:t xml:space="preserve">4. Items Requiring Confirmation / Delivery at or Before Closing</w:t>
      </w:r>
    </w:p>
    <w:p>
      <w:pPr>
        <w:pStyle w:val="FirstParagraph"/>
      </w:pPr>
      <w:r>
        <w:t xml:space="preserve">These are closing deliverables or conditions that must be satisfied for the Lender to fund and for the Title Company to issue policies. They do not affect the settlement figures but are flagged for completeness.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w:t>
            </w:r>
          </w:p>
        </w:tc>
      </w:tr>
      <w:tr>
        <w:tc>
          <w:tcPr/>
          <w:p>
            <w:pPr>
              <w:pStyle w:val="Compact"/>
              <w:jc w:val="left"/>
            </w:pPr>
            <w:r>
              <w:t xml:space="preserve">C-1</w:t>
            </w:r>
          </w:p>
        </w:tc>
        <w:tc>
          <w:tcPr/>
          <w:p>
            <w:pPr>
              <w:pStyle w:val="Compact"/>
              <w:jc w:val="left"/>
            </w:pPr>
            <w:r>
              <w:rPr>
                <w:b/>
                <w:bCs/>
              </w:rPr>
              <w:t xml:space="preserve">FIRPTA / estate-equivalent certification</w:t>
            </w:r>
            <w:r>
              <w:t xml:space="preserve"> </w:t>
            </w:r>
            <w:r>
              <w:t xml:space="preserve">exempting the sale from withholding under IRC §1445.</w:t>
            </w:r>
          </w:p>
        </w:tc>
        <w:tc>
          <w:tcPr/>
          <w:p>
            <w:pPr>
              <w:pStyle w:val="Compact"/>
              <w:jc w:val="left"/>
            </w:pPr>
            <w:r>
              <w:t xml:space="preserve">PSA §6.2(i)</w:t>
            </w:r>
          </w:p>
        </w:tc>
      </w:tr>
      <w:tr>
        <w:tc>
          <w:tcPr/>
          <w:p>
            <w:pPr>
              <w:pStyle w:val="Compact"/>
              <w:jc w:val="left"/>
            </w:pPr>
            <w:r>
              <w:t xml:space="preserve">C-2</w:t>
            </w:r>
          </w:p>
        </w:tc>
        <w:tc>
          <w:tcPr/>
          <w:p>
            <w:pPr>
              <w:pStyle w:val="Compact"/>
              <w:jc w:val="left"/>
            </w:pPr>
            <w:r>
              <w:rPr>
                <w:b/>
                <w:bCs/>
              </w:rPr>
              <w:t xml:space="preserve">CT DRS estate tax lien release</w:t>
            </w:r>
            <w:r>
              <w:t xml:space="preserve"> </w:t>
            </w:r>
            <w:r>
              <w:t xml:space="preserve">(Release Certificate No. ETL-2025-08834) in recordable form; recording fee $73.00 (Seller).</w:t>
            </w:r>
          </w:p>
        </w:tc>
        <w:tc>
          <w:tcPr/>
          <w:p>
            <w:pPr>
              <w:pStyle w:val="Compact"/>
              <w:jc w:val="left"/>
            </w:pPr>
            <w:r>
              <w:t xml:space="preserve">Title Commitment Req. 7; Probate Certificate §E</w:t>
            </w:r>
          </w:p>
        </w:tc>
      </w:tr>
      <w:tr>
        <w:tc>
          <w:tcPr/>
          <w:p>
            <w:pPr>
              <w:pStyle w:val="Compact"/>
              <w:jc w:val="left"/>
            </w:pPr>
            <w:r>
              <w:t xml:space="preserve">C-3</w:t>
            </w:r>
          </w:p>
        </w:tc>
        <w:tc>
          <w:tcPr/>
          <w:p>
            <w:pPr>
              <w:pStyle w:val="Compact"/>
              <w:jc w:val="left"/>
            </w:pPr>
            <w:r>
              <w:rPr>
                <w:b/>
                <w:bCs/>
              </w:rPr>
              <w:t xml:space="preserve">Subordination, Non-Disturbance and Attornment Agreement (SNDA)</w:t>
            </w:r>
            <w:r>
              <w:t xml:space="preserve"> </w:t>
            </w:r>
            <w:r>
              <w:t xml:space="preserve">among Lender, Buyer, and Coastal Provisions Market LLC.</w:t>
            </w:r>
          </w:p>
        </w:tc>
        <w:tc>
          <w:tcPr/>
          <w:p>
            <w:pPr>
              <w:pStyle w:val="Compact"/>
              <w:jc w:val="left"/>
            </w:pPr>
            <w:r>
              <w:t xml:space="preserve">Lender Commitment §5.7</w:t>
            </w:r>
          </w:p>
        </w:tc>
      </w:tr>
      <w:tr>
        <w:tc>
          <w:tcPr/>
          <w:p>
            <w:pPr>
              <w:pStyle w:val="Compact"/>
              <w:jc w:val="left"/>
            </w:pPr>
            <w:r>
              <w:t xml:space="preserve">C-4</w:t>
            </w:r>
          </w:p>
        </w:tc>
        <w:tc>
          <w:tcPr/>
          <w:p>
            <w:pPr>
              <w:pStyle w:val="Compact"/>
              <w:jc w:val="left"/>
            </w:pPr>
            <w:r>
              <w:rPr>
                <w:b/>
                <w:bCs/>
              </w:rPr>
              <w:t xml:space="preserve">Personal guaranty</w:t>
            </w:r>
            <w:r>
              <w:t xml:space="preserve"> </w:t>
            </w:r>
            <w:r>
              <w:t xml:space="preserve">of Elaine R. Matsuda.</w:t>
            </w:r>
          </w:p>
        </w:tc>
        <w:tc>
          <w:tcPr/>
          <w:p>
            <w:pPr>
              <w:pStyle w:val="Compact"/>
              <w:jc w:val="left"/>
            </w:pPr>
            <w:r>
              <w:t xml:space="preserve">Lender Commitment §5.10</w:t>
            </w:r>
          </w:p>
        </w:tc>
      </w:tr>
      <w:tr>
        <w:tc>
          <w:tcPr/>
          <w:p>
            <w:pPr>
              <w:pStyle w:val="Compact"/>
              <w:jc w:val="left"/>
            </w:pPr>
            <w:r>
              <w:t xml:space="preserve">C-5</w:t>
            </w:r>
          </w:p>
        </w:tc>
        <w:tc>
          <w:tcPr/>
          <w:p>
            <w:pPr>
              <w:pStyle w:val="Compact"/>
              <w:jc w:val="left"/>
            </w:pPr>
            <w:r>
              <w:rPr>
                <w:b/>
                <w:bCs/>
              </w:rPr>
              <w:t xml:space="preserve">Property &amp; casualty insurance</w:t>
            </w:r>
            <w:r>
              <w:t xml:space="preserve"> </w:t>
            </w:r>
            <w:r>
              <w:t xml:space="preserve">($3,900,000 replacement cost; lender as mortgagee/loss payee; carrier A.M. Best A- or better).</w:t>
            </w:r>
          </w:p>
        </w:tc>
        <w:tc>
          <w:tcPr/>
          <w:p>
            <w:pPr>
              <w:pStyle w:val="Compact"/>
              <w:jc w:val="left"/>
            </w:pPr>
            <w:r>
              <w:t xml:space="preserve">Lender Commitment §5.5</w:t>
            </w:r>
          </w:p>
        </w:tc>
      </w:tr>
      <w:tr>
        <w:tc>
          <w:tcPr/>
          <w:p>
            <w:pPr>
              <w:pStyle w:val="Compact"/>
              <w:jc w:val="left"/>
            </w:pPr>
            <w:r>
              <w:t xml:space="preserve">C-6</w:t>
            </w:r>
          </w:p>
        </w:tc>
        <w:tc>
          <w:tcPr/>
          <w:p>
            <w:pPr>
              <w:pStyle w:val="Compact"/>
              <w:jc w:val="left"/>
            </w:pPr>
            <w:r>
              <w:rPr>
                <w:b/>
                <w:bCs/>
              </w:rPr>
              <w:t xml:space="preserve">ALTA/NSPS land title survey</w:t>
            </w:r>
            <w:r>
              <w:t xml:space="preserve"> </w:t>
            </w:r>
            <w:r>
              <w:t xml:space="preserve">or survey endorsement / no-change affidavit.</w:t>
            </w:r>
          </w:p>
        </w:tc>
        <w:tc>
          <w:tcPr/>
          <w:p>
            <w:pPr>
              <w:pStyle w:val="Compact"/>
              <w:jc w:val="left"/>
            </w:pPr>
            <w:r>
              <w:t xml:space="preserve">Title Commitment Req. 12</w:t>
            </w:r>
          </w:p>
        </w:tc>
      </w:tr>
      <w:tr>
        <w:tc>
          <w:tcPr/>
          <w:p>
            <w:pPr>
              <w:pStyle w:val="Compact"/>
              <w:jc w:val="left"/>
            </w:pPr>
            <w:r>
              <w:t xml:space="preserve">C-7</w:t>
            </w:r>
          </w:p>
        </w:tc>
        <w:tc>
          <w:tcPr/>
          <w:p>
            <w:pPr>
              <w:pStyle w:val="Compact"/>
              <w:jc w:val="left"/>
            </w:pPr>
            <w:r>
              <w:rPr>
                <w:b/>
                <w:bCs/>
              </w:rPr>
              <w:t xml:space="preserve">Phase I Environmental Site Assessment</w:t>
            </w:r>
            <w:r>
              <w:t xml:space="preserve"> </w:t>
            </w:r>
            <w:r>
              <w:t xml:space="preserve">(ASTM E1527-21) showing no recognized environmental conditions, or Lender-approved mitigation.</w:t>
            </w:r>
          </w:p>
        </w:tc>
        <w:tc>
          <w:tcPr/>
          <w:p>
            <w:pPr>
              <w:pStyle w:val="Compact"/>
              <w:jc w:val="left"/>
            </w:pPr>
            <w:r>
              <w:t xml:space="preserve">Lender Commitment §5.6</w:t>
            </w:r>
          </w:p>
        </w:tc>
      </w:tr>
      <w:tr>
        <w:tc>
          <w:tcPr/>
          <w:p>
            <w:pPr>
              <w:pStyle w:val="Compact"/>
              <w:jc w:val="left"/>
            </w:pPr>
            <w:r>
              <w:t xml:space="preserve">C-8</w:t>
            </w:r>
          </w:p>
        </w:tc>
        <w:tc>
          <w:tcPr/>
          <w:p>
            <w:pPr>
              <w:pStyle w:val="Compact"/>
              <w:jc w:val="left"/>
            </w:pPr>
            <w:r>
              <w:rPr>
                <w:b/>
                <w:bCs/>
              </w:rPr>
              <w:t xml:space="preserve">FEMA flood zone determination</w:t>
            </w:r>
            <w:r>
              <w:t xml:space="preserve"> </w:t>
            </w:r>
            <w:r>
              <w:t xml:space="preserve">confirming the Property is not in a Special Flood Hazard Area (or flood insurance if it is).</w:t>
            </w:r>
          </w:p>
        </w:tc>
        <w:tc>
          <w:tcPr/>
          <w:p>
            <w:pPr>
              <w:pStyle w:val="Compact"/>
              <w:jc w:val="left"/>
            </w:pPr>
            <w:r>
              <w:t xml:space="preserve">Lender Commitment §5.4</w:t>
            </w:r>
          </w:p>
        </w:tc>
      </w:tr>
      <w:tr>
        <w:tc>
          <w:tcPr/>
          <w:p>
            <w:pPr>
              <w:pStyle w:val="Compact"/>
              <w:jc w:val="left"/>
            </w:pPr>
            <w:r>
              <w:t xml:space="preserve">C-9</w:t>
            </w:r>
          </w:p>
        </w:tc>
        <w:tc>
          <w:tcPr/>
          <w:p>
            <w:pPr>
              <w:pStyle w:val="Compact"/>
              <w:jc w:val="left"/>
            </w:pPr>
            <w:r>
              <w:rPr>
                <w:b/>
                <w:bCs/>
              </w:rPr>
              <w:t xml:space="preserve">Assignment of Rents and Leases</w:t>
            </w:r>
            <w:r>
              <w:t xml:space="preserve"> </w:t>
            </w:r>
            <w:r>
              <w:t xml:space="preserve">from Buyer to Lender (recordable).</w:t>
            </w:r>
          </w:p>
        </w:tc>
        <w:tc>
          <w:tcPr/>
          <w:p>
            <w:pPr>
              <w:pStyle w:val="Compact"/>
              <w:jc w:val="left"/>
            </w:pPr>
            <w:r>
              <w:t xml:space="preserve">Lender Commitment §5.9; Title Commitment Req. 10</w:t>
            </w:r>
          </w:p>
        </w:tc>
      </w:tr>
      <w:tr>
        <w:tc>
          <w:tcPr/>
          <w:p>
            <w:pPr>
              <w:pStyle w:val="Compact"/>
              <w:jc w:val="left"/>
            </w:pPr>
            <w:r>
              <w:t xml:space="preserve">C-10</w:t>
            </w:r>
          </w:p>
        </w:tc>
        <w:tc>
          <w:tcPr/>
          <w:p>
            <w:pPr>
              <w:pStyle w:val="Compact"/>
              <w:jc w:val="left"/>
            </w:pPr>
            <w:r>
              <w:rPr>
                <w:b/>
                <w:bCs/>
              </w:rPr>
              <w:t xml:space="preserve">Buyer entity documentation</w:t>
            </w:r>
            <w:r>
              <w:t xml:space="preserve"> </w:t>
            </w:r>
            <w:r>
              <w:t xml:space="preserve">— Certificate of Legal Existence (≤30 days old), Operating Agreement, member resolution/consent.</w:t>
            </w:r>
          </w:p>
        </w:tc>
        <w:tc>
          <w:tcPr/>
          <w:p>
            <w:pPr>
              <w:pStyle w:val="Compact"/>
              <w:jc w:val="left"/>
            </w:pPr>
            <w:r>
              <w:t xml:space="preserve">Title Commitment Req. 11; Lender Commitment §5.11</w:t>
            </w:r>
          </w:p>
        </w:tc>
      </w:tr>
      <w:tr>
        <w:tc>
          <w:tcPr/>
          <w:p>
            <w:pPr>
              <w:pStyle w:val="Compact"/>
              <w:jc w:val="left"/>
            </w:pPr>
            <w:r>
              <w:t xml:space="preserve">C-11</w:t>
            </w:r>
          </w:p>
        </w:tc>
        <w:tc>
          <w:tcPr/>
          <w:p>
            <w:pPr>
              <w:pStyle w:val="Compact"/>
              <w:jc w:val="left"/>
            </w:pPr>
            <w:r>
              <w:rPr>
                <w:b/>
                <w:bCs/>
              </w:rPr>
              <w:t xml:space="preserve">Fiduciary Certificate</w:t>
            </w:r>
            <w:r>
              <w:t xml:space="preserve"> </w:t>
            </w:r>
            <w:r>
              <w:t xml:space="preserve">dated no more than 60 days prior to closing (issued June 25, 2025 — within the 60-day window for a July 15 closing).</w:t>
            </w:r>
          </w:p>
        </w:tc>
        <w:tc>
          <w:tcPr/>
          <w:p>
            <w:pPr>
              <w:pStyle w:val="Compact"/>
              <w:jc w:val="left"/>
            </w:pPr>
            <w:r>
              <w:t xml:space="preserve">Title Commitment Req. 2; Lender Commitment §5.12</w:t>
            </w:r>
          </w:p>
        </w:tc>
      </w:tr>
      <w:tr>
        <w:tc>
          <w:tcPr/>
          <w:p>
            <w:pPr>
              <w:pStyle w:val="Compact"/>
              <w:jc w:val="left"/>
            </w:pPr>
            <w:r>
              <w:t xml:space="preserve">C-12</w:t>
            </w:r>
          </w:p>
        </w:tc>
        <w:tc>
          <w:tcPr/>
          <w:p>
            <w:pPr>
              <w:pStyle w:val="Compact"/>
              <w:jc w:val="left"/>
            </w:pPr>
            <w:r>
              <w:rPr>
                <w:b/>
                <w:bCs/>
              </w:rPr>
              <w:t xml:space="preserve">Seller’s affidavit</w:t>
            </w:r>
            <w:r>
              <w:t xml:space="preserve"> </w:t>
            </w:r>
            <w:r>
              <w:t xml:space="preserve">(Executrix) attesting to no additional liens/parties in possession.</w:t>
            </w:r>
          </w:p>
        </w:tc>
        <w:tc>
          <w:tcPr/>
          <w:p>
            <w:pPr>
              <w:pStyle w:val="Compact"/>
              <w:jc w:val="left"/>
            </w:pPr>
            <w:r>
              <w:t xml:space="preserve">Title Commitment Req. 13</w:t>
            </w:r>
          </w:p>
        </w:tc>
      </w:tr>
      <w:tr>
        <w:tc>
          <w:tcPr/>
          <w:p>
            <w:pPr>
              <w:pStyle w:val="Compact"/>
              <w:jc w:val="left"/>
            </w:pPr>
            <w:r>
              <w:t xml:space="preserve">C-13</w:t>
            </w:r>
          </w:p>
        </w:tc>
        <w:tc>
          <w:tcPr/>
          <w:p>
            <w:pPr>
              <w:pStyle w:val="Compact"/>
              <w:jc w:val="left"/>
            </w:pPr>
            <w:r>
              <w:rPr>
                <w:b/>
                <w:bCs/>
              </w:rPr>
              <w:t xml:space="preserve">Repair Escrow Agreement</w:t>
            </w:r>
            <w:r>
              <w:t xml:space="preserve"> </w:t>
            </w:r>
            <w:r>
              <w:t xml:space="preserve">executed by parties; Lender named as interested party; disbursement subject to Lender consent.</w:t>
            </w:r>
          </w:p>
        </w:tc>
        <w:tc>
          <w:tcPr/>
          <w:p>
            <w:pPr>
              <w:pStyle w:val="Compact"/>
              <w:jc w:val="left"/>
            </w:pPr>
            <w:r>
              <w:t xml:space="preserve">PSA §8.4; Lender Commitment §5.13</w:t>
            </w:r>
          </w:p>
        </w:tc>
      </w:tr>
      <w:tr>
        <w:tc>
          <w:tcPr/>
          <w:p>
            <w:pPr>
              <w:pStyle w:val="Compact"/>
              <w:jc w:val="left"/>
            </w:pPr>
            <w:r>
              <w:t xml:space="preserve">C-14</w:t>
            </w:r>
          </w:p>
        </w:tc>
        <w:tc>
          <w:tcPr/>
          <w:p>
            <w:pPr>
              <w:pStyle w:val="Compact"/>
              <w:jc w:val="left"/>
            </w:pPr>
            <w:r>
              <w:rPr>
                <w:b/>
                <w:bCs/>
              </w:rPr>
              <w:t xml:space="preserve">Updated rent roll and security deposit schedule</w:t>
            </w:r>
            <w:r>
              <w:t xml:space="preserve"> </w:t>
            </w:r>
            <w:r>
              <w:t xml:space="preserve">delivered ≤3 business days prior to closing (PSA §9.7). The July 1, 2025 rent roll was used; confirm a closing-date update was delivered.</w:t>
            </w:r>
          </w:p>
        </w:tc>
        <w:tc>
          <w:tcPr/>
          <w:p>
            <w:pPr>
              <w:pStyle w:val="Compact"/>
              <w:jc w:val="left"/>
            </w:pPr>
            <w:r>
              <w:t xml:space="preserve">PSA §9.7</w:t>
            </w:r>
          </w:p>
        </w:tc>
      </w:tr>
    </w:tbl>
    <w:p>
      <w:r>
        <w:pict>
          <v:rect style="width:0;height:1.5pt" o:hralign="center" o:hrstd="t" o:hr="t"/>
        </w:pict>
      </w:r>
    </w:p>
    <w:bookmarkEnd w:id="34"/>
    <w:bookmarkStart w:id="35" w:name="Xd1e41132ec3fdd64ed96a12d38ca4f6779c27ba"/>
    <w:p>
      <w:pPr>
        <w:pStyle w:val="Heading2"/>
      </w:pPr>
      <w:r>
        <w:t xml:space="preserve">5. Items Excluded from the Settlement Statement (by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Reason / Treatment</w:t>
            </w:r>
          </w:p>
        </w:tc>
      </w:tr>
      <w:tr>
        <w:tc>
          <w:tcPr/>
          <w:p>
            <w:pPr>
              <w:pStyle w:val="Compact"/>
              <w:jc w:val="left"/>
            </w:pPr>
            <w:r>
              <w:t xml:space="preserve">E-1</w:t>
            </w:r>
          </w:p>
        </w:tc>
        <w:tc>
          <w:tcPr/>
          <w:p>
            <w:pPr>
              <w:pStyle w:val="Compact"/>
              <w:jc w:val="left"/>
            </w:pPr>
            <w:r>
              <w:rPr>
                <w:b/>
                <w:bCs/>
              </w:rPr>
              <w:t xml:space="preserve">Unit 2E delinquent July rent ($1,600.00)</w:t>
            </w:r>
          </w:p>
        </w:tc>
        <w:tc>
          <w:tcPr/>
          <w:p>
            <w:pPr>
              <w:pStyle w:val="Compact"/>
              <w:jc w:val="left"/>
            </w:pPr>
            <w:r>
              <w:t xml:space="preserve">Excluded from rent proration entirely per PSA §7.3. No credit to Seller or Buyer. Buyer assumes collection efforts post-closing; any amounts collected are applied first to current rent, with excess remitted to Seller within 30 days (PSA §7.3(b)).</w:t>
            </w:r>
          </w:p>
        </w:tc>
      </w:tr>
      <w:tr>
        <w:tc>
          <w:tcPr/>
          <w:p>
            <w:pPr>
              <w:pStyle w:val="Compact"/>
              <w:jc w:val="left"/>
            </w:pPr>
            <w:r>
              <w:t xml:space="preserve">E-2</w:t>
            </w:r>
          </w:p>
        </w:tc>
        <w:tc>
          <w:tcPr/>
          <w:p>
            <w:pPr>
              <w:pStyle w:val="Compact"/>
              <w:jc w:val="left"/>
            </w:pPr>
            <w:r>
              <w:rPr>
                <w:b/>
                <w:bCs/>
              </w:rPr>
              <w:t xml:space="preserve">Unit 3C vacancy (estimated market rent $1,650/mo)</w:t>
            </w:r>
          </w:p>
        </w:tc>
        <w:tc>
          <w:tcPr/>
          <w:p>
            <w:pPr>
              <w:pStyle w:val="Compact"/>
              <w:jc w:val="left"/>
            </w:pPr>
            <w:r>
              <w:t xml:space="preserve">Vacant since 11/01/2024; no lease, no rent, no security deposit. Market rent is informational only and excluded from proration.</w:t>
            </w:r>
          </w:p>
        </w:tc>
      </w:tr>
      <w:tr>
        <w:tc>
          <w:tcPr/>
          <w:p>
            <w:pPr>
              <w:pStyle w:val="Compact"/>
              <w:jc w:val="left"/>
            </w:pPr>
            <w:r>
              <w:t xml:space="preserve">E-3</w:t>
            </w:r>
          </w:p>
        </w:tc>
        <w:tc>
          <w:tcPr/>
          <w:p>
            <w:pPr>
              <w:pStyle w:val="Compact"/>
              <w:jc w:val="left"/>
            </w:pPr>
            <w:r>
              <w:rPr>
                <w:b/>
                <w:bCs/>
              </w:rPr>
              <w:t xml:space="preserve">Appraisal fee ($4,500.00)</w:t>
            </w:r>
          </w:p>
        </w:tc>
        <w:tc>
          <w:tcPr/>
          <w:p>
            <w:pPr>
              <w:pStyle w:val="Compact"/>
              <w:jc w:val="left"/>
            </w:pPr>
            <w:r>
              <w:t xml:space="preserve">Paid Outside of Closing (POC) on May 5, 2025. Shown for disclosure only with $0.00 impact on cash-to-close (PSA §3.3; Lender Commitment §4.2). Expressly excluded from all totals.</w:t>
            </w:r>
          </w:p>
        </w:tc>
      </w:tr>
      <w:tr>
        <w:tc>
          <w:tcPr/>
          <w:p>
            <w:pPr>
              <w:pStyle w:val="Compact"/>
              <w:jc w:val="left"/>
            </w:pPr>
            <w:r>
              <w:t xml:space="preserve">E-4</w:t>
            </w:r>
          </w:p>
        </w:tc>
        <w:tc>
          <w:tcPr/>
          <w:p>
            <w:pPr>
              <w:pStyle w:val="Compact"/>
              <w:jc w:val="left"/>
            </w:pPr>
            <w:r>
              <w:rPr>
                <w:b/>
                <w:bCs/>
              </w:rPr>
              <w:t xml:space="preserve">Utility deposits held in Seller’s name</w:t>
            </w:r>
          </w:p>
        </w:tc>
        <w:tc>
          <w:tcPr/>
          <w:p>
            <w:pPr>
              <w:pStyle w:val="Compact"/>
              <w:jc w:val="left"/>
            </w:pPr>
            <w:r>
              <w:t xml:space="preserve">Retained by Seller unless otherwise agreed; Buyer establishes new accounts (PSA §7.5(d)).</w:t>
            </w:r>
          </w:p>
        </w:tc>
      </w:tr>
      <w:tr>
        <w:tc>
          <w:tcPr/>
          <w:p>
            <w:pPr>
              <w:pStyle w:val="Compact"/>
              <w:jc w:val="left"/>
            </w:pPr>
            <w:r>
              <w:t xml:space="preserve">E-5</w:t>
            </w:r>
          </w:p>
        </w:tc>
        <w:tc>
          <w:tcPr/>
          <w:p>
            <w:pPr>
              <w:pStyle w:val="Compact"/>
              <w:jc w:val="left"/>
            </w:pPr>
            <w:r>
              <w:rPr>
                <w:b/>
                <w:bCs/>
              </w:rPr>
              <w:t xml:space="preserve">Brokerage commissions</w:t>
            </w:r>
          </w:p>
        </w:tc>
        <w:tc>
          <w:tcPr/>
          <w:p>
            <w:pPr>
              <w:pStyle w:val="Compact"/>
              <w:jc w:val="left"/>
            </w:pPr>
            <w:r>
              <w:t xml:space="preserve">None due; no broker involved (PSA §15.7).</w:t>
            </w:r>
          </w:p>
        </w:tc>
      </w:tr>
    </w:tbl>
    <w:p>
      <w:r>
        <w:pict>
          <v:rect style="width:0;height:1.5pt" o:hralign="center" o:hrstd="t" o:hr="t"/>
        </w:pict>
      </w:r>
    </w:p>
    <w:bookmarkEnd w:id="35"/>
    <w:bookmarkStart w:id="36" w:name="survival-and-reproration"/>
    <w:p>
      <w:pPr>
        <w:pStyle w:val="Heading2"/>
      </w:pPr>
      <w:r>
        <w:t xml:space="preserve">6. Survival and Reproration</w:t>
      </w:r>
    </w:p>
    <w:p>
      <w:pPr>
        <w:pStyle w:val="Compact"/>
        <w:numPr>
          <w:ilvl w:val="0"/>
          <w:numId w:val="1001"/>
        </w:numPr>
      </w:pPr>
      <w:r>
        <w:rPr>
          <w:b/>
          <w:bCs/>
        </w:rPr>
        <w:t xml:space="preserve">Prorations survive closing for 90 days</w:t>
      </w:r>
      <w:r>
        <w:t xml:space="preserve"> </w:t>
      </w:r>
      <w:r>
        <w:t xml:space="preserve">for reproration and final settlement (PSA §7.7, §15.1). Items most likely to require reproration: (a) FY2025–2026 property tax (when the actual bill issues); (b) any utility charges not finally determined at closing; (c) security deposit interest and earnest money interest if not finalized at closing.</w:t>
      </w:r>
    </w:p>
    <w:p>
      <w:pPr>
        <w:pStyle w:val="Compact"/>
        <w:numPr>
          <w:ilvl w:val="0"/>
          <w:numId w:val="1001"/>
        </w:numPr>
      </w:pPr>
      <w:r>
        <w:rPr>
          <w:b/>
          <w:bCs/>
        </w:rPr>
        <w:t xml:space="preserve">Reproration mechanics:</w:t>
      </w:r>
      <w:r>
        <w:t xml:space="preserve"> </w:t>
      </w:r>
      <w:r>
        <w:t xml:space="preserve">Any amounts owed upon reproration are payable within 10 business days of demand with reasonable supporting documentation (PSA §7.7).</w:t>
      </w:r>
    </w:p>
    <w:p>
      <w:pPr>
        <w:pStyle w:val="Compact"/>
        <w:numPr>
          <w:ilvl w:val="0"/>
          <w:numId w:val="1001"/>
        </w:numPr>
      </w:pPr>
      <w:r>
        <w:rPr>
          <w:b/>
          <w:bCs/>
        </w:rPr>
        <w:t xml:space="preserve">Repair Escrow:</w:t>
      </w:r>
      <w:r>
        <w:t xml:space="preserve"> </w:t>
      </w:r>
      <w:r>
        <w:t xml:space="preserve">Buyer has 12 months from closing to complete roof repairs and submit paid invoices with lien waivers for reimbursement; any unused balance (plus interest) returns to Seller thereafter (PSA §8.4(d)–(e)).</w:t>
      </w:r>
    </w:p>
    <w:p>
      <w:pPr>
        <w:pStyle w:val="Compact"/>
        <w:numPr>
          <w:ilvl w:val="0"/>
          <w:numId w:val="1001"/>
        </w:numPr>
      </w:pPr>
      <w:r>
        <w:rPr>
          <w:b/>
          <w:bCs/>
        </w:rPr>
        <w:t xml:space="preserve">Representations and warranties</w:t>
      </w:r>
      <w:r>
        <w:t xml:space="preserve"> </w:t>
      </w:r>
      <w:r>
        <w:t xml:space="preserve">survive closing for 12 months (PSA §15.1).</w:t>
      </w:r>
    </w:p>
    <w:p>
      <w:r>
        <w:pict>
          <v:rect style="width:0;height:1.5pt" o:hralign="center" o:hrstd="t" o:hr="t"/>
        </w:pict>
      </w:r>
    </w:p>
    <w:bookmarkEnd w:id="36"/>
    <w:bookmarkStart w:id="37" w:name="summary-of-financial-reconciliation"/>
    <w:p>
      <w:pPr>
        <w:pStyle w:val="Heading2"/>
      </w:pPr>
      <w:r>
        <w:t xml:space="preserve">7. Summary of Financial Reconciliation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Buyer Charges (Debits)</w:t>
            </w:r>
          </w:p>
        </w:tc>
        <w:tc>
          <w:tcPr/>
          <w:p>
            <w:pPr>
              <w:pStyle w:val="Compact"/>
              <w:jc w:val="right"/>
            </w:pPr>
            <w:r>
              <w:t xml:space="preserve">$3,967,767.00</w:t>
            </w:r>
          </w:p>
        </w:tc>
      </w:tr>
      <w:tr>
        <w:tc>
          <w:tcPr/>
          <w:p>
            <w:pPr>
              <w:pStyle w:val="Compact"/>
              <w:jc w:val="left"/>
            </w:pPr>
            <w:r>
              <w:t xml:space="preserve">Total Buyer Credits</w:t>
            </w:r>
          </w:p>
        </w:tc>
        <w:tc>
          <w:tcPr/>
          <w:p>
            <w:pPr>
              <w:pStyle w:val="Compact"/>
              <w:jc w:val="right"/>
            </w:pPr>
            <w:r>
              <w:t xml:space="preserve">$2,882,354.88</w:t>
            </w:r>
          </w:p>
        </w:tc>
      </w:tr>
      <w:tr>
        <w:tc>
          <w:tcPr/>
          <w:p>
            <w:pPr>
              <w:pStyle w:val="Compact"/>
              <w:jc w:val="left"/>
            </w:pPr>
            <w:r>
              <w:rPr>
                <w:b/>
                <w:bCs/>
              </w:rPr>
              <w:t xml:space="preserve">Cash Required from Buyer at Closing</w:t>
            </w:r>
          </w:p>
        </w:tc>
        <w:tc>
          <w:tcPr/>
          <w:p>
            <w:pPr>
              <w:pStyle w:val="Compact"/>
              <w:jc w:val="right"/>
            </w:pPr>
            <w:r>
              <w:rPr>
                <w:b/>
                <w:bCs/>
              </w:rPr>
              <w:t xml:space="preserve">$1,085,412.12</w:t>
            </w:r>
          </w:p>
        </w:tc>
      </w:tr>
      <w:tr>
        <w:tc>
          <w:tcPr/>
          <w:p>
            <w:pPr>
              <w:pStyle w:val="Compact"/>
              <w:jc w:val="left"/>
            </w:pPr>
            <w:r>
              <w:t xml:space="preserve">Total Seller Credits</w:t>
            </w:r>
          </w:p>
        </w:tc>
        <w:tc>
          <w:tcPr/>
          <w:p>
            <w:pPr>
              <w:pStyle w:val="Compact"/>
              <w:jc w:val="right"/>
            </w:pPr>
            <w:r>
              <w:t xml:space="preserve">$3,900,693.00</w:t>
            </w:r>
          </w:p>
        </w:tc>
      </w:tr>
      <w:tr>
        <w:tc>
          <w:tcPr/>
          <w:p>
            <w:pPr>
              <w:pStyle w:val="Compact"/>
              <w:jc w:val="left"/>
            </w:pPr>
            <w:r>
              <w:t xml:space="preserve">Total Seller Charges (Debits)</w:t>
            </w:r>
          </w:p>
        </w:tc>
        <w:tc>
          <w:tcPr/>
          <w:p>
            <w:pPr>
              <w:pStyle w:val="Compact"/>
              <w:jc w:val="right"/>
            </w:pPr>
            <w:r>
              <w:t xml:space="preserve">$1,036,029.17</w:t>
            </w:r>
          </w:p>
        </w:tc>
      </w:tr>
      <w:tr>
        <w:tc>
          <w:tcPr/>
          <w:p>
            <w:pPr>
              <w:pStyle w:val="Compact"/>
              <w:jc w:val="left"/>
            </w:pPr>
            <w:r>
              <w:rPr>
                <w:b/>
                <w:bCs/>
              </w:rPr>
              <w:t xml:space="preserve">Net Proceeds to Seller</w:t>
            </w:r>
          </w:p>
        </w:tc>
        <w:tc>
          <w:tcPr/>
          <w:p>
            <w:pPr>
              <w:pStyle w:val="Compact"/>
              <w:jc w:val="right"/>
            </w:pPr>
            <w:r>
              <w:rPr>
                <w:b/>
                <w:bCs/>
              </w:rPr>
              <w:t xml:space="preserve">$2,864,663.83</w:t>
            </w:r>
          </w:p>
        </w:tc>
      </w:tr>
      <w:tr>
        <w:tc>
          <w:tcPr/>
          <w:p>
            <w:pPr>
              <w:pStyle w:val="Compact"/>
              <w:jc w:val="left"/>
            </w:pPr>
            <w:r>
              <w:t xml:space="preserve">Total Funds In (loan + earnest + buyer cash)</w:t>
            </w:r>
          </w:p>
        </w:tc>
        <w:tc>
          <w:tcPr/>
          <w:p>
            <w:pPr>
              <w:pStyle w:val="Compact"/>
              <w:jc w:val="right"/>
            </w:pPr>
            <w:r>
              <w:t xml:space="preserve">$3,920,412.12</w:t>
            </w:r>
          </w:p>
        </w:tc>
      </w:tr>
      <w:tr>
        <w:tc>
          <w:tcPr/>
          <w:p>
            <w:pPr>
              <w:pStyle w:val="Compact"/>
              <w:jc w:val="left"/>
            </w:pPr>
            <w:r>
              <w:t xml:space="preserve">Total Funds Out (net to seller + third-party disbursements)</w:t>
            </w:r>
          </w:p>
        </w:tc>
        <w:tc>
          <w:tcPr/>
          <w:p>
            <w:pPr>
              <w:pStyle w:val="Compact"/>
              <w:jc w:val="right"/>
            </w:pPr>
            <w:r>
              <w:t xml:space="preserve">$3,920,412.12</w:t>
            </w:r>
          </w:p>
        </w:tc>
      </w:tr>
      <w:tr>
        <w:tc>
          <w:tcPr/>
          <w:p>
            <w:pPr>
              <w:pStyle w:val="Compact"/>
              <w:jc w:val="left"/>
            </w:pPr>
            <w:r>
              <w:rPr>
                <w:b/>
                <w:bCs/>
              </w:rPr>
              <w:t xml:space="preserve">Reconciliation variance</w:t>
            </w:r>
          </w:p>
        </w:tc>
        <w:tc>
          <w:tcPr/>
          <w:p>
            <w:pPr>
              <w:pStyle w:val="Compact"/>
              <w:jc w:val="right"/>
            </w:pPr>
            <w:r>
              <w:rPr>
                <w:b/>
                <w:bCs/>
              </w:rPr>
              <w:t xml:space="preserve">$0.00</w:t>
            </w:r>
          </w:p>
        </w:tc>
      </w:tr>
    </w:tbl>
    <w:p>
      <w:pPr>
        <w:pStyle w:val="BodyText"/>
      </w:pPr>
      <w:r>
        <w:t xml:space="preserve">The settlement statement is internally consistent and reconciles to the penny. The principal open items that could change the final figures at or after closing are: (i) accrued interest on residential security deposits (D-5); (ii) accrued interest on earnest money (D-6); (iii) the actual CT conveyance tax upon filing of Form OP-236 (A-3); and (iv) the actual FY2025–2026 property tax when billed (A-2). Each is addressed by the reproration/survival provisions of PSA §7.7.</w:t>
      </w:r>
    </w:p>
    <w:p>
      <w:r>
        <w:pict>
          <v:rect style="width:0;height:1.5pt" o:hralign="center" o:hrstd="t" o:hr="t"/>
        </w:pict>
      </w:r>
    </w:p>
    <w:p>
      <w:pPr>
        <w:pStyle w:val="FirstParagraph"/>
      </w:pPr>
      <w:r>
        <w:rPr>
          <w:i/>
          <w:iCs/>
        </w:rPr>
        <w:t xml:space="preserve">Prepared as a working closing memo. This memo does not modify the terms of the Purchase and Sale Agreement, the Title Commitment, or the Lender Commitment; in the event of any conflict, those controlling documents govern.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2026-06-23T05:51:22Z</dcterms:created>
  <dcterms:modified xsi:type="dcterms:W3CDTF">2026-06-23T05:51:22Z</dcterms:modified>
</cp:coreProperties>
</file>

<file path=docProps/custom.xml><?xml version="1.0" encoding="utf-8"?>
<Properties xmlns="http://schemas.openxmlformats.org/officeDocument/2006/custom-properties" xmlns:vt="http://schemas.openxmlformats.org/officeDocument/2006/docPropsVTypes"/>
</file>