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ettlement-statement-notes-memo"/>
    <w:p>
      <w:pPr>
        <w:pStyle w:val="Heading1"/>
      </w:pPr>
      <w:r>
        <w:t xml:space="preserve">SETTLEMENT STATEMENT — NOTES MEMO</w:t>
      </w:r>
    </w:p>
    <w:bookmarkStart w:id="21" w:name="flagged-discrepancies-and-assumptions"/>
    <w:p>
      <w:pPr>
        <w:pStyle w:val="Heading2"/>
      </w:pPr>
      <w:r>
        <w:t xml:space="preserve">Flagged Discrepancies and Assumptions</w:t>
      </w:r>
    </w:p>
    <w:p>
      <w:pPr>
        <w:pStyle w:val="FirstParagraph"/>
      </w:pPr>
      <w:r>
        <w:rPr>
          <w:b/>
          <w:bCs/>
        </w:rPr>
        <w:t xml:space="preserve">To:</w:t>
      </w:r>
      <w:r>
        <w:t xml:space="preserve"> </w:t>
      </w:r>
      <w:r>
        <w:t xml:space="preserve">Closing File — Pinnacle Abstract &amp; Title LLC (Lorraine M. Grasso, Closing Officer); Buyer’s Counsel (Nora F. Kapadia, Esq.); Seller’s Counsel (David H. Clement, Esq.); Lender (Marcus J. Pellegrino, Tidewater Savings Bank)</w:t>
      </w:r>
    </w:p>
    <w:p>
      <w:pPr>
        <w:pStyle w:val="BodyText"/>
      </w:pPr>
      <w:r>
        <w:rPr>
          <w:b/>
          <w:bCs/>
        </w:rPr>
        <w:t xml:space="preserve">Re:</w:t>
      </w:r>
      <w:r>
        <w:t xml:space="preserve"> </w:t>
      </w:r>
      <w:r>
        <w:t xml:space="preserve">Closing of 4280 Harborview Boulevard, Bridgeport, CT 06604 — Estate of Gerald T. Whitford (Seller) / Meridian Cove Properties LLC (Buyer) — July 15, 2025</w:t>
      </w:r>
    </w:p>
    <w:p>
      <w:pPr>
        <w:pStyle w:val="BodyText"/>
      </w:pPr>
      <w:r>
        <w:rPr>
          <w:b/>
          <w:bCs/>
        </w:rPr>
        <w:t xml:space="preserve">From:</w:t>
      </w:r>
      <w:r>
        <w:t xml:space="preserve"> </w:t>
      </w:r>
      <w:r>
        <w:t xml:space="preserve">Settlement Statement Preparation</w:t>
      </w:r>
    </w:p>
    <w:p>
      <w:pPr>
        <w:pStyle w:val="BodyText"/>
      </w:pPr>
      <w:r>
        <w:rPr>
          <w:b/>
          <w:bCs/>
        </w:rPr>
        <w:t xml:space="preserve">Date:</w:t>
      </w:r>
      <w:r>
        <w:t xml:space="preserve"> </w:t>
      </w:r>
      <w:r>
        <w:t xml:space="preserve">July 14, 2025</w:t>
      </w:r>
    </w:p>
    <w:p>
      <w:r>
        <w:pict>
          <v:rect style="width:0;height:1.5pt" o:hralign="center" o:hrstd="t" o:hr="t"/>
        </w:pict>
      </w:r>
    </w:p>
    <w:bookmarkStart w:id="20" w:name="purpose"/>
    <w:p>
      <w:pPr>
        <w:pStyle w:val="Heading3"/>
      </w:pPr>
      <w:r>
        <w:t xml:space="preserve">Purpose</w:t>
      </w:r>
    </w:p>
    <w:p>
      <w:pPr>
        <w:pStyle w:val="FirstParagraph"/>
      </w:pPr>
      <w:r>
        <w:t xml:space="preserve">This memo accompanies the settlement statement prepared for the above closing. It identifies (A) discrepancies among the closing documents that should be reconciled before or at closing, and (B) assumptions made in preparing the statement where the record was silent, estimated, or internally inconsistent. Each item is keyed to its source. Items are classified as</w:t>
      </w:r>
      <w:r>
        <w:t xml:space="preserve"> </w:t>
      </w:r>
      <w:r>
        <w:rPr>
          <w:b/>
          <w:bCs/>
        </w:rPr>
        <w:t xml:space="preserve">Material</w:t>
      </w:r>
      <w:r>
        <w:t xml:space="preserve"> </w:t>
      </w:r>
      <w:r>
        <w:t xml:space="preserve">(affects title, payoffs, or a dollar figure on the statement) or</w:t>
      </w:r>
      <w:r>
        <w:t xml:space="preserve"> </w:t>
      </w:r>
      <w:r>
        <w:rPr>
          <w:b/>
          <w:bCs/>
        </w:rPr>
        <w:t xml:space="preserve">Administrative/Informational</w:t>
      </w:r>
      <w:r>
        <w:t xml:space="preserve"> </w:t>
      </w:r>
      <w:r>
        <w:t xml:space="preserve">(does not change a settlement figure but should be confirmed).</w:t>
      </w:r>
    </w:p>
    <w:p>
      <w:r>
        <w:pict>
          <v:rect style="width:0;height:1.5pt" o:hralign="center" o:hrstd="t" o:hr="t"/>
        </w:pict>
      </w:r>
    </w:p>
    <w:bookmarkEnd w:id="20"/>
    <w:bookmarkEnd w:id="21"/>
    <w:bookmarkStart w:id="32" w:name="a.-discrepancies"/>
    <w:p>
      <w:pPr>
        <w:pStyle w:val="Heading2"/>
      </w:pPr>
      <w:r>
        <w:t xml:space="preserve">A. DISCREPANCIES</w:t>
      </w:r>
    </w:p>
    <w:bookmarkStart w:id="22" w:name="X0168c058f4e4ff267eac4f79f700f9bfdbbe716"/>
    <w:p>
      <w:pPr>
        <w:pStyle w:val="Heading3"/>
      </w:pPr>
      <w:r>
        <w:t xml:space="preserve">A-1. Inconsistent lien recording references between the title commitment and the payoff letters —</w:t>
      </w:r>
      <w:r>
        <w:t xml:space="preserve"> </w:t>
      </w:r>
      <w:r>
        <w:rPr>
          <w:b/>
          <w:bCs/>
        </w:rPr>
        <w:t xml:space="preserve">Material</w:t>
      </w:r>
    </w:p>
    <w:p>
      <w:pPr>
        <w:pStyle w:val="FirstParagraph"/>
      </w:pPr>
      <w:r>
        <w:t xml:space="preserve">The recording references for the liens to be released differ between the Title Commitment (TC-2025-07182, Schedule B-I) and the payoff letters compiled by Seller’s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Lien</w:t>
            </w:r>
          </w:p>
        </w:tc>
        <w:tc>
          <w:tcPr/>
          <w:p>
            <w:pPr>
              <w:pStyle w:val="Compact"/>
              <w:jc w:val="left"/>
            </w:pPr>
            <w:r>
              <w:t xml:space="preserve">Title Commitment reference</w:t>
            </w:r>
          </w:p>
        </w:tc>
        <w:tc>
          <w:tcPr/>
          <w:p>
            <w:pPr>
              <w:pStyle w:val="Compact"/>
              <w:jc w:val="left"/>
            </w:pPr>
            <w:r>
              <w:t xml:space="preserve">Payoff-letter reference</w:t>
            </w:r>
          </w:p>
        </w:tc>
      </w:tr>
      <w:tr>
        <w:tc>
          <w:tcPr/>
          <w:p>
            <w:pPr>
              <w:pStyle w:val="Compact"/>
              <w:jc w:val="left"/>
            </w:pPr>
            <w:r>
              <w:t xml:space="preserve">Harborstone FCU first mortgage</w:t>
            </w:r>
          </w:p>
        </w:tc>
        <w:tc>
          <w:tcPr/>
          <w:p>
            <w:pPr>
              <w:pStyle w:val="Compact"/>
              <w:jc w:val="left"/>
            </w:pPr>
            <w:r>
              <w:t xml:space="preserve">Vol. 1087, Pg. 445</w:t>
            </w:r>
          </w:p>
        </w:tc>
        <w:tc>
          <w:tcPr/>
          <w:p>
            <w:pPr>
              <w:pStyle w:val="Compact"/>
              <w:jc w:val="left"/>
            </w:pPr>
            <w:r>
              <w:t xml:space="preserve">Vol. 312, Pg. 88</w:t>
            </w:r>
          </w:p>
        </w:tc>
      </w:tr>
      <w:tr>
        <w:tc>
          <w:tcPr/>
          <w:p>
            <w:pPr>
              <w:pStyle w:val="Compact"/>
              <w:jc w:val="left"/>
            </w:pPr>
            <w:r>
              <w:t xml:space="preserve">Harborstone FCU HELOC</w:t>
            </w:r>
          </w:p>
        </w:tc>
        <w:tc>
          <w:tcPr/>
          <w:p>
            <w:pPr>
              <w:pStyle w:val="Compact"/>
              <w:jc w:val="left"/>
            </w:pPr>
            <w:r>
              <w:t xml:space="preserve">Vol. 1204, Pg. 218</w:t>
            </w:r>
          </w:p>
        </w:tc>
        <w:tc>
          <w:tcPr/>
          <w:p>
            <w:pPr>
              <w:pStyle w:val="Compact"/>
              <w:jc w:val="left"/>
            </w:pPr>
            <w:r>
              <w:t xml:space="preserve">Vol. 487, Pg. 112</w:t>
            </w:r>
          </w:p>
        </w:tc>
      </w:tr>
      <w:tr>
        <w:tc>
          <w:tcPr/>
          <w:p>
            <w:pPr>
              <w:pStyle w:val="Compact"/>
              <w:jc w:val="left"/>
            </w:pPr>
            <w:r>
              <w:t xml:space="preserve">Northbridge Construction Co. mechanic’s lien</w:t>
            </w:r>
          </w:p>
        </w:tc>
        <w:tc>
          <w:tcPr/>
          <w:p>
            <w:pPr>
              <w:pStyle w:val="Compact"/>
              <w:jc w:val="left"/>
            </w:pPr>
            <w:r>
              <w:t xml:space="preserve">Vol. 1398, Pg. 77</w:t>
            </w:r>
          </w:p>
        </w:tc>
        <w:tc>
          <w:tcPr/>
          <w:p>
            <w:pPr>
              <w:pStyle w:val="Compact"/>
              <w:jc w:val="left"/>
            </w:pPr>
            <w:r>
              <w:t xml:space="preserve">Vol. 1064, Pg. 517</w:t>
            </w:r>
          </w:p>
        </w:tc>
      </w:tr>
      <w:tr>
        <w:tc>
          <w:tcPr/>
          <w:p>
            <w:pPr>
              <w:pStyle w:val="Compact"/>
              <w:jc w:val="left"/>
            </w:pPr>
            <w:r>
              <w:t xml:space="preserve">CT DRS estate tax lien</w:t>
            </w:r>
          </w:p>
        </w:tc>
        <w:tc>
          <w:tcPr/>
          <w:p>
            <w:pPr>
              <w:pStyle w:val="Compact"/>
              <w:jc w:val="left"/>
            </w:pPr>
            <w:r>
              <w:t xml:space="preserve">(not specified)</w:t>
            </w:r>
          </w:p>
        </w:tc>
        <w:tc>
          <w:tcPr/>
          <w:p>
            <w:pPr>
              <w:pStyle w:val="Compact"/>
              <w:jc w:val="left"/>
            </w:pPr>
            <w:r>
              <w:t xml:space="preserve">Vol. 1087, Pg. 234</w:t>
            </w:r>
          </w:p>
        </w:tc>
      </w:tr>
    </w:tbl>
    <w:p>
      <w:pPr>
        <w:pStyle w:val="BodyText"/>
      </w:pPr>
      <w:r>
        <w:t xml:space="preserve">The first-mortgage payoff letter’s reference of</w:t>
      </w:r>
      <w:r>
        <w:t xml:space="preserve"> </w:t>
      </w:r>
      <w:r>
        <w:t xml:space="preserve">“</w:t>
      </w:r>
      <w:r>
        <w:t xml:space="preserve">Vol. 312, Pg. 88</w:t>
      </w:r>
      <w:r>
        <w:t xml:space="preserve">”</w:t>
      </w:r>
      <w:r>
        <w:t xml:space="preserve"> </w:t>
      </w:r>
      <w:r>
        <w:t xml:space="preserve">is the same citation used for the</w:t>
      </w:r>
      <w:r>
        <w:t xml:space="preserve"> </w:t>
      </w:r>
      <w:r>
        <w:rPr>
          <w:b/>
          <w:bCs/>
        </w:rPr>
        <w:t xml:space="preserve">property plat/deed</w:t>
      </w:r>
      <w:r>
        <w:t xml:space="preserve"> </w:t>
      </w:r>
      <w:r>
        <w:t xml:space="preserve">itself and cannot be the recording reference for a 2015 mortgage — this is almost certainly an error in the payoff letter. Because the correct recording reference is required to prepare and record the matching release/satisfaction instruments, the Closing Agent must confirm the correct volume and page for each lien against the Bridgeport Land Records before recording releases. The settlement statement uses the title commitment references in Section 3; these should be verified.</w:t>
      </w:r>
    </w:p>
    <w:bookmarkEnd w:id="22"/>
    <w:bookmarkStart w:id="23" w:name="X5d648d035e202ddb8ed41be87fa4bb9358534ac"/>
    <w:p>
      <w:pPr>
        <w:pStyle w:val="Heading3"/>
      </w:pPr>
      <w:r>
        <w:t xml:space="preserve">A-2. Title commitment number and date differ from the contract —</w:t>
      </w:r>
      <w:r>
        <w:t xml:space="preserve"> </w:t>
      </w:r>
      <w:r>
        <w:rPr>
          <w:b/>
          <w:bCs/>
        </w:rPr>
        <w:t xml:space="preserve">Administrative</w:t>
      </w:r>
    </w:p>
    <w:p>
      <w:pPr>
        <w:pStyle w:val="FirstParagraph"/>
      </w:pPr>
      <w:r>
        <w:t xml:space="preserve">The Purchase and Sale Agreement (§5.1) references</w:t>
      </w:r>
      <w:r>
        <w:t xml:space="preserve"> </w:t>
      </w:r>
      <w:r>
        <w:t xml:space="preserve">“</w:t>
      </w:r>
      <w:r>
        <w:t xml:space="preserve">Commitment No. PCT-2025-08814,</w:t>
      </w:r>
      <w:r>
        <w:t xml:space="preserve">”</w:t>
      </w:r>
      <w:r>
        <w:t xml:space="preserve"> </w:t>
      </w:r>
      <w:r>
        <w:t xml:space="preserve">dated April 30, 2025. The operative title commitment in the file is</w:t>
      </w:r>
      <w:r>
        <w:t xml:space="preserve"> </w:t>
      </w:r>
      <w:r>
        <w:rPr>
          <w:b/>
          <w:bCs/>
        </w:rPr>
        <w:t xml:space="preserve">TC-2025-07182</w:t>
      </w:r>
      <w:r>
        <w:t xml:space="preserve">, effective June 18, 2025. The June 18 commitment supersedes the earlier one and is the basis for the title charges and exceptions used in this statement. Confirm that the April 30 commitment is withdrawn/superseded and that no charges from it carry over.</w:t>
      </w:r>
    </w:p>
    <w:bookmarkEnd w:id="23"/>
    <w:bookmarkStart w:id="24" w:name="Xc0c3b9a68c57194709dcb3f57520e71c179fd15"/>
    <w:p>
      <w:pPr>
        <w:pStyle w:val="Heading3"/>
      </w:pPr>
      <w:r>
        <w:t xml:space="preserve">A-3. Title underwriter name used inconsistently within the commitment —</w:t>
      </w:r>
      <w:r>
        <w:t xml:space="preserve"> </w:t>
      </w:r>
      <w:r>
        <w:rPr>
          <w:b/>
          <w:bCs/>
        </w:rPr>
        <w:t xml:space="preserve">Administrative</w:t>
      </w:r>
    </w:p>
    <w:p>
      <w:pPr>
        <w:pStyle w:val="FirstParagraph"/>
      </w:pPr>
      <w:r>
        <w:t xml:space="preserve">The title commitment header states it is issued on behalf of</w:t>
      </w:r>
      <w:r>
        <w:t xml:space="preserve"> </w:t>
      </w:r>
      <w:r>
        <w:rPr>
          <w:b/>
          <w:bCs/>
        </w:rPr>
        <w:t xml:space="preserve">“</w:t>
      </w:r>
      <w:r>
        <w:rPr>
          <w:b/>
          <w:bCs/>
        </w:rPr>
        <w:t xml:space="preserve">Continental Fidelity Title Insurance Company,</w:t>
      </w:r>
      <w:r>
        <w:rPr>
          <w:b/>
          <w:bCs/>
        </w:rPr>
        <w:t xml:space="preserve">”</w:t>
      </w:r>
      <w:r>
        <w:t xml:space="preserve"> </w:t>
      </w:r>
      <w:r>
        <w:t xml:space="preserve">while the body text, Conditions and Stipulations, and signature block refer to</w:t>
      </w:r>
      <w:r>
        <w:t xml:space="preserve"> </w:t>
      </w:r>
      <w:r>
        <w:rPr>
          <w:b/>
          <w:bCs/>
        </w:rPr>
        <w:t xml:space="preserve">“</w:t>
      </w:r>
      <w:r>
        <w:rPr>
          <w:b/>
          <w:bCs/>
        </w:rPr>
        <w:t xml:space="preserve">Continental Hartleigh Title Insurance Company.</w:t>
      </w:r>
      <w:r>
        <w:rPr>
          <w:b/>
          <w:bCs/>
        </w:rPr>
        <w:t xml:space="preserve">”</w:t>
      </w:r>
      <w:r>
        <w:t xml:space="preserve"> </w:t>
      </w:r>
      <w:r>
        <w:t xml:space="preserve">Confirm the correct underwriter name for the policies to be issued, as this affects the policy forms delivered at closing.</w:t>
      </w:r>
    </w:p>
    <w:bookmarkEnd w:id="24"/>
    <w:bookmarkStart w:id="25" w:name="Xf4331cb6b81d90f3fccf82effe8453650c41563"/>
    <w:p>
      <w:pPr>
        <w:pStyle w:val="Heading3"/>
      </w:pPr>
      <w:r>
        <w:t xml:space="preserve">A-4. Water/sewer disbursement path: PSA vs. municipal tax certificate —</w:t>
      </w:r>
      <w:r>
        <w:t xml:space="preserve"> </w:t>
      </w:r>
      <w:r>
        <w:rPr>
          <w:b/>
          <w:bCs/>
        </w:rPr>
        <w:t xml:space="preserve">Material (mechanics)</w:t>
      </w:r>
    </w:p>
    <w:p>
      <w:pPr>
        <w:pStyle w:val="FirstParagraph"/>
      </w:pPr>
      <w:r>
        <w:t xml:space="preserve">PSA §7.5(a) directs that the full unpaid water/sewer balance ($1,847.60, billing period ending July 14, 2025) be</w:t>
      </w:r>
      <w:r>
        <w:t xml:space="preserve"> </w:t>
      </w:r>
      <w:r>
        <w:rPr>
          <w:b/>
          <w:bCs/>
        </w:rPr>
        <w:t xml:space="preserve">credited to Buyer</w:t>
      </w:r>
      <w:r>
        <w:t xml:space="preserve"> </w:t>
      </w:r>
      <w:r>
        <w:t xml:space="preserve">(Buyer pays the August 1, 2025 bill on account transfer). The City of Bridgeport Tax Status Certificate (§6) instead groups the $1,847.60 with the delinquent tax into a single</w:t>
      </w:r>
      <w:r>
        <w:t xml:space="preserve"> </w:t>
      </w:r>
      <w:r>
        <w:t xml:space="preserve">“</w:t>
      </w:r>
      <w:r>
        <w:t xml:space="preserve">Total Due to City of Bridgeport</w:t>
      </w:r>
      <w:r>
        <w:t xml:space="preserve">”</w:t>
      </w:r>
      <w:r>
        <w:t xml:space="preserve"> </w:t>
      </w:r>
      <w:r>
        <w:t xml:space="preserve">of $30,450.40 and provides a single wire to the City. The settlement statement follows the PSA (debit Seller / credit Buyer $1,847.60). The</w:t>
      </w:r>
      <w:r>
        <w:t xml:space="preserve"> </w:t>
      </w:r>
      <w:r>
        <w:rPr>
          <w:b/>
          <w:bCs/>
        </w:rPr>
        <w:t xml:space="preserve">net effect on Seller is identical either way</w:t>
      </w:r>
      <w:r>
        <w:t xml:space="preserve"> </w:t>
      </w:r>
      <w:r>
        <w:t xml:space="preserve">(a $1,847.60 debit to Seller); only the disbursement path differs (credit to Buyer vs. direct payment to the City). The Closing Agent should confirm the intended path. If the City is paid directly at closing, reclassify the $1,847.60 from a Buyer credit to a Seller payoff; Buyer’s cash-to-close would increase by $1,847.60 and the later August 1 obligation would be extinguished.</w:t>
      </w:r>
    </w:p>
    <w:bookmarkEnd w:id="25"/>
    <w:bookmarkStart w:id="26" w:name="Xfb9984e2feaa880e7d44d3afb6fdd5dd58fa22c"/>
    <w:p>
      <w:pPr>
        <w:pStyle w:val="Heading3"/>
      </w:pPr>
      <w:r>
        <w:t xml:space="preserve">A-5. Potential additional Buyer recording fee for lender’s assignment of rents —</w:t>
      </w:r>
      <w:r>
        <w:t xml:space="preserve"> </w:t>
      </w:r>
      <w:r>
        <w:rPr>
          <w:b/>
          <w:bCs/>
        </w:rPr>
        <w:t xml:space="preserve">Material</w:t>
      </w:r>
    </w:p>
    <w:p>
      <w:pPr>
        <w:pStyle w:val="FirstParagraph"/>
      </w:pPr>
      <w:r>
        <w:t xml:space="preserve">The PSA (§6.4) allocates Buyer recording fees of $339.00 for three instruments: deed ($113), mortgage ($113), and assignment of leases ($113). The Lender Commitment (§6.4) requires recording a</w:t>
      </w:r>
      <w:r>
        <w:t xml:space="preserve"> </w:t>
      </w:r>
      <w:r>
        <w:rPr>
          <w:b/>
          <w:bCs/>
        </w:rPr>
        <w:t xml:space="preserve">fourth</w:t>
      </w:r>
      <w:r>
        <w:t xml:space="preserve"> </w:t>
      </w:r>
      <w:r>
        <w:t xml:space="preserve">instrument — an Assignment of Rents and Leases from Buyer to Tidewater Savings Bank — in addition to the mortgage. If recorded as a separate instrument, an additional $113.00 recording fee (Buyer expense) would be due and is</w:t>
      </w:r>
      <w:r>
        <w:t xml:space="preserve"> </w:t>
      </w:r>
      <w:r>
        <w:rPr>
          <w:b/>
          <w:bCs/>
        </w:rPr>
        <w:t xml:space="preserve">not</w:t>
      </w:r>
      <w:r>
        <w:t xml:space="preserve"> </w:t>
      </w:r>
      <w:r>
        <w:t xml:space="preserve">captured in the $339.00 on the statement. Confirm whether the assignment of rents is recorded separately or consolidated with the mortgage; if separate, add $113.00 to Buyer’s charges and to total sources/uses.</w:t>
      </w:r>
    </w:p>
    <w:bookmarkEnd w:id="26"/>
    <w:bookmarkStart w:id="27" w:name="X421378173156503ea574a7496d684aadd970243"/>
    <w:p>
      <w:pPr>
        <w:pStyle w:val="Heading3"/>
      </w:pPr>
      <w:r>
        <w:t xml:space="preserve">A-6. Commercial lease remaining term stated inconsistently —</w:t>
      </w:r>
      <w:r>
        <w:t xml:space="preserve"> </w:t>
      </w:r>
      <w:r>
        <w:rPr>
          <w:b/>
          <w:bCs/>
        </w:rPr>
        <w:t xml:space="preserve">Informational</w:t>
      </w:r>
    </w:p>
    <w:p>
      <w:pPr>
        <w:pStyle w:val="FirstParagraph"/>
      </w:pPr>
      <w:r>
        <w:t xml:space="preserve">The remaining term of the Coastal Provisions Market LLC lease (expiring December 31, 2030) is stated three different ways: the PSA Exhibit C says</w:t>
      </w:r>
      <w:r>
        <w:t xml:space="preserve"> </w:t>
      </w:r>
      <w:r>
        <w:t xml:space="preserve">“</w:t>
      </w:r>
      <w:r>
        <w:t xml:space="preserve">approximately 5 years, 5 months, and 16 days</w:t>
      </w:r>
      <w:r>
        <w:t xml:space="preserve">”</w:t>
      </w:r>
      <w:r>
        <w:t xml:space="preserve">; the Title Commitment says</w:t>
      </w:r>
      <w:r>
        <w:t xml:space="preserve"> </w:t>
      </w:r>
      <w:r>
        <w:t xml:space="preserve">“</w:t>
      </w:r>
      <w:r>
        <w:t xml:space="preserve">approximately 5.5 years</w:t>
      </w:r>
      <w:r>
        <w:t xml:space="preserve">”</w:t>
      </w:r>
      <w:r>
        <w:t xml:space="preserve">; the Rent Roll says</w:t>
      </w:r>
      <w:r>
        <w:t xml:space="preserve"> </w:t>
      </w:r>
      <w:r>
        <w:t xml:space="preserve">“</w:t>
      </w:r>
      <w:r>
        <w:t xml:space="preserve">4.5 years remaining</w:t>
      </w:r>
      <w:r>
        <w:t xml:space="preserve">”</w:t>
      </w:r>
      <w:r>
        <w:t xml:space="preserve">; and the Lender Commitment says</w:t>
      </w:r>
      <w:r>
        <w:t xml:space="preserve"> </w:t>
      </w:r>
      <w:r>
        <w:t xml:space="preserve">“</w:t>
      </w:r>
      <w:r>
        <w:t xml:space="preserve">approximately four and one-half years.</w:t>
      </w:r>
      <w:r>
        <w:t xml:space="preserve">”</w:t>
      </w:r>
      <w:r>
        <w:t xml:space="preserve"> </w:t>
      </w:r>
      <w:r>
        <w:t xml:space="preserve">Measured from July 15, 2025 to December 31, 2030, the correct figure is approximately 5 years, 5.5 months, so the PSA and title commitment are correct and the rent roll / lender references appear to be errors. This does not affect a settlement dollar figure, but the lender’s lease-review description should be corrected for loan-file accuracy.</w:t>
      </w:r>
    </w:p>
    <w:bookmarkEnd w:id="27"/>
    <w:bookmarkStart w:id="28" w:name="X4b0cdd789f9fb7586f372ed4b8f9993461bcbd9"/>
    <w:p>
      <w:pPr>
        <w:pStyle w:val="Heading3"/>
      </w:pPr>
      <w:r>
        <w:t xml:space="preserve">A-7. Loan-to-value percentage internally inconsistent —</w:t>
      </w:r>
      <w:r>
        <w:t xml:space="preserve"> </w:t>
      </w:r>
      <w:r>
        <w:rPr>
          <w:b/>
          <w:bCs/>
        </w:rPr>
        <w:t xml:space="preserve">Informational</w:t>
      </w:r>
    </w:p>
    <w:p>
      <w:pPr>
        <w:pStyle w:val="FirstParagraph"/>
      </w:pPr>
      <w:r>
        <w:t xml:space="preserve">The Lender Commitment (§2) computes LTV as $2,640,000 ÷ $3,920,000 = 67.35%, then states this is</w:t>
      </w:r>
      <w:r>
        <w:t xml:space="preserve"> </w:t>
      </w:r>
      <w:r>
        <w:t xml:space="preserve">“</w:t>
      </w:r>
      <w:r>
        <w:t xml:space="preserve">rounded to approximately 67.7%.</w:t>
      </w:r>
      <w:r>
        <w:t xml:space="preserve">”</w:t>
      </w:r>
      <w:r>
        <w:t xml:space="preserve"> </w:t>
      </w:r>
      <w:r>
        <w:t xml:space="preserve">67.35% rounds to 67.4%, not 67.7%. No settlement impact; noted for loan-file accuracy.</w:t>
      </w:r>
    </w:p>
    <w:bookmarkEnd w:id="28"/>
    <w:bookmarkStart w:id="29" w:name="Xc5deb2fa627ec47c9f927c6d5b6478f49a4e255"/>
    <w:p>
      <w:pPr>
        <w:pStyle w:val="Heading3"/>
      </w:pPr>
      <w:r>
        <w:t xml:space="preserve">A-8. Management agreement effective date —</w:t>
      </w:r>
      <w:r>
        <w:t xml:space="preserve"> </w:t>
      </w:r>
      <w:r>
        <w:rPr>
          <w:b/>
          <w:bCs/>
        </w:rPr>
        <w:t xml:space="preserve">Informational</w:t>
      </w:r>
    </w:p>
    <w:p>
      <w:pPr>
        <w:pStyle w:val="FirstParagraph"/>
      </w:pPr>
      <w:r>
        <w:t xml:space="preserve">The Property Management Agreement states an effective date of</w:t>
      </w:r>
      <w:r>
        <w:t xml:space="preserve"> </w:t>
      </w:r>
      <w:r>
        <w:rPr>
          <w:b/>
          <w:bCs/>
        </w:rPr>
        <w:t xml:space="preserve">October 15, 2024</w:t>
      </w:r>
      <w:r>
        <w:t xml:space="preserve">, while the Rent Roll footer references a management agreement effective</w:t>
      </w:r>
      <w:r>
        <w:t xml:space="preserve"> </w:t>
      </w:r>
      <w:r>
        <w:rPr>
          <w:b/>
          <w:bCs/>
        </w:rPr>
        <w:t xml:space="preserve">October 1, 2024</w:t>
      </w:r>
      <w:r>
        <w:t xml:space="preserve">. The October 15 date controls (it is the executed agreement). No settlement impact; the termination fee ($4,500.00) is unaffected.</w:t>
      </w:r>
    </w:p>
    <w:bookmarkEnd w:id="29"/>
    <w:bookmarkStart w:id="30" w:name="X12e7b0c3b18c8f4aac15fd093044feadb6b43bb"/>
    <w:p>
      <w:pPr>
        <w:pStyle w:val="Heading3"/>
      </w:pPr>
      <w:r>
        <w:t xml:space="preserve">A-9. Inconsistent party/counsel addresses and phone numbers across documents —</w:t>
      </w:r>
      <w:r>
        <w:t xml:space="preserve"> </w:t>
      </w:r>
      <w:r>
        <w:rPr>
          <w:b/>
          <w:bCs/>
        </w:rPr>
        <w:t xml:space="preserve">Administrative</w:t>
      </w:r>
    </w:p>
    <w:p>
      <w:pPr>
        <w:pStyle w:val="FirstParagraph"/>
      </w:pPr>
      <w:r>
        <w:t xml:space="preserve">Several addresses and telephone numbers for the same parties vary across the documents and should be verified before wires or deliveries are sent:</w:t>
      </w:r>
    </w:p>
    <w:p>
      <w:pPr>
        <w:pStyle w:val="Compact"/>
        <w:numPr>
          <w:ilvl w:val="0"/>
          <w:numId w:val="1001"/>
        </w:numPr>
      </w:pPr>
      <w:r>
        <w:rPr>
          <w:b/>
          <w:bCs/>
        </w:rPr>
        <w:t xml:space="preserve">Pinnacle Abstract &amp; Title LLC (Closing Agent):</w:t>
      </w:r>
      <w:r>
        <w:t xml:space="preserve"> </w:t>
      </w:r>
      <w:r>
        <w:t xml:space="preserve">88 Field Point Road, Greenwich, CT 06830 (PSA / title commitment);</w:t>
      </w:r>
      <w:r>
        <w:t xml:space="preserve"> </w:t>
      </w:r>
      <w:r>
        <w:t xml:space="preserve">“</w:t>
      </w:r>
      <w:r>
        <w:t xml:space="preserve">3100 Main Street, Suite 204, Bridgeport, CT 06604</w:t>
      </w:r>
      <w:r>
        <w:t xml:space="preserve">”</w:t>
      </w:r>
      <w:r>
        <w:t xml:space="preserve"> </w:t>
      </w:r>
      <w:r>
        <w:t xml:space="preserve">(Ashford payoff-letter transmittal);</w:t>
      </w:r>
      <w:r>
        <w:t xml:space="preserve"> </w:t>
      </w:r>
      <w:r>
        <w:t xml:space="preserve">“</w:t>
      </w:r>
      <w:r>
        <w:t xml:space="preserve">1200 Post Road East, Suite 214, Westport, CT 06880</w:t>
      </w:r>
      <w:r>
        <w:t xml:space="preserve">”</w:t>
      </w:r>
      <w:r>
        <w:t xml:space="preserve"> </w:t>
      </w:r>
      <w:r>
        <w:t xml:space="preserve">(tax-certificate requestor). Confirm the correct office and wire instructions.</w:t>
      </w:r>
    </w:p>
    <w:p>
      <w:pPr>
        <w:pStyle w:val="Compact"/>
        <w:numPr>
          <w:ilvl w:val="0"/>
          <w:numId w:val="1001"/>
        </w:numPr>
      </w:pPr>
      <w:r>
        <w:rPr>
          <w:b/>
          <w:bCs/>
        </w:rPr>
        <w:t xml:space="preserve">Buyer’s Counsel (Ridgeline Law Group PLLC):</w:t>
      </w:r>
      <w:r>
        <w:t xml:space="preserve"> </w:t>
      </w:r>
      <w:r>
        <w:t xml:space="preserve">915 Chapel Street, Suite 400, New Haven, CT 06510 (PSA / lender commitment);</w:t>
      </w:r>
      <w:r>
        <w:t xml:space="preserve"> </w:t>
      </w:r>
      <w:r>
        <w:t xml:space="preserve">“</w:t>
      </w:r>
      <w:r>
        <w:t xml:space="preserve">55 Railroad Avenue, Suite 300, Greenwich, CT 06830</w:t>
      </w:r>
      <w:r>
        <w:t xml:space="preserve">”</w:t>
      </w:r>
      <w:r>
        <w:t xml:space="preserve"> </w:t>
      </w:r>
      <w:r>
        <w:t xml:space="preserve">(Ashford payoff-letter transmittal).</w:t>
      </w:r>
    </w:p>
    <w:p>
      <w:pPr>
        <w:pStyle w:val="Compact"/>
        <w:numPr>
          <w:ilvl w:val="0"/>
          <w:numId w:val="1001"/>
        </w:numPr>
      </w:pPr>
      <w:r>
        <w:rPr>
          <w:b/>
          <w:bCs/>
        </w:rPr>
        <w:t xml:space="preserve">Seller’s Counsel (Ashford, Clement &amp; Paige LLP):</w:t>
      </w:r>
      <w:r>
        <w:t xml:space="preserve"> </w:t>
      </w:r>
      <w:r>
        <w:t xml:space="preserve">telephone shown as (203) 325-6600 (PSA), (203) 547-8100 (payoff letters), and (203) 555-4100 (probate estate summary).</w:t>
      </w:r>
    </w:p>
    <w:bookmarkEnd w:id="30"/>
    <w:bookmarkStart w:id="31" w:name="a-10.-deed-terminology-informational"/>
    <w:p>
      <w:pPr>
        <w:pStyle w:val="Heading3"/>
      </w:pPr>
      <w:r>
        <w:t xml:space="preserve">A-10. Deed terminology —</w:t>
      </w:r>
      <w:r>
        <w:t xml:space="preserve"> </w:t>
      </w:r>
      <w:r>
        <w:rPr>
          <w:b/>
          <w:bCs/>
        </w:rPr>
        <w:t xml:space="preserve">Informational</w:t>
      </w:r>
    </w:p>
    <w:p>
      <w:pPr>
        <w:pStyle w:val="FirstParagraph"/>
      </w:pPr>
      <w:r>
        <w:t xml:space="preserve">The PSA (§6.2(a)) requires an</w:t>
      </w:r>
      <w:r>
        <w:t xml:space="preserve"> </w:t>
      </w:r>
      <w:r>
        <w:t xml:space="preserve">“</w:t>
      </w:r>
      <w:r>
        <w:t xml:space="preserve">Executor’s Warranty Deed,</w:t>
      </w:r>
      <w:r>
        <w:t xml:space="preserve">”</w:t>
      </w:r>
      <w:r>
        <w:t xml:space="preserve"> </w:t>
      </w:r>
      <w:r>
        <w:t xml:space="preserve">while the Title Commitment (Requirement 1) refers to a</w:t>
      </w:r>
      <w:r>
        <w:t xml:space="preserve"> </w:t>
      </w:r>
      <w:r>
        <w:t xml:space="preserve">“</w:t>
      </w:r>
      <w:r>
        <w:t xml:space="preserve">Fiduciary Deed (or Warranty Deed in fiduciary form).</w:t>
      </w:r>
      <w:r>
        <w:t xml:space="preserve">”</w:t>
      </w:r>
      <w:r>
        <w:t xml:space="preserve"> </w:t>
      </w:r>
      <w:r>
        <w:t xml:space="preserve">These are substantively the same fiduciary conveyance; confirm the deed form satisfies both the contract and the title requirement.</w:t>
      </w:r>
    </w:p>
    <w:p>
      <w:r>
        <w:pict>
          <v:rect style="width:0;height:1.5pt" o:hralign="center" o:hrstd="t" o:hr="t"/>
        </w:pict>
      </w:r>
    </w:p>
    <w:bookmarkEnd w:id="31"/>
    <w:bookmarkEnd w:id="32"/>
    <w:bookmarkStart w:id="45" w:name="b.-assumptions-and-data-gaps"/>
    <w:p>
      <w:pPr>
        <w:pStyle w:val="Heading2"/>
      </w:pPr>
      <w:r>
        <w:t xml:space="preserve">B. ASSUMPTIONS AND DATA GAPS</w:t>
      </w:r>
    </w:p>
    <w:bookmarkStart w:id="33" w:name="X68dc65d8ec584d767239ed6819c7dda0ab8ea1f"/>
    <w:p>
      <w:pPr>
        <w:pStyle w:val="Heading3"/>
      </w:pPr>
      <w:r>
        <w:t xml:space="preserve">B-1. Earnest-money interest not quantified —</w:t>
      </w:r>
      <w:r>
        <w:t xml:space="preserve"> </w:t>
      </w:r>
      <w:r>
        <w:rPr>
          <w:b/>
          <w:bCs/>
        </w:rPr>
        <w:t xml:space="preserve">Material</w:t>
      </w:r>
    </w:p>
    <w:p>
      <w:pPr>
        <w:pStyle w:val="FirstParagraph"/>
      </w:pPr>
      <w:r>
        <w:t xml:space="preserve">PSA §3.2(e) requires the earnest money ($195,000.00)</w:t>
      </w:r>
      <w:r>
        <w:t xml:space="preserve"> </w:t>
      </w:r>
      <w:r>
        <w:rPr>
          <w:b/>
          <w:bCs/>
        </w:rPr>
        <w:t xml:space="preserve">plus all accrued interest</w:t>
      </w:r>
      <w:r>
        <w:t xml:space="preserve"> </w:t>
      </w:r>
      <w:r>
        <w:t xml:space="preserve">to be credited against the purchase price at closing. The accrued interest amount is not stated in any document. The settlement statement credits the $195,000.00</w:t>
      </w:r>
      <w:r>
        <w:t xml:space="preserve"> </w:t>
      </w:r>
      <w:r>
        <w:rPr>
          <w:b/>
          <w:bCs/>
        </w:rPr>
        <w:t xml:space="preserve">principal only</w:t>
      </w:r>
      <w:r>
        <w:t xml:space="preserve">. The Escrow Agent must confirm the accrued interest on the interest-bearing escrow account and add it as an additional credit to Buyer (reducing Buyer’s cash-to-close by the same amount).</w:t>
      </w:r>
    </w:p>
    <w:bookmarkEnd w:id="33"/>
    <w:bookmarkStart w:id="34" w:name="X277aa28a9eb4d366709ad2b104c4e31f498d1af"/>
    <w:p>
      <w:pPr>
        <w:pStyle w:val="Heading3"/>
      </w:pPr>
      <w:r>
        <w:t xml:space="preserve">B-2. Residential security-deposit interest not quantified —</w:t>
      </w:r>
      <w:r>
        <w:t xml:space="preserve"> </w:t>
      </w:r>
      <w:r>
        <w:rPr>
          <w:b/>
          <w:bCs/>
        </w:rPr>
        <w:t xml:space="preserve">Material</w:t>
      </w:r>
    </w:p>
    <w:p>
      <w:pPr>
        <w:pStyle w:val="FirstParagraph"/>
      </w:pPr>
      <w:r>
        <w:t xml:space="preserve">PSA §7.4 requires transfer of security deposits</w:t>
      </w:r>
      <w:r>
        <w:t xml:space="preserve"> </w:t>
      </w:r>
      <w:r>
        <w:rPr>
          <w:b/>
          <w:bCs/>
        </w:rPr>
        <w:t xml:space="preserve">together with any interest accrued thereon as required by applicable law</w:t>
      </w:r>
      <w:r>
        <w:t xml:space="preserve"> </w:t>
      </w:r>
      <w:r>
        <w:t xml:space="preserve">(CGS §47a-21 for residential deposits). The Rent Roll / Lease Summary expressly states the $32,400.00 figure is</w:t>
      </w:r>
      <w:r>
        <w:t xml:space="preserve"> </w:t>
      </w:r>
      <w:r>
        <w:t xml:space="preserve">“</w:t>
      </w:r>
      <w:r>
        <w:t xml:space="preserve">principal only,</w:t>
      </w:r>
      <w:r>
        <w:t xml:space="preserve">”</w:t>
      </w:r>
      <w:r>
        <w:t xml:space="preserve"> </w:t>
      </w:r>
      <w:r>
        <w:t xml:space="preserve">and the accrued interest on the residential escrow account (held at Harborstone Federal Credit Union) is not quantified in the closing file. The settlement statement credits $32,400.00 principal only. The Property Manager / depository must confirm the accrued residential-deposit interest, which is to be added as an additional debit to Seller / credit to Buyer. The commercial deposit ($14,400.00) is non-interest-bearing per the Commercial Lease and Management Agreement §6.2, so no interest accrues on it.</w:t>
      </w:r>
    </w:p>
    <w:bookmarkEnd w:id="34"/>
    <w:bookmarkStart w:id="35" w:name="Xdec82b95c1419ebd458abce738c1da28826d5f0"/>
    <w:p>
      <w:pPr>
        <w:pStyle w:val="Heading3"/>
      </w:pPr>
      <w:r>
        <w:t xml:space="preserve">B-3. Conveyance tax is an estimate —</w:t>
      </w:r>
      <w:r>
        <w:t xml:space="preserve"> </w:t>
      </w:r>
      <w:r>
        <w:rPr>
          <w:b/>
          <w:bCs/>
        </w:rPr>
        <w:t xml:space="preserve">Material</w:t>
      </w:r>
    </w:p>
    <w:p>
      <w:pPr>
        <w:pStyle w:val="FirstParagraph"/>
      </w:pPr>
      <w:r>
        <w:t xml:space="preserve">The Connecticut Real Estate Conveyance Tax of $44,750.00 total ($22,375.00 each) is taken from the Title Commitment Schedule C estimate and is expressly subject to confirmation upon preparation and filing of Form OP-236 using the tiered rate structure applicable to the City of Bridgeport. The actual amount may differ. Under PSA §7.7, any difference is to be adjusted between the parties after closing. The statement uses the title-company estimate as the best available figure.</w:t>
      </w:r>
    </w:p>
    <w:bookmarkEnd w:id="35"/>
    <w:bookmarkStart w:id="36" w:name="X5bbbb55c1e915eee23d352dccb67dfb72653d1e"/>
    <w:p>
      <w:pPr>
        <w:pStyle w:val="Heading3"/>
      </w:pPr>
      <w:r>
        <w:t xml:space="preserve">B-4. Next-fiscal-year property tax is an estimate —</w:t>
      </w:r>
      <w:r>
        <w:t xml:space="preserve"> </w:t>
      </w:r>
      <w:r>
        <w:rPr>
          <w:b/>
          <w:bCs/>
        </w:rPr>
        <w:t xml:space="preserve">Material</w:t>
      </w:r>
    </w:p>
    <w:p>
      <w:pPr>
        <w:pStyle w:val="FirstParagraph"/>
      </w:pPr>
      <w:r>
        <w:t xml:space="preserve">The FY2025–2026 property tax is estimated at the current-year levy of $52,480.00 because the new mill rate has not been set and no bill has issued (PSA §7.1(b); tax certificate §3). The resulting proration ($2,012.93 Seller / $50,467.07 Buyer) is an estimate. The parties must reprorate within 90 days after closing when the actual bill issues (PSA §7.7), with any adjustment payable within 10 business days of demand.</w:t>
      </w:r>
    </w:p>
    <w:bookmarkEnd w:id="36"/>
    <w:bookmarkStart w:id="37" w:name="X6a402157eeb66aacc7275d8b9d01562de75fc30"/>
    <w:p>
      <w:pPr>
        <w:pStyle w:val="Heading3"/>
      </w:pPr>
      <w:r>
        <w:t xml:space="preserve">B-5. Closing-date assumption for payoff</w:t>
      </w:r>
      <w:r>
        <w:t xml:space="preserve"> </w:t>
      </w:r>
      <w:r>
        <w:t xml:space="preserve">“</w:t>
      </w:r>
      <w:r>
        <w:t xml:space="preserve">good-through</w:t>
      </w:r>
      <w:r>
        <w:t xml:space="preserve">”</w:t>
      </w:r>
      <w:r>
        <w:t xml:space="preserve"> </w:t>
      </w:r>
      <w:r>
        <w:t xml:space="preserve">periods —</w:t>
      </w:r>
      <w:r>
        <w:t xml:space="preserve"> </w:t>
      </w:r>
      <w:r>
        <w:rPr>
          <w:b/>
          <w:bCs/>
        </w:rPr>
        <w:t xml:space="preserve">Material</w:t>
      </w:r>
    </w:p>
    <w:p>
      <w:pPr>
        <w:pStyle w:val="FirstParagraph"/>
      </w:pPr>
      <w:r>
        <w:t xml:space="preserve">All payoff figures assume closing occurs on</w:t>
      </w:r>
      <w:r>
        <w:t xml:space="preserve"> </w:t>
      </w:r>
      <w:r>
        <w:rPr>
          <w:b/>
          <w:bCs/>
        </w:rPr>
        <w:t xml:space="preserve">July 15, 2025</w:t>
      </w:r>
      <w:r>
        <w:t xml:space="preserve">, which falls within the good-through dates of the relevant payoffs (Harborstone first mortgage and HELOC good through July 20, 2025; municipal tax certificate valid through July 20, 2025). If closing is delayed:</w:t>
      </w:r>
      <w:r>
        <w:t xml:space="preserve"> </w:t>
      </w:r>
      <w:r>
        <w:t xml:space="preserve">- Harborstone first mortgage: add $112.67/day after July 20, 2025.</w:t>
      </w:r>
      <w:r>
        <w:t xml:space="preserve"> </w:t>
      </w:r>
      <w:r>
        <w:t xml:space="preserve">- Harborstone HELOC: add ~$27.93/day after July 20, 2025 (variable; subject to Prime).</w:t>
      </w:r>
      <w:r>
        <w:t xml:space="preserve"> </w:t>
      </w:r>
      <w:r>
        <w:t xml:space="preserve">- Delinquent property tax: add $13.12/day after July 15, 2025 (per tax certificate).</w:t>
      </w:r>
      <w:r>
        <w:t xml:space="preserve"> </w:t>
      </w:r>
      <w:r>
        <w:t xml:space="preserve">- Northbridge mechanic’s lien settlement: the settlement offer is contingent on closing by August 31, 2025; if not closed by then, Northbridge may withdraw the $31,000.00 settlement and pursue the full $37,500.00 lien.</w:t>
      </w:r>
    </w:p>
    <w:bookmarkEnd w:id="37"/>
    <w:bookmarkStart w:id="38" w:name="X11b9b8ab6405317c307984a2bcae0e2e859f21e"/>
    <w:p>
      <w:pPr>
        <w:pStyle w:val="Heading3"/>
      </w:pPr>
      <w:r>
        <w:t xml:space="preserve">B-6. Delinquent-rent (Unit 2E) and vacancy (Unit 3C) — no closing credit —</w:t>
      </w:r>
      <w:r>
        <w:t xml:space="preserve"> </w:t>
      </w:r>
      <w:r>
        <w:rPr>
          <w:b/>
          <w:bCs/>
        </w:rPr>
        <w:t xml:space="preserve">Material (risk allocation)</w:t>
      </w:r>
    </w:p>
    <w:p>
      <w:pPr>
        <w:pStyle w:val="FirstParagraph"/>
      </w:pPr>
      <w:r>
        <w:t xml:space="preserve">Per PSA §7.3,</w:t>
      </w:r>
      <w:r>
        <w:t xml:space="preserve"> </w:t>
      </w:r>
      <w:r>
        <w:rPr>
          <w:b/>
          <w:bCs/>
        </w:rPr>
        <w:t xml:space="preserve">no credit</w:t>
      </w:r>
      <w:r>
        <w:t xml:space="preserve"> </w:t>
      </w:r>
      <w:r>
        <w:t xml:space="preserve">is given for uncollected rents. Unit 2E’s July 2025 rent ($1,600.00) is delinquent and is excluded from the rent proration; Buyer assumes collection rights (PSA §7.3(b)) but receives no closing credit and is not obligated to litigate. Unit 3C is vacant (since November 1, 2024) and generates no rent or deposit. The estimated market rent for Unit 3C ($1,650.00/month) is informational only and is not reflected on the statement. Buyer assumes the economic vacancy of both units from closing forward. Note that Unit 2E’s</w:t>
      </w:r>
      <w:r>
        <w:t xml:space="preserve"> </w:t>
      </w:r>
      <w:r>
        <w:rPr>
          <w:b/>
          <w:bCs/>
        </w:rPr>
        <w:t xml:space="preserve">security deposit</w:t>
      </w:r>
      <w:r>
        <w:t xml:space="preserve"> </w:t>
      </w:r>
      <w:r>
        <w:t xml:space="preserve">($1,600.00)</w:t>
      </w:r>
      <w:r>
        <w:t xml:space="preserve"> </w:t>
      </w:r>
      <w:r>
        <w:rPr>
          <w:b/>
          <w:bCs/>
        </w:rPr>
        <w:t xml:space="preserve">is</w:t>
      </w:r>
      <w:r>
        <w:t xml:space="preserve"> </w:t>
      </w:r>
      <w:r>
        <w:t xml:space="preserve">transferred to Buyer (deposit and rent are separate).</w:t>
      </w:r>
    </w:p>
    <w:bookmarkEnd w:id="38"/>
    <w:bookmarkStart w:id="39" w:name="Xe7f3ac9717a2de2628484b2816d4c05a7da98e4"/>
    <w:p>
      <w:pPr>
        <w:pStyle w:val="Heading3"/>
      </w:pPr>
      <w:r>
        <w:t xml:space="preserve">B-7. Repair-escrow adequacy not guaranteed —</w:t>
      </w:r>
      <w:r>
        <w:t xml:space="preserve"> </w:t>
      </w:r>
      <w:r>
        <w:rPr>
          <w:b/>
          <w:bCs/>
        </w:rPr>
        <w:t xml:space="preserve">Material (risk allocation)</w:t>
      </w:r>
    </w:p>
    <w:p>
      <w:pPr>
        <w:pStyle w:val="FirstParagraph"/>
      </w:pPr>
      <w:r>
        <w:t xml:space="preserve">The $45,000.00 repair escrow funds roof remediation identified in the pre-closing inspection (blistering/delamination, compromised flashing, ponding water, EPDM seam separation). The inspection report (§3) states the deficiencies remain</w:t>
      </w:r>
      <w:r>
        <w:t xml:space="preserve"> </w:t>
      </w:r>
      <w:r>
        <w:rPr>
          <w:b/>
          <w:bCs/>
        </w:rPr>
        <w:t xml:space="preserve">unrepaired</w:t>
      </w:r>
      <w:r>
        <w:t xml:space="preserve"> </w:t>
      </w:r>
      <w:r>
        <w:t xml:space="preserve">and recommends Buyer obtain competitive bids promptly after closing to confirm the escrow is sufficient; the inspector estimates the modified-bitumen roof has only 1–2 years of remaining useful life absent intervention. The escrow is a holdback (not a credit) and any unused balance plus interest reverts to Seller after 12 months (PSA §8.4). There is a risk that $45,000.00 is insufficient for the full scope (membrane replacement, flashing, drainage correction, EPDM seam repair).</w:t>
      </w:r>
    </w:p>
    <w:bookmarkEnd w:id="39"/>
    <w:bookmarkStart w:id="40" w:name="Xdae1c5ab8a99ddd60cd49397ec6d69b67f21d59"/>
    <w:p>
      <w:pPr>
        <w:pStyle w:val="Heading3"/>
      </w:pPr>
      <w:r>
        <w:t xml:space="preserve">B-8. Survey, environmental, and SNDA costs/conditions not reflected —</w:t>
      </w:r>
      <w:r>
        <w:t xml:space="preserve"> </w:t>
      </w:r>
      <w:r>
        <w:rPr>
          <w:b/>
          <w:bCs/>
        </w:rPr>
        <w:t xml:space="preserve">Material (potential missing Buyer costs / closing conditions)</w:t>
      </w:r>
    </w:p>
    <w:p>
      <w:pPr>
        <w:pStyle w:val="FirstParagraph"/>
      </w:pPr>
      <w:r>
        <w:t xml:space="preserve">The Lender Commitment (§5) requires several items whose costs are</w:t>
      </w:r>
      <w:r>
        <w:t xml:space="preserve"> </w:t>
      </w:r>
      <w:r>
        <w:rPr>
          <w:b/>
          <w:bCs/>
        </w:rPr>
        <w:t xml:space="preserve">not</w:t>
      </w:r>
      <w:r>
        <w:t xml:space="preserve"> </w:t>
      </w:r>
      <w:r>
        <w:t xml:space="preserve">allocated in the PSA’s closing-cost section (§6.4) and are</w:t>
      </w:r>
      <w:r>
        <w:t xml:space="preserve"> </w:t>
      </w:r>
      <w:r>
        <w:rPr>
          <w:b/>
          <w:bCs/>
        </w:rPr>
        <w:t xml:space="preserve">not</w:t>
      </w:r>
      <w:r>
        <w:t xml:space="preserve"> </w:t>
      </w:r>
      <w:r>
        <w:t xml:space="preserve">reflected on the settlement statement:</w:t>
      </w:r>
      <w:r>
        <w:t xml:space="preserve"> </w:t>
      </w:r>
      <w:r>
        <w:t xml:space="preserve">-</w:t>
      </w:r>
      <w:r>
        <w:t xml:space="preserve"> </w:t>
      </w:r>
      <w:r>
        <w:rPr>
          <w:b/>
          <w:bCs/>
        </w:rPr>
        <w:t xml:space="preserve">ALTA/NSPS Land Title Survey</w:t>
      </w:r>
      <w:r>
        <w:t xml:space="preserve"> </w:t>
      </w:r>
      <w:r>
        <w:t xml:space="preserve">(Title Commitment Requirement 12) — survey cost is not listed among the title charges or closing costs. Confirm whether a survey was completed and whether the cost is a Buyer POC or an additional closing charge.</w:t>
      </w:r>
      <w:r>
        <w:t xml:space="preserve"> </w:t>
      </w:r>
      <w:r>
        <w:t xml:space="preserve">-</w:t>
      </w:r>
      <w:r>
        <w:t xml:space="preserve"> </w:t>
      </w:r>
      <w:r>
        <w:rPr>
          <w:b/>
          <w:bCs/>
        </w:rPr>
        <w:t xml:space="preserve">Phase I Environmental Site Assessment</w:t>
      </w:r>
      <w:r>
        <w:t xml:space="preserve"> </w:t>
      </w:r>
      <w:r>
        <w:t xml:space="preserve">(Lender §5.6) — cost not reflected; confirm whether completed and paid (likely Buyer POC).</w:t>
      </w:r>
      <w:r>
        <w:t xml:space="preserve"> </w:t>
      </w:r>
      <w:r>
        <w:t xml:space="preserve">-</w:t>
      </w:r>
      <w:r>
        <w:t xml:space="preserve"> </w:t>
      </w:r>
      <w:r>
        <w:rPr>
          <w:b/>
          <w:bCs/>
        </w:rPr>
        <w:t xml:space="preserve">Subordination, Non-Disturbance and Attornment Agreement (SNDA)</w:t>
      </w:r>
      <w:r>
        <w:t xml:space="preserve"> </w:t>
      </w:r>
      <w:r>
        <w:t xml:space="preserve">with Coastal Provisions Market LLC (Lender §5.7) — a loan-funding condition; confirm execution at closing (no dollar item, but a condition to disbursement).</w:t>
      </w:r>
      <w:r>
        <w:t xml:space="preserve"> </w:t>
      </w:r>
      <w:r>
        <w:t xml:space="preserve">-</w:t>
      </w:r>
      <w:r>
        <w:t xml:space="preserve"> </w:t>
      </w:r>
      <w:r>
        <w:rPr>
          <w:b/>
          <w:bCs/>
        </w:rPr>
        <w:t xml:space="preserve">Personal guaranty</w:t>
      </w:r>
      <w:r>
        <w:t xml:space="preserve"> </w:t>
      </w:r>
      <w:r>
        <w:t xml:space="preserve">of Elaine R. Matsuda (Lender §5.10) — a loan-funding condition; confirm execution.</w:t>
      </w:r>
      <w:r>
        <w:t xml:space="preserve"> </w:t>
      </w:r>
      <w:r>
        <w:t xml:space="preserve">-</w:t>
      </w:r>
      <w:r>
        <w:t xml:space="preserve"> </w:t>
      </w:r>
      <w:r>
        <w:rPr>
          <w:b/>
          <w:bCs/>
        </w:rPr>
        <w:t xml:space="preserve">Assignment of Rents and Leases to Lender</w:t>
      </w:r>
      <w:r>
        <w:t xml:space="preserve"> </w:t>
      </w:r>
      <w:r>
        <w:t xml:space="preserve">(Lender §5.9) — see Discrepancy A-5 regarding a possible additional recording fee.</w:t>
      </w:r>
    </w:p>
    <w:p>
      <w:pPr>
        <w:pStyle w:val="BodyText"/>
      </w:pPr>
      <w:r>
        <w:t xml:space="preserve">If any of the survey or environmental costs were not paid POC and are to be collected at closing, they must be added to Buyer’s charges.</w:t>
      </w:r>
    </w:p>
    <w:bookmarkEnd w:id="40"/>
    <w:bookmarkStart w:id="41" w:name="X2cc999624b65e4d52eff0f3171582059a68d6cd"/>
    <w:p>
      <w:pPr>
        <w:pStyle w:val="Heading3"/>
      </w:pPr>
      <w:r>
        <w:t xml:space="preserve">B-9. FIRPTA / estate withholding certification —</w:t>
      </w:r>
      <w:r>
        <w:t xml:space="preserve"> </w:t>
      </w:r>
      <w:r>
        <w:rPr>
          <w:b/>
          <w:bCs/>
        </w:rPr>
        <w:t xml:space="preserve">Closing delivery (no dollar item)</w:t>
      </w:r>
    </w:p>
    <w:p>
      <w:pPr>
        <w:pStyle w:val="FirstParagraph"/>
      </w:pPr>
      <w:r>
        <w:t xml:space="preserve">PSA §6.2(i) requires a FIRPTA affidavit or estate-equivalent certification exempting the sale from withholding under IRC §1445. The probate estate summary confirms the estate is below the CT estate tax threshold and CT DRS has issued a release (Cert. ETL-2025-08834). Confirm the FIRPTA/estate non-foreign certification is delivered at closing; no withholding amount is reflected on the statement.</w:t>
      </w:r>
    </w:p>
    <w:bookmarkEnd w:id="41"/>
    <w:bookmarkStart w:id="42" w:name="X6e5bdd5e13ac6aa86872e7b674743aa2862b330"/>
    <w:p>
      <w:pPr>
        <w:pStyle w:val="Heading3"/>
      </w:pPr>
      <w:r>
        <w:t xml:space="preserve">B-10. Insurance binder —</w:t>
      </w:r>
      <w:r>
        <w:t xml:space="preserve"> </w:t>
      </w:r>
      <w:r>
        <w:rPr>
          <w:b/>
          <w:bCs/>
        </w:rPr>
        <w:t xml:space="preserve">Closing condition (no dollar item)</w:t>
      </w:r>
    </w:p>
    <w:p>
      <w:pPr>
        <w:pStyle w:val="FirstParagraph"/>
      </w:pPr>
      <w:r>
        <w:t xml:space="preserve">The Lender (§5.5) requires a property/casualty policy of at least $3,900,000.00 replacement cost, naming Tidewater Savings Bank as mortgagee/loss payee (carrier rated A- or better). Confirm the insurance binder is delivered at closing; no premium is reflected on the settlement statement (premium is a post-closing Buyer operating expense).</w:t>
      </w:r>
    </w:p>
    <w:bookmarkEnd w:id="42"/>
    <w:bookmarkStart w:id="43" w:name="X68c3897c3552f40d60c8deecc363d0dacf5dc87"/>
    <w:p>
      <w:pPr>
        <w:pStyle w:val="Heading3"/>
      </w:pPr>
      <w:r>
        <w:t xml:space="preserve">B-11. Probate certificate recency —</w:t>
      </w:r>
      <w:r>
        <w:t xml:space="preserve"> </w:t>
      </w:r>
      <w:r>
        <w:rPr>
          <w:b/>
          <w:bCs/>
        </w:rPr>
        <w:t xml:space="preserve">Confirmed (no action)</w:t>
      </w:r>
    </w:p>
    <w:p>
      <w:pPr>
        <w:pStyle w:val="FirstParagraph"/>
      </w:pPr>
      <w:r>
        <w:t xml:space="preserve">The Title Commitment (Requirement 2) requires the fiduciary certificate to be dated no more than 60 days before closing. The certificate is dated June 25, 2025, and closing is July 15, 2025 (20 days) — within the 60-day window. No action required; noted for completeness.</w:t>
      </w:r>
    </w:p>
    <w:bookmarkEnd w:id="43"/>
    <w:bookmarkStart w:id="44" w:name="X6d7e7fe27b01e45c62dfe0a924a6293ecba24b7"/>
    <w:p>
      <w:pPr>
        <w:pStyle w:val="Heading3"/>
      </w:pPr>
      <w:r>
        <w:t xml:space="preserve">B-12. No brokerage commission —</w:t>
      </w:r>
      <w:r>
        <w:t xml:space="preserve"> </w:t>
      </w:r>
      <w:r>
        <w:rPr>
          <w:b/>
          <w:bCs/>
        </w:rPr>
        <w:t xml:space="preserve">Confirmed (no action)</w:t>
      </w:r>
    </w:p>
    <w:p>
      <w:pPr>
        <w:pStyle w:val="FirstParagraph"/>
      </w:pPr>
      <w:r>
        <w:t xml:space="preserve">PSA §15.7 confirms no broker, finder, or agent was involved and no commission is due. No commission line appears on the statement. Noted for completeness.</w:t>
      </w:r>
    </w:p>
    <w:p>
      <w:r>
        <w:pict>
          <v:rect style="width:0;height:1.5pt" o:hralign="center" o:hrstd="t" o:hr="t"/>
        </w:pict>
      </w:r>
    </w:p>
    <w:bookmarkEnd w:id="44"/>
    <w:bookmarkEnd w:id="45"/>
    <w:bookmarkStart w:id="46" w:name="Xa87eddb4b0cb30696ce65cf77ec21b470ba7d0e"/>
    <w:p>
      <w:pPr>
        <w:pStyle w:val="Heading2"/>
      </w:pPr>
      <w:r>
        <w:t xml:space="preserve">C. SUMMARY OF ITEMS REQUIRING ACTION BEFORE/AAT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Classification</w:t>
            </w:r>
          </w:p>
        </w:tc>
        <w:tc>
          <w:tcPr/>
          <w:p>
            <w:pPr>
              <w:pStyle w:val="Compact"/>
              <w:jc w:val="left"/>
            </w:pPr>
            <w:r>
              <w:t xml:space="preserve">Action</w:t>
            </w:r>
          </w:p>
        </w:tc>
      </w:tr>
      <w:tr>
        <w:tc>
          <w:tcPr/>
          <w:p>
            <w:pPr>
              <w:pStyle w:val="Compact"/>
              <w:jc w:val="left"/>
            </w:pPr>
            <w:r>
              <w:t xml:space="preserve">A-1</w:t>
            </w:r>
          </w:p>
        </w:tc>
        <w:tc>
          <w:tcPr/>
          <w:p>
            <w:pPr>
              <w:pStyle w:val="Compact"/>
              <w:jc w:val="left"/>
            </w:pPr>
            <w:r>
              <w:t xml:space="preserve">Lien recording references</w:t>
            </w:r>
          </w:p>
        </w:tc>
        <w:tc>
          <w:tcPr/>
          <w:p>
            <w:pPr>
              <w:pStyle w:val="Compact"/>
              <w:jc w:val="left"/>
            </w:pPr>
            <w:r>
              <w:t xml:space="preserve">Material</w:t>
            </w:r>
          </w:p>
        </w:tc>
        <w:tc>
          <w:tcPr/>
          <w:p>
            <w:pPr>
              <w:pStyle w:val="Compact"/>
              <w:jc w:val="left"/>
            </w:pPr>
            <w:r>
              <w:t xml:space="preserve">Confirm correct vol./pg. against Land Records before recording releases</w:t>
            </w:r>
          </w:p>
        </w:tc>
      </w:tr>
      <w:tr>
        <w:tc>
          <w:tcPr/>
          <w:p>
            <w:pPr>
              <w:pStyle w:val="Compact"/>
              <w:jc w:val="left"/>
            </w:pPr>
            <w:r>
              <w:t xml:space="preserve">A-4</w:t>
            </w:r>
          </w:p>
        </w:tc>
        <w:tc>
          <w:tcPr/>
          <w:p>
            <w:pPr>
              <w:pStyle w:val="Compact"/>
              <w:jc w:val="left"/>
            </w:pPr>
            <w:r>
              <w:t xml:space="preserve">Water/sewer disbursement path</w:t>
            </w:r>
          </w:p>
        </w:tc>
        <w:tc>
          <w:tcPr/>
          <w:p>
            <w:pPr>
              <w:pStyle w:val="Compact"/>
              <w:jc w:val="left"/>
            </w:pPr>
            <w:r>
              <w:t xml:space="preserve">Material (mechanics)</w:t>
            </w:r>
          </w:p>
        </w:tc>
        <w:tc>
          <w:tcPr/>
          <w:p>
            <w:pPr>
              <w:pStyle w:val="Compact"/>
              <w:jc w:val="left"/>
            </w:pPr>
            <w:r>
              <w:t xml:space="preserve">Confirm credit-to-Buyer vs. pay-to-City with Closing Agent</w:t>
            </w:r>
          </w:p>
        </w:tc>
      </w:tr>
      <w:tr>
        <w:tc>
          <w:tcPr/>
          <w:p>
            <w:pPr>
              <w:pStyle w:val="Compact"/>
              <w:jc w:val="left"/>
            </w:pPr>
            <w:r>
              <w:t xml:space="preserve">A-5</w:t>
            </w:r>
          </w:p>
        </w:tc>
        <w:tc>
          <w:tcPr/>
          <w:p>
            <w:pPr>
              <w:pStyle w:val="Compact"/>
              <w:jc w:val="left"/>
            </w:pPr>
            <w:r>
              <w:t xml:space="preserve">Lender assignment-of-rents recording fee</w:t>
            </w:r>
          </w:p>
        </w:tc>
        <w:tc>
          <w:tcPr/>
          <w:p>
            <w:pPr>
              <w:pStyle w:val="Compact"/>
              <w:jc w:val="left"/>
            </w:pPr>
            <w:r>
              <w:t xml:space="preserve">Material</w:t>
            </w:r>
          </w:p>
        </w:tc>
        <w:tc>
          <w:tcPr/>
          <w:p>
            <w:pPr>
              <w:pStyle w:val="Compact"/>
              <w:jc w:val="left"/>
            </w:pPr>
            <w:r>
              <w:t xml:space="preserve">Confirm whether additional $113 Buyer recording fee is due</w:t>
            </w:r>
          </w:p>
        </w:tc>
      </w:tr>
      <w:tr>
        <w:tc>
          <w:tcPr/>
          <w:p>
            <w:pPr>
              <w:pStyle w:val="Compact"/>
              <w:jc w:val="left"/>
            </w:pPr>
            <w:r>
              <w:t xml:space="preserve">B-1</w:t>
            </w:r>
          </w:p>
        </w:tc>
        <w:tc>
          <w:tcPr/>
          <w:p>
            <w:pPr>
              <w:pStyle w:val="Compact"/>
              <w:jc w:val="left"/>
            </w:pPr>
            <w:r>
              <w:t xml:space="preserve">Earnest-money interest</w:t>
            </w:r>
          </w:p>
        </w:tc>
        <w:tc>
          <w:tcPr/>
          <w:p>
            <w:pPr>
              <w:pStyle w:val="Compact"/>
              <w:jc w:val="left"/>
            </w:pPr>
            <w:r>
              <w:t xml:space="preserve">Material</w:t>
            </w:r>
          </w:p>
        </w:tc>
        <w:tc>
          <w:tcPr/>
          <w:p>
            <w:pPr>
              <w:pStyle w:val="Compact"/>
              <w:jc w:val="left"/>
            </w:pPr>
            <w:r>
              <w:t xml:space="preserve">Confirm accrued interest with Escrow Agent; add as credit to Buyer</w:t>
            </w:r>
          </w:p>
        </w:tc>
      </w:tr>
      <w:tr>
        <w:tc>
          <w:tcPr/>
          <w:p>
            <w:pPr>
              <w:pStyle w:val="Compact"/>
              <w:jc w:val="left"/>
            </w:pPr>
            <w:r>
              <w:t xml:space="preserve">B-2</w:t>
            </w:r>
          </w:p>
        </w:tc>
        <w:tc>
          <w:tcPr/>
          <w:p>
            <w:pPr>
              <w:pStyle w:val="Compact"/>
              <w:jc w:val="left"/>
            </w:pPr>
            <w:r>
              <w:t xml:space="preserve">Residential deposit interest</w:t>
            </w:r>
          </w:p>
        </w:tc>
        <w:tc>
          <w:tcPr/>
          <w:p>
            <w:pPr>
              <w:pStyle w:val="Compact"/>
              <w:jc w:val="left"/>
            </w:pPr>
            <w:r>
              <w:t xml:space="preserve">Material</w:t>
            </w:r>
          </w:p>
        </w:tc>
        <w:tc>
          <w:tcPr/>
          <w:p>
            <w:pPr>
              <w:pStyle w:val="Compact"/>
              <w:jc w:val="left"/>
            </w:pPr>
            <w:r>
              <w:t xml:space="preserve">Confirm accrued interest with Property Manager/depository; add as debit Seller / credit Buyer</w:t>
            </w:r>
          </w:p>
        </w:tc>
      </w:tr>
      <w:tr>
        <w:tc>
          <w:tcPr/>
          <w:p>
            <w:pPr>
              <w:pStyle w:val="Compact"/>
              <w:jc w:val="left"/>
            </w:pPr>
            <w:r>
              <w:t xml:space="preserve">B-3</w:t>
            </w:r>
          </w:p>
        </w:tc>
        <w:tc>
          <w:tcPr/>
          <w:p>
            <w:pPr>
              <w:pStyle w:val="Compact"/>
              <w:jc w:val="left"/>
            </w:pPr>
            <w:r>
              <w:t xml:space="preserve">Conveyance tax estimate</w:t>
            </w:r>
          </w:p>
        </w:tc>
        <w:tc>
          <w:tcPr/>
          <w:p>
            <w:pPr>
              <w:pStyle w:val="Compact"/>
              <w:jc w:val="left"/>
            </w:pPr>
            <w:r>
              <w:t xml:space="preserve">Material</w:t>
            </w:r>
          </w:p>
        </w:tc>
        <w:tc>
          <w:tcPr/>
          <w:p>
            <w:pPr>
              <w:pStyle w:val="Compact"/>
              <w:jc w:val="left"/>
            </w:pPr>
            <w:r>
              <w:t xml:space="preserve">Confirm actual on Form OP-236; reprorate post-closing if different</w:t>
            </w:r>
          </w:p>
        </w:tc>
      </w:tr>
      <w:tr>
        <w:tc>
          <w:tcPr/>
          <w:p>
            <w:pPr>
              <w:pStyle w:val="Compact"/>
              <w:jc w:val="left"/>
            </w:pPr>
            <w:r>
              <w:t xml:space="preserve">B-4</w:t>
            </w:r>
          </w:p>
        </w:tc>
        <w:tc>
          <w:tcPr/>
          <w:p>
            <w:pPr>
              <w:pStyle w:val="Compact"/>
              <w:jc w:val="left"/>
            </w:pPr>
            <w:r>
              <w:t xml:space="preserve">Next-FY tax estimate</w:t>
            </w:r>
          </w:p>
        </w:tc>
        <w:tc>
          <w:tcPr/>
          <w:p>
            <w:pPr>
              <w:pStyle w:val="Compact"/>
              <w:jc w:val="left"/>
            </w:pPr>
            <w:r>
              <w:t xml:space="preserve">Material</w:t>
            </w:r>
          </w:p>
        </w:tc>
        <w:tc>
          <w:tcPr/>
          <w:p>
            <w:pPr>
              <w:pStyle w:val="Compact"/>
              <w:jc w:val="left"/>
            </w:pPr>
            <w:r>
              <w:t xml:space="preserve">Reprorate within 90 days post-closing when bill issues</w:t>
            </w:r>
          </w:p>
        </w:tc>
      </w:tr>
      <w:tr>
        <w:tc>
          <w:tcPr/>
          <w:p>
            <w:pPr>
              <w:pStyle w:val="Compact"/>
              <w:jc w:val="left"/>
            </w:pPr>
            <w:r>
              <w:t xml:space="preserve">B-5</w:t>
            </w:r>
          </w:p>
        </w:tc>
        <w:tc>
          <w:tcPr/>
          <w:p>
            <w:pPr>
              <w:pStyle w:val="Compact"/>
              <w:jc w:val="left"/>
            </w:pPr>
            <w:r>
              <w:t xml:space="preserve">Payoff good-through dates</w:t>
            </w:r>
          </w:p>
        </w:tc>
        <w:tc>
          <w:tcPr/>
          <w:p>
            <w:pPr>
              <w:pStyle w:val="Compact"/>
              <w:jc w:val="left"/>
            </w:pPr>
            <w:r>
              <w:t xml:space="preserve">Material</w:t>
            </w:r>
          </w:p>
        </w:tc>
        <w:tc>
          <w:tcPr/>
          <w:p>
            <w:pPr>
              <w:pStyle w:val="Compact"/>
              <w:jc w:val="left"/>
            </w:pPr>
            <w:r>
              <w:t xml:space="preserve">Close on July 15, 2025; if delayed, apply per-diems</w:t>
            </w:r>
          </w:p>
        </w:tc>
      </w:tr>
      <w:tr>
        <w:tc>
          <w:tcPr/>
          <w:p>
            <w:pPr>
              <w:pStyle w:val="Compact"/>
              <w:jc w:val="left"/>
            </w:pPr>
            <w:r>
              <w:t xml:space="preserve">B-8</w:t>
            </w:r>
          </w:p>
        </w:tc>
        <w:tc>
          <w:tcPr/>
          <w:p>
            <w:pPr>
              <w:pStyle w:val="Compact"/>
              <w:jc w:val="left"/>
            </w:pPr>
            <w:r>
              <w:t xml:space="preserve">Survey / environmental / SNDA / guaranty</w:t>
            </w:r>
          </w:p>
        </w:tc>
        <w:tc>
          <w:tcPr/>
          <w:p>
            <w:pPr>
              <w:pStyle w:val="Compact"/>
              <w:jc w:val="left"/>
            </w:pPr>
            <w:r>
              <w:t xml:space="preserve">Material / condition</w:t>
            </w:r>
          </w:p>
        </w:tc>
        <w:tc>
          <w:tcPr/>
          <w:p>
            <w:pPr>
              <w:pStyle w:val="Compact"/>
              <w:jc w:val="left"/>
            </w:pPr>
            <w:r>
              <w:t xml:space="preserve">Confirm completion, payment status, and execution at closing</w:t>
            </w:r>
          </w:p>
        </w:tc>
      </w:tr>
      <w:tr>
        <w:tc>
          <w:tcPr/>
          <w:p>
            <w:pPr>
              <w:pStyle w:val="Compact"/>
              <w:jc w:val="left"/>
            </w:pPr>
            <w:r>
              <w:t xml:space="preserve">A-2, A-3, A-9, A-10</w:t>
            </w:r>
          </w:p>
        </w:tc>
        <w:tc>
          <w:tcPr/>
          <w:p>
            <w:pPr>
              <w:pStyle w:val="Compact"/>
              <w:jc w:val="left"/>
            </w:pPr>
            <w:r>
              <w:t xml:space="preserve">Commitment no./underwriter name/addresses/deed term</w:t>
            </w:r>
          </w:p>
        </w:tc>
        <w:tc>
          <w:tcPr/>
          <w:p>
            <w:pPr>
              <w:pStyle w:val="Compact"/>
              <w:jc w:val="left"/>
            </w:pPr>
            <w:r>
              <w:t xml:space="preserve">Administrative</w:t>
            </w:r>
          </w:p>
        </w:tc>
        <w:tc>
          <w:tcPr/>
          <w:p>
            <w:pPr>
              <w:pStyle w:val="Compact"/>
              <w:jc w:val="left"/>
            </w:pPr>
            <w:r>
              <w:t xml:space="preserve">Confirm and correct in closing file</w:t>
            </w:r>
          </w:p>
        </w:tc>
      </w:tr>
      <w:tr>
        <w:tc>
          <w:tcPr/>
          <w:p>
            <w:pPr>
              <w:pStyle w:val="Compact"/>
              <w:jc w:val="left"/>
            </w:pPr>
            <w:r>
              <w:t xml:space="preserve">A-6, A-7, A-8</w:t>
            </w:r>
          </w:p>
        </w:tc>
        <w:tc>
          <w:tcPr/>
          <w:p>
            <w:pPr>
              <w:pStyle w:val="Compact"/>
              <w:jc w:val="left"/>
            </w:pPr>
            <w:r>
              <w:t xml:space="preserve">Lease term / LTV / mgmt. date</w:t>
            </w:r>
          </w:p>
        </w:tc>
        <w:tc>
          <w:tcPr/>
          <w:p>
            <w:pPr>
              <w:pStyle w:val="Compact"/>
              <w:jc w:val="left"/>
            </w:pPr>
            <w:r>
              <w:t xml:space="preserve">Informational</w:t>
            </w:r>
          </w:p>
        </w:tc>
        <w:tc>
          <w:tcPr/>
          <w:p>
            <w:pPr>
              <w:pStyle w:val="Compact"/>
              <w:jc w:val="left"/>
            </w:pPr>
            <w:r>
              <w:t xml:space="preserve">Correct for file accuracy</w:t>
            </w:r>
          </w:p>
        </w:tc>
      </w:tr>
    </w:tbl>
    <w:p>
      <w:r>
        <w:pict>
          <v:rect style="width:0;height:1.5pt" o:hralign="center" o:hrstd="t" o:hr="t"/>
        </w:pict>
      </w:r>
    </w:p>
    <w:p>
      <w:pPr>
        <w:pStyle w:val="FirstParagraph"/>
      </w:pPr>
      <w:r>
        <w:rPr>
          <w:i/>
          <w:iCs/>
        </w:rPr>
        <w:t xml:space="preserve">Prepared to accompany the settlement statement for the July 15, 2025 closing of 4280 Harborview Boulevard, Bridgeport, CT 06604. All classifications reflect the documents delivered to the Closing Agent as of the date of preparation and are subject to confirmation at closing.</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2026-06-27T20:25:24Z</dcterms:created>
  <dcterms:modified xsi:type="dcterms:W3CDTF">2026-06-27T20:25:24Z</dcterms:modified>
</cp:coreProperties>
</file>

<file path=docProps/custom.xml><?xml version="1.0" encoding="utf-8"?>
<Properties xmlns="http://schemas.openxmlformats.org/officeDocument/2006/custom-properties" xmlns:vt="http://schemas.openxmlformats.org/officeDocument/2006/docPropsVTypes"/>
</file>