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ettlement-statement"/>
    <w:p>
      <w:pPr>
        <w:pStyle w:val="Heading1"/>
      </w:pPr>
      <w:r>
        <w:t xml:space="preserve">SETTLEMENT STATEMENT</w:t>
      </w:r>
    </w:p>
    <w:bookmarkStart w:id="22" w:name="X1bab39ea11b67412ab7961b3c0cad884880487c"/>
    <w:p>
      <w:pPr>
        <w:pStyle w:val="Heading2"/>
      </w:pPr>
      <w:r>
        <w:t xml:space="preserve">Commercial Real Estate Closing — 4280 Harborview Boulevard, Bridgeport, CT 06604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Closing Agent / Escrow Agent</w:t>
            </w:r>
          </w:p>
        </w:tc>
        <w:tc>
          <w:tcPr/>
          <w:p>
            <w:pPr>
              <w:pStyle w:val="Compact"/>
              <w:jc w:val="left"/>
            </w:pPr>
            <w:r>
              <w:t xml:space="preserve">Pinnacle Abstract &amp; Title LLC, 88 Field Point Road, Greenwich, CT 06830 — Lorraine M. Grasso, Closing Officer</w:t>
            </w:r>
          </w:p>
        </w:tc>
      </w:tr>
      <w:tr>
        <w:tc>
          <w:tcPr/>
          <w:p>
            <w:pPr>
              <w:pStyle w:val="Compact"/>
              <w:jc w:val="left"/>
            </w:pPr>
            <w:r>
              <w:rPr>
                <w:b/>
                <w:bCs/>
              </w:rPr>
              <w:t xml:space="preserve">Closing Date</w:t>
            </w:r>
          </w:p>
        </w:tc>
        <w:tc>
          <w:tcPr/>
          <w:p>
            <w:pPr>
              <w:pStyle w:val="Compact"/>
              <w:jc w:val="left"/>
            </w:pPr>
            <w:r>
              <w:t xml:space="preserve">July 15, 2025</w:t>
            </w:r>
          </w:p>
        </w:tc>
      </w:tr>
      <w:tr>
        <w:tc>
          <w:tcPr/>
          <w:p>
            <w:pPr>
              <w:pStyle w:val="Compact"/>
              <w:jc w:val="left"/>
            </w:pPr>
            <w:r>
              <w:rPr>
                <w:b/>
                <w:bCs/>
              </w:rPr>
              <w:t xml:space="preserve">Proration Cut-off</w:t>
            </w:r>
          </w:p>
        </w:tc>
        <w:tc>
          <w:tcPr/>
          <w:p>
            <w:pPr>
              <w:pStyle w:val="Compact"/>
              <w:jc w:val="left"/>
            </w:pPr>
            <w:r>
              <w:t xml:space="preserve">12:01 a.m. Eastern Time, July 15, 2025 (day of closing allocated to Buyer)</w:t>
            </w:r>
          </w:p>
        </w:tc>
      </w:tr>
      <w:tr>
        <w:tc>
          <w:tcPr/>
          <w:p>
            <w:pPr>
              <w:pStyle w:val="Compact"/>
              <w:jc w:val="left"/>
            </w:pPr>
            <w:r>
              <w:rPr>
                <w:b/>
                <w:bCs/>
              </w:rPr>
              <w:t xml:space="preserve">Title Commitment</w:t>
            </w:r>
          </w:p>
        </w:tc>
        <w:tc>
          <w:tcPr/>
          <w:p>
            <w:pPr>
              <w:pStyle w:val="Compact"/>
              <w:jc w:val="left"/>
            </w:pPr>
            <w:r>
              <w:t xml:space="preserve">TC-2025-07182 (eff. June 18, 2025) — Pinnacle Abstract &amp; Title LLC, agent for Continental Fidelity Title Insurance Company</w:t>
            </w:r>
          </w:p>
        </w:tc>
      </w:tr>
      <w:tr>
        <w:tc>
          <w:tcPr/>
          <w:p>
            <w:pPr>
              <w:pStyle w:val="Compact"/>
              <w:jc w:val="left"/>
            </w:pPr>
            <w:r>
              <w:rPr>
                <w:b/>
                <w:bCs/>
              </w:rPr>
              <w:t xml:space="preserve">Loan No.</w:t>
            </w:r>
          </w:p>
        </w:tc>
        <w:tc>
          <w:tcPr/>
          <w:p>
            <w:pPr>
              <w:pStyle w:val="Compact"/>
              <w:jc w:val="left"/>
            </w:pPr>
            <w:r>
              <w:t xml:space="preserve">TSB-2025-CRE-04183 (Tidewater Savings Bank)</w:t>
            </w:r>
          </w:p>
        </w:tc>
      </w:tr>
    </w:tbl>
    <w:bookmarkStart w:id="20" w:name="parties"/>
    <w:p>
      <w:pPr>
        <w:pStyle w:val="Heading3"/>
      </w:pPr>
      <w:r>
        <w:t xml:space="preserve">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Party</w:t>
            </w:r>
          </w:p>
        </w:tc>
        <w:tc>
          <w:tcPr/>
          <w:p>
            <w:pPr>
              <w:pStyle w:val="Compact"/>
              <w:jc w:val="left"/>
            </w:pPr>
            <w:r>
              <w:t xml:space="preserve">Representative / Counsel</w:t>
            </w:r>
          </w:p>
        </w:tc>
      </w:tr>
      <w:tr>
        <w:tc>
          <w:tcPr/>
          <w:p>
            <w:pPr>
              <w:pStyle w:val="Compact"/>
              <w:jc w:val="left"/>
            </w:pPr>
            <w:r>
              <w:rPr>
                <w:b/>
                <w:bCs/>
              </w:rPr>
              <w:t xml:space="preserve">Seller</w:t>
            </w:r>
          </w:p>
        </w:tc>
        <w:tc>
          <w:tcPr/>
          <w:p>
            <w:pPr>
              <w:pStyle w:val="Compact"/>
              <w:jc w:val="left"/>
            </w:pPr>
            <w:r>
              <w:t xml:space="preserve">Estate of Gerald T. Whitford, by and through Claudia Whitford-Barnes, Executrix (Fairfield County Probate Court, Docket No. 2024-PR-04417)</w:t>
            </w:r>
          </w:p>
        </w:tc>
        <w:tc>
          <w:tcPr/>
          <w:p>
            <w:pPr>
              <w:pStyle w:val="Compact"/>
              <w:jc w:val="left"/>
            </w:pPr>
            <w:r>
              <w:t xml:space="preserve">David H. Clement, Esq., Ashford, Clement &amp; Paige LLP</w:t>
            </w:r>
          </w:p>
        </w:tc>
      </w:tr>
      <w:tr>
        <w:tc>
          <w:tcPr/>
          <w:p>
            <w:pPr>
              <w:pStyle w:val="Compact"/>
              <w:jc w:val="left"/>
            </w:pPr>
            <w:r>
              <w:rPr>
                <w:b/>
                <w:bCs/>
              </w:rPr>
              <w:t xml:space="preserve">Buyer</w:t>
            </w:r>
          </w:p>
        </w:tc>
        <w:tc>
          <w:tcPr/>
          <w:p>
            <w:pPr>
              <w:pStyle w:val="Compact"/>
              <w:jc w:val="left"/>
            </w:pPr>
            <w:r>
              <w:t xml:space="preserve">Meridian Cove Properties LLC (Connecticut LLC; Manager: Elaine R. Matsuda)</w:t>
            </w:r>
          </w:p>
        </w:tc>
        <w:tc>
          <w:tcPr/>
          <w:p>
            <w:pPr>
              <w:pStyle w:val="Compact"/>
              <w:jc w:val="left"/>
            </w:pPr>
            <w:r>
              <w:t xml:space="preserve">Nora F. Kapadia, Esq., Ridgeline Law Group PLLC</w:t>
            </w:r>
          </w:p>
        </w:tc>
      </w:tr>
      <w:tr>
        <w:tc>
          <w:tcPr/>
          <w:p>
            <w:pPr>
              <w:pStyle w:val="Compact"/>
              <w:jc w:val="left"/>
            </w:pPr>
            <w:r>
              <w:rPr>
                <w:b/>
                <w:bCs/>
              </w:rPr>
              <w:t xml:space="preserve">Lender</w:t>
            </w:r>
          </w:p>
        </w:tc>
        <w:tc>
          <w:tcPr/>
          <w:p>
            <w:pPr>
              <w:pStyle w:val="Compact"/>
              <w:jc w:val="left"/>
            </w:pPr>
            <w:r>
              <w:t xml:space="preserve">Tidewater Savings Bank</w:t>
            </w:r>
          </w:p>
        </w:tc>
        <w:tc>
          <w:tcPr/>
          <w:p>
            <w:pPr>
              <w:pStyle w:val="Compact"/>
              <w:jc w:val="left"/>
            </w:pPr>
            <w:r>
              <w:t xml:space="preserve">Marcus J. Pellegrino, Loan Officer</w:t>
            </w:r>
          </w:p>
        </w:tc>
      </w:tr>
      <w:tr>
        <w:tc>
          <w:tcPr/>
          <w:p>
            <w:pPr>
              <w:pStyle w:val="Compact"/>
              <w:jc w:val="left"/>
            </w:pPr>
            <w:r>
              <w:rPr>
                <w:b/>
                <w:bCs/>
              </w:rPr>
              <w:t xml:space="preserve">Property Manager (terminating)</w:t>
            </w:r>
          </w:p>
        </w:tc>
        <w:tc>
          <w:tcPr/>
          <w:p>
            <w:pPr>
              <w:pStyle w:val="Compact"/>
              <w:jc w:val="left"/>
            </w:pPr>
            <w:r>
              <w:t xml:space="preserve">Bayshore Management Co.</w:t>
            </w:r>
          </w:p>
        </w:tc>
        <w:tc>
          <w:tcPr/>
          <w:p>
            <w:pPr>
              <w:pStyle w:val="Compact"/>
              <w:jc w:val="left"/>
            </w:pPr>
            <w:r>
              <w:t xml:space="preserve">Tomás Herrera, Operations Director</w:t>
            </w:r>
          </w:p>
        </w:tc>
      </w:tr>
    </w:tbl>
    <w:bookmarkEnd w:id="20"/>
    <w:bookmarkStart w:id="21" w:name="property"/>
    <w:p>
      <w:pPr>
        <w:pStyle w:val="Heading3"/>
      </w:pPr>
      <w:r>
        <w:t xml:space="preserve">Property</w:t>
      </w:r>
    </w:p>
    <w:p>
      <w:pPr>
        <w:pStyle w:val="FirstParagraph"/>
      </w:pPr>
      <w:r>
        <w:t xml:space="preserve">Lot 17, Block 42, Bridgeport Harbor Redevelopment Plat, recorded in Volume 312, Page 88 of the Bridgeport Land Records; commonly known as 4280 Harborview Boulevard, Bridgeport, CT 06604. Mixed-use building, approx. 18,400 sq. ft. (ground-floor commercial space + 12 residential units), 0.38 acres, MU-2 zoning.</w:t>
      </w:r>
    </w:p>
    <w:p>
      <w:r>
        <w:pict>
          <v:rect style="width:0;height:1.5pt" o:hralign="center" o:hrstd="t" o:hr="t"/>
        </w:pict>
      </w:r>
    </w:p>
    <w:bookmarkEnd w:id="21"/>
    <w:bookmarkEnd w:id="22"/>
    <w:bookmarkStart w:id="23" w:name="section-1-summary-of-transaction"/>
    <w:p>
      <w:pPr>
        <w:pStyle w:val="Heading2"/>
      </w:pPr>
      <w:r>
        <w:t xml:space="preserve">SECTION 1 — SUMMARY OF TRANSACTION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rPr>
                <w:b/>
                <w:bCs/>
              </w:rPr>
              <w:t xml:space="preserve">Purchase Price</w:t>
            </w:r>
          </w:p>
        </w:tc>
        <w:tc>
          <w:tcPr/>
          <w:p>
            <w:pPr>
              <w:pStyle w:val="Compact"/>
              <w:jc w:val="right"/>
            </w:pPr>
            <w:r>
              <w:rPr>
                <w:b/>
                <w:bCs/>
              </w:rPr>
              <w:t xml:space="preserve">$3,900,000.00</w:t>
            </w:r>
          </w:p>
        </w:tc>
      </w:tr>
      <w:tr>
        <w:tc>
          <w:tcPr/>
          <w:p>
            <w:pPr>
              <w:pStyle w:val="Compact"/>
              <w:jc w:val="left"/>
            </w:pPr>
            <w:r>
              <w:t xml:space="preserve">Less: Earnest Money on deposit (applied per PSA §3.2)</w:t>
            </w:r>
          </w:p>
        </w:tc>
        <w:tc>
          <w:tcPr/>
          <w:p>
            <w:pPr>
              <w:pStyle w:val="Compact"/>
              <w:jc w:val="right"/>
            </w:pPr>
            <w:r>
              <w:t xml:space="preserve">($195,000.00)</w:t>
            </w:r>
          </w:p>
        </w:tc>
      </w:tr>
      <w:tr>
        <w:tc>
          <w:tcPr/>
          <w:p>
            <w:pPr>
              <w:pStyle w:val="Compact"/>
              <w:jc w:val="left"/>
            </w:pPr>
            <w:r>
              <w:t xml:space="preserve">Less: Loan proceeds — Tidewater Savings Bank (first mortgage)</w:t>
            </w:r>
          </w:p>
        </w:tc>
        <w:tc>
          <w:tcPr/>
          <w:p>
            <w:pPr>
              <w:pStyle w:val="Compact"/>
              <w:jc w:val="right"/>
            </w:pPr>
            <w:r>
              <w:t xml:space="preserve">($2,640,000.00)</w:t>
            </w:r>
          </w:p>
        </w:tc>
      </w:tr>
      <w:tr>
        <w:tc>
          <w:tcPr/>
          <w:p>
            <w:pPr>
              <w:pStyle w:val="Compact"/>
              <w:jc w:val="left"/>
            </w:pPr>
            <w:r>
              <w:t xml:space="preserve">Less: Proration credits to Buyer (rents, security deposits, utilities, taxes) — see Section 2</w:t>
            </w:r>
          </w:p>
        </w:tc>
        <w:tc>
          <w:tcPr/>
          <w:p>
            <w:pPr>
              <w:pStyle w:val="Compact"/>
              <w:jc w:val="right"/>
            </w:pPr>
            <w:r>
              <w:t xml:space="preserve">($49,202.48)</w:t>
            </w:r>
          </w:p>
        </w:tc>
      </w:tr>
      <w:tr>
        <w:tc>
          <w:tcPr/>
          <w:p>
            <w:pPr>
              <w:pStyle w:val="Compact"/>
              <w:jc w:val="left"/>
            </w:pPr>
            <w:r>
              <w:t xml:space="preserve">Plus: Buyer closing costs and heating-oil reimbursement — see Section 4</w:t>
            </w:r>
          </w:p>
        </w:tc>
        <w:tc>
          <w:tcPr/>
          <w:p>
            <w:pPr>
              <w:pStyle w:val="Compact"/>
              <w:jc w:val="right"/>
            </w:pPr>
            <w:r>
              <w:t xml:space="preserve">$67,767.00</w:t>
            </w:r>
          </w:p>
        </w:tc>
      </w:tr>
      <w:tr>
        <w:tc>
          <w:tcPr/>
          <w:p>
            <w:pPr>
              <w:pStyle w:val="Compact"/>
              <w:jc w:val="left"/>
            </w:pPr>
            <w:r>
              <w:rPr>
                <w:b/>
                <w:bCs/>
              </w:rPr>
              <w:t xml:space="preserve">Cash Required from Buyer at Closing</w:t>
            </w:r>
          </w:p>
        </w:tc>
        <w:tc>
          <w:tcPr/>
          <w:p>
            <w:pPr>
              <w:pStyle w:val="Compact"/>
              <w:jc w:val="right"/>
            </w:pPr>
            <w:r>
              <w:rPr>
                <w:b/>
                <w:bCs/>
              </w:rPr>
              <w:t xml:space="preserve">$1,083,564.52</w:t>
            </w:r>
          </w:p>
        </w:tc>
      </w:tr>
    </w:tbl>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rPr>
                <w:b/>
                <w:bCs/>
              </w:rPr>
              <w:t xml:space="preserve">Gross to Seller (Purchase Price)</w:t>
            </w:r>
          </w:p>
        </w:tc>
        <w:tc>
          <w:tcPr/>
          <w:p>
            <w:pPr>
              <w:pStyle w:val="Compact"/>
              <w:jc w:val="right"/>
            </w:pPr>
            <w:r>
              <w:rPr>
                <w:b/>
                <w:bCs/>
              </w:rPr>
              <w:t xml:space="preserve">$3,900,000.00</w:t>
            </w:r>
          </w:p>
        </w:tc>
      </w:tr>
      <w:tr>
        <w:tc>
          <w:tcPr/>
          <w:p>
            <w:pPr>
              <w:pStyle w:val="Compact"/>
              <w:jc w:val="left"/>
            </w:pPr>
            <w:r>
              <w:t xml:space="preserve">Plus: Heating-oil reimbursement from Buyer (PSA §7.6)</w:t>
            </w:r>
          </w:p>
        </w:tc>
        <w:tc>
          <w:tcPr/>
          <w:p>
            <w:pPr>
              <w:pStyle w:val="Compact"/>
              <w:jc w:val="right"/>
            </w:pPr>
            <w:r>
              <w:t xml:space="preserve">$693.00</w:t>
            </w:r>
          </w:p>
        </w:tc>
      </w:tr>
      <w:tr>
        <w:tc>
          <w:tcPr/>
          <w:p>
            <w:pPr>
              <w:pStyle w:val="Compact"/>
              <w:jc w:val="left"/>
            </w:pPr>
            <w:r>
              <w:t xml:space="preserve">Less: Seller lien payoffs, closing costs, prorations, and repair escrow — see Sections 3–4</w:t>
            </w:r>
          </w:p>
        </w:tc>
        <w:tc>
          <w:tcPr/>
          <w:p>
            <w:pPr>
              <w:pStyle w:val="Compact"/>
              <w:jc w:val="right"/>
            </w:pPr>
            <w:r>
              <w:t xml:space="preserve">($1,036,029.17)</w:t>
            </w:r>
          </w:p>
        </w:tc>
      </w:tr>
      <w:tr>
        <w:tc>
          <w:tcPr/>
          <w:p>
            <w:pPr>
              <w:pStyle w:val="Compact"/>
              <w:jc w:val="left"/>
            </w:pPr>
            <w:r>
              <w:rPr>
                <w:b/>
                <w:bCs/>
              </w:rPr>
              <w:t xml:space="preserve">Net Proceeds to Seller</w:t>
            </w:r>
          </w:p>
        </w:tc>
        <w:tc>
          <w:tcPr/>
          <w:p>
            <w:pPr>
              <w:pStyle w:val="Compact"/>
              <w:jc w:val="right"/>
            </w:pPr>
            <w:r>
              <w:rPr>
                <w:b/>
                <w:bCs/>
              </w:rPr>
              <w:t xml:space="preserve">$2,864,663.83</w:t>
            </w:r>
          </w:p>
        </w:tc>
      </w:tr>
    </w:tbl>
    <w:p>
      <w:r>
        <w:pict>
          <v:rect style="width:0;height:1.5pt" o:hralign="center" o:hrstd="t" o:hr="t"/>
        </w:pict>
      </w:r>
    </w:p>
    <w:bookmarkEnd w:id="23"/>
    <w:bookmarkStart w:id="30" w:name="section-2-proration-schedules"/>
    <w:p>
      <w:pPr>
        <w:pStyle w:val="Heading2"/>
      </w:pPr>
      <w:r>
        <w:t xml:space="preserve">SECTION 2 — PRORATION SCHEDULES</w:t>
      </w:r>
    </w:p>
    <w:p>
      <w:pPr>
        <w:pStyle w:val="FirstParagraph"/>
      </w:pPr>
      <w:r>
        <w:t xml:space="preserve">All prorations calculated as of 12:01 a.m. on July 15, 2025, with the day of closing allocated to Buyer. Per diem basis using a 365-day year unless otherwise noted (rents use actual days in July = 31). Fractional cents rounded to the nearest cent, with any remaining balance allocated to Buyer (PSA §7.2(c)).</w:t>
      </w:r>
    </w:p>
    <w:bookmarkStart w:id="24" w:name="real-property-taxes"/>
    <w:p>
      <w:pPr>
        <w:pStyle w:val="Heading3"/>
      </w:pPr>
      <w:r>
        <w:t xml:space="preserve">2.1 Real Property Taxes</w:t>
      </w:r>
    </w:p>
    <w:p>
      <w:pPr>
        <w:pStyle w:val="FirstParagraph"/>
      </w:pPr>
      <w:r>
        <w:rPr>
          <w:b/>
          <w:bCs/>
        </w:rPr>
        <w:t xml:space="preserve">A. Current Fiscal Year (July 1, 2024 – June 30, 2025) — Delinquent Payoff (Seller)</w:t>
      </w:r>
    </w:p>
    <w:p>
      <w:pPr>
        <w:pStyle w:val="BodyText"/>
      </w:pPr>
      <w:r>
        <w:t xml:space="preserve">The current fiscal year ended June 30, 2025, prior to closing; the entire levy is Seller’s responsibility. The first installment ($26,240.00, due July 1, 2024) was paid August 1, 2024. The second installment ($26,240.00, due January 1, 2025) is delinquent. Per PSA §7.1(a) and §9.8, Seller is solely responsible for all delinquent taxes, interest, and penalties, paid from Seller’s proceeds at closing. Figures per City of Bridgeport Tax Status Certificate No. TLC-2025-04892 (valid through July 20,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Delinquent 2nd installment — principal</w:t>
            </w:r>
          </w:p>
        </w:tc>
        <w:tc>
          <w:tcPr/>
          <w:p>
            <w:pPr>
              <w:pStyle w:val="Compact"/>
              <w:jc w:val="right"/>
            </w:pPr>
            <w:r>
              <w:t xml:space="preserve">$26,240.00</w:t>
            </w:r>
          </w:p>
        </w:tc>
      </w:tr>
      <w:tr>
        <w:tc>
          <w:tcPr/>
          <w:p>
            <w:pPr>
              <w:pStyle w:val="Compact"/>
              <w:jc w:val="left"/>
            </w:pPr>
            <w:r>
              <w:t xml:space="preserve">Accrued interest through July 15, 2025 (CGS §12-146, 1.5%/mo.)</w:t>
            </w:r>
          </w:p>
        </w:tc>
        <w:tc>
          <w:tcPr/>
          <w:p>
            <w:pPr>
              <w:pStyle w:val="Compact"/>
              <w:jc w:val="right"/>
            </w:pPr>
            <w:r>
              <w:t xml:space="preserve">$2,362.80</w:t>
            </w:r>
          </w:p>
        </w:tc>
      </w:tr>
      <w:tr>
        <w:tc>
          <w:tcPr/>
          <w:p>
            <w:pPr>
              <w:pStyle w:val="Compact"/>
              <w:jc w:val="left"/>
            </w:pPr>
            <w:r>
              <w:rPr>
                <w:b/>
                <w:bCs/>
              </w:rPr>
              <w:t xml:space="preserve">Total delinquent tax payoff — DEBIT SELLER (pay to City of Bridgeport)</w:t>
            </w:r>
          </w:p>
        </w:tc>
        <w:tc>
          <w:tcPr/>
          <w:p>
            <w:pPr>
              <w:pStyle w:val="Compact"/>
              <w:jc w:val="right"/>
            </w:pPr>
            <w:r>
              <w:rPr>
                <w:b/>
                <w:bCs/>
              </w:rPr>
              <w:t xml:space="preserve">$28,602.80</w:t>
            </w:r>
          </w:p>
        </w:tc>
      </w:tr>
    </w:tbl>
    <w:p>
      <w:pPr>
        <w:pStyle w:val="BodyText"/>
      </w:pPr>
      <w:r>
        <w:rPr>
          <w:i/>
          <w:iCs/>
        </w:rPr>
        <w:t xml:space="preserve">Per diem after July 15, 2025: $13.12/day (valid through July 20, 2025). No proration credit arises for this fiscal year because it closed before the Closing Date.</w:t>
      </w:r>
    </w:p>
    <w:p>
      <w:pPr>
        <w:pStyle w:val="BodyText"/>
      </w:pPr>
      <w:r>
        <w:rPr>
          <w:b/>
          <w:bCs/>
        </w:rPr>
        <w:t xml:space="preserve">B. Next Fiscal Year (July 1, 2025 – June 30, 2026) — Estimated Proration</w:t>
      </w:r>
    </w:p>
    <w:p>
      <w:pPr>
        <w:pStyle w:val="BodyText"/>
      </w:pPr>
      <w:r>
        <w:t xml:space="preserve">The new mill rate has not been set and no bill has issued. Per PSA §7.1(b), the current-year levy of $52,480.00 is used as the estimate, prorated on a 365-day basis. Seller is charged for July 1–14, 2025 (14 days); Buyer is charged for July 15, 2025–June 30, 2026 (351 days). Because Buyer will pay the bill when issued, Seller credits Buyer for Seller’s 14-day share. Subject to reproration under PSA §7.7 within 90 days after closing.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right"/>
            </w:pPr>
            <w:r>
              <w:t xml:space="preserve">Days</w:t>
            </w:r>
          </w:p>
        </w:tc>
        <w:tc>
          <w:tcPr/>
          <w:p>
            <w:pPr>
              <w:pStyle w:val="Compact"/>
              <w:jc w:val="right"/>
            </w:pPr>
            <w:r>
              <w:t xml:space="preserve">Per Diem</w:t>
            </w:r>
          </w:p>
        </w:tc>
        <w:tc>
          <w:tcPr/>
          <w:p>
            <w:pPr>
              <w:pStyle w:val="Compact"/>
              <w:jc w:val="right"/>
            </w:pPr>
            <w:r>
              <w:t xml:space="preserve">Amount</w:t>
            </w:r>
          </w:p>
        </w:tc>
      </w:tr>
      <w:tr>
        <w:tc>
          <w:tcPr/>
          <w:p>
            <w:pPr>
              <w:pStyle w:val="Compact"/>
              <w:jc w:val="left"/>
            </w:pPr>
            <w:r>
              <w:t xml:space="preserve">Annual tax (estimate)</w:t>
            </w:r>
          </w:p>
        </w:tc>
        <w:tc>
          <w:tcPr/>
          <w:p>
            <w:pPr>
              <w:pStyle w:val="Compact"/>
              <w:jc w:val="right"/>
            </w:pPr>
            <w:r>
              <w:t xml:space="preserve">365</w:t>
            </w:r>
          </w:p>
        </w:tc>
        <w:tc>
          <w:tcPr/>
          <w:p>
            <w:pPr>
              <w:pStyle w:val="Compact"/>
              <w:jc w:val="right"/>
            </w:pPr>
            <w:r>
              <w:t xml:space="preserve">$143.7808</w:t>
            </w:r>
          </w:p>
        </w:tc>
        <w:tc>
          <w:tcPr/>
          <w:p>
            <w:pPr>
              <w:pStyle w:val="Compact"/>
              <w:jc w:val="right"/>
            </w:pPr>
            <w:r>
              <w:t xml:space="preserve">$52,480.00</w:t>
            </w:r>
          </w:p>
        </w:tc>
      </w:tr>
      <w:tr>
        <w:tc>
          <w:tcPr/>
          <w:p>
            <w:pPr>
              <w:pStyle w:val="Compact"/>
              <w:jc w:val="left"/>
            </w:pPr>
            <w:r>
              <w:t xml:space="preserve">Seller’s share (Jul 1–14)</w:t>
            </w:r>
          </w:p>
        </w:tc>
        <w:tc>
          <w:tcPr/>
          <w:p>
            <w:pPr>
              <w:pStyle w:val="Compact"/>
              <w:jc w:val="right"/>
            </w:pPr>
            <w:r>
              <w:t xml:space="preserve">14</w:t>
            </w:r>
          </w:p>
        </w:tc>
        <w:tc>
          <w:tcPr/>
          <w:p>
            <w:pPr>
              <w:pStyle w:val="Compact"/>
              <w:jc w:val="right"/>
            </w:pPr>
            <w:r>
              <w:t xml:space="preserve">$143.7808</w:t>
            </w:r>
          </w:p>
        </w:tc>
        <w:tc>
          <w:tcPr/>
          <w:p>
            <w:pPr>
              <w:pStyle w:val="Compact"/>
              <w:jc w:val="right"/>
            </w:pPr>
            <w:r>
              <w:t xml:space="preserve">$2,012.93</w:t>
            </w:r>
          </w:p>
        </w:tc>
      </w:tr>
      <w:tr>
        <w:tc>
          <w:tcPr/>
          <w:p>
            <w:pPr>
              <w:pStyle w:val="Compact"/>
              <w:jc w:val="left"/>
            </w:pPr>
            <w:r>
              <w:t xml:space="preserve">Buyer’s share (Jul 15–Jun 30)</w:t>
            </w:r>
          </w:p>
        </w:tc>
        <w:tc>
          <w:tcPr/>
          <w:p>
            <w:pPr>
              <w:pStyle w:val="Compact"/>
              <w:jc w:val="right"/>
            </w:pPr>
            <w:r>
              <w:t xml:space="preserve">351</w:t>
            </w:r>
          </w:p>
        </w:tc>
        <w:tc>
          <w:tcPr/>
          <w:p>
            <w:pPr>
              <w:pStyle w:val="Compact"/>
              <w:jc w:val="right"/>
            </w:pPr>
            <w:r>
              <w:t xml:space="preserve">$143.7808</w:t>
            </w:r>
          </w:p>
        </w:tc>
        <w:tc>
          <w:tcPr/>
          <w:p>
            <w:pPr>
              <w:pStyle w:val="Compact"/>
              <w:jc w:val="right"/>
            </w:pPr>
            <w:r>
              <w:t xml:space="preserve">$50,467.07</w:t>
            </w:r>
          </w:p>
        </w:tc>
      </w:tr>
      <w:tr>
        <w:tc>
          <w:tcPr/>
          <w:p>
            <w:pPr>
              <w:pStyle w:val="Compact"/>
              <w:jc w:val="left"/>
            </w:pPr>
            <w:r>
              <w:rPr>
                <w:b/>
                <w:bCs/>
              </w:rPr>
              <w:t xml:space="preserve">Net proration — DEBIT SELLER / CREDIT BUYER</w:t>
            </w:r>
          </w:p>
        </w:tc>
        <w:tc>
          <w:tcPr/>
          <w:p>
            <w:pPr>
              <w:pStyle w:val="Compact"/>
            </w:pPr>
          </w:p>
        </w:tc>
        <w:tc>
          <w:tcPr/>
          <w:p>
            <w:pPr>
              <w:pStyle w:val="Compact"/>
            </w:pPr>
          </w:p>
        </w:tc>
        <w:tc>
          <w:tcPr/>
          <w:p>
            <w:pPr>
              <w:pStyle w:val="Compact"/>
              <w:jc w:val="right"/>
            </w:pPr>
            <w:r>
              <w:rPr>
                <w:b/>
                <w:bCs/>
              </w:rPr>
              <w:t xml:space="preserve">$2,012.93</w:t>
            </w:r>
          </w:p>
        </w:tc>
      </w:tr>
    </w:tbl>
    <w:bookmarkEnd w:id="24"/>
    <w:bookmarkStart w:id="25" w:name="rents-collected-july-2025-psa-7.2"/>
    <w:p>
      <w:pPr>
        <w:pStyle w:val="Heading3"/>
      </w:pPr>
      <w:r>
        <w:t xml:space="preserve">2.2 Rents — Collected July 2025 (PSA §7.2)</w:t>
      </w:r>
    </w:p>
    <w:p>
      <w:pPr>
        <w:pStyle w:val="FirstParagraph"/>
      </w:pPr>
      <w:r>
        <w:t xml:space="preserve">Rents actually collected by Seller for July 2025 are prorated: Seller entitled to July 1–14 (14/31), Buyer entitled to July 15–31 (17/31). Per PSA §7.3,</w:t>
      </w:r>
      <w:r>
        <w:t xml:space="preserve"> </w:t>
      </w:r>
      <w:r>
        <w:rPr>
          <w:b/>
          <w:bCs/>
        </w:rPr>
        <w:t xml:space="preserve">no credit is given for uncollected rents</w:t>
      </w:r>
      <w:r>
        <w:t xml:space="preserve"> </w:t>
      </w:r>
      <w:r>
        <w:t xml:space="preserve">— Unit 2E ($1,600.00, delinquent) and Unit 3C ($0, vacant) are excluded entirely. Seller holds all collected rents and remits Buyer’s share at closing.</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t xml:space="preserve">Unit</w:t>
            </w:r>
          </w:p>
        </w:tc>
        <w:tc>
          <w:tcPr/>
          <w:p>
            <w:pPr>
              <w:pStyle w:val="Compact"/>
              <w:jc w:val="right"/>
            </w:pPr>
            <w:r>
              <w:t xml:space="preserve">Monthly Rent</w:t>
            </w:r>
          </w:p>
        </w:tc>
        <w:tc>
          <w:tcPr/>
          <w:p>
            <w:pPr>
              <w:pStyle w:val="Compact"/>
              <w:jc w:val="left"/>
            </w:pPr>
            <w:r>
              <w:t xml:space="preserve">July Status</w:t>
            </w:r>
          </w:p>
        </w:tc>
        <w:tc>
          <w:tcPr/>
          <w:p>
            <w:pPr>
              <w:pStyle w:val="Compact"/>
              <w:jc w:val="right"/>
            </w:pPr>
            <w:r>
              <w:t xml:space="preserve">Seller (14/31)</w:t>
            </w:r>
          </w:p>
        </w:tc>
        <w:tc>
          <w:tcPr/>
          <w:p>
            <w:pPr>
              <w:pStyle w:val="Compact"/>
              <w:jc w:val="right"/>
            </w:pPr>
            <w:r>
              <w:t xml:space="preserve">Buyer (17/31)</w:t>
            </w:r>
          </w:p>
        </w:tc>
      </w:tr>
      <w:tr>
        <w:tc>
          <w:tcPr/>
          <w:p>
            <w:pPr>
              <w:pStyle w:val="Compact"/>
              <w:jc w:val="left"/>
            </w:pPr>
            <w:r>
              <w:t xml:space="preserve">GF — Coastal Provisions Market LLC (commercial)</w:t>
            </w:r>
          </w:p>
        </w:tc>
        <w:tc>
          <w:tcPr/>
          <w:p>
            <w:pPr>
              <w:pStyle w:val="Compact"/>
              <w:jc w:val="right"/>
            </w:pPr>
            <w:r>
              <w:t xml:space="preserve">$7,200.00</w:t>
            </w:r>
          </w:p>
        </w:tc>
        <w:tc>
          <w:tcPr/>
          <w:p>
            <w:pPr>
              <w:pStyle w:val="Compact"/>
              <w:jc w:val="left"/>
            </w:pPr>
            <w:r>
              <w:t xml:space="preserve">Paid</w:t>
            </w:r>
          </w:p>
        </w:tc>
        <w:tc>
          <w:tcPr/>
          <w:p>
            <w:pPr>
              <w:pStyle w:val="Compact"/>
              <w:jc w:val="right"/>
            </w:pPr>
            <w:r>
              <w:t xml:space="preserve">$3,251.61</w:t>
            </w:r>
          </w:p>
        </w:tc>
        <w:tc>
          <w:tcPr/>
          <w:p>
            <w:pPr>
              <w:pStyle w:val="Compact"/>
              <w:jc w:val="right"/>
            </w:pPr>
            <w:r>
              <w:t xml:space="preserve">$3,948.39</w:t>
            </w:r>
          </w:p>
        </w:tc>
      </w:tr>
      <w:tr>
        <w:tc>
          <w:tcPr/>
          <w:p>
            <w:pPr>
              <w:pStyle w:val="Compact"/>
              <w:jc w:val="left"/>
            </w:pPr>
            <w:r>
              <w:t xml:space="preserve">2A</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t xml:space="preserve">2B</w:t>
            </w:r>
          </w:p>
        </w:tc>
        <w:tc>
          <w:tcPr/>
          <w:p>
            <w:pPr>
              <w:pStyle w:val="Compact"/>
              <w:jc w:val="right"/>
            </w:pPr>
            <w:r>
              <w:t xml:space="preserve">$1,575.00</w:t>
            </w:r>
          </w:p>
        </w:tc>
        <w:tc>
          <w:tcPr/>
          <w:p>
            <w:pPr>
              <w:pStyle w:val="Compact"/>
              <w:jc w:val="left"/>
            </w:pPr>
            <w:r>
              <w:t xml:space="preserve">Paid</w:t>
            </w:r>
          </w:p>
        </w:tc>
        <w:tc>
          <w:tcPr/>
          <w:p>
            <w:pPr>
              <w:pStyle w:val="Compact"/>
              <w:jc w:val="right"/>
            </w:pPr>
            <w:r>
              <w:t xml:space="preserve">$711.29</w:t>
            </w:r>
          </w:p>
        </w:tc>
        <w:tc>
          <w:tcPr/>
          <w:p>
            <w:pPr>
              <w:pStyle w:val="Compact"/>
              <w:jc w:val="right"/>
            </w:pPr>
            <w:r>
              <w:t xml:space="preserve">$863.71</w:t>
            </w:r>
          </w:p>
        </w:tc>
      </w:tr>
      <w:tr>
        <w:tc>
          <w:tcPr/>
          <w:p>
            <w:pPr>
              <w:pStyle w:val="Compact"/>
              <w:jc w:val="left"/>
            </w:pPr>
            <w:r>
              <w:t xml:space="preserve">2C</w:t>
            </w:r>
          </w:p>
        </w:tc>
        <w:tc>
          <w:tcPr/>
          <w:p>
            <w:pPr>
              <w:pStyle w:val="Compact"/>
              <w:jc w:val="right"/>
            </w:pPr>
            <w:r>
              <w:t xml:space="preserve">$1,700.00</w:t>
            </w:r>
          </w:p>
        </w:tc>
        <w:tc>
          <w:tcPr/>
          <w:p>
            <w:pPr>
              <w:pStyle w:val="Compact"/>
              <w:jc w:val="left"/>
            </w:pPr>
            <w:r>
              <w:t xml:space="preserve">Paid</w:t>
            </w:r>
          </w:p>
        </w:tc>
        <w:tc>
          <w:tcPr/>
          <w:p>
            <w:pPr>
              <w:pStyle w:val="Compact"/>
              <w:jc w:val="right"/>
            </w:pPr>
            <w:r>
              <w:t xml:space="preserve">$767.74</w:t>
            </w:r>
          </w:p>
        </w:tc>
        <w:tc>
          <w:tcPr/>
          <w:p>
            <w:pPr>
              <w:pStyle w:val="Compact"/>
              <w:jc w:val="right"/>
            </w:pPr>
            <w:r>
              <w:t xml:space="preserve">$932.26</w:t>
            </w:r>
          </w:p>
        </w:tc>
      </w:tr>
      <w:tr>
        <w:tc>
          <w:tcPr/>
          <w:p>
            <w:pPr>
              <w:pStyle w:val="Compact"/>
              <w:jc w:val="left"/>
            </w:pPr>
            <w:r>
              <w:t xml:space="preserve">2D</w:t>
            </w:r>
          </w:p>
        </w:tc>
        <w:tc>
          <w:tcPr/>
          <w:p>
            <w:pPr>
              <w:pStyle w:val="Compact"/>
              <w:jc w:val="right"/>
            </w:pPr>
            <w:r>
              <w:t xml:space="preserve">$1,525.00</w:t>
            </w:r>
          </w:p>
        </w:tc>
        <w:tc>
          <w:tcPr/>
          <w:p>
            <w:pPr>
              <w:pStyle w:val="Compact"/>
              <w:jc w:val="left"/>
            </w:pPr>
            <w:r>
              <w:t xml:space="preserve">Paid</w:t>
            </w:r>
          </w:p>
        </w:tc>
        <w:tc>
          <w:tcPr/>
          <w:p>
            <w:pPr>
              <w:pStyle w:val="Compact"/>
              <w:jc w:val="right"/>
            </w:pPr>
            <w:r>
              <w:t xml:space="preserve">$688.71</w:t>
            </w:r>
          </w:p>
        </w:tc>
        <w:tc>
          <w:tcPr/>
          <w:p>
            <w:pPr>
              <w:pStyle w:val="Compact"/>
              <w:jc w:val="right"/>
            </w:pPr>
            <w:r>
              <w:t xml:space="preserve">$836.29</w:t>
            </w:r>
          </w:p>
        </w:tc>
      </w:tr>
      <w:tr>
        <w:tc>
          <w:tcPr/>
          <w:p>
            <w:pPr>
              <w:pStyle w:val="Compact"/>
              <w:jc w:val="left"/>
            </w:pPr>
            <w:r>
              <w:t xml:space="preserve">2E</w:t>
            </w:r>
          </w:p>
        </w:tc>
        <w:tc>
          <w:tcPr/>
          <w:p>
            <w:pPr>
              <w:pStyle w:val="Compact"/>
              <w:jc w:val="right"/>
            </w:pPr>
            <w:r>
              <w:t xml:space="preserve">$1,600.00</w:t>
            </w:r>
          </w:p>
        </w:tc>
        <w:tc>
          <w:tcPr/>
          <w:p>
            <w:pPr>
              <w:pStyle w:val="Compact"/>
              <w:jc w:val="left"/>
            </w:pPr>
            <w:r>
              <w:rPr>
                <w:b/>
                <w:bCs/>
              </w:rPr>
              <w:t xml:space="preserve">UNPAID — excluded</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2F</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t xml:space="preserve">3A</w:t>
            </w:r>
          </w:p>
        </w:tc>
        <w:tc>
          <w:tcPr/>
          <w:p>
            <w:pPr>
              <w:pStyle w:val="Compact"/>
              <w:jc w:val="right"/>
            </w:pPr>
            <w:r>
              <w:t xml:space="preserve">$1,750.00</w:t>
            </w:r>
          </w:p>
        </w:tc>
        <w:tc>
          <w:tcPr/>
          <w:p>
            <w:pPr>
              <w:pStyle w:val="Compact"/>
              <w:jc w:val="left"/>
            </w:pPr>
            <w:r>
              <w:t xml:space="preserve">Paid</w:t>
            </w:r>
          </w:p>
        </w:tc>
        <w:tc>
          <w:tcPr/>
          <w:p>
            <w:pPr>
              <w:pStyle w:val="Compact"/>
              <w:jc w:val="right"/>
            </w:pPr>
            <w:r>
              <w:t xml:space="preserve">$790.32</w:t>
            </w:r>
          </w:p>
        </w:tc>
        <w:tc>
          <w:tcPr/>
          <w:p>
            <w:pPr>
              <w:pStyle w:val="Compact"/>
              <w:jc w:val="right"/>
            </w:pPr>
            <w:r>
              <w:t xml:space="preserve">$959.68</w:t>
            </w:r>
          </w:p>
        </w:tc>
      </w:tr>
      <w:tr>
        <w:tc>
          <w:tcPr/>
          <w:p>
            <w:pPr>
              <w:pStyle w:val="Compact"/>
              <w:jc w:val="left"/>
            </w:pPr>
            <w:r>
              <w:t xml:space="preserve">3B</w:t>
            </w:r>
          </w:p>
        </w:tc>
        <w:tc>
          <w:tcPr/>
          <w:p>
            <w:pPr>
              <w:pStyle w:val="Compact"/>
              <w:jc w:val="right"/>
            </w:pPr>
            <w:r>
              <w:t xml:space="preserve">$1,575.00</w:t>
            </w:r>
          </w:p>
        </w:tc>
        <w:tc>
          <w:tcPr/>
          <w:p>
            <w:pPr>
              <w:pStyle w:val="Compact"/>
              <w:jc w:val="left"/>
            </w:pPr>
            <w:r>
              <w:t xml:space="preserve">Paid</w:t>
            </w:r>
          </w:p>
        </w:tc>
        <w:tc>
          <w:tcPr/>
          <w:p>
            <w:pPr>
              <w:pStyle w:val="Compact"/>
              <w:jc w:val="right"/>
            </w:pPr>
            <w:r>
              <w:t xml:space="preserve">$711.29</w:t>
            </w:r>
          </w:p>
        </w:tc>
        <w:tc>
          <w:tcPr/>
          <w:p>
            <w:pPr>
              <w:pStyle w:val="Compact"/>
              <w:jc w:val="right"/>
            </w:pPr>
            <w:r>
              <w:t xml:space="preserve">$863.71</w:t>
            </w:r>
          </w:p>
        </w:tc>
      </w:tr>
      <w:tr>
        <w:tc>
          <w:tcPr/>
          <w:p>
            <w:pPr>
              <w:pStyle w:val="Compact"/>
              <w:jc w:val="left"/>
            </w:pPr>
            <w:r>
              <w:t xml:space="preserve">3C</w:t>
            </w:r>
          </w:p>
        </w:tc>
        <w:tc>
          <w:tcPr/>
          <w:p>
            <w:pPr>
              <w:pStyle w:val="Compact"/>
              <w:jc w:val="right"/>
            </w:pPr>
            <w:r>
              <w:t xml:space="preserve">$0.00</w:t>
            </w:r>
          </w:p>
        </w:tc>
        <w:tc>
          <w:tcPr/>
          <w:p>
            <w:pPr>
              <w:pStyle w:val="Compact"/>
              <w:jc w:val="left"/>
            </w:pPr>
            <w:r>
              <w:rPr>
                <w:b/>
                <w:bCs/>
              </w:rPr>
              <w:t xml:space="preserve">VACANT — excluded</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3D</w:t>
            </w:r>
          </w:p>
        </w:tc>
        <w:tc>
          <w:tcPr/>
          <w:p>
            <w:pPr>
              <w:pStyle w:val="Compact"/>
              <w:jc w:val="right"/>
            </w:pPr>
            <w:r>
              <w:t xml:space="preserve">$1,700.00</w:t>
            </w:r>
          </w:p>
        </w:tc>
        <w:tc>
          <w:tcPr/>
          <w:p>
            <w:pPr>
              <w:pStyle w:val="Compact"/>
              <w:jc w:val="left"/>
            </w:pPr>
            <w:r>
              <w:t xml:space="preserve">Paid</w:t>
            </w:r>
          </w:p>
        </w:tc>
        <w:tc>
          <w:tcPr/>
          <w:p>
            <w:pPr>
              <w:pStyle w:val="Compact"/>
              <w:jc w:val="right"/>
            </w:pPr>
            <w:r>
              <w:t xml:space="preserve">$767.74</w:t>
            </w:r>
          </w:p>
        </w:tc>
        <w:tc>
          <w:tcPr/>
          <w:p>
            <w:pPr>
              <w:pStyle w:val="Compact"/>
              <w:jc w:val="right"/>
            </w:pPr>
            <w:r>
              <w:t xml:space="preserve">$932.26</w:t>
            </w:r>
          </w:p>
        </w:tc>
      </w:tr>
      <w:tr>
        <w:tc>
          <w:tcPr/>
          <w:p>
            <w:pPr>
              <w:pStyle w:val="Compact"/>
              <w:jc w:val="left"/>
            </w:pPr>
            <w:r>
              <w:t xml:space="preserve">3E</w:t>
            </w:r>
          </w:p>
        </w:tc>
        <w:tc>
          <w:tcPr/>
          <w:p>
            <w:pPr>
              <w:pStyle w:val="Compact"/>
              <w:jc w:val="right"/>
            </w:pPr>
            <w:r>
              <w:t xml:space="preserve">$1,625.00</w:t>
            </w:r>
          </w:p>
        </w:tc>
        <w:tc>
          <w:tcPr/>
          <w:p>
            <w:pPr>
              <w:pStyle w:val="Compact"/>
              <w:jc w:val="left"/>
            </w:pPr>
            <w:r>
              <w:t xml:space="preserve">Paid</w:t>
            </w:r>
          </w:p>
        </w:tc>
        <w:tc>
          <w:tcPr/>
          <w:p>
            <w:pPr>
              <w:pStyle w:val="Compact"/>
              <w:jc w:val="right"/>
            </w:pPr>
            <w:r>
              <w:t xml:space="preserve">$733.87</w:t>
            </w:r>
          </w:p>
        </w:tc>
        <w:tc>
          <w:tcPr/>
          <w:p>
            <w:pPr>
              <w:pStyle w:val="Compact"/>
              <w:jc w:val="right"/>
            </w:pPr>
            <w:r>
              <w:t xml:space="preserve">$891.13</w:t>
            </w:r>
          </w:p>
        </w:tc>
      </w:tr>
      <w:tr>
        <w:tc>
          <w:tcPr/>
          <w:p>
            <w:pPr>
              <w:pStyle w:val="Compact"/>
              <w:jc w:val="left"/>
            </w:pPr>
            <w:r>
              <w:t xml:space="preserve">3F</w:t>
            </w:r>
          </w:p>
        </w:tc>
        <w:tc>
          <w:tcPr/>
          <w:p>
            <w:pPr>
              <w:pStyle w:val="Compact"/>
              <w:jc w:val="right"/>
            </w:pPr>
            <w:r>
              <w:t xml:space="preserve">$1,650.00</w:t>
            </w:r>
          </w:p>
        </w:tc>
        <w:tc>
          <w:tcPr/>
          <w:p>
            <w:pPr>
              <w:pStyle w:val="Compact"/>
              <w:jc w:val="left"/>
            </w:pPr>
            <w:r>
              <w:t xml:space="preserve">Paid</w:t>
            </w:r>
          </w:p>
        </w:tc>
        <w:tc>
          <w:tcPr/>
          <w:p>
            <w:pPr>
              <w:pStyle w:val="Compact"/>
              <w:jc w:val="right"/>
            </w:pPr>
            <w:r>
              <w:t xml:space="preserve">$745.16</w:t>
            </w:r>
          </w:p>
        </w:tc>
        <w:tc>
          <w:tcPr/>
          <w:p>
            <w:pPr>
              <w:pStyle w:val="Compact"/>
              <w:jc w:val="right"/>
            </w:pPr>
            <w:r>
              <w:t xml:space="preserve">$904.84</w:t>
            </w:r>
          </w:p>
        </w:tc>
      </w:tr>
      <w:tr>
        <w:tc>
          <w:tcPr/>
          <w:p>
            <w:pPr>
              <w:pStyle w:val="Compact"/>
              <w:jc w:val="left"/>
            </w:pPr>
            <w:r>
              <w:rPr>
                <w:b/>
                <w:bCs/>
              </w:rPr>
              <w:t xml:space="preserve">Total collected</w:t>
            </w:r>
          </w:p>
        </w:tc>
        <w:tc>
          <w:tcPr/>
          <w:p>
            <w:pPr>
              <w:pStyle w:val="Compact"/>
              <w:jc w:val="right"/>
            </w:pPr>
            <w:r>
              <w:rPr>
                <w:b/>
                <w:bCs/>
              </w:rPr>
              <w:t xml:space="preserve">$23,600.00</w:t>
            </w:r>
          </w:p>
        </w:tc>
        <w:tc>
          <w:tcPr/>
          <w:p>
            <w:pPr>
              <w:pStyle w:val="Compact"/>
            </w:pPr>
          </w:p>
        </w:tc>
        <w:tc>
          <w:tcPr/>
          <w:p>
            <w:pPr>
              <w:pStyle w:val="Compact"/>
              <w:jc w:val="right"/>
            </w:pPr>
            <w:r>
              <w:rPr>
                <w:b/>
                <w:bCs/>
              </w:rPr>
              <w:t xml:space="preserve">$10,658.05</w:t>
            </w:r>
          </w:p>
        </w:tc>
        <w:tc>
          <w:tcPr/>
          <w:p>
            <w:pPr>
              <w:pStyle w:val="Compact"/>
              <w:jc w:val="right"/>
            </w:pPr>
            <w:r>
              <w:rPr>
                <w:b/>
                <w:bCs/>
              </w:rPr>
              <w:t xml:space="preserve">$12,941.95</w:t>
            </w:r>
          </w:p>
        </w:tc>
      </w:tr>
    </w:tbl>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rPr>
                <w:b/>
                <w:bCs/>
              </w:rPr>
              <w:t xml:space="preserve">Net rent proration — DEBIT SELLER / CREDIT BUYER (Buyer’s share remitted by Seller)</w:t>
            </w:r>
          </w:p>
        </w:tc>
        <w:tc>
          <w:tcPr/>
          <w:p>
            <w:pPr>
              <w:pStyle w:val="Compact"/>
              <w:jc w:val="right"/>
            </w:pPr>
            <w:r>
              <w:rPr>
                <w:b/>
                <w:bCs/>
              </w:rPr>
              <w:t xml:space="preserve">$12,941.95</w:t>
            </w:r>
          </w:p>
        </w:tc>
      </w:tr>
    </w:tbl>
    <w:p>
      <w:pPr>
        <w:pStyle w:val="BodyText"/>
      </w:pPr>
      <w:r>
        <w:rPr>
          <w:i/>
          <w:iCs/>
        </w:rPr>
        <w:t xml:space="preserve">Note: Buyer assumes collection rights for the delinquent Unit 2E rent ($1,600.00) per PSA §7.3(b); any amounts collected are applied first to current rent, with excess remitted to Seller within 30 days. No credit is given at closing.</w:t>
      </w:r>
    </w:p>
    <w:bookmarkEnd w:id="25"/>
    <w:bookmarkStart w:id="26" w:name="security-deposits-psa-7.4"/>
    <w:p>
      <w:pPr>
        <w:pStyle w:val="Heading3"/>
      </w:pPr>
      <w:r>
        <w:t xml:space="preserve">2.3 Security Deposits (PSA §7.4)</w:t>
      </w:r>
    </w:p>
    <w:p>
      <w:pPr>
        <w:pStyle w:val="FirstParagraph"/>
      </w:pPr>
      <w:r>
        <w:t xml:space="preserve">All security deposits held by Seller / Property Manager are transferred to Buyer at closing as a debit to Seller and credit to Buyer. Amounts per the Rent Roll and Security Deposit Schedule (Exhibit B), as of July 1, 2025. Deposits are held by Bayshore Management Co. in escrow accounts at Harborstone Federal Credit Union.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Unit</w:t>
            </w:r>
          </w:p>
        </w:tc>
        <w:tc>
          <w:tcPr/>
          <w:p>
            <w:pPr>
              <w:pStyle w:val="Compact"/>
              <w:jc w:val="left"/>
            </w:pPr>
            <w:r>
              <w:t xml:space="preserve">Tenant Type</w:t>
            </w:r>
          </w:p>
        </w:tc>
        <w:tc>
          <w:tcPr/>
          <w:p>
            <w:pPr>
              <w:pStyle w:val="Compact"/>
              <w:jc w:val="right"/>
            </w:pPr>
            <w:r>
              <w:t xml:space="preserve">Security Deposit</w:t>
            </w:r>
          </w:p>
        </w:tc>
      </w:tr>
      <w:tr>
        <w:tc>
          <w:tcPr/>
          <w:p>
            <w:pPr>
              <w:pStyle w:val="Compact"/>
              <w:jc w:val="left"/>
            </w:pPr>
            <w:r>
              <w:t xml:space="preserve">GF — Coastal Provisions Market LLC</w:t>
            </w:r>
          </w:p>
        </w:tc>
        <w:tc>
          <w:tcPr/>
          <w:p>
            <w:pPr>
              <w:pStyle w:val="Compact"/>
              <w:jc w:val="left"/>
            </w:pPr>
            <w:r>
              <w:t xml:space="preserve">Commercial</w:t>
            </w:r>
          </w:p>
        </w:tc>
        <w:tc>
          <w:tcPr/>
          <w:p>
            <w:pPr>
              <w:pStyle w:val="Compact"/>
              <w:jc w:val="right"/>
            </w:pPr>
            <w:r>
              <w:t xml:space="preserve">$14,400.00</w:t>
            </w:r>
          </w:p>
        </w:tc>
      </w:tr>
      <w:tr>
        <w:tc>
          <w:tcPr/>
          <w:p>
            <w:pPr>
              <w:pStyle w:val="Compact"/>
              <w:jc w:val="left"/>
            </w:pPr>
            <w:r>
              <w:t xml:space="preserve">2A</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2B</w:t>
            </w:r>
          </w:p>
        </w:tc>
        <w:tc>
          <w:tcPr/>
          <w:p>
            <w:pPr>
              <w:pStyle w:val="Compact"/>
              <w:jc w:val="left"/>
            </w:pPr>
            <w:r>
              <w:t xml:space="preserve">Residential</w:t>
            </w:r>
          </w:p>
        </w:tc>
        <w:tc>
          <w:tcPr/>
          <w:p>
            <w:pPr>
              <w:pStyle w:val="Compact"/>
              <w:jc w:val="right"/>
            </w:pPr>
            <w:r>
              <w:t xml:space="preserve">$1,575.00</w:t>
            </w:r>
          </w:p>
        </w:tc>
      </w:tr>
      <w:tr>
        <w:tc>
          <w:tcPr/>
          <w:p>
            <w:pPr>
              <w:pStyle w:val="Compact"/>
              <w:jc w:val="left"/>
            </w:pPr>
            <w:r>
              <w:t xml:space="preserve">2C</w:t>
            </w:r>
          </w:p>
        </w:tc>
        <w:tc>
          <w:tcPr/>
          <w:p>
            <w:pPr>
              <w:pStyle w:val="Compact"/>
              <w:jc w:val="left"/>
            </w:pPr>
            <w:r>
              <w:t xml:space="preserve">Residential</w:t>
            </w:r>
          </w:p>
        </w:tc>
        <w:tc>
          <w:tcPr/>
          <w:p>
            <w:pPr>
              <w:pStyle w:val="Compact"/>
              <w:jc w:val="right"/>
            </w:pPr>
            <w:r>
              <w:t xml:space="preserve">$1,700.00</w:t>
            </w:r>
          </w:p>
        </w:tc>
      </w:tr>
      <w:tr>
        <w:tc>
          <w:tcPr/>
          <w:p>
            <w:pPr>
              <w:pStyle w:val="Compact"/>
              <w:jc w:val="left"/>
            </w:pPr>
            <w:r>
              <w:t xml:space="preserve">2D</w:t>
            </w:r>
          </w:p>
        </w:tc>
        <w:tc>
          <w:tcPr/>
          <w:p>
            <w:pPr>
              <w:pStyle w:val="Compact"/>
              <w:jc w:val="left"/>
            </w:pPr>
            <w:r>
              <w:t xml:space="preserve">Residential</w:t>
            </w:r>
          </w:p>
        </w:tc>
        <w:tc>
          <w:tcPr/>
          <w:p>
            <w:pPr>
              <w:pStyle w:val="Compact"/>
              <w:jc w:val="right"/>
            </w:pPr>
            <w:r>
              <w:t xml:space="preserve">$1,525.00</w:t>
            </w:r>
          </w:p>
        </w:tc>
      </w:tr>
      <w:tr>
        <w:tc>
          <w:tcPr/>
          <w:p>
            <w:pPr>
              <w:pStyle w:val="Compact"/>
              <w:jc w:val="left"/>
            </w:pPr>
            <w:r>
              <w:t xml:space="preserve">2E</w:t>
            </w:r>
          </w:p>
        </w:tc>
        <w:tc>
          <w:tcPr/>
          <w:p>
            <w:pPr>
              <w:pStyle w:val="Compact"/>
              <w:jc w:val="left"/>
            </w:pPr>
            <w:r>
              <w:t xml:space="preserve">Residential</w:t>
            </w:r>
          </w:p>
        </w:tc>
        <w:tc>
          <w:tcPr/>
          <w:p>
            <w:pPr>
              <w:pStyle w:val="Compact"/>
              <w:jc w:val="right"/>
            </w:pPr>
            <w:r>
              <w:t xml:space="preserve">$1,600.00</w:t>
            </w:r>
          </w:p>
        </w:tc>
      </w:tr>
      <w:tr>
        <w:tc>
          <w:tcPr/>
          <w:p>
            <w:pPr>
              <w:pStyle w:val="Compact"/>
              <w:jc w:val="left"/>
            </w:pPr>
            <w:r>
              <w:t xml:space="preserve">2F</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t xml:space="preserve">3A</w:t>
            </w:r>
          </w:p>
        </w:tc>
        <w:tc>
          <w:tcPr/>
          <w:p>
            <w:pPr>
              <w:pStyle w:val="Compact"/>
              <w:jc w:val="left"/>
            </w:pPr>
            <w:r>
              <w:t xml:space="preserve">Residential</w:t>
            </w:r>
          </w:p>
        </w:tc>
        <w:tc>
          <w:tcPr/>
          <w:p>
            <w:pPr>
              <w:pStyle w:val="Compact"/>
              <w:jc w:val="right"/>
            </w:pPr>
            <w:r>
              <w:t xml:space="preserve">$1,750.00</w:t>
            </w:r>
          </w:p>
        </w:tc>
      </w:tr>
      <w:tr>
        <w:tc>
          <w:tcPr/>
          <w:p>
            <w:pPr>
              <w:pStyle w:val="Compact"/>
              <w:jc w:val="left"/>
            </w:pPr>
            <w:r>
              <w:t xml:space="preserve">3B</w:t>
            </w:r>
          </w:p>
        </w:tc>
        <w:tc>
          <w:tcPr/>
          <w:p>
            <w:pPr>
              <w:pStyle w:val="Compact"/>
              <w:jc w:val="left"/>
            </w:pPr>
            <w:r>
              <w:t xml:space="preserve">Residential</w:t>
            </w:r>
          </w:p>
        </w:tc>
        <w:tc>
          <w:tcPr/>
          <w:p>
            <w:pPr>
              <w:pStyle w:val="Compact"/>
              <w:jc w:val="right"/>
            </w:pPr>
            <w:r>
              <w:t xml:space="preserve">$1,575.00</w:t>
            </w:r>
          </w:p>
        </w:tc>
      </w:tr>
      <w:tr>
        <w:tc>
          <w:tcPr/>
          <w:p>
            <w:pPr>
              <w:pStyle w:val="Compact"/>
              <w:jc w:val="left"/>
            </w:pPr>
            <w:r>
              <w:t xml:space="preserve">3C</w:t>
            </w:r>
          </w:p>
        </w:tc>
        <w:tc>
          <w:tcPr/>
          <w:p>
            <w:pPr>
              <w:pStyle w:val="Compact"/>
              <w:jc w:val="left"/>
            </w:pPr>
            <w:r>
              <w:t xml:space="preserve">Residential (vacant)</w:t>
            </w:r>
          </w:p>
        </w:tc>
        <w:tc>
          <w:tcPr/>
          <w:p>
            <w:pPr>
              <w:pStyle w:val="Compact"/>
              <w:jc w:val="right"/>
            </w:pPr>
            <w:r>
              <w:t xml:space="preserve">$0.00</w:t>
            </w:r>
          </w:p>
        </w:tc>
      </w:tr>
      <w:tr>
        <w:tc>
          <w:tcPr/>
          <w:p>
            <w:pPr>
              <w:pStyle w:val="Compact"/>
              <w:jc w:val="left"/>
            </w:pPr>
            <w:r>
              <w:t xml:space="preserve">3D</w:t>
            </w:r>
          </w:p>
        </w:tc>
        <w:tc>
          <w:tcPr/>
          <w:p>
            <w:pPr>
              <w:pStyle w:val="Compact"/>
              <w:jc w:val="left"/>
            </w:pPr>
            <w:r>
              <w:t xml:space="preserve">Residential</w:t>
            </w:r>
          </w:p>
        </w:tc>
        <w:tc>
          <w:tcPr/>
          <w:p>
            <w:pPr>
              <w:pStyle w:val="Compact"/>
              <w:jc w:val="right"/>
            </w:pPr>
            <w:r>
              <w:t xml:space="preserve">$1,700.00</w:t>
            </w:r>
          </w:p>
        </w:tc>
      </w:tr>
      <w:tr>
        <w:tc>
          <w:tcPr/>
          <w:p>
            <w:pPr>
              <w:pStyle w:val="Compact"/>
              <w:jc w:val="left"/>
            </w:pPr>
            <w:r>
              <w:t xml:space="preserve">3E</w:t>
            </w:r>
          </w:p>
        </w:tc>
        <w:tc>
          <w:tcPr/>
          <w:p>
            <w:pPr>
              <w:pStyle w:val="Compact"/>
              <w:jc w:val="left"/>
            </w:pPr>
            <w:r>
              <w:t xml:space="preserve">Residential</w:t>
            </w:r>
          </w:p>
        </w:tc>
        <w:tc>
          <w:tcPr/>
          <w:p>
            <w:pPr>
              <w:pStyle w:val="Compact"/>
              <w:jc w:val="right"/>
            </w:pPr>
            <w:r>
              <w:t xml:space="preserve">$1,625.00</w:t>
            </w:r>
          </w:p>
        </w:tc>
      </w:tr>
      <w:tr>
        <w:tc>
          <w:tcPr/>
          <w:p>
            <w:pPr>
              <w:pStyle w:val="Compact"/>
              <w:jc w:val="left"/>
            </w:pPr>
            <w:r>
              <w:t xml:space="preserve">3F</w:t>
            </w:r>
          </w:p>
        </w:tc>
        <w:tc>
          <w:tcPr/>
          <w:p>
            <w:pPr>
              <w:pStyle w:val="Compact"/>
              <w:jc w:val="left"/>
            </w:pPr>
            <w:r>
              <w:t xml:space="preserve">Residential</w:t>
            </w:r>
          </w:p>
        </w:tc>
        <w:tc>
          <w:tcPr/>
          <w:p>
            <w:pPr>
              <w:pStyle w:val="Compact"/>
              <w:jc w:val="right"/>
            </w:pPr>
            <w:r>
              <w:t xml:space="preserve">$1,650.00</w:t>
            </w:r>
          </w:p>
        </w:tc>
      </w:tr>
      <w:tr>
        <w:tc>
          <w:tcPr/>
          <w:p>
            <w:pPr>
              <w:pStyle w:val="Compact"/>
              <w:jc w:val="left"/>
            </w:pPr>
            <w:r>
              <w:rPr>
                <w:b/>
                <w:bCs/>
              </w:rPr>
              <w:t xml:space="preserve">Total residential (11 units)</w:t>
            </w:r>
          </w:p>
        </w:tc>
        <w:tc>
          <w:tcPr/>
          <w:p>
            <w:pPr>
              <w:pStyle w:val="Compact"/>
            </w:pPr>
          </w:p>
        </w:tc>
        <w:tc>
          <w:tcPr/>
          <w:p>
            <w:pPr>
              <w:pStyle w:val="Compact"/>
              <w:jc w:val="right"/>
            </w:pPr>
            <w:r>
              <w:rPr>
                <w:b/>
                <w:bCs/>
              </w:rPr>
              <w:t xml:space="preserve">$18,000.00</w:t>
            </w:r>
          </w:p>
        </w:tc>
      </w:tr>
      <w:tr>
        <w:tc>
          <w:tcPr/>
          <w:p>
            <w:pPr>
              <w:pStyle w:val="Compact"/>
              <w:jc w:val="left"/>
            </w:pPr>
            <w:r>
              <w:rPr>
                <w:b/>
                <w:bCs/>
              </w:rPr>
              <w:t xml:space="preserve">Total commercial (1 unit)</w:t>
            </w:r>
          </w:p>
        </w:tc>
        <w:tc>
          <w:tcPr/>
          <w:p>
            <w:pPr>
              <w:pStyle w:val="Compact"/>
            </w:pPr>
          </w:p>
        </w:tc>
        <w:tc>
          <w:tcPr/>
          <w:p>
            <w:pPr>
              <w:pStyle w:val="Compact"/>
              <w:jc w:val="right"/>
            </w:pPr>
            <w:r>
              <w:rPr>
                <w:b/>
                <w:bCs/>
              </w:rPr>
              <w:t xml:space="preserve">$14,400.00</w:t>
            </w:r>
          </w:p>
        </w:tc>
      </w:tr>
      <w:tr>
        <w:tc>
          <w:tcPr/>
          <w:p>
            <w:pPr>
              <w:pStyle w:val="Compact"/>
              <w:jc w:val="left"/>
            </w:pPr>
            <w:r>
              <w:rPr>
                <w:b/>
                <w:bCs/>
              </w:rPr>
              <w:t xml:space="preserve">Grand total — DEBIT SELLER / CREDIT BUYER</w:t>
            </w:r>
          </w:p>
        </w:tc>
        <w:tc>
          <w:tcPr/>
          <w:p>
            <w:pPr>
              <w:pStyle w:val="Compact"/>
            </w:pPr>
          </w:p>
        </w:tc>
        <w:tc>
          <w:tcPr/>
          <w:p>
            <w:pPr>
              <w:pStyle w:val="Compact"/>
              <w:jc w:val="right"/>
            </w:pPr>
            <w:r>
              <w:rPr>
                <w:b/>
                <w:bCs/>
              </w:rPr>
              <w:t xml:space="preserve">$32,400.00</w:t>
            </w:r>
          </w:p>
        </w:tc>
      </w:tr>
    </w:tbl>
    <w:p>
      <w:pPr>
        <w:pStyle w:val="BodyText"/>
      </w:pPr>
      <w:r>
        <w:rPr>
          <w:i/>
          <w:iCs/>
        </w:rPr>
        <w:t xml:space="preserve">Principal amounts only. Accrued interest on residential deposits (required by CGS §47a-21) is not quantified in the closing file and is to be confirmed with the Property Manager / escrow depository and added at closing (see Notes Memo). The commercial deposit is non-interest-bearing per the Commercial Lease and Management Agreement §6.2.</w:t>
      </w:r>
    </w:p>
    <w:bookmarkEnd w:id="26"/>
    <w:bookmarkStart w:id="27" w:name="utilities-water-sewer-psa-7.5"/>
    <w:p>
      <w:pPr>
        <w:pStyle w:val="Heading3"/>
      </w:pPr>
      <w:r>
        <w:t xml:space="preserve">2.4 Utilities — Water &amp; Sewer (PSA §7.5)</w:t>
      </w:r>
    </w:p>
    <w:p>
      <w:pPr>
        <w:pStyle w:val="FirstParagraph"/>
      </w:pPr>
      <w:r>
        <w:t xml:space="preserve">Per the City of Bridgeport WPCA final statement (Acct. WS-2025-048173), the billing period May 15, 2025 – July 14, 2025 (61 days)</w:t>
      </w:r>
      <w:r>
        <w:t xml:space="preserve"> </w:t>
      </w:r>
      <w:r>
        <w:rPr>
          <w:b/>
          <w:bCs/>
        </w:rPr>
        <w:t xml:space="preserve">ends before the Closing Date</w:t>
      </w:r>
      <w:r>
        <w:t xml:space="preserve">. Under PSA §7.5(a), the entire unpaid balance is Seller’s sole responsibility and is credited to Buyer (Buyer will satisfy the bill due August 1, 2025 upon transfer of the account).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Water charges (500 cu ft @ $0.52 + 975 cu ft @ $0.68)</w:t>
            </w:r>
          </w:p>
        </w:tc>
        <w:tc>
          <w:tcPr/>
          <w:p>
            <w:pPr>
              <w:pStyle w:val="Compact"/>
              <w:jc w:val="right"/>
            </w:pPr>
            <w:r>
              <w:t xml:space="preserve">$923.00</w:t>
            </w:r>
          </w:p>
        </w:tc>
      </w:tr>
      <w:tr>
        <w:tc>
          <w:tcPr/>
          <w:p>
            <w:pPr>
              <w:pStyle w:val="Compact"/>
              <w:jc w:val="left"/>
            </w:pPr>
            <w:r>
              <w:t xml:space="preserve">Sewer charges (1,475 cu ft @ $0.48)</w:t>
            </w:r>
          </w:p>
        </w:tc>
        <w:tc>
          <w:tcPr/>
          <w:p>
            <w:pPr>
              <w:pStyle w:val="Compact"/>
              <w:jc w:val="right"/>
            </w:pPr>
            <w:r>
              <w:t xml:space="preserve">$708.00</w:t>
            </w:r>
          </w:p>
        </w:tc>
      </w:tr>
      <w:tr>
        <w:tc>
          <w:tcPr/>
          <w:p>
            <w:pPr>
              <w:pStyle w:val="Compact"/>
              <w:jc w:val="left"/>
            </w:pPr>
            <w:r>
              <w:t xml:space="preserve">Stormwater management fee</w:t>
            </w:r>
          </w:p>
        </w:tc>
        <w:tc>
          <w:tcPr/>
          <w:p>
            <w:pPr>
              <w:pStyle w:val="Compact"/>
              <w:jc w:val="right"/>
            </w:pPr>
            <w:r>
              <w:t xml:space="preserve">$82.60</w:t>
            </w:r>
          </w:p>
        </w:tc>
      </w:tr>
      <w:tr>
        <w:tc>
          <w:tcPr/>
          <w:p>
            <w:pPr>
              <w:pStyle w:val="Compact"/>
              <w:jc w:val="left"/>
            </w:pPr>
            <w:r>
              <w:t xml:space="preserve">Clean Water Fund assessment</w:t>
            </w:r>
          </w:p>
        </w:tc>
        <w:tc>
          <w:tcPr/>
          <w:p>
            <w:pPr>
              <w:pStyle w:val="Compact"/>
              <w:jc w:val="right"/>
            </w:pPr>
            <w:r>
              <w:t xml:space="preserve">$134.00</w:t>
            </w:r>
          </w:p>
        </w:tc>
      </w:tr>
      <w:tr>
        <w:tc>
          <w:tcPr/>
          <w:p>
            <w:pPr>
              <w:pStyle w:val="Compact"/>
              <w:jc w:val="left"/>
            </w:pPr>
            <w:r>
              <w:rPr>
                <w:b/>
                <w:bCs/>
              </w:rPr>
              <w:t xml:space="preserve">Total water/sewer — DEBIT SELLER / CREDIT BUYER</w:t>
            </w:r>
          </w:p>
        </w:tc>
        <w:tc>
          <w:tcPr/>
          <w:p>
            <w:pPr>
              <w:pStyle w:val="Compact"/>
              <w:jc w:val="right"/>
            </w:pPr>
            <w:r>
              <w:rPr>
                <w:b/>
                <w:bCs/>
              </w:rPr>
              <w:t xml:space="preserve">$1,847.60</w:t>
            </w:r>
          </w:p>
        </w:tc>
      </w:tr>
    </w:tbl>
    <w:bookmarkEnd w:id="27"/>
    <w:bookmarkStart w:id="28" w:name="heating-oil-psa-7.6"/>
    <w:p>
      <w:pPr>
        <w:pStyle w:val="Heading3"/>
      </w:pPr>
      <w:r>
        <w:t xml:space="preserve">2.5 Heating Oil (PSA §7.6)</w:t>
      </w:r>
    </w:p>
    <w:p>
      <w:pPr>
        <w:pStyle w:val="FirstParagraph"/>
      </w:pPr>
      <w:r>
        <w:t xml:space="preserve">Per the pre-closing inspection report (July 14, 2025), the basement above-ground tank gauge read approximately 180 gallons. Seller’s last delivered price (Shoreline Fuel &amp; Oil Co., delivery June 2, 2025) was $3.85/gallon. Buyer reimburses Seller at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Value</w:t>
            </w:r>
          </w:p>
        </w:tc>
      </w:tr>
      <w:tr>
        <w:tc>
          <w:tcPr/>
          <w:p>
            <w:pPr>
              <w:pStyle w:val="Compact"/>
              <w:jc w:val="left"/>
            </w:pPr>
            <w:r>
              <w:t xml:space="preserve">Gallons remaining (gauge reading, July 14, 2025)</w:t>
            </w:r>
          </w:p>
        </w:tc>
        <w:tc>
          <w:tcPr/>
          <w:p>
            <w:pPr>
              <w:pStyle w:val="Compact"/>
              <w:jc w:val="right"/>
            </w:pPr>
            <w:r>
              <w:t xml:space="preserve">180</w:t>
            </w:r>
          </w:p>
        </w:tc>
      </w:tr>
      <w:tr>
        <w:tc>
          <w:tcPr/>
          <w:p>
            <w:pPr>
              <w:pStyle w:val="Compact"/>
              <w:jc w:val="left"/>
            </w:pPr>
            <w:r>
              <w:t xml:space="preserve">Price per gallon (Seller’s last delivery)</w:t>
            </w:r>
          </w:p>
        </w:tc>
        <w:tc>
          <w:tcPr/>
          <w:p>
            <w:pPr>
              <w:pStyle w:val="Compact"/>
              <w:jc w:val="right"/>
            </w:pPr>
            <w:r>
              <w:t xml:space="preserve">$3.85</w:t>
            </w:r>
          </w:p>
        </w:tc>
      </w:tr>
      <w:tr>
        <w:tc>
          <w:tcPr/>
          <w:p>
            <w:pPr>
              <w:pStyle w:val="Compact"/>
              <w:jc w:val="left"/>
            </w:pPr>
            <w:r>
              <w:rPr>
                <w:b/>
                <w:bCs/>
              </w:rPr>
              <w:t xml:space="preserve">Reimbursement — DEBIT BUYER / CREDIT SELLER</w:t>
            </w:r>
          </w:p>
        </w:tc>
        <w:tc>
          <w:tcPr/>
          <w:p>
            <w:pPr>
              <w:pStyle w:val="Compact"/>
              <w:jc w:val="right"/>
            </w:pPr>
            <w:r>
              <w:rPr>
                <w:b/>
                <w:bCs/>
              </w:rPr>
              <w:t xml:space="preserve">$693.00</w:t>
            </w:r>
          </w:p>
        </w:tc>
      </w:tr>
    </w:tbl>
    <w:bookmarkEnd w:id="28"/>
    <w:bookmarkStart w:id="29" w:name="proration-summary"/>
    <w:p>
      <w:pPr>
        <w:pStyle w:val="Heading3"/>
      </w:pPr>
      <w:r>
        <w:t xml:space="preserve">2.6 Proration Summary</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Proration Item</w:t>
            </w:r>
          </w:p>
        </w:tc>
        <w:tc>
          <w:tcPr/>
          <w:p>
            <w:pPr>
              <w:pStyle w:val="Compact"/>
              <w:jc w:val="right"/>
            </w:pPr>
            <w:r>
              <w:t xml:space="preserve">Debit Seller</w:t>
            </w:r>
          </w:p>
        </w:tc>
        <w:tc>
          <w:tcPr/>
          <w:p>
            <w:pPr>
              <w:pStyle w:val="Compact"/>
              <w:jc w:val="right"/>
            </w:pPr>
            <w:r>
              <w:t xml:space="preserve">Credit Seller</w:t>
            </w:r>
          </w:p>
        </w:tc>
        <w:tc>
          <w:tcPr/>
          <w:p>
            <w:pPr>
              <w:pStyle w:val="Compact"/>
              <w:jc w:val="right"/>
            </w:pPr>
            <w:r>
              <w:t xml:space="preserve">Debit Buyer</w:t>
            </w:r>
          </w:p>
        </w:tc>
        <w:tc>
          <w:tcPr/>
          <w:p>
            <w:pPr>
              <w:pStyle w:val="Compact"/>
              <w:jc w:val="right"/>
            </w:pPr>
            <w:r>
              <w:t xml:space="preserve">Credit Buyer</w:t>
            </w:r>
          </w:p>
        </w:tc>
      </w:tr>
      <w:tr>
        <w:tc>
          <w:tcPr/>
          <w:p>
            <w:pPr>
              <w:pStyle w:val="Compact"/>
              <w:jc w:val="left"/>
            </w:pPr>
            <w:r>
              <w:t xml:space="preserve">Delinquent taxes (current FY) — payoff to City</w:t>
            </w:r>
          </w:p>
        </w:tc>
        <w:tc>
          <w:tcPr/>
          <w:p>
            <w:pPr>
              <w:pStyle w:val="Compact"/>
              <w:jc w:val="right"/>
            </w:pPr>
            <w:r>
              <w:t xml:space="preserve">$28,602.80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Next-FY property tax (estimate)</w:t>
            </w:r>
          </w:p>
        </w:tc>
        <w:tc>
          <w:tcPr/>
          <w:p>
            <w:pPr>
              <w:pStyle w:val="Compact"/>
              <w:jc w:val="right"/>
            </w:pPr>
            <w:r>
              <w:t xml:space="preserve">$2,012.93</w:t>
            </w:r>
          </w:p>
        </w:tc>
        <w:tc>
          <w:tcPr/>
          <w:p>
            <w:pPr>
              <w:pStyle w:val="Compact"/>
              <w:jc w:val="right"/>
            </w:pPr>
            <w:r>
              <w:t xml:space="preserve">—</w:t>
            </w:r>
          </w:p>
        </w:tc>
        <w:tc>
          <w:tcPr/>
          <w:p>
            <w:pPr>
              <w:pStyle w:val="Compact"/>
              <w:jc w:val="right"/>
            </w:pPr>
            <w:r>
              <w:t xml:space="preserve">—</w:t>
            </w:r>
          </w:p>
        </w:tc>
        <w:tc>
          <w:tcPr/>
          <w:p>
            <w:pPr>
              <w:pStyle w:val="Compact"/>
              <w:jc w:val="right"/>
            </w:pPr>
            <w:r>
              <w:t xml:space="preserve">$2,012.93</w:t>
            </w:r>
          </w:p>
        </w:tc>
      </w:tr>
      <w:tr>
        <w:tc>
          <w:tcPr/>
          <w:p>
            <w:pPr>
              <w:pStyle w:val="Compact"/>
              <w:jc w:val="left"/>
            </w:pPr>
            <w:r>
              <w:t xml:space="preserve">Collected rents (July)</w:t>
            </w:r>
          </w:p>
        </w:tc>
        <w:tc>
          <w:tcPr/>
          <w:p>
            <w:pPr>
              <w:pStyle w:val="Compact"/>
              <w:jc w:val="right"/>
            </w:pPr>
            <w:r>
              <w:t xml:space="preserve">$12,941.95</w:t>
            </w:r>
          </w:p>
        </w:tc>
        <w:tc>
          <w:tcPr/>
          <w:p>
            <w:pPr>
              <w:pStyle w:val="Compact"/>
              <w:jc w:val="right"/>
            </w:pPr>
            <w:r>
              <w:t xml:space="preserve">—</w:t>
            </w:r>
          </w:p>
        </w:tc>
        <w:tc>
          <w:tcPr/>
          <w:p>
            <w:pPr>
              <w:pStyle w:val="Compact"/>
              <w:jc w:val="right"/>
            </w:pPr>
            <w:r>
              <w:t xml:space="preserve">—</w:t>
            </w:r>
          </w:p>
        </w:tc>
        <w:tc>
          <w:tcPr/>
          <w:p>
            <w:pPr>
              <w:pStyle w:val="Compact"/>
              <w:jc w:val="right"/>
            </w:pPr>
            <w:r>
              <w:t xml:space="preserve">$12,941.95</w:t>
            </w:r>
          </w:p>
        </w:tc>
      </w:tr>
      <w:tr>
        <w:tc>
          <w:tcPr/>
          <w:p>
            <w:pPr>
              <w:pStyle w:val="Compact"/>
              <w:jc w:val="left"/>
            </w:pPr>
            <w:r>
              <w:t xml:space="preserve">Security deposits (principal)</w:t>
            </w:r>
          </w:p>
        </w:tc>
        <w:tc>
          <w:tcPr/>
          <w:p>
            <w:pPr>
              <w:pStyle w:val="Compact"/>
              <w:jc w:val="right"/>
            </w:pPr>
            <w:r>
              <w:t xml:space="preserve">$32,400.00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$32,400.00</w:t>
            </w:r>
          </w:p>
        </w:tc>
      </w:tr>
      <w:tr>
        <w:tc>
          <w:tcPr/>
          <w:p>
            <w:pPr>
              <w:pStyle w:val="Compact"/>
              <w:jc w:val="left"/>
            </w:pPr>
            <w:r>
              <w:t xml:space="preserve">Water &amp; sewer (unpaid balance)</w:t>
            </w:r>
          </w:p>
        </w:tc>
        <w:tc>
          <w:tcPr/>
          <w:p>
            <w:pPr>
              <w:pStyle w:val="Compact"/>
              <w:jc w:val="right"/>
            </w:pPr>
            <w:r>
              <w:t xml:space="preserve">$1,847.60</w:t>
            </w:r>
          </w:p>
        </w:tc>
        <w:tc>
          <w:tcPr/>
          <w:p>
            <w:pPr>
              <w:pStyle w:val="Compact"/>
              <w:jc w:val="right"/>
            </w:pPr>
            <w:r>
              <w:t xml:space="preserve">—</w:t>
            </w:r>
          </w:p>
        </w:tc>
        <w:tc>
          <w:tcPr/>
          <w:p>
            <w:pPr>
              <w:pStyle w:val="Compact"/>
              <w:jc w:val="right"/>
            </w:pPr>
            <w:r>
              <w:t xml:space="preserve">—</w:t>
            </w:r>
          </w:p>
        </w:tc>
        <w:tc>
          <w:tcPr/>
          <w:p>
            <w:pPr>
              <w:pStyle w:val="Compact"/>
              <w:jc w:val="right"/>
            </w:pPr>
            <w:r>
              <w:t xml:space="preserve">$1,847.60</w:t>
            </w:r>
          </w:p>
        </w:tc>
      </w:tr>
      <w:tr>
        <w:tc>
          <w:tcPr/>
          <w:p>
            <w:pPr>
              <w:pStyle w:val="Compact"/>
              <w:jc w:val="left"/>
            </w:pPr>
            <w:r>
              <w:t xml:space="preserve">Heating oil</w:t>
            </w:r>
          </w:p>
        </w:tc>
        <w:tc>
          <w:tcPr/>
          <w:p>
            <w:pPr>
              <w:pStyle w:val="Compact"/>
              <w:jc w:val="right"/>
            </w:pPr>
            <w:r>
              <w:t xml:space="preserve">—</w:t>
            </w:r>
          </w:p>
        </w:tc>
        <w:tc>
          <w:tcPr/>
          <w:p>
            <w:pPr>
              <w:pStyle w:val="Compact"/>
              <w:jc w:val="right"/>
            </w:pPr>
            <w:r>
              <w:t xml:space="preserve">$693.00</w:t>
            </w:r>
          </w:p>
        </w:tc>
        <w:tc>
          <w:tcPr/>
          <w:p>
            <w:pPr>
              <w:pStyle w:val="Compact"/>
              <w:jc w:val="right"/>
            </w:pPr>
            <w:r>
              <w:t xml:space="preserve">$693.00</w:t>
            </w:r>
          </w:p>
        </w:tc>
        <w:tc>
          <w:tcPr/>
          <w:p>
            <w:pPr>
              <w:pStyle w:val="Compact"/>
              <w:jc w:val="right"/>
            </w:pPr>
            <w:r>
              <w:t xml:space="preserve">—</w:t>
            </w:r>
          </w:p>
        </w:tc>
      </w:tr>
      <w:tr>
        <w:tc>
          <w:tcPr/>
          <w:p>
            <w:pPr>
              <w:pStyle w:val="Compact"/>
              <w:jc w:val="left"/>
            </w:pPr>
            <w:r>
              <w:rPr>
                <w:b/>
                <w:bCs/>
              </w:rPr>
              <w:t xml:space="preserve">Proration totals</w:t>
            </w:r>
          </w:p>
        </w:tc>
        <w:tc>
          <w:tcPr/>
          <w:p>
            <w:pPr>
              <w:pStyle w:val="Compact"/>
              <w:jc w:val="right"/>
            </w:pPr>
            <w:r>
              <w:rPr>
                <w:b/>
                <w:bCs/>
              </w:rPr>
              <w:t xml:space="preserve">$77,805.28</w:t>
            </w:r>
          </w:p>
        </w:tc>
        <w:tc>
          <w:tcPr/>
          <w:p>
            <w:pPr>
              <w:pStyle w:val="Compact"/>
              <w:jc w:val="right"/>
            </w:pPr>
            <w:r>
              <w:rPr>
                <w:b/>
                <w:bCs/>
              </w:rPr>
              <w:t xml:space="preserve">$693.00</w:t>
            </w:r>
          </w:p>
        </w:tc>
        <w:tc>
          <w:tcPr/>
          <w:p>
            <w:pPr>
              <w:pStyle w:val="Compact"/>
              <w:jc w:val="right"/>
            </w:pPr>
            <w:r>
              <w:rPr>
                <w:b/>
                <w:bCs/>
              </w:rPr>
              <w:t xml:space="preserve">$693.00</w:t>
            </w:r>
          </w:p>
        </w:tc>
        <w:tc>
          <w:tcPr/>
          <w:p>
            <w:pPr>
              <w:pStyle w:val="Compact"/>
              <w:jc w:val="right"/>
            </w:pPr>
            <w:r>
              <w:rPr>
                <w:b/>
                <w:bCs/>
              </w:rPr>
              <w:t xml:space="preserve">$49,202.48</w:t>
            </w:r>
          </w:p>
        </w:tc>
      </w:tr>
    </w:tbl>
    <w:p>
      <w:r>
        <w:pict>
          <v:rect style="width:0;height:1.5pt" o:hralign="center" o:hrstd="t" o:hr="t"/>
        </w:pict>
      </w:r>
    </w:p>
    <w:bookmarkEnd w:id="29"/>
    <w:bookmarkEnd w:id="30"/>
    <w:bookmarkStart w:id="31" w:name="Xb07d2c4738097f1636fdc3b9a0b02b9c6b40823"/>
    <w:p>
      <w:pPr>
        <w:pStyle w:val="Heading2"/>
      </w:pPr>
      <w:r>
        <w:t xml:space="preserve">SECTION 3 — LIEN PAYOFFS (Seller; paid from Seller’s proceeds)</w:t>
      </w:r>
    </w:p>
    <w:p>
      <w:pPr>
        <w:pStyle w:val="FirstParagraph"/>
      </w:pPr>
      <w:r>
        <w:t xml:space="preserve">All liens of record are discharged at closing per PSA §5.3. Payoff figures per lienholder payoff letters (compiled July 10, 2025). Both Harborstone payoffs are good through July 20, 2025; the July 15, 2025 closing falls within the good-through period, so no per-diem adjustment applies. Recording fees for releases are shown in Section 4 (Seller expense).</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Lien</w:t>
            </w:r>
          </w:p>
        </w:tc>
        <w:tc>
          <w:tcPr/>
          <w:p>
            <w:pPr>
              <w:pStyle w:val="Compact"/>
              <w:jc w:val="left"/>
            </w:pPr>
            <w:r>
              <w:t xml:space="preserve">Holder</w:t>
            </w:r>
          </w:p>
        </w:tc>
        <w:tc>
          <w:tcPr/>
          <w:p>
            <w:pPr>
              <w:pStyle w:val="Compact"/>
              <w:jc w:val="left"/>
            </w:pPr>
            <w:r>
              <w:t xml:space="preserve">Recorded Reference (per title commitment)</w:t>
            </w:r>
          </w:p>
        </w:tc>
        <w:tc>
          <w:tcPr/>
          <w:p>
            <w:pPr>
              <w:pStyle w:val="Compact"/>
              <w:jc w:val="right"/>
            </w:pPr>
            <w:r>
              <w:t xml:space="preserve">Payoff Amount</w:t>
            </w:r>
          </w:p>
        </w:tc>
      </w:tr>
      <w:tr>
        <w:tc>
          <w:tcPr/>
          <w:p>
            <w:pPr>
              <w:pStyle w:val="Compact"/>
              <w:jc w:val="left"/>
            </w:pPr>
            <w:r>
              <w:t xml:space="preserve">First Mortgage</w:t>
            </w:r>
          </w:p>
        </w:tc>
        <w:tc>
          <w:tcPr/>
          <w:p>
            <w:pPr>
              <w:pStyle w:val="Compact"/>
              <w:jc w:val="left"/>
            </w:pPr>
            <w:r>
              <w:t xml:space="preserve">Harborstone Federal Credit Union (Loan No. 2015-MTG-008174)</w:t>
            </w:r>
          </w:p>
        </w:tc>
        <w:tc>
          <w:tcPr/>
          <w:p>
            <w:pPr>
              <w:pStyle w:val="Compact"/>
              <w:jc w:val="left"/>
            </w:pPr>
            <w:r>
              <w:t xml:space="preserve">Vol. 1087, Pg. 445</w:t>
            </w:r>
          </w:p>
        </w:tc>
        <w:tc>
          <w:tcPr/>
          <w:p>
            <w:pPr>
              <w:pStyle w:val="Compact"/>
              <w:jc w:val="right"/>
            </w:pPr>
            <w:r>
              <w:t xml:space="preserve">$687,412.33</w:t>
            </w:r>
          </w:p>
        </w:tc>
      </w:tr>
      <w:tr>
        <w:tc>
          <w:tcPr/>
          <w:p>
            <w:pPr>
              <w:pStyle w:val="Compact"/>
              <w:jc w:val="left"/>
            </w:pPr>
            <w:r>
              <w:t xml:space="preserve">Home Equity Line of Credit</w:t>
            </w:r>
          </w:p>
        </w:tc>
        <w:tc>
          <w:tcPr/>
          <w:p>
            <w:pPr>
              <w:pStyle w:val="Compact"/>
              <w:jc w:val="left"/>
            </w:pPr>
            <w:r>
              <w:t xml:space="preserve">Harborstone Federal Credit Union (Loan No. 2018-HEL-003291)</w:t>
            </w:r>
          </w:p>
        </w:tc>
        <w:tc>
          <w:tcPr/>
          <w:p>
            <w:pPr>
              <w:pStyle w:val="Compact"/>
              <w:jc w:val="left"/>
            </w:pPr>
            <w:r>
              <w:t xml:space="preserve">Vol. 1204, Pg. 218</w:t>
            </w:r>
          </w:p>
        </w:tc>
        <w:tc>
          <w:tcPr/>
          <w:p>
            <w:pPr>
              <w:pStyle w:val="Compact"/>
              <w:jc w:val="right"/>
            </w:pPr>
            <w:r>
              <w:t xml:space="preserve">$148,219.56</w:t>
            </w:r>
          </w:p>
        </w:tc>
      </w:tr>
      <w:tr>
        <w:tc>
          <w:tcPr/>
          <w:p>
            <w:pPr>
              <w:pStyle w:val="Compact"/>
              <w:jc w:val="left"/>
            </w:pPr>
            <w:r>
              <w:t xml:space="preserve">Mechanic’s Lien (settled)</w:t>
            </w:r>
          </w:p>
        </w:tc>
        <w:tc>
          <w:tcPr/>
          <w:p>
            <w:pPr>
              <w:pStyle w:val="Compact"/>
              <w:jc w:val="left"/>
            </w:pPr>
            <w:r>
              <w:t xml:space="preserve">Northbridge Construction Co.</w:t>
            </w:r>
          </w:p>
        </w:tc>
        <w:tc>
          <w:tcPr/>
          <w:p>
            <w:pPr>
              <w:pStyle w:val="Compact"/>
              <w:jc w:val="left"/>
            </w:pPr>
            <w:r>
              <w:t xml:space="preserve">Vol. 1398, Pg. 77</w:t>
            </w:r>
          </w:p>
        </w:tc>
        <w:tc>
          <w:tcPr/>
          <w:p>
            <w:pPr>
              <w:pStyle w:val="Compact"/>
              <w:jc w:val="right"/>
            </w:pPr>
            <w:r>
              <w:t xml:space="preserve">$31,000.00</w:t>
            </w:r>
          </w:p>
        </w:tc>
      </w:tr>
      <w:tr>
        <w:tc>
          <w:tcPr/>
          <w:p>
            <w:pPr>
              <w:pStyle w:val="Compact"/>
              <w:jc w:val="left"/>
            </w:pPr>
            <w:r>
              <w:t xml:space="preserve">CT DRS Estate Tax Lien</w:t>
            </w:r>
          </w:p>
        </w:tc>
        <w:tc>
          <w:tcPr/>
          <w:p>
            <w:pPr>
              <w:pStyle w:val="Compact"/>
              <w:jc w:val="left"/>
            </w:pPr>
            <w:r>
              <w:t xml:space="preserve">Connecticut DRS (Release Cert. ETL-2025-08834)</w:t>
            </w:r>
          </w:p>
        </w:tc>
        <w:tc>
          <w:tcPr/>
          <w:p>
            <w:pPr>
              <w:pStyle w:val="Compact"/>
              <w:jc w:val="left"/>
            </w:pPr>
            <w:r>
              <w:t xml:space="preserve">—</w:t>
            </w:r>
          </w:p>
        </w:tc>
        <w:tc>
          <w:tcPr/>
          <w:p>
            <w:pPr>
              <w:pStyle w:val="Compact"/>
              <w:jc w:val="right"/>
            </w:pPr>
            <w:r>
              <w:t xml:space="preserve">$0.00</w:t>
            </w:r>
          </w:p>
        </w:tc>
      </w:tr>
      <w:tr>
        <w:tc>
          <w:tcPr/>
          <w:p>
            <w:pPr>
              <w:pStyle w:val="Compact"/>
              <w:jc w:val="left"/>
            </w:pPr>
            <w:r>
              <w:rPr>
                <w:b/>
                <w:bCs/>
              </w:rPr>
              <w:t xml:space="preserve">Total lien payoffs — DEBIT SELLER</w:t>
            </w:r>
          </w:p>
        </w:tc>
        <w:tc>
          <w:tcPr/>
          <w:p>
            <w:pPr>
              <w:pStyle w:val="Compact"/>
            </w:pPr>
          </w:p>
        </w:tc>
        <w:tc>
          <w:tcPr/>
          <w:p>
            <w:pPr>
              <w:pStyle w:val="Compact"/>
            </w:pPr>
          </w:p>
        </w:tc>
        <w:tc>
          <w:tcPr/>
          <w:p>
            <w:pPr>
              <w:pStyle w:val="Compact"/>
              <w:jc w:val="right"/>
            </w:pPr>
            <w:r>
              <w:rPr>
                <w:b/>
                <w:bCs/>
              </w:rPr>
              <w:t xml:space="preserve">$866,631.89</w:t>
            </w:r>
          </w:p>
        </w:tc>
      </w:tr>
    </w:tbl>
    <w:p>
      <w:pPr>
        <w:pStyle w:val="BodyText"/>
      </w:pPr>
      <w:r>
        <w:rPr>
          <w:i/>
          <w:iCs/>
        </w:rPr>
        <w:t xml:space="preserve">The CT DRS estate tax lien requires only recording of a release/certificate of no tax due (no monetary payoff; estate is below the CT estate tax threshold). Recording fee $73.00 is charged to Seller in Section 4.</w:t>
      </w:r>
    </w:p>
    <w:p>
      <w:r>
        <w:pict>
          <v:rect style="width:0;height:1.5pt" o:hralign="center" o:hrstd="t" o:hr="t"/>
        </w:pict>
      </w:r>
    </w:p>
    <w:bookmarkEnd w:id="31"/>
    <w:bookmarkStart w:id="35" w:name="section-4-closing-costs-and-charges"/>
    <w:p>
      <w:pPr>
        <w:pStyle w:val="Heading2"/>
      </w:pPr>
      <w:r>
        <w:t xml:space="preserve">SECTION 4 — CLOSING COSTS AND CHARGES</w:t>
      </w:r>
    </w:p>
    <w:bookmarkStart w:id="32" w:name="seller-charges"/>
    <w:p>
      <w:pPr>
        <w:pStyle w:val="Heading3"/>
      </w:pPr>
      <w:r>
        <w:t xml:space="preserve">4.1 Seller Charges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Basis / Authority</w:t>
            </w:r>
          </w:p>
        </w:tc>
        <w:tc>
          <w:tcPr/>
          <w:p>
            <w:pPr>
              <w:pStyle w:val="Compact"/>
              <w:jc w:val="right"/>
            </w:pPr>
            <w:r>
              <w:t xml:space="preserve">Amount</w:t>
            </w:r>
          </w:p>
        </w:tc>
      </w:tr>
      <w:tr>
        <w:tc>
          <w:tcPr/>
          <w:p>
            <w:pPr>
              <w:pStyle w:val="Compact"/>
              <w:jc w:val="left"/>
            </w:pPr>
            <w:r>
              <w:t xml:space="preserve">Harborstone FCU — first mortgage payoff</w:t>
            </w:r>
          </w:p>
        </w:tc>
        <w:tc>
          <w:tcPr/>
          <w:p>
            <w:pPr>
              <w:pStyle w:val="Compact"/>
              <w:jc w:val="left"/>
            </w:pPr>
            <w:r>
              <w:t xml:space="preserve">PSA §5.3(a); payoff letter</w:t>
            </w:r>
          </w:p>
        </w:tc>
        <w:tc>
          <w:tcPr/>
          <w:p>
            <w:pPr>
              <w:pStyle w:val="Compact"/>
              <w:jc w:val="right"/>
            </w:pPr>
            <w:r>
              <w:t xml:space="preserve">$687,412.33</w:t>
            </w:r>
          </w:p>
        </w:tc>
      </w:tr>
      <w:tr>
        <w:tc>
          <w:tcPr/>
          <w:p>
            <w:pPr>
              <w:pStyle w:val="Compact"/>
              <w:jc w:val="left"/>
            </w:pPr>
            <w:r>
              <w:t xml:space="preserve">Harborstone FCU — HELOC payoff</w:t>
            </w:r>
          </w:p>
        </w:tc>
        <w:tc>
          <w:tcPr/>
          <w:p>
            <w:pPr>
              <w:pStyle w:val="Compact"/>
              <w:jc w:val="left"/>
            </w:pPr>
            <w:r>
              <w:t xml:space="preserve">PSA §5.3(b); payoff letter</w:t>
            </w:r>
          </w:p>
        </w:tc>
        <w:tc>
          <w:tcPr/>
          <w:p>
            <w:pPr>
              <w:pStyle w:val="Compact"/>
              <w:jc w:val="right"/>
            </w:pPr>
            <w:r>
              <w:t xml:space="preserve">$148,219.56</w:t>
            </w:r>
          </w:p>
        </w:tc>
      </w:tr>
      <w:tr>
        <w:tc>
          <w:tcPr/>
          <w:p>
            <w:pPr>
              <w:pStyle w:val="Compact"/>
              <w:jc w:val="left"/>
            </w:pPr>
            <w:r>
              <w:t xml:space="preserve">Northbridge Construction Co. — mechanic’s lien settlement</w:t>
            </w:r>
          </w:p>
        </w:tc>
        <w:tc>
          <w:tcPr/>
          <w:p>
            <w:pPr>
              <w:pStyle w:val="Compact"/>
              <w:jc w:val="left"/>
            </w:pPr>
            <w:r>
              <w:t xml:space="preserve">PSA §5.3(c); settlement letter</w:t>
            </w:r>
          </w:p>
        </w:tc>
        <w:tc>
          <w:tcPr/>
          <w:p>
            <w:pPr>
              <w:pStyle w:val="Compact"/>
              <w:jc w:val="right"/>
            </w:pPr>
            <w:r>
              <w:t xml:space="preserve">$31,000.00</w:t>
            </w:r>
          </w:p>
        </w:tc>
      </w:tr>
      <w:tr>
        <w:tc>
          <w:tcPr/>
          <w:p>
            <w:pPr>
              <w:pStyle w:val="Compact"/>
              <w:jc w:val="left"/>
            </w:pPr>
            <w:r>
              <w:t xml:space="preserve">Delinquent real property tax + interest (to City of Bridgeport)</w:t>
            </w:r>
          </w:p>
        </w:tc>
        <w:tc>
          <w:tcPr/>
          <w:p>
            <w:pPr>
              <w:pStyle w:val="Compact"/>
              <w:jc w:val="left"/>
            </w:pPr>
            <w:r>
              <w:t xml:space="preserve">PSA §7.1(a), §9.8; tax cert.</w:t>
            </w:r>
          </w:p>
        </w:tc>
        <w:tc>
          <w:tcPr/>
          <w:p>
            <w:pPr>
              <w:pStyle w:val="Compact"/>
              <w:jc w:val="right"/>
            </w:pPr>
            <w:r>
              <w:t xml:space="preserve">$28,602.80</w:t>
            </w:r>
          </w:p>
        </w:tc>
      </w:tr>
      <w:tr>
        <w:tc>
          <w:tcPr/>
          <w:p>
            <w:pPr>
              <w:pStyle w:val="Compact"/>
              <w:jc w:val="left"/>
            </w:pPr>
            <w:r>
              <w:t xml:space="preserve">Owner’s title insurance premium ($3,900,000 policy)</w:t>
            </w:r>
          </w:p>
        </w:tc>
        <w:tc>
          <w:tcPr/>
          <w:p>
            <w:pPr>
              <w:pStyle w:val="Compact"/>
              <w:jc w:val="left"/>
            </w:pPr>
            <w:r>
              <w:t xml:space="preserve">PSA §5.4(a), §6.4</w:t>
            </w:r>
          </w:p>
        </w:tc>
        <w:tc>
          <w:tcPr/>
          <w:p>
            <w:pPr>
              <w:pStyle w:val="Compact"/>
              <w:jc w:val="right"/>
            </w:pPr>
            <w:r>
              <w:t xml:space="preserve">$8,275.00</w:t>
            </w:r>
          </w:p>
        </w:tc>
      </w:tr>
      <w:tr>
        <w:tc>
          <w:tcPr/>
          <w:p>
            <w:pPr>
              <w:pStyle w:val="Compact"/>
              <w:jc w:val="left"/>
            </w:pPr>
            <w:r>
              <w:t xml:space="preserve">Connecticut Real Estate Conveyance Tax (50%)</w:t>
            </w:r>
          </w:p>
        </w:tc>
        <w:tc>
          <w:tcPr/>
          <w:p>
            <w:pPr>
              <w:pStyle w:val="Compact"/>
              <w:jc w:val="left"/>
            </w:pPr>
            <w:r>
              <w:t xml:space="preserve">PSA §12.1; title est.</w:t>
            </w:r>
          </w:p>
        </w:tc>
        <w:tc>
          <w:tcPr/>
          <w:p>
            <w:pPr>
              <w:pStyle w:val="Compact"/>
              <w:jc w:val="right"/>
            </w:pPr>
            <w:r>
              <w:t xml:space="preserve">$22,375.00</w:t>
            </w:r>
          </w:p>
        </w:tc>
      </w:tr>
      <w:tr>
        <w:tc>
          <w:tcPr/>
          <w:p>
            <w:pPr>
              <w:pStyle w:val="Compact"/>
              <w:jc w:val="left"/>
            </w:pPr>
            <w:r>
              <w:t xml:space="preserve">Seller’s attorney fees — Ashford, Clement &amp; Paige LLP</w:t>
            </w:r>
          </w:p>
        </w:tc>
        <w:tc>
          <w:tcPr/>
          <w:p>
            <w:pPr>
              <w:pStyle w:val="Compact"/>
              <w:jc w:val="left"/>
            </w:pPr>
            <w:r>
              <w:t xml:space="preserve">PSA §6.4</w:t>
            </w:r>
          </w:p>
        </w:tc>
        <w:tc>
          <w:tcPr/>
          <w:p>
            <w:pPr>
              <w:pStyle w:val="Compact"/>
              <w:jc w:val="right"/>
            </w:pPr>
            <w:r>
              <w:t xml:space="preserve">$11,000.00</w:t>
            </w:r>
          </w:p>
        </w:tc>
      </w:tr>
      <w:tr>
        <w:tc>
          <w:tcPr/>
          <w:p>
            <w:pPr>
              <w:pStyle w:val="Compact"/>
              <w:jc w:val="left"/>
            </w:pPr>
            <w:r>
              <w:t xml:space="preserve">Repair escrow (roof) — held by Escrow Agent</w:t>
            </w:r>
          </w:p>
        </w:tc>
        <w:tc>
          <w:tcPr/>
          <w:p>
            <w:pPr>
              <w:pStyle w:val="Compact"/>
              <w:jc w:val="left"/>
            </w:pPr>
            <w:r>
              <w:t xml:space="preserve">PSA §8.4</w:t>
            </w:r>
          </w:p>
        </w:tc>
        <w:tc>
          <w:tcPr/>
          <w:p>
            <w:pPr>
              <w:pStyle w:val="Compact"/>
              <w:jc w:val="right"/>
            </w:pPr>
            <w:r>
              <w:t xml:space="preserve">$45,000.00</w:t>
            </w:r>
          </w:p>
        </w:tc>
      </w:tr>
      <w:tr>
        <w:tc>
          <w:tcPr/>
          <w:p>
            <w:pPr>
              <w:pStyle w:val="Compact"/>
              <w:jc w:val="left"/>
            </w:pPr>
            <w:r>
              <w:t xml:space="preserve">Management agreement termination fee — Bayshore Mgmt. Co.</w:t>
            </w:r>
          </w:p>
        </w:tc>
        <w:tc>
          <w:tcPr/>
          <w:p>
            <w:pPr>
              <w:pStyle w:val="Compact"/>
              <w:jc w:val="left"/>
            </w:pPr>
            <w:r>
              <w:t xml:space="preserve">PSA §6.4; Mgmt. Agmt §11.2</w:t>
            </w:r>
          </w:p>
        </w:tc>
        <w:tc>
          <w:tcPr/>
          <w:p>
            <w:pPr>
              <w:pStyle w:val="Compact"/>
              <w:jc w:val="right"/>
            </w:pPr>
            <w:r>
              <w:t xml:space="preserve">$4,500.00</w:t>
            </w:r>
          </w:p>
        </w:tc>
      </w:tr>
      <w:tr>
        <w:tc>
          <w:tcPr/>
          <w:p>
            <w:pPr>
              <w:pStyle w:val="Compact"/>
              <w:jc w:val="left"/>
            </w:pPr>
            <w:r>
              <w:t xml:space="preserve">Seller recording fees (4 releases @ $73)</w:t>
            </w:r>
          </w:p>
        </w:tc>
        <w:tc>
          <w:tcPr/>
          <w:p>
            <w:pPr>
              <w:pStyle w:val="Compact"/>
              <w:jc w:val="left"/>
            </w:pPr>
            <w:r>
              <w:t xml:space="preserve">PSA §6.4</w:t>
            </w:r>
          </w:p>
        </w:tc>
        <w:tc>
          <w:tcPr/>
          <w:p>
            <w:pPr>
              <w:pStyle w:val="Compact"/>
              <w:jc w:val="right"/>
            </w:pPr>
            <w:r>
              <w:t xml:space="preserve">$292.00</w:t>
            </w:r>
          </w:p>
        </w:tc>
      </w:tr>
      <w:tr>
        <w:tc>
          <w:tcPr/>
          <w:p>
            <w:pPr>
              <w:pStyle w:val="Compact"/>
              <w:jc w:val="left"/>
            </w:pPr>
            <w:r>
              <w:t xml:space="preserve">Probate Court Certificate</w:t>
            </w:r>
          </w:p>
        </w:tc>
        <w:tc>
          <w:tcPr/>
          <w:p>
            <w:pPr>
              <w:pStyle w:val="Compact"/>
              <w:jc w:val="left"/>
            </w:pPr>
            <w:r>
              <w:t xml:space="preserve">PSA §6.2(e), §6.4</w:t>
            </w:r>
          </w:p>
        </w:tc>
        <w:tc>
          <w:tcPr/>
          <w:p>
            <w:pPr>
              <w:pStyle w:val="Compact"/>
              <w:jc w:val="right"/>
            </w:pPr>
            <w:r>
              <w:t xml:space="preserve">$150.00</w:t>
            </w:r>
          </w:p>
        </w:tc>
      </w:tr>
      <w:tr>
        <w:tc>
          <w:tcPr/>
          <w:p>
            <w:pPr>
              <w:pStyle w:val="Compact"/>
              <w:jc w:val="left"/>
            </w:pPr>
            <w:r>
              <w:t xml:space="preserve">Next-FY property tax proration (credit to Buyer)</w:t>
            </w:r>
          </w:p>
        </w:tc>
        <w:tc>
          <w:tcPr/>
          <w:p>
            <w:pPr>
              <w:pStyle w:val="Compact"/>
              <w:jc w:val="left"/>
            </w:pPr>
            <w:r>
              <w:t xml:space="preserve">PSA §7.1(b)</w:t>
            </w:r>
          </w:p>
        </w:tc>
        <w:tc>
          <w:tcPr/>
          <w:p>
            <w:pPr>
              <w:pStyle w:val="Compact"/>
              <w:jc w:val="right"/>
            </w:pPr>
            <w:r>
              <w:t xml:space="preserve">$2,012.93</w:t>
            </w:r>
          </w:p>
        </w:tc>
      </w:tr>
      <w:tr>
        <w:tc>
          <w:tcPr/>
          <w:p>
            <w:pPr>
              <w:pStyle w:val="Compact"/>
              <w:jc w:val="left"/>
            </w:pPr>
            <w:r>
              <w:t xml:space="preserve">Collected-rent proration (credit to Buyer)</w:t>
            </w:r>
          </w:p>
        </w:tc>
        <w:tc>
          <w:tcPr/>
          <w:p>
            <w:pPr>
              <w:pStyle w:val="Compact"/>
              <w:jc w:val="left"/>
            </w:pPr>
            <w:r>
              <w:t xml:space="preserve">PSA §7.2</w:t>
            </w:r>
          </w:p>
        </w:tc>
        <w:tc>
          <w:tcPr/>
          <w:p>
            <w:pPr>
              <w:pStyle w:val="Compact"/>
              <w:jc w:val="right"/>
            </w:pPr>
            <w:r>
              <w:t xml:space="preserve">$12,941.95</w:t>
            </w:r>
          </w:p>
        </w:tc>
      </w:tr>
      <w:tr>
        <w:tc>
          <w:tcPr/>
          <w:p>
            <w:pPr>
              <w:pStyle w:val="Compact"/>
              <w:jc w:val="left"/>
            </w:pPr>
            <w:r>
              <w:t xml:space="preserve">Security deposits (credit to Buyer)</w:t>
            </w:r>
          </w:p>
        </w:tc>
        <w:tc>
          <w:tcPr/>
          <w:p>
            <w:pPr>
              <w:pStyle w:val="Compact"/>
              <w:jc w:val="left"/>
            </w:pPr>
            <w:r>
              <w:t xml:space="preserve">PSA §7.4</w:t>
            </w:r>
          </w:p>
        </w:tc>
        <w:tc>
          <w:tcPr/>
          <w:p>
            <w:pPr>
              <w:pStyle w:val="Compact"/>
              <w:jc w:val="right"/>
            </w:pPr>
            <w:r>
              <w:t xml:space="preserve">$32,400.00</w:t>
            </w:r>
          </w:p>
        </w:tc>
      </w:tr>
      <w:tr>
        <w:tc>
          <w:tcPr/>
          <w:p>
            <w:pPr>
              <w:pStyle w:val="Compact"/>
              <w:jc w:val="left"/>
            </w:pPr>
            <w:r>
              <w:t xml:space="preserve">Water &amp; sewer proration (credit to Buyer)</w:t>
            </w:r>
          </w:p>
        </w:tc>
        <w:tc>
          <w:tcPr/>
          <w:p>
            <w:pPr>
              <w:pStyle w:val="Compact"/>
              <w:jc w:val="left"/>
            </w:pPr>
            <w:r>
              <w:t xml:space="preserve">PSA §7.5(a)</w:t>
            </w:r>
          </w:p>
        </w:tc>
        <w:tc>
          <w:tcPr/>
          <w:p>
            <w:pPr>
              <w:pStyle w:val="Compact"/>
              <w:jc w:val="right"/>
            </w:pPr>
            <w:r>
              <w:t xml:space="preserve">$1,847.60</w:t>
            </w:r>
          </w:p>
        </w:tc>
      </w:tr>
      <w:tr>
        <w:tc>
          <w:tcPr/>
          <w:p>
            <w:pPr>
              <w:pStyle w:val="Compact"/>
              <w:jc w:val="left"/>
            </w:pPr>
            <w:r>
              <w:rPr>
                <w:b/>
                <w:bCs/>
              </w:rPr>
              <w:t xml:space="preserve">Total Seller charges</w:t>
            </w:r>
          </w:p>
        </w:tc>
        <w:tc>
          <w:tcPr/>
          <w:p>
            <w:pPr>
              <w:pStyle w:val="Compact"/>
            </w:pPr>
          </w:p>
        </w:tc>
        <w:tc>
          <w:tcPr/>
          <w:p>
            <w:pPr>
              <w:pStyle w:val="Compact"/>
              <w:jc w:val="right"/>
            </w:pPr>
            <w:r>
              <w:rPr>
                <w:b/>
                <w:bCs/>
              </w:rPr>
              <w:t xml:space="preserve">$1,036,029.17</w:t>
            </w:r>
          </w:p>
        </w:tc>
      </w:tr>
    </w:tbl>
    <w:bookmarkEnd w:id="32"/>
    <w:bookmarkStart w:id="33" w:name="buyer-charges"/>
    <w:p>
      <w:pPr>
        <w:pStyle w:val="Heading3"/>
      </w:pPr>
      <w:r>
        <w:t xml:space="preserve">4.2 Buyer Charges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Basis / Authority</w:t>
            </w:r>
          </w:p>
        </w:tc>
        <w:tc>
          <w:tcPr/>
          <w:p>
            <w:pPr>
              <w:pStyle w:val="Compact"/>
              <w:jc w:val="right"/>
            </w:pPr>
            <w:r>
              <w:t xml:space="preserve">Amount</w:t>
            </w:r>
          </w:p>
        </w:tc>
      </w:tr>
      <w:tr>
        <w:tc>
          <w:tcPr/>
          <w:p>
            <w:pPr>
              <w:pStyle w:val="Compact"/>
              <w:jc w:val="left"/>
            </w:pPr>
            <w:r>
              <w:t xml:space="preserve">Loan origination fee (1.00% of $2,640,000) — Tidewater Savings Bank</w:t>
            </w:r>
          </w:p>
        </w:tc>
        <w:tc>
          <w:tcPr/>
          <w:p>
            <w:pPr>
              <w:pStyle w:val="Compact"/>
              <w:jc w:val="left"/>
            </w:pPr>
            <w:r>
              <w:t xml:space="preserve">PSA §3.3, §6.4; Lender §4.1</w:t>
            </w:r>
          </w:p>
        </w:tc>
        <w:tc>
          <w:tcPr/>
          <w:p>
            <w:pPr>
              <w:pStyle w:val="Compact"/>
              <w:jc w:val="right"/>
            </w:pPr>
            <w:r>
              <w:t xml:space="preserve">$26,400.00</w:t>
            </w:r>
          </w:p>
        </w:tc>
      </w:tr>
      <w:tr>
        <w:tc>
          <w:tcPr/>
          <w:p>
            <w:pPr>
              <w:pStyle w:val="Compact"/>
              <w:jc w:val="left"/>
            </w:pPr>
            <w:r>
              <w:t xml:space="preserve">Connecticut Real Estate Conveyance Tax (50%)</w:t>
            </w:r>
          </w:p>
        </w:tc>
        <w:tc>
          <w:tcPr/>
          <w:p>
            <w:pPr>
              <w:pStyle w:val="Compact"/>
              <w:jc w:val="left"/>
            </w:pPr>
            <w:r>
              <w:t xml:space="preserve">PSA §12.1; title est.</w:t>
            </w:r>
          </w:p>
        </w:tc>
        <w:tc>
          <w:tcPr/>
          <w:p>
            <w:pPr>
              <w:pStyle w:val="Compact"/>
              <w:jc w:val="right"/>
            </w:pPr>
            <w:r>
              <w:t xml:space="preserve">$22,375.00</w:t>
            </w:r>
          </w:p>
        </w:tc>
      </w:tr>
      <w:tr>
        <w:tc>
          <w:tcPr/>
          <w:p>
            <w:pPr>
              <w:pStyle w:val="Compact"/>
              <w:jc w:val="left"/>
            </w:pPr>
            <w:r>
              <w:t xml:space="preserve">Buyer’s attorney fees — Ridgeline Law Group PLLC</w:t>
            </w:r>
          </w:p>
        </w:tc>
        <w:tc>
          <w:tcPr/>
          <w:p>
            <w:pPr>
              <w:pStyle w:val="Compact"/>
              <w:jc w:val="left"/>
            </w:pPr>
            <w:r>
              <w:t xml:space="preserve">PSA §6.4</w:t>
            </w:r>
          </w:p>
        </w:tc>
        <w:tc>
          <w:tcPr/>
          <w:p>
            <w:pPr>
              <w:pStyle w:val="Compact"/>
              <w:jc w:val="right"/>
            </w:pPr>
            <w:r>
              <w:t xml:space="preserve">$12,500.00</w:t>
            </w:r>
          </w:p>
        </w:tc>
      </w:tr>
      <w:tr>
        <w:tc>
          <w:tcPr/>
          <w:p>
            <w:pPr>
              <w:pStyle w:val="Compact"/>
              <w:jc w:val="left"/>
            </w:pPr>
            <w:r>
              <w:t xml:space="preserve">Lender’s title insurance premium (simultaneous issue)</w:t>
            </w:r>
          </w:p>
        </w:tc>
        <w:tc>
          <w:tcPr/>
          <w:p>
            <w:pPr>
              <w:pStyle w:val="Compact"/>
              <w:jc w:val="left"/>
            </w:pPr>
            <w:r>
              <w:t xml:space="preserve">PSA §5.4(b), §6.4</w:t>
            </w:r>
          </w:p>
        </w:tc>
        <w:tc>
          <w:tcPr/>
          <w:p>
            <w:pPr>
              <w:pStyle w:val="Compact"/>
              <w:jc w:val="right"/>
            </w:pPr>
            <w:r>
              <w:t xml:space="preserve">$3,850.00</w:t>
            </w:r>
          </w:p>
        </w:tc>
      </w:tr>
      <w:tr>
        <w:tc>
          <w:tcPr/>
          <w:p>
            <w:pPr>
              <w:pStyle w:val="Compact"/>
              <w:jc w:val="left"/>
            </w:pPr>
            <w:r>
              <w:t xml:space="preserve">Title search and examination fee</w:t>
            </w:r>
          </w:p>
        </w:tc>
        <w:tc>
          <w:tcPr/>
          <w:p>
            <w:pPr>
              <w:pStyle w:val="Compact"/>
              <w:jc w:val="left"/>
            </w:pPr>
            <w:r>
              <w:t xml:space="preserve">PSA §5.4(c), §6.4</w:t>
            </w:r>
          </w:p>
        </w:tc>
        <w:tc>
          <w:tcPr/>
          <w:p>
            <w:pPr>
              <w:pStyle w:val="Compact"/>
              <w:jc w:val="right"/>
            </w:pPr>
            <w:r>
              <w:t xml:space="preserve">$1,250.00</w:t>
            </w:r>
          </w:p>
        </w:tc>
      </w:tr>
      <w:tr>
        <w:tc>
          <w:tcPr/>
          <w:p>
            <w:pPr>
              <w:pStyle w:val="Compact"/>
              <w:jc w:val="left"/>
            </w:pPr>
            <w:r>
              <w:t xml:space="preserve">Municipal lien search fee</w:t>
            </w:r>
          </w:p>
        </w:tc>
        <w:tc>
          <w:tcPr/>
          <w:p>
            <w:pPr>
              <w:pStyle w:val="Compact"/>
              <w:jc w:val="left"/>
            </w:pPr>
            <w:r>
              <w:t xml:space="preserve">PSA §5.4(c), §6.4</w:t>
            </w:r>
          </w:p>
        </w:tc>
        <w:tc>
          <w:tcPr/>
          <w:p>
            <w:pPr>
              <w:pStyle w:val="Compact"/>
              <w:jc w:val="right"/>
            </w:pPr>
            <w:r>
              <w:t xml:space="preserve">$250.00</w:t>
            </w:r>
          </w:p>
        </w:tc>
      </w:tr>
      <w:tr>
        <w:tc>
          <w:tcPr/>
          <w:p>
            <w:pPr>
              <w:pStyle w:val="Compact"/>
              <w:jc w:val="left"/>
            </w:pPr>
            <w:r>
              <w:t xml:space="preserve">Buyer recording fees (deed $113 + mortgage $113 + assignment of leases $113)</w:t>
            </w:r>
          </w:p>
        </w:tc>
        <w:tc>
          <w:tcPr/>
          <w:p>
            <w:pPr>
              <w:pStyle w:val="Compact"/>
              <w:jc w:val="left"/>
            </w:pPr>
            <w:r>
              <w:t xml:space="preserve">PSA §6.4</w:t>
            </w:r>
          </w:p>
        </w:tc>
        <w:tc>
          <w:tcPr/>
          <w:p>
            <w:pPr>
              <w:pStyle w:val="Compact"/>
              <w:jc w:val="right"/>
            </w:pPr>
            <w:r>
              <w:t xml:space="preserve">$339.00</w:t>
            </w:r>
          </w:p>
        </w:tc>
      </w:tr>
      <w:tr>
        <w:tc>
          <w:tcPr/>
          <w:p>
            <w:pPr>
              <w:pStyle w:val="Compact"/>
              <w:jc w:val="left"/>
            </w:pPr>
            <w:r>
              <w:t xml:space="preserve">Tax service fee</w:t>
            </w:r>
          </w:p>
        </w:tc>
        <w:tc>
          <w:tcPr/>
          <w:p>
            <w:pPr>
              <w:pStyle w:val="Compact"/>
              <w:jc w:val="left"/>
            </w:pPr>
            <w:r>
              <w:t xml:space="preserve">PSA §6.4; Lender §4.1</w:t>
            </w:r>
          </w:p>
        </w:tc>
        <w:tc>
          <w:tcPr/>
          <w:p>
            <w:pPr>
              <w:pStyle w:val="Compact"/>
              <w:jc w:val="right"/>
            </w:pPr>
            <w:r>
              <w:t xml:space="preserve">$85.00</w:t>
            </w:r>
          </w:p>
        </w:tc>
      </w:tr>
      <w:tr>
        <w:tc>
          <w:tcPr/>
          <w:p>
            <w:pPr>
              <w:pStyle w:val="Compact"/>
              <w:jc w:val="left"/>
            </w:pPr>
            <w:r>
              <w:t xml:space="preserve">Flood certification fee</w:t>
            </w:r>
          </w:p>
        </w:tc>
        <w:tc>
          <w:tcPr/>
          <w:p>
            <w:pPr>
              <w:pStyle w:val="Compact"/>
              <w:jc w:val="left"/>
            </w:pPr>
            <w:r>
              <w:t xml:space="preserve">PSA §6.4; Lender §4.1</w:t>
            </w:r>
          </w:p>
        </w:tc>
        <w:tc>
          <w:tcPr/>
          <w:p>
            <w:pPr>
              <w:pStyle w:val="Compact"/>
              <w:jc w:val="right"/>
            </w:pPr>
            <w:r>
              <w:t xml:space="preserve">$25.00</w:t>
            </w:r>
          </w:p>
        </w:tc>
      </w:tr>
      <w:tr>
        <w:tc>
          <w:tcPr/>
          <w:p>
            <w:pPr>
              <w:pStyle w:val="Compact"/>
              <w:jc w:val="left"/>
            </w:pPr>
            <w:r>
              <w:t xml:space="preserve">Heating-oil reimbursement (credit to Seller)</w:t>
            </w:r>
          </w:p>
        </w:tc>
        <w:tc>
          <w:tcPr/>
          <w:p>
            <w:pPr>
              <w:pStyle w:val="Compact"/>
              <w:jc w:val="left"/>
            </w:pPr>
            <w:r>
              <w:t xml:space="preserve">PSA §7.6; inspection report</w:t>
            </w:r>
          </w:p>
        </w:tc>
        <w:tc>
          <w:tcPr/>
          <w:p>
            <w:pPr>
              <w:pStyle w:val="Compact"/>
              <w:jc w:val="right"/>
            </w:pPr>
            <w:r>
              <w:t xml:space="preserve">$693.00</w:t>
            </w:r>
          </w:p>
        </w:tc>
      </w:tr>
      <w:tr>
        <w:tc>
          <w:tcPr/>
          <w:p>
            <w:pPr>
              <w:pStyle w:val="Compact"/>
              <w:jc w:val="left"/>
            </w:pPr>
            <w:r>
              <w:rPr>
                <w:b/>
                <w:bCs/>
              </w:rPr>
              <w:t xml:space="preserve">Total Buyer charges</w:t>
            </w:r>
          </w:p>
        </w:tc>
        <w:tc>
          <w:tcPr/>
          <w:p>
            <w:pPr>
              <w:pStyle w:val="Compact"/>
            </w:pPr>
          </w:p>
        </w:tc>
        <w:tc>
          <w:tcPr/>
          <w:p>
            <w:pPr>
              <w:pStyle w:val="Compact"/>
              <w:jc w:val="right"/>
            </w:pPr>
            <w:r>
              <w:rPr>
                <w:b/>
                <w:bCs/>
              </w:rPr>
              <w:t xml:space="preserve">$67,767.00</w:t>
            </w:r>
          </w:p>
        </w:tc>
      </w:tr>
    </w:tbl>
    <w:bookmarkEnd w:id="33"/>
    <w:bookmarkStart w:id="34" w:name="Xafbcf126c39ad11d99888fb31d4ae50dfc7c845"/>
    <w:p>
      <w:pPr>
        <w:pStyle w:val="Heading3"/>
      </w:pPr>
      <w:r>
        <w:t xml:space="preserve">4.3 Paid Outside of Closing (POC) — Disclosure Only</w:t>
      </w:r>
    </w:p>
    <w:p>
      <w:pPr>
        <w:pStyle w:val="FirstParagraph"/>
      </w:pPr>
      <w:r>
        <w:t xml:space="preserve">The following item was paid by Buyer prior to closing and is shown for transparency only. It carries</w:t>
      </w:r>
      <w:r>
        <w:t xml:space="preserve"> </w:t>
      </w:r>
      <w:r>
        <w:rPr>
          <w:b/>
          <w:bCs/>
        </w:rPr>
        <w:t xml:space="preserve">$0.00 impact</w:t>
      </w:r>
      <w:r>
        <w:t xml:space="preserve"> </w:t>
      </w:r>
      <w:r>
        <w:t xml:space="preserve">on Buyer’s cash-to-close and is</w:t>
      </w:r>
      <w:r>
        <w:t xml:space="preserve"> </w:t>
      </w:r>
      <w:r>
        <w:rPr>
          <w:b/>
          <w:bCs/>
        </w:rPr>
        <w:t xml:space="preserve">not</w:t>
      </w:r>
      <w:r>
        <w:t xml:space="preserve"> </w:t>
      </w:r>
      <w:r>
        <w:t xml:space="preserve">included in any debit/credit computation above (PSA §3.3; Lender Commitment §4.2).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Appraisal fee — Ashford Valuation Associates LLC</w:t>
            </w:r>
          </w:p>
        </w:tc>
        <w:tc>
          <w:tcPr/>
          <w:p>
            <w:pPr>
              <w:pStyle w:val="Compact"/>
              <w:jc w:val="left"/>
            </w:pPr>
            <w:r>
              <w:t xml:space="preserve">$4,500.00</w:t>
            </w:r>
          </w:p>
        </w:tc>
        <w:tc>
          <w:tcPr/>
          <w:p>
            <w:pPr>
              <w:pStyle w:val="Compact"/>
              <w:jc w:val="left"/>
            </w:pPr>
            <w:r>
              <w:t xml:space="preserve">POC — paid May 5, 2025</w:t>
            </w:r>
          </w:p>
        </w:tc>
      </w:tr>
    </w:tbl>
    <w:p>
      <w:r>
        <w:pict>
          <v:rect style="width:0;height:1.5pt" o:hralign="center" o:hrstd="t" o:hr="t"/>
        </w:pict>
      </w:r>
    </w:p>
    <w:bookmarkEnd w:id="34"/>
    <w:bookmarkEnd w:id="35"/>
    <w:bookmarkStart w:id="39" w:name="section-5-reconciliation-summary"/>
    <w:p>
      <w:pPr>
        <w:pStyle w:val="Heading2"/>
      </w:pPr>
      <w:r>
        <w:t xml:space="preserve">SECTION 5 — RECONCILIATION SUMMARY</w:t>
      </w:r>
    </w:p>
    <w:bookmarkStart w:id="36" w:name="sources-of-funds"/>
    <w:p>
      <w:pPr>
        <w:pStyle w:val="Heading3"/>
      </w:pPr>
      <w:r>
        <w:t xml:space="preserve">5.1 Sources of Funds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Buyer cash at closing (wire to Escrow Agent)</w:t>
            </w:r>
          </w:p>
        </w:tc>
        <w:tc>
          <w:tcPr/>
          <w:p>
            <w:pPr>
              <w:pStyle w:val="Compact"/>
              <w:jc w:val="right"/>
            </w:pPr>
            <w:r>
              <w:t xml:space="preserve">$1,083,564.52</w:t>
            </w:r>
          </w:p>
        </w:tc>
      </w:tr>
      <w:tr>
        <w:tc>
          <w:tcPr/>
          <w:p>
            <w:pPr>
              <w:pStyle w:val="Compact"/>
              <w:jc w:val="left"/>
            </w:pPr>
            <w:r>
              <w:t xml:space="preserve">Loan proceeds — Tidewater Savings Bank (first mortgage)</w:t>
            </w:r>
          </w:p>
        </w:tc>
        <w:tc>
          <w:tcPr/>
          <w:p>
            <w:pPr>
              <w:pStyle w:val="Compact"/>
              <w:jc w:val="right"/>
            </w:pPr>
            <w:r>
              <w:t xml:space="preserve">$2,640,000.00</w:t>
            </w:r>
          </w:p>
        </w:tc>
      </w:tr>
      <w:tr>
        <w:tc>
          <w:tcPr/>
          <w:p>
            <w:pPr>
              <w:pStyle w:val="Compact"/>
              <w:jc w:val="left"/>
            </w:pPr>
            <w:r>
              <w:t xml:space="preserve">Earnest money on deposit — Pinnacle Abstract &amp; Title LLC</w:t>
            </w:r>
          </w:p>
        </w:tc>
        <w:tc>
          <w:tcPr/>
          <w:p>
            <w:pPr>
              <w:pStyle w:val="Compact"/>
              <w:jc w:val="right"/>
            </w:pPr>
            <w:r>
              <w:t xml:space="preserve">$195,000.00</w:t>
            </w:r>
          </w:p>
        </w:tc>
      </w:tr>
      <w:tr>
        <w:tc>
          <w:tcPr/>
          <w:p>
            <w:pPr>
              <w:pStyle w:val="Compact"/>
              <w:jc w:val="left"/>
            </w:pPr>
            <w:r>
              <w:rPr>
                <w:b/>
                <w:bCs/>
              </w:rPr>
              <w:t xml:space="preserve">Total sources</w:t>
            </w:r>
          </w:p>
        </w:tc>
        <w:tc>
          <w:tcPr/>
          <w:p>
            <w:pPr>
              <w:pStyle w:val="Compact"/>
              <w:jc w:val="right"/>
            </w:pPr>
            <w:r>
              <w:rPr>
                <w:b/>
                <w:bCs/>
              </w:rPr>
              <w:t xml:space="preserve">$3,918,564.52</w:t>
            </w:r>
          </w:p>
        </w:tc>
      </w:tr>
    </w:tbl>
    <w:bookmarkEnd w:id="36"/>
    <w:bookmarkStart w:id="37" w:name="uses-of-funds-disbursements-at-closing"/>
    <w:p>
      <w:pPr>
        <w:pStyle w:val="Heading3"/>
      </w:pPr>
      <w:r>
        <w:t xml:space="preserve">5.2 Uses of Funds (Disbursements at Closing)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Disbursement / Payee</w:t>
            </w:r>
          </w:p>
        </w:tc>
        <w:tc>
          <w:tcPr/>
          <w:p>
            <w:pPr>
              <w:pStyle w:val="Compact"/>
              <w:jc w:val="right"/>
            </w:pPr>
            <w:r>
              <w:t xml:space="preserve">Amount</w:t>
            </w:r>
          </w:p>
        </w:tc>
      </w:tr>
      <w:tr>
        <w:tc>
          <w:tcPr/>
          <w:p>
            <w:pPr>
              <w:pStyle w:val="Compact"/>
              <w:jc w:val="left"/>
            </w:pPr>
            <w:r>
              <w:t xml:space="preserve">Net proceeds to Seller — Estate of Gerald T. Whitford</w:t>
            </w:r>
          </w:p>
        </w:tc>
        <w:tc>
          <w:tcPr/>
          <w:p>
            <w:pPr>
              <w:pStyle w:val="Compact"/>
              <w:jc w:val="right"/>
            </w:pPr>
            <w:r>
              <w:t xml:space="preserve">$2,864,663.83</w:t>
            </w:r>
          </w:p>
        </w:tc>
      </w:tr>
      <w:tr>
        <w:tc>
          <w:tcPr/>
          <w:p>
            <w:pPr>
              <w:pStyle w:val="Compact"/>
              <w:jc w:val="left"/>
            </w:pPr>
            <w:r>
              <w:t xml:space="preserve">Harborstone Federal Credit Union — first mortgage payoff</w:t>
            </w:r>
          </w:p>
        </w:tc>
        <w:tc>
          <w:tcPr/>
          <w:p>
            <w:pPr>
              <w:pStyle w:val="Compact"/>
              <w:jc w:val="right"/>
            </w:pPr>
            <w:r>
              <w:t xml:space="preserve">$687,412.33</w:t>
            </w:r>
          </w:p>
        </w:tc>
      </w:tr>
      <w:tr>
        <w:tc>
          <w:tcPr/>
          <w:p>
            <w:pPr>
              <w:pStyle w:val="Compact"/>
              <w:jc w:val="left"/>
            </w:pPr>
            <w:r>
              <w:t xml:space="preserve">Harborstone Federal Credit Union — HELOC payoff</w:t>
            </w:r>
          </w:p>
        </w:tc>
        <w:tc>
          <w:tcPr/>
          <w:p>
            <w:pPr>
              <w:pStyle w:val="Compact"/>
              <w:jc w:val="right"/>
            </w:pPr>
            <w:r>
              <w:t xml:space="preserve">$148,219.56</w:t>
            </w:r>
          </w:p>
        </w:tc>
      </w:tr>
      <w:tr>
        <w:tc>
          <w:tcPr/>
          <w:p>
            <w:pPr>
              <w:pStyle w:val="Compact"/>
              <w:jc w:val="left"/>
            </w:pPr>
            <w:r>
              <w:t xml:space="preserve">Northbridge Construction Co. — mechanic’s lien settlement</w:t>
            </w:r>
          </w:p>
        </w:tc>
        <w:tc>
          <w:tcPr/>
          <w:p>
            <w:pPr>
              <w:pStyle w:val="Compact"/>
              <w:jc w:val="right"/>
            </w:pPr>
            <w:r>
              <w:t xml:space="preserve">$31,000.00</w:t>
            </w:r>
          </w:p>
        </w:tc>
      </w:tr>
      <w:tr>
        <w:tc>
          <w:tcPr/>
          <w:p>
            <w:pPr>
              <w:pStyle w:val="Compact"/>
              <w:jc w:val="left"/>
            </w:pPr>
            <w:r>
              <w:t xml:space="preserve">City of Bridgeport — delinquent tax + interest</w:t>
            </w:r>
          </w:p>
        </w:tc>
        <w:tc>
          <w:tcPr/>
          <w:p>
            <w:pPr>
              <w:pStyle w:val="Compact"/>
              <w:jc w:val="right"/>
            </w:pPr>
            <w:r>
              <w:t xml:space="preserve">$28,602.80</w:t>
            </w:r>
          </w:p>
        </w:tc>
      </w:tr>
      <w:tr>
        <w:tc>
          <w:tcPr/>
          <w:p>
            <w:pPr>
              <w:pStyle w:val="Compact"/>
              <w:jc w:val="left"/>
            </w:pPr>
            <w:r>
              <w:t xml:space="preserve">Repair escrow — Pinnacle Abstract &amp; Title LLC (segregated account)</w:t>
            </w:r>
          </w:p>
        </w:tc>
        <w:tc>
          <w:tcPr/>
          <w:p>
            <w:pPr>
              <w:pStyle w:val="Compact"/>
              <w:jc w:val="right"/>
            </w:pPr>
            <w:r>
              <w:t xml:space="preserve">$45,000.00</w:t>
            </w:r>
          </w:p>
        </w:tc>
      </w:tr>
      <w:tr>
        <w:tc>
          <w:tcPr/>
          <w:p>
            <w:pPr>
              <w:pStyle w:val="Compact"/>
              <w:jc w:val="left"/>
            </w:pPr>
            <w:r>
              <w:t xml:space="preserve">Tidewater Savings Bank — loan origination fee</w:t>
            </w:r>
          </w:p>
        </w:tc>
        <w:tc>
          <w:tcPr/>
          <w:p>
            <w:pPr>
              <w:pStyle w:val="Compact"/>
              <w:jc w:val="right"/>
            </w:pPr>
            <w:r>
              <w:t xml:space="preserve">$26,400.00</w:t>
            </w:r>
          </w:p>
        </w:tc>
      </w:tr>
      <w:tr>
        <w:tc>
          <w:tcPr/>
          <w:p>
            <w:pPr>
              <w:pStyle w:val="Compact"/>
              <w:jc w:val="left"/>
            </w:pPr>
            <w:r>
              <w:t xml:space="preserve">City of Bridgeport (Town Clerk) — Buyer’s conveyance tax</w:t>
            </w:r>
          </w:p>
        </w:tc>
        <w:tc>
          <w:tcPr/>
          <w:p>
            <w:pPr>
              <w:pStyle w:val="Compact"/>
              <w:jc w:val="right"/>
            </w:pPr>
            <w:r>
              <w:t xml:space="preserve">$22,375.00</w:t>
            </w:r>
          </w:p>
        </w:tc>
      </w:tr>
      <w:tr>
        <w:tc>
          <w:tcPr/>
          <w:p>
            <w:pPr>
              <w:pStyle w:val="Compact"/>
              <w:jc w:val="left"/>
            </w:pPr>
            <w:r>
              <w:t xml:space="preserve">City of Bridgeport (Town Clerk) — Seller’s conveyance tax</w:t>
            </w:r>
          </w:p>
        </w:tc>
        <w:tc>
          <w:tcPr/>
          <w:p>
            <w:pPr>
              <w:pStyle w:val="Compact"/>
              <w:jc w:val="right"/>
            </w:pPr>
            <w:r>
              <w:t xml:space="preserve">$22,375.00</w:t>
            </w:r>
          </w:p>
        </w:tc>
      </w:tr>
      <w:tr>
        <w:tc>
          <w:tcPr/>
          <w:p>
            <w:pPr>
              <w:pStyle w:val="Compact"/>
              <w:jc w:val="left"/>
            </w:pPr>
            <w:r>
              <w:t xml:space="preserve">Ridgeline Law Group PLLC — Buyer’s attorney fees</w:t>
            </w:r>
          </w:p>
        </w:tc>
        <w:tc>
          <w:tcPr/>
          <w:p>
            <w:pPr>
              <w:pStyle w:val="Compact"/>
              <w:jc w:val="right"/>
            </w:pPr>
            <w:r>
              <w:t xml:space="preserve">$12,500.00</w:t>
            </w:r>
          </w:p>
        </w:tc>
      </w:tr>
      <w:tr>
        <w:tc>
          <w:tcPr/>
          <w:p>
            <w:pPr>
              <w:pStyle w:val="Compact"/>
              <w:jc w:val="left"/>
            </w:pPr>
            <w:r>
              <w:t xml:space="preserve">Ashford, Clement &amp; Paige LLP — Seller’s attorney fees</w:t>
            </w:r>
          </w:p>
        </w:tc>
        <w:tc>
          <w:tcPr/>
          <w:p>
            <w:pPr>
              <w:pStyle w:val="Compact"/>
              <w:jc w:val="right"/>
            </w:pPr>
            <w:r>
              <w:t xml:space="preserve">$11,000.00</w:t>
            </w:r>
          </w:p>
        </w:tc>
      </w:tr>
      <w:tr>
        <w:tc>
          <w:tcPr/>
          <w:p>
            <w:pPr>
              <w:pStyle w:val="Compact"/>
              <w:jc w:val="left"/>
            </w:pPr>
            <w:r>
              <w:t xml:space="preserve">Pinnacle Abstract &amp; Title LLC — Owner’s title insurance premium</w:t>
            </w:r>
          </w:p>
        </w:tc>
        <w:tc>
          <w:tcPr/>
          <w:p>
            <w:pPr>
              <w:pStyle w:val="Compact"/>
              <w:jc w:val="right"/>
            </w:pPr>
            <w:r>
              <w:t xml:space="preserve">$8,275.00</w:t>
            </w:r>
          </w:p>
        </w:tc>
      </w:tr>
      <w:tr>
        <w:tc>
          <w:tcPr/>
          <w:p>
            <w:pPr>
              <w:pStyle w:val="Compact"/>
              <w:jc w:val="left"/>
            </w:pPr>
            <w:r>
              <w:t xml:space="preserve">Pinnacle Abstract &amp; Title LLC — Lender’s title insurance premium</w:t>
            </w:r>
          </w:p>
        </w:tc>
        <w:tc>
          <w:tcPr/>
          <w:p>
            <w:pPr>
              <w:pStyle w:val="Compact"/>
              <w:jc w:val="right"/>
            </w:pPr>
            <w:r>
              <w:t xml:space="preserve">$3,850.00</w:t>
            </w:r>
          </w:p>
        </w:tc>
      </w:tr>
      <w:tr>
        <w:tc>
          <w:tcPr/>
          <w:p>
            <w:pPr>
              <w:pStyle w:val="Compact"/>
              <w:jc w:val="left"/>
            </w:pPr>
            <w:r>
              <w:t xml:space="preserve">Pinnacle Abstract &amp; Title LLC — title search &amp; examination</w:t>
            </w:r>
          </w:p>
        </w:tc>
        <w:tc>
          <w:tcPr/>
          <w:p>
            <w:pPr>
              <w:pStyle w:val="Compact"/>
              <w:jc w:val="right"/>
            </w:pPr>
            <w:r>
              <w:t xml:space="preserve">$1,250.00</w:t>
            </w:r>
          </w:p>
        </w:tc>
      </w:tr>
      <w:tr>
        <w:tc>
          <w:tcPr/>
          <w:p>
            <w:pPr>
              <w:pStyle w:val="Compact"/>
              <w:jc w:val="left"/>
            </w:pPr>
            <w:r>
              <w:t xml:space="preserve">Bayshore Management Co. — management termination fee</w:t>
            </w:r>
          </w:p>
        </w:tc>
        <w:tc>
          <w:tcPr/>
          <w:p>
            <w:pPr>
              <w:pStyle w:val="Compact"/>
              <w:jc w:val="right"/>
            </w:pPr>
            <w:r>
              <w:t xml:space="preserve">$4,500.00</w:t>
            </w:r>
          </w:p>
        </w:tc>
      </w:tr>
      <w:tr>
        <w:tc>
          <w:tcPr/>
          <w:p>
            <w:pPr>
              <w:pStyle w:val="Compact"/>
              <w:jc w:val="left"/>
            </w:pPr>
            <w:r>
              <w:t xml:space="preserve">Pinnacle Abstract &amp; Title LLC — municipal lien search</w:t>
            </w:r>
          </w:p>
        </w:tc>
        <w:tc>
          <w:tcPr/>
          <w:p>
            <w:pPr>
              <w:pStyle w:val="Compact"/>
              <w:jc w:val="right"/>
            </w:pPr>
            <w:r>
              <w:t xml:space="preserve">$250.00</w:t>
            </w:r>
          </w:p>
        </w:tc>
      </w:tr>
      <w:tr>
        <w:tc>
          <w:tcPr/>
          <w:p>
            <w:pPr>
              <w:pStyle w:val="Compact"/>
              <w:jc w:val="left"/>
            </w:pPr>
            <w:r>
              <w:t xml:space="preserve">City of Bridgeport (Town Clerk) — Buyer recording fees</w:t>
            </w:r>
          </w:p>
        </w:tc>
        <w:tc>
          <w:tcPr/>
          <w:p>
            <w:pPr>
              <w:pStyle w:val="Compact"/>
              <w:jc w:val="right"/>
            </w:pPr>
            <w:r>
              <w:t xml:space="preserve">$339.00</w:t>
            </w:r>
          </w:p>
        </w:tc>
      </w:tr>
      <w:tr>
        <w:tc>
          <w:tcPr/>
          <w:p>
            <w:pPr>
              <w:pStyle w:val="Compact"/>
              <w:jc w:val="left"/>
            </w:pPr>
            <w:r>
              <w:t xml:space="preserve">City of Bridgeport (Town Clerk) — Seller recording fees</w:t>
            </w:r>
          </w:p>
        </w:tc>
        <w:tc>
          <w:tcPr/>
          <w:p>
            <w:pPr>
              <w:pStyle w:val="Compact"/>
              <w:jc w:val="right"/>
            </w:pPr>
            <w:r>
              <w:t xml:space="preserve">$292.00</w:t>
            </w:r>
          </w:p>
        </w:tc>
      </w:tr>
      <w:tr>
        <w:tc>
          <w:tcPr/>
          <w:p>
            <w:pPr>
              <w:pStyle w:val="Compact"/>
              <w:jc w:val="left"/>
            </w:pPr>
            <w:r>
              <w:t xml:space="preserve">Fairfield County Probate Court — probate certificate</w:t>
            </w:r>
          </w:p>
        </w:tc>
        <w:tc>
          <w:tcPr/>
          <w:p>
            <w:pPr>
              <w:pStyle w:val="Compact"/>
              <w:jc w:val="right"/>
            </w:pPr>
            <w:r>
              <w:t xml:space="preserve">$150.00</w:t>
            </w:r>
          </w:p>
        </w:tc>
      </w:tr>
      <w:tr>
        <w:tc>
          <w:tcPr/>
          <w:p>
            <w:pPr>
              <w:pStyle w:val="Compact"/>
              <w:jc w:val="left"/>
            </w:pPr>
            <w:r>
              <w:t xml:space="preserve">Tidewater tax-service provider — tax service fee</w:t>
            </w:r>
          </w:p>
        </w:tc>
        <w:tc>
          <w:tcPr/>
          <w:p>
            <w:pPr>
              <w:pStyle w:val="Compact"/>
              <w:jc w:val="right"/>
            </w:pPr>
            <w:r>
              <w:t xml:space="preserve">$85.00</w:t>
            </w:r>
          </w:p>
        </w:tc>
      </w:tr>
      <w:tr>
        <w:tc>
          <w:tcPr/>
          <w:p>
            <w:pPr>
              <w:pStyle w:val="Compact"/>
              <w:jc w:val="left"/>
            </w:pPr>
            <w:r>
              <w:t xml:space="preserve">CoreLogic Flood Services — flood certification</w:t>
            </w:r>
          </w:p>
        </w:tc>
        <w:tc>
          <w:tcPr/>
          <w:p>
            <w:pPr>
              <w:pStyle w:val="Compact"/>
              <w:jc w:val="right"/>
            </w:pPr>
            <w:r>
              <w:t xml:space="preserve">$25.00</w:t>
            </w:r>
          </w:p>
        </w:tc>
      </w:tr>
      <w:tr>
        <w:tc>
          <w:tcPr/>
          <w:p>
            <w:pPr>
              <w:pStyle w:val="Compact"/>
              <w:jc w:val="left"/>
            </w:pPr>
            <w:r>
              <w:rPr>
                <w:b/>
                <w:bCs/>
              </w:rPr>
              <w:t xml:space="preserve">Total uses</w:t>
            </w:r>
          </w:p>
        </w:tc>
        <w:tc>
          <w:tcPr/>
          <w:p>
            <w:pPr>
              <w:pStyle w:val="Compact"/>
              <w:jc w:val="right"/>
            </w:pPr>
            <w:r>
              <w:rPr>
                <w:b/>
                <w:bCs/>
              </w:rPr>
              <w:t xml:space="preserve">$3,918,564.52</w:t>
            </w:r>
          </w:p>
        </w:tc>
      </w:tr>
    </w:tbl>
    <w:bookmarkEnd w:id="37"/>
    <w:bookmarkStart w:id="38" w:name="reconciliation"/>
    <w:p>
      <w:pPr>
        <w:pStyle w:val="Heading3"/>
      </w:pPr>
      <w:r>
        <w:t xml:space="preserve">5.3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Total sources</w:t>
            </w:r>
          </w:p>
        </w:tc>
        <w:tc>
          <w:tcPr/>
          <w:p>
            <w:pPr>
              <w:pStyle w:val="Compact"/>
              <w:jc w:val="right"/>
            </w:pPr>
            <w:r>
              <w:t xml:space="preserve">$3,918,564.52</w:t>
            </w:r>
          </w:p>
        </w:tc>
      </w:tr>
      <w:tr>
        <w:tc>
          <w:tcPr/>
          <w:p>
            <w:pPr>
              <w:pStyle w:val="Compact"/>
              <w:jc w:val="left"/>
            </w:pPr>
            <w:r>
              <w:t xml:space="preserve">Total uses</w:t>
            </w:r>
          </w:p>
        </w:tc>
        <w:tc>
          <w:tcPr/>
          <w:p>
            <w:pPr>
              <w:pStyle w:val="Compact"/>
              <w:jc w:val="right"/>
            </w:pPr>
            <w:r>
              <w:t xml:space="preserve">$3,918,564.52</w:t>
            </w:r>
          </w:p>
        </w:tc>
      </w:tr>
      <w:tr>
        <w:tc>
          <w:tcPr/>
          <w:p>
            <w:pPr>
              <w:pStyle w:val="Compact"/>
              <w:jc w:val="left"/>
            </w:pPr>
            <w:r>
              <w:rPr>
                <w:b/>
                <w:bCs/>
              </w:rPr>
              <w:t xml:space="preserve">Difference (must be $0.00)</w:t>
            </w:r>
          </w:p>
        </w:tc>
        <w:tc>
          <w:tcPr/>
          <w:p>
            <w:pPr>
              <w:pStyle w:val="Compact"/>
              <w:jc w:val="right"/>
            </w:pPr>
            <w:r>
              <w:rPr>
                <w:b/>
                <w:bCs/>
              </w:rPr>
              <w:t xml:space="preserve">$0.00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Final Result</w:t>
            </w:r>
          </w:p>
        </w:tc>
        <w:tc>
          <w:tcPr/>
          <w:p>
            <w:pPr>
              <w:pStyle w:val="Compact"/>
              <w:jc w:val="right"/>
            </w:pPr>
            <w:r>
              <w:t xml:space="preserve">Amount</w:t>
            </w:r>
          </w:p>
        </w:tc>
      </w:tr>
      <w:tr>
        <w:tc>
          <w:tcPr/>
          <w:p>
            <w:pPr>
              <w:pStyle w:val="Compact"/>
              <w:jc w:val="left"/>
            </w:pPr>
            <w:r>
              <w:rPr>
                <w:b/>
                <w:bCs/>
              </w:rPr>
              <w:t xml:space="preserve">Net Proceeds to Seller</w:t>
            </w:r>
          </w:p>
        </w:tc>
        <w:tc>
          <w:tcPr/>
          <w:p>
            <w:pPr>
              <w:pStyle w:val="Compact"/>
              <w:jc w:val="right"/>
            </w:pPr>
            <w:r>
              <w:rPr>
                <w:b/>
                <w:bCs/>
              </w:rPr>
              <w:t xml:space="preserve">$2,864,663.83</w:t>
            </w:r>
          </w:p>
        </w:tc>
      </w:tr>
      <w:tr>
        <w:tc>
          <w:tcPr/>
          <w:p>
            <w:pPr>
              <w:pStyle w:val="Compact"/>
              <w:jc w:val="left"/>
            </w:pPr>
            <w:r>
              <w:rPr>
                <w:b/>
                <w:bCs/>
              </w:rPr>
              <w:t xml:space="preserve">Cash Required from Buyer at Closing</w:t>
            </w:r>
          </w:p>
        </w:tc>
        <w:tc>
          <w:tcPr/>
          <w:p>
            <w:pPr>
              <w:pStyle w:val="Compact"/>
              <w:jc w:val="right"/>
            </w:pPr>
            <w:r>
              <w:rPr>
                <w:b/>
                <w:bCs/>
              </w:rPr>
              <w:t xml:space="preserve">$1,083,564.52</w:t>
            </w:r>
          </w:p>
        </w:tc>
      </w:tr>
    </w:tbl>
    <w:p>
      <w:r>
        <w:pict>
          <v:rect style="width:0;height:1.5pt" o:hralign="center" o:hrstd="t" o:hr="t"/>
        </w:pict>
      </w:r>
    </w:p>
    <w:bookmarkEnd w:id="38"/>
    <w:bookmarkEnd w:id="39"/>
    <w:bookmarkStart w:id="40" w:name="section-6-notes-to-settlement-statement"/>
    <w:p>
      <w:pPr>
        <w:pStyle w:val="Heading2"/>
      </w:pPr>
      <w:r>
        <w:t xml:space="preserve">SECTION 6 — NOTES TO SETTLEMENT STATEMENT</w:t>
      </w:r>
    </w:p>
    <w:p>
      <w:pPr>
        <w:numPr>
          <w:ilvl w:val="0"/>
          <w:numId w:val="1001"/>
        </w:numPr>
      </w:pPr>
      <w:r>
        <w:rPr>
          <w:b/>
          <w:bCs/>
        </w:rPr>
        <w:t xml:space="preserve">Proration convention.</w:t>
      </w:r>
      <w:r>
        <w:t xml:space="preserve"> </w:t>
      </w:r>
      <w:r>
        <w:t xml:space="preserve">All prorations are as of 12:01 a.m. on July 15, 2025; the day of closing is allocated to Buyer (PSA §7). Taxes use a 365-day year; rents use 31 days (July). Fractional cents are rounded to the nearest cent with any remainder allocated to Buyer (PSA §7.2(c)).</w:t>
      </w:r>
    </w:p>
    <w:p>
      <w:pPr>
        <w:numPr>
          <w:ilvl w:val="0"/>
          <w:numId w:val="1001"/>
        </w:numPr>
      </w:pPr>
      <w:r>
        <w:rPr>
          <w:b/>
          <w:bCs/>
        </w:rPr>
        <w:t xml:space="preserve">Estimated items subject to reproration.</w:t>
      </w:r>
      <w:r>
        <w:t xml:space="preserve"> </w:t>
      </w:r>
      <w:r>
        <w:t xml:space="preserve">The next-fiscal-year property tax ($2,012.93 Seller / $50,467.07 Buyer) and the conveyance tax ($44,750.00 total) are estimates. Under PSA §7.7, the parties shall reprorate within 90 days after closing when final figures are available; any adjustment is payable within 10 business days of demand.</w:t>
      </w:r>
    </w:p>
    <w:p>
      <w:pPr>
        <w:numPr>
          <w:ilvl w:val="0"/>
          <w:numId w:val="1001"/>
        </w:numPr>
      </w:pPr>
      <w:r>
        <w:rPr>
          <w:b/>
          <w:bCs/>
        </w:rPr>
        <w:t xml:space="preserve">Repair escrow.</w:t>
      </w:r>
      <w:r>
        <w:t xml:space="preserve"> </w:t>
      </w:r>
      <w:r>
        <w:t xml:space="preserve">The $45,000.00 repair escrow is funded solely from Seller’s proceeds, held by Pinnacle Abstract &amp; Title LLC in a segregated interest-bearing account under a separate Repair Escrow Agreement, and is</w:t>
      </w:r>
      <w:r>
        <w:t xml:space="preserve"> </w:t>
      </w:r>
      <w:r>
        <w:rPr>
          <w:b/>
          <w:bCs/>
        </w:rPr>
        <w:t xml:space="preserve">not</w:t>
      </w:r>
      <w:r>
        <w:t xml:space="preserve"> </w:t>
      </w:r>
      <w:r>
        <w:t xml:space="preserve">a credit to either party. Buyer has 12 months to complete roof repairs and submit paid invoices for reimbursement; any unused balance plus interest reverts to Seller (PSA §8.4).</w:t>
      </w:r>
    </w:p>
    <w:p>
      <w:pPr>
        <w:numPr>
          <w:ilvl w:val="0"/>
          <w:numId w:val="1001"/>
        </w:numPr>
      </w:pPr>
      <w:r>
        <w:rPr>
          <w:b/>
          <w:bCs/>
        </w:rPr>
        <w:t xml:space="preserve">Earnest money.</w:t>
      </w:r>
      <w:r>
        <w:t xml:space="preserve"> </w:t>
      </w:r>
      <w:r>
        <w:t xml:space="preserve">The $195,000.00 earnest money ($100,000 deposited April 24, 2025 + $95,000 deposited May 22, 2025) is held in an interest-bearing account and applied against the purchase price. Accrued interest is to be added per PSA §3.2(e) upon confirmation by the Escrow Agent (see Notes Memo).</w:t>
      </w:r>
    </w:p>
    <w:p>
      <w:pPr>
        <w:numPr>
          <w:ilvl w:val="0"/>
          <w:numId w:val="1001"/>
        </w:numPr>
      </w:pPr>
      <w:r>
        <w:rPr>
          <w:b/>
          <w:bCs/>
        </w:rPr>
        <w:t xml:space="preserve">POC item.</w:t>
      </w:r>
      <w:r>
        <w:t xml:space="preserve"> </w:t>
      </w:r>
      <w:r>
        <w:t xml:space="preserve">The $4,500.00 appraisal fee was paid by Buyer outside of closing on May 5, 2025 and is disclosed for transparency only; it is excluded from all cash-to-close computations (PSA §3.3; Lender Commitment §4.2).</w:t>
      </w:r>
    </w:p>
    <w:p>
      <w:pPr>
        <w:numPr>
          <w:ilvl w:val="0"/>
          <w:numId w:val="1001"/>
        </w:numPr>
      </w:pPr>
      <w:r>
        <w:rPr>
          <w:b/>
          <w:bCs/>
        </w:rPr>
        <w:t xml:space="preserve">Survival.</w:t>
      </w:r>
      <w:r>
        <w:t xml:space="preserve"> </w:t>
      </w:r>
      <w:r>
        <w:t xml:space="preserve">Proration and adjustment obligations survive closing for 90 days (PSA §15.1).</w:t>
      </w:r>
    </w:p>
    <w:p>
      <w:pPr>
        <w:numPr>
          <w:ilvl w:val="0"/>
          <w:numId w:val="1001"/>
        </w:numPr>
      </w:pPr>
      <w:r>
        <w:rPr>
          <w:b/>
          <w:bCs/>
        </w:rPr>
        <w:t xml:space="preserve">Governing law.</w:t>
      </w:r>
      <w:r>
        <w:t xml:space="preserve"> </w:t>
      </w:r>
      <w:r>
        <w:t xml:space="preserve">State of Connecticut.</w:t>
      </w:r>
    </w:p>
    <w:p>
      <w:r>
        <w:pict>
          <v:rect style="width:0;height:1.5pt" o:hralign="center" o:hrstd="t" o:hr="t"/>
        </w:pict>
      </w:r>
    </w:p>
    <w:bookmarkEnd w:id="40"/>
    <w:bookmarkStart w:id="41" w:name="acknowledgment-and-signatures"/>
    <w:p>
      <w:pPr>
        <w:pStyle w:val="Heading2"/>
      </w:pPr>
      <w:r>
        <w:t xml:space="preserve">ACKNOWLEDGMENT AND SIGNATURES</w:t>
      </w:r>
    </w:p>
    <w:p>
      <w:pPr>
        <w:pStyle w:val="FirstParagraph"/>
      </w:pPr>
      <w:r>
        <w:t xml:space="preserve">The parties acknowledge that the foregoing settlement statement reflects the prorations, credits, debits, and adjustments agreed upon in the Purchase and Sale Agreement dated April 22, 2025, and authorize the Closing Agent to disburse funds in accordance herewith.</w:t>
      </w:r>
    </w:p>
    <w:p>
      <w:pPr>
        <w:pStyle w:val="BodyText"/>
      </w:pPr>
      <w:r>
        <w:rPr>
          <w:b/>
          <w:bCs/>
        </w:rPr>
        <w:t xml:space="preserve">SELLER:</w:t>
      </w:r>
    </w:p>
    <w:p>
      <w:pPr>
        <w:pStyle w:val="BodyText"/>
      </w:pPr>
      <w:r>
        <w:t xml:space="preserve">ESTATE OF GERALD T. WHITFORD</w:t>
      </w:r>
    </w:p>
    <w:p>
      <w:pPr>
        <w:pStyle w:val="BodyText"/>
      </w:pPr>
      <w:r>
        <w:t xml:space="preserve">By: _______________________________</w:t>
      </w:r>
    </w:p>
    <w:p>
      <w:pPr>
        <w:pStyle w:val="BodyText"/>
      </w:pPr>
      <w:r>
        <w:t xml:space="preserve">Name: Claudia Whitford-Barnes</w:t>
      </w:r>
    </w:p>
    <w:p>
      <w:pPr>
        <w:pStyle w:val="BodyText"/>
      </w:pPr>
      <w:r>
        <w:t xml:space="preserve">Title: Executrix</w:t>
      </w:r>
    </w:p>
    <w:p>
      <w:pPr>
        <w:pStyle w:val="BodyText"/>
      </w:pPr>
      <w:r>
        <w:t xml:space="preserve">Date: July 15, 2025</w:t>
      </w:r>
    </w:p>
    <w:p>
      <w:pPr>
        <w:pStyle w:val="BodyText"/>
      </w:pPr>
      <w:r>
        <w:rPr>
          <w:b/>
          <w:bCs/>
        </w:rPr>
        <w:t xml:space="preserve">BUYER:</w:t>
      </w:r>
    </w:p>
    <w:p>
      <w:pPr>
        <w:pStyle w:val="BodyText"/>
      </w:pPr>
      <w:r>
        <w:t xml:space="preserve">MERIDIAN COVE PROPERTIES LLC</w:t>
      </w:r>
    </w:p>
    <w:p>
      <w:pPr>
        <w:pStyle w:val="BodyText"/>
      </w:pPr>
      <w:r>
        <w:t xml:space="preserve">By: _______________________________</w:t>
      </w:r>
    </w:p>
    <w:p>
      <w:pPr>
        <w:pStyle w:val="BodyText"/>
      </w:pPr>
      <w:r>
        <w:t xml:space="preserve">Name: Elaine R. Matsuda</w:t>
      </w:r>
    </w:p>
    <w:p>
      <w:pPr>
        <w:pStyle w:val="BodyText"/>
      </w:pPr>
      <w:r>
        <w:t xml:space="preserve">Title: Manager</w:t>
      </w:r>
    </w:p>
    <w:p>
      <w:pPr>
        <w:pStyle w:val="BodyText"/>
      </w:pPr>
      <w:r>
        <w:t xml:space="preserve">Date: July 15, 2025</w:t>
      </w:r>
    </w:p>
    <w:p>
      <w:pPr>
        <w:pStyle w:val="BodyText"/>
      </w:pPr>
      <w:r>
        <w:rPr>
          <w:b/>
          <w:bCs/>
        </w:rPr>
        <w:t xml:space="preserve">CLOSING AGENT:</w:t>
      </w:r>
    </w:p>
    <w:p>
      <w:pPr>
        <w:pStyle w:val="BodyText"/>
      </w:pPr>
      <w:r>
        <w:t xml:space="preserve">PINNACLE ABSTRACT &amp; TITLE LLC</w:t>
      </w:r>
    </w:p>
    <w:p>
      <w:pPr>
        <w:pStyle w:val="BodyText"/>
      </w:pPr>
      <w:r>
        <w:t xml:space="preserve">By: _______________________________</w:t>
      </w:r>
    </w:p>
    <w:p>
      <w:pPr>
        <w:pStyle w:val="BodyText"/>
      </w:pPr>
      <w:r>
        <w:t xml:space="preserve">Name: Lorraine M. Grasso</w:t>
      </w:r>
    </w:p>
    <w:p>
      <w:pPr>
        <w:pStyle w:val="BodyText"/>
      </w:pPr>
      <w:r>
        <w:t xml:space="preserve">Title: Closing Officer</w:t>
      </w:r>
    </w:p>
    <w:p>
      <w:pPr>
        <w:pStyle w:val="BodyText"/>
      </w:pPr>
      <w:r>
        <w:t xml:space="preserve">Date: July 15, 2025</w:t>
      </w:r>
    </w:p>
    <w:p>
      <w:r>
        <w:pict>
          <v:rect style="width:0;height:1.5pt" o:hralign="center" o:hrstd="t" o:hr="t"/>
        </w:pict>
      </w:r>
    </w:p>
    <w:p>
      <w:pPr>
        <w:pStyle w:val="FirstParagraph"/>
      </w:pPr>
      <w:r>
        <w:rPr>
          <w:i/>
          <w:iCs/>
        </w:rPr>
        <w:t xml:space="preserve">This settlement statement is prepared for the closing of 4280 Harborview Boulevard, Bridgeport, CT 06604, on July 15, 2025. All figures are based on the closing documents delivered to the Closing Agent; estimated items are subject to adjustment as noted. Refer to the accompanying Settlement Statement Notes Memo for flagged discrepancies and assumptions.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2026-06-27T20:25:24Z</dcterms:created>
  <dcterms:modified xsi:type="dcterms:W3CDTF">2026-06-27T20:25:24Z</dcterms:modified>
</cp:coreProperties>
</file>

<file path=docProps/custom.xml><?xml version="1.0" encoding="utf-8"?>
<Properties xmlns="http://schemas.openxmlformats.org/officeDocument/2006/custom-properties" xmlns:vt="http://schemas.openxmlformats.org/officeDocument/2006/docPropsVTypes"/>
</file>