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tax-issue-identification-report"/>
    <w:p>
      <w:pPr>
        <w:pStyle w:val="Heading1"/>
      </w:pPr>
      <w:r>
        <w:t xml:space="preserve">Tax Issue Identification Report</w:t>
      </w:r>
    </w:p>
    <w:bookmarkStart w:id="20" w:name="Xef6ff7f4724a6e088c095e596693f71334fb09b"/>
    <w:p>
      <w:pPr>
        <w:pStyle w:val="Heading2"/>
      </w:pPr>
      <w:r>
        <w:t xml:space="preserve">Review of Transaction Structure Memorandum — Acquisition of Prism Health Analytics, Inc.</w:t>
      </w:r>
    </w:p>
    <w:p>
      <w:pPr>
        <w:pStyle w:val="FirstParagraph"/>
      </w:pPr>
      <w:r>
        <w:rPr>
          <w:b/>
          <w:bCs/>
        </w:rPr>
        <w:t xml:space="preserve">Prepared for:</w:t>
      </w:r>
      <w:r>
        <w:t xml:space="preserve"> </w:t>
      </w:r>
      <w:r>
        <w:t xml:space="preserve">Ridgeline Capital Partners Fund III, LP — Investment Committee</w:t>
      </w:r>
      <w:r>
        <w:t xml:space="preserve"> </w:t>
      </w:r>
      <w:r>
        <w:rPr>
          <w:b/>
          <w:bCs/>
        </w:rPr>
        <w:t xml:space="preserve">Re:</w:t>
      </w:r>
      <w:r>
        <w:t xml:space="preserve"> </w:t>
      </w:r>
      <w:r>
        <w:t xml:space="preserve">Tax Structure Memorandum dated February 10, 2025, prepared by Calloway, Stern &amp; Whitaker LLP</w:t>
      </w:r>
      <w:r>
        <w:t xml:space="preserve"> </w:t>
      </w:r>
      <w:r>
        <w:rPr>
          <w:b/>
          <w:bCs/>
        </w:rPr>
        <w:t xml:space="preserve">Subject:</w:t>
      </w:r>
      <w:r>
        <w:t xml:space="preserve"> </w:t>
      </w:r>
      <w:r>
        <w:t xml:space="preserve">Issues, Inconsistencies, and Omissions Identified on Cross-Review Against Supporting Deal Documents</w:t>
      </w:r>
      <w:r>
        <w:t xml:space="preserve"> </w:t>
      </w:r>
      <w:r>
        <w:rPr>
          <w:b/>
          <w:bCs/>
        </w:rPr>
        <w:t xml:space="preserve">Classification:</w:t>
      </w:r>
      <w:r>
        <w:t xml:space="preserve"> </w:t>
      </w:r>
      <w:r>
        <w:t xml:space="preserve">Privileged and Confidential — Attorney Work Product</w:t>
      </w:r>
    </w:p>
    <w:p>
      <w:r>
        <w:pict>
          <v:rect style="width:0;height:1.5pt" o:hralign="center" o:hrstd="t" o:hr="t"/>
        </w:pict>
      </w:r>
    </w:p>
    <w:bookmarkEnd w:id="20"/>
    <w:bookmarkStart w:id="24" w:name="i.-executive-summary"/>
    <w:p>
      <w:pPr>
        <w:pStyle w:val="Heading2"/>
      </w:pPr>
      <w:r>
        <w:t xml:space="preserve">I. Executive Summary</w:t>
      </w:r>
    </w:p>
    <w:p>
      <w:pPr>
        <w:pStyle w:val="FirstParagraph"/>
      </w:pPr>
      <w:r>
        <w:t xml:space="preserve">This report presents the results of a cross-review of the Tax Structure Memorandum dated February 10, 2025 (the</w:t>
      </w:r>
      <w:r>
        <w:t xml:space="preserve"> </w:t>
      </w:r>
      <w:r>
        <w:t xml:space="preserve">“</w:t>
      </w:r>
      <w:r>
        <w:t xml:space="preserve">Memo</w:t>
      </w:r>
      <w:r>
        <w:t xml:space="preserve">”</w:t>
      </w:r>
      <w:r>
        <w:t xml:space="preserve">), prepared by Calloway, Stern &amp; Whitaker LLP (</w:t>
      </w:r>
      <w:r>
        <w:t xml:space="preserve">“</w:t>
      </w:r>
      <w:r>
        <w:t xml:space="preserve">CSW</w:t>
      </w:r>
      <w:r>
        <w:t xml:space="preserve">”</w:t>
      </w:r>
      <w:r>
        <w:t xml:space="preserve">) for Ridgeline Capital Partners Fund III, LP (</w:t>
      </w:r>
      <w:r>
        <w:t xml:space="preserve">“</w:t>
      </w:r>
      <w:r>
        <w:t xml:space="preserve">Fund III</w:t>
      </w:r>
      <w:r>
        <w:t xml:space="preserve">”</w:t>
      </w:r>
      <w:r>
        <w:t xml:space="preserve"> </w:t>
      </w:r>
      <w:r>
        <w:t xml:space="preserve">or</w:t>
      </w:r>
      <w:r>
        <w:t xml:space="preserve"> </w:t>
      </w:r>
      <w:r>
        <w:t xml:space="preserve">“</w:t>
      </w:r>
      <w:r>
        <w:t xml:space="preserve">Buyer</w:t>
      </w:r>
      <w:r>
        <w:t xml:space="preserve">”</w:t>
      </w:r>
      <w:r>
        <w:t xml:space="preserve">), against the supporting deal documents made available for the acquisition of Prism Health Analytics, Inc. (</w:t>
      </w:r>
      <w:r>
        <w:t xml:space="preserve">“</w:t>
      </w:r>
      <w:r>
        <w:t xml:space="preserve">Prism</w:t>
      </w:r>
      <w:r>
        <w:t xml:space="preserve">”</w:t>
      </w:r>
      <w:r>
        <w:t xml:space="preserve"> </w:t>
      </w:r>
      <w:r>
        <w:t xml:space="preserve">or the</w:t>
      </w:r>
      <w:r>
        <w:t xml:space="preserve"> </w:t>
      </w:r>
      <w:r>
        <w:t xml:space="preserve">“</w:t>
      </w:r>
      <w:r>
        <w:t xml:space="preserve">Company</w:t>
      </w:r>
      <w:r>
        <w:t xml:space="preserve">”</w:t>
      </w:r>
      <w:r>
        <w:t xml:space="preserve">). The purpose of the review is to identify issues, inconsistencies, and omissions in the Memo when measured against the Stock Purchase Agreement, the Thornfield Accounting Group tax due diligence report, the preliminary asset valuation / purchase price allocation, the Prism capitalization table, the Beacon Insights operating agreement, and the shareholder QSBS correspondence.</w:t>
      </w:r>
    </w:p>
    <w:p>
      <w:pPr>
        <w:pStyle w:val="BodyText"/>
      </w:pPr>
      <w:r>
        <w:t xml:space="preserve">The review identified</w:t>
      </w:r>
      <w:r>
        <w:t xml:space="preserve"> </w:t>
      </w:r>
      <w:r>
        <w:rPr>
          <w:b/>
          <w:bCs/>
        </w:rPr>
        <w:t xml:space="preserve">28 distinct findings</w:t>
      </w:r>
      <w:r>
        <w:t xml:space="preserve">, ranked across four severity tiers:</w:t>
      </w:r>
      <w:r>
        <w:t xml:space="preserve"> </w:t>
      </w:r>
      <w:r>
        <w:rPr>
          <w:b/>
          <w:bCs/>
        </w:rPr>
        <w:t xml:space="preserve">3 Critical</w:t>
      </w:r>
      <w:r>
        <w:t xml:space="preserve">,</w:t>
      </w:r>
      <w:r>
        <w:t xml:space="preserve"> </w:t>
      </w:r>
      <w:r>
        <w:rPr>
          <w:b/>
          <w:bCs/>
        </w:rPr>
        <w:t xml:space="preserve">7 High</w:t>
      </w:r>
      <w:r>
        <w:t xml:space="preserve">,</w:t>
      </w:r>
      <w:r>
        <w:t xml:space="preserve"> </w:t>
      </w:r>
      <w:r>
        <w:rPr>
          <w:b/>
          <w:bCs/>
        </w:rPr>
        <w:t xml:space="preserve">8 Moderate</w:t>
      </w:r>
      <w:r>
        <w:t xml:space="preserve">, and</w:t>
      </w:r>
      <w:r>
        <w:t xml:space="preserve"> </w:t>
      </w:r>
      <w:r>
        <w:rPr>
          <w:b/>
          <w:bCs/>
        </w:rPr>
        <w:t xml:space="preserve">10 Low</w:t>
      </w:r>
      <w:r>
        <w:t xml:space="preserve">. The most significant issues are summarized below.</w:t>
      </w:r>
    </w:p>
    <w:bookmarkStart w:id="21" w:name="critical-findings"/>
    <w:p>
      <w:pPr>
        <w:pStyle w:val="Heading3"/>
      </w:pPr>
      <w:r>
        <w:t xml:space="preserve">Critical Findings</w:t>
      </w:r>
    </w:p>
    <w:p>
      <w:pPr>
        <w:numPr>
          <w:ilvl w:val="0"/>
          <w:numId w:val="1001"/>
        </w:numPr>
      </w:pPr>
      <w:r>
        <w:rPr>
          <w:b/>
          <w:bCs/>
        </w:rPr>
        <w:t xml:space="preserve">Aggregate Deemed Sale Price (ADSP) is overstated by $48 million due to double-counting of funded debt.</w:t>
      </w:r>
      <w:r>
        <w:t xml:space="preserve"> </w:t>
      </w:r>
      <w:r>
        <w:t xml:space="preserve">The Memo computes ADSP as enterprise value ($425M) plus funded debt ($48M) = $473M. Because enterprise value already embeds the funded debt (EV = equity value $370M + funded debt $48M + seller transaction expenses $7M), adding the debt a second time double-counts it. Under Treas. Reg. 1.338-4, ADSP should be computed as the amount realized on the stock ($370M) plus target liabilities ($48M, and arguably $7M of seller expenses) = approximately $418M–$425M. This $48M overstatement cascades into an overstated Class VII goodwill residual ($272.8M vs. approximately $196.3M), an overstated total deemed sale gain, and overstated buyer tax benefits. The Thornfield asset valuation summary independently flags this as a</w:t>
      </w:r>
      <w:r>
        <w:t xml:space="preserve"> </w:t>
      </w:r>
      <w:r>
        <w:t xml:space="preserve">“</w:t>
      </w:r>
      <w:r>
        <w:t xml:space="preserve">significant discrepancy.</w:t>
      </w:r>
      <w:r>
        <w:t xml:space="preserve">”</w:t>
      </w:r>
    </w:p>
    <w:p>
      <w:pPr>
        <w:numPr>
          <w:ilvl w:val="0"/>
          <w:numId w:val="1001"/>
        </w:numPr>
      </w:pPr>
      <w:r>
        <w:rPr>
          <w:b/>
          <w:bCs/>
        </w:rPr>
        <w:t xml:space="preserve">The Memo’s S corporation eligibility conclusion directly contradicts the due diligence record.</w:t>
      </w:r>
      <w:r>
        <w:t xml:space="preserve"> </w:t>
      </w:r>
      <w:r>
        <w:t xml:space="preserve">The Memo states that</w:t>
      </w:r>
      <w:r>
        <w:t xml:space="preserve"> </w:t>
      </w:r>
      <w:r>
        <w:t xml:space="preserve">“</w:t>
      </w:r>
      <w:r>
        <w:t xml:space="preserve">no events causing a termination of the S election have been identified</w:t>
      </w:r>
      <w:r>
        <w:t xml:space="preserve">”</w:t>
      </w:r>
      <w:r>
        <w:t xml:space="preserve"> </w:t>
      </w:r>
      <w:r>
        <w:t xml:space="preserve">and that</w:t>
      </w:r>
      <w:r>
        <w:t xml:space="preserve"> </w:t>
      </w:r>
      <w:r>
        <w:t xml:space="preserve">“</w:t>
      </w:r>
      <w:r>
        <w:t xml:space="preserve">all shareholders of Prism are U.S. individuals, and we are not aware of any ineligible shareholders.</w:t>
      </w:r>
      <w:r>
        <w:t xml:space="preserve">”</w:t>
      </w:r>
      <w:r>
        <w:t xml:space="preserve"> </w:t>
      </w:r>
      <w:r>
        <w:t xml:space="preserve">The Thornfield due diligence report (which the Memo represents it reviewed) flags as a</w:t>
      </w:r>
      <w:r>
        <w:t xml:space="preserve"> </w:t>
      </w:r>
      <w:r>
        <w:rPr>
          <w:b/>
          <w:bCs/>
        </w:rPr>
        <w:t xml:space="preserve">critical</w:t>
      </w:r>
      <w:r>
        <w:t xml:space="preserve"> </w:t>
      </w:r>
      <w:r>
        <w:t xml:space="preserve">open item the inability to confirm S corporation eligibility for restricted stock holders — including an H-1B visa holder whose substantial-presence-test compliance is unverified and a possible transfer of shares to a family LLC (an ineligible shareholder). The capitalization table independently flags three holders with unverified eligibility. Valid S corporation status is a threshold requirement for the Section 338(h)(10) election; the Memo’s affirmative representation is contradicted by its own cited source and by the Stock Purchase Agreement’s eligibility representations, which may be inaccurate.</w:t>
      </w:r>
    </w:p>
    <w:p>
      <w:pPr>
        <w:numPr>
          <w:ilvl w:val="0"/>
          <w:numId w:val="1001"/>
        </w:numPr>
      </w:pPr>
      <w:r>
        <w:rPr>
          <w:b/>
          <w:bCs/>
        </w:rPr>
        <w:t xml:space="preserve">QSBS / Section 1202 analysis is entirely omitted despite an express commitment to include it.</w:t>
      </w:r>
      <w:r>
        <w:t xml:space="preserve"> </w:t>
      </w:r>
      <w:r>
        <w:t xml:space="preserve">The Memo contains no Section 1202 analysis whatsoever. The Linden Rock Advisory correspondence shows that the selling shareholders’ financial advisor formally requested a QSBS analysis in November 2024, that CSW’s senior partner expressly committed in writing (November 20, 2024) to</w:t>
      </w:r>
      <w:r>
        <w:t xml:space="preserve"> </w:t>
      </w:r>
      <w:r>
        <w:t xml:space="preserve">“</w:t>
      </w:r>
      <w:r>
        <w:t xml:space="preserve">include a QSBS analysis as part of the transaction structure memorandum,</w:t>
      </w:r>
      <w:r>
        <w:t xml:space="preserve">”</w:t>
      </w:r>
      <w:r>
        <w:t xml:space="preserve"> </w:t>
      </w:r>
      <w:r>
        <w:t xml:space="preserve">and that Linden Rock followed up on January 6, 2025 noting that no analysis had been received. The Memo, dated February 10, 2025, was prepared after that follow-up yet still omits the analysis. The QSBS exclusion is potentially worth seven-figure after-tax amounts to multiple shareholders, and CSW’s own preliminary observation was that the 338(h)(10) deemed asset sale framework may be</w:t>
      </w:r>
      <w:r>
        <w:t xml:space="preserve"> </w:t>
      </w:r>
      <w:r>
        <w:t xml:space="preserve">“</w:t>
      </w:r>
      <w:r>
        <w:t xml:space="preserve">in tension</w:t>
      </w:r>
      <w:r>
        <w:t xml:space="preserve">”</w:t>
      </w:r>
      <w:r>
        <w:t xml:space="preserve"> </w:t>
      </w:r>
      <w:r>
        <w:t xml:space="preserve">with Section 1202 — a structural decision point the Memo leaves entirely unaddressed.</w:t>
      </w:r>
    </w:p>
    <w:bookmarkEnd w:id="21"/>
    <w:bookmarkStart w:id="22" w:name="high-severity-findings-summary"/>
    <w:p>
      <w:pPr>
        <w:pStyle w:val="Heading3"/>
      </w:pPr>
      <w:r>
        <w:t xml:space="preserve">High-Severity Findings (summary)</w:t>
      </w:r>
    </w:p>
    <w:p>
      <w:pPr>
        <w:pStyle w:val="Compact"/>
        <w:numPr>
          <w:ilvl w:val="0"/>
          <w:numId w:val="1002"/>
        </w:numPr>
      </w:pPr>
      <w:r>
        <w:t xml:space="preserve">The aggregate adjusted tax basis used in the Memo ($42.8M) cannot be reconciled to the sum of individual asset tax bases in the Thornfield asset valuation summary ($64.3M) — a $21.5M discrepancy that, combined with the ADSP error, overstates the deemed sale gain by approximately $69.5M.</w:t>
      </w:r>
    </w:p>
    <w:p>
      <w:pPr>
        <w:pStyle w:val="Compact"/>
        <w:numPr>
          <w:ilvl w:val="0"/>
          <w:numId w:val="1002"/>
        </w:numPr>
      </w:pPr>
      <w:r>
        <w:t xml:space="preserve">The Class V allocation is understated by $28.5M relative to Thornfield’s asset valuation (developed technology valued at $19M vs. $41.8M; government software licenses omitted entirely).</w:t>
      </w:r>
    </w:p>
    <w:p>
      <w:pPr>
        <w:pStyle w:val="Compact"/>
        <w:numPr>
          <w:ilvl w:val="0"/>
          <w:numId w:val="1002"/>
        </w:numPr>
      </w:pPr>
      <w:r>
        <w:t xml:space="preserve">The non-transferable North Carolina data processing license — on which approximately $19M of annual government-sector revenue depends — is treated as a minor commercial matter; the Memo does not analyze the consequences of a deemed sale of a non-transferable license.</w:t>
      </w:r>
    </w:p>
    <w:p>
      <w:pPr>
        <w:pStyle w:val="Compact"/>
        <w:numPr>
          <w:ilvl w:val="0"/>
          <w:numId w:val="1002"/>
        </w:numPr>
      </w:pPr>
      <w:r>
        <w:t xml:space="preserve">The rollover equity treatment is internally inconsistent with the Memo’s own ADSP computation, and no Section 351/721 analysis is provided.</w:t>
      </w:r>
    </w:p>
    <w:p>
      <w:pPr>
        <w:pStyle w:val="Compact"/>
        <w:numPr>
          <w:ilvl w:val="0"/>
          <w:numId w:val="1002"/>
        </w:numPr>
      </w:pPr>
      <w:r>
        <w:t xml:space="preserve">The Memo’s escrow tax-treatment recommendation (Section 453 installment deferral) directly contradicts the Stock Purchase Agreement (which specifies reporting in the year of closing) and may be unavailable in the 338(h)(10) context.</w:t>
      </w:r>
    </w:p>
    <w:p>
      <w:pPr>
        <w:pStyle w:val="Compact"/>
        <w:numPr>
          <w:ilvl w:val="0"/>
          <w:numId w:val="1002"/>
        </w:numPr>
      </w:pPr>
      <w:r>
        <w:t xml:space="preserve">The Beacon Insights gain is characterized as long-term capital gain without addressing Section 751</w:t>
      </w:r>
      <w:r>
        <w:t xml:space="preserve"> </w:t>
      </w:r>
      <w:r>
        <w:t xml:space="preserve">“</w:t>
      </w:r>
      <w:r>
        <w:t xml:space="preserve">hot assets,</w:t>
      </w:r>
      <w:r>
        <w:t xml:space="preserve">”</w:t>
      </w:r>
      <w:r>
        <w:t xml:space="preserve"> </w:t>
      </w:r>
      <w:r>
        <w:t xml:space="preserve">and no Section 754 election analysis is provided.</w:t>
      </w:r>
    </w:p>
    <w:bookmarkEnd w:id="22"/>
    <w:bookmarkStart w:id="23" w:name="overall-assessment"/>
    <w:p>
      <w:pPr>
        <w:pStyle w:val="Heading3"/>
      </w:pPr>
      <w:r>
        <w:t xml:space="preserve">Overall Assessment</w:t>
      </w:r>
    </w:p>
    <w:p>
      <w:pPr>
        <w:pStyle w:val="FirstParagraph"/>
      </w:pPr>
      <w:r>
        <w:t xml:space="preserve">The Memo contains a sound high-level description of the reverse triangular merger and Section 338(h)(10) mechanics, and several of its conclusions (e.g., expiration of the Section 1374 built-in gains recognition period) are correct and consistent with the due diligence record. However, the Memo contains a material computational error in its central ADSP calculation, an affirmative eligibility conclusion that is contradicted by the due diligence it relies upon, and a complete omission of a QSBS analysis that counsel expressly committed to deliver. Several additional inconsistencies between the Memo and the definitive agreement, the asset valuation, and the capitalization table require reconciliation before the Memo can be relied upon by the Investment Committee. The findings below are presented in severity-ranked order with specific document cross-references, impact assessments, and recommended actions.</w:t>
      </w:r>
    </w:p>
    <w:p>
      <w:r>
        <w:pict>
          <v:rect style="width:0;height:1.5pt" o:hralign="center" o:hrstd="t" o:hr="t"/>
        </w:pict>
      </w:r>
    </w:p>
    <w:bookmarkEnd w:id="23"/>
    <w:bookmarkEnd w:id="24"/>
    <w:bookmarkStart w:id="28" w:name="ii.-scope-and-documents-reviewed"/>
    <w:p>
      <w:pPr>
        <w:pStyle w:val="Heading2"/>
      </w:pPr>
      <w:r>
        <w:t xml:space="preserve">II. Scope and Documents Reviewed</w:t>
      </w:r>
    </w:p>
    <w:bookmarkStart w:id="25" w:name="a.-document-under-review"/>
    <w:p>
      <w:pPr>
        <w:pStyle w:val="Heading3"/>
      </w:pPr>
      <w:r>
        <w:t xml:space="preserve">A. Document Under Review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Author</w:t>
            </w:r>
          </w:p>
        </w:tc>
        <w:tc>
          <w:tcPr/>
          <w:p>
            <w:pPr>
              <w:pStyle w:val="Compact"/>
              <w:jc w:val="left"/>
            </w:pPr>
            <w:r>
              <w:t xml:space="preserve">Date</w:t>
            </w:r>
          </w:p>
        </w:tc>
      </w:tr>
      <w:tr>
        <w:tc>
          <w:tcPr/>
          <w:p>
            <w:pPr>
              <w:pStyle w:val="Compact"/>
              <w:jc w:val="left"/>
            </w:pPr>
            <w:r>
              <w:t xml:space="preserve">Tax Structure Memorandum — Acquisition of Prism Health Analytics, Inc.</w:t>
            </w:r>
          </w:p>
        </w:tc>
        <w:tc>
          <w:tcPr/>
          <w:p>
            <w:pPr>
              <w:pStyle w:val="Compact"/>
              <w:jc w:val="left"/>
            </w:pPr>
            <w:r>
              <w:t xml:space="preserve">Calloway, Stern &amp; Whitaker LLP (J. Calloway / S. Liu)</w:t>
            </w:r>
          </w:p>
        </w:tc>
        <w:tc>
          <w:tcPr/>
          <w:p>
            <w:pPr>
              <w:pStyle w:val="Compact"/>
              <w:jc w:val="left"/>
            </w:pPr>
            <w:r>
              <w:t xml:space="preserve">February 10, 2025</w:t>
            </w:r>
          </w:p>
        </w:tc>
      </w:tr>
    </w:tbl>
    <w:bookmarkEnd w:id="25"/>
    <w:bookmarkStart w:id="26" w:name="b.-supporting-deal-documents-reviewed"/>
    <w:p>
      <w:pPr>
        <w:pStyle w:val="Heading3"/>
      </w:pPr>
      <w:r>
        <w:t xml:space="preserve">B. Supporting Deal Documents Reviewed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Author / Source</w:t>
            </w:r>
          </w:p>
        </w:tc>
        <w:tc>
          <w:tcPr/>
          <w:p>
            <w:pPr>
              <w:pStyle w:val="Compact"/>
              <w:jc w:val="left"/>
            </w:pPr>
            <w:r>
              <w:t xml:space="preserve">Date</w:t>
            </w:r>
          </w:p>
        </w:tc>
      </w:tr>
      <w:tr>
        <w:tc>
          <w:tcPr/>
          <w:p>
            <w:pPr>
              <w:pStyle w:val="Compact"/>
              <w:jc w:val="left"/>
            </w:pPr>
            <w:r>
              <w:t xml:space="preserve">Tax Due Diligence Report — Prism Health Analytics, Inc.</w:t>
            </w:r>
          </w:p>
        </w:tc>
        <w:tc>
          <w:tcPr/>
          <w:p>
            <w:pPr>
              <w:pStyle w:val="Compact"/>
              <w:jc w:val="left"/>
            </w:pPr>
            <w:r>
              <w:t xml:space="preserve">Thornfield Accounting Group, LLP</w:t>
            </w:r>
          </w:p>
        </w:tc>
        <w:tc>
          <w:tcPr/>
          <w:p>
            <w:pPr>
              <w:pStyle w:val="Compact"/>
              <w:jc w:val="left"/>
            </w:pPr>
            <w:r>
              <w:t xml:space="preserve">January 15, 2025</w:t>
            </w:r>
          </w:p>
        </w:tc>
      </w:tr>
      <w:tr>
        <w:tc>
          <w:tcPr/>
          <w:p>
            <w:pPr>
              <w:pStyle w:val="Compact"/>
              <w:jc w:val="left"/>
            </w:pPr>
            <w:r>
              <w:t xml:space="preserve">Agreement and Plan of Merger (selected excerpts)</w:t>
            </w:r>
          </w:p>
        </w:tc>
        <w:tc>
          <w:tcPr/>
          <w:p>
            <w:pPr>
              <w:pStyle w:val="Compact"/>
              <w:jc w:val="left"/>
            </w:pPr>
            <w:r>
              <w:t xml:space="preserve">Parties / deal counsel</w:t>
            </w:r>
          </w:p>
        </w:tc>
        <w:tc>
          <w:tcPr/>
          <w:p>
            <w:pPr>
              <w:pStyle w:val="Compact"/>
              <w:jc w:val="left"/>
            </w:pPr>
            <w:r>
              <w:t xml:space="preserve">January 28, 2025</w:t>
            </w:r>
          </w:p>
        </w:tc>
      </w:tr>
      <w:tr>
        <w:tc>
          <w:tcPr/>
          <w:p>
            <w:pPr>
              <w:pStyle w:val="Compact"/>
              <w:jc w:val="left"/>
            </w:pPr>
            <w:r>
              <w:t xml:space="preserve">Preliminary Purchase Price Allocation / Asset Valuation Summary</w:t>
            </w:r>
          </w:p>
        </w:tc>
        <w:tc>
          <w:tcPr/>
          <w:p>
            <w:pPr>
              <w:pStyle w:val="Compact"/>
              <w:jc w:val="left"/>
            </w:pPr>
            <w:r>
              <w:t xml:space="preserve">Thornfield Accounting Group, LLP</w:t>
            </w:r>
          </w:p>
        </w:tc>
        <w:tc>
          <w:tcPr/>
          <w:p>
            <w:pPr>
              <w:pStyle w:val="Compact"/>
              <w:jc w:val="left"/>
            </w:pPr>
            <w:r>
              <w:t xml:space="preserve">(draft, pre-closing)</w:t>
            </w:r>
          </w:p>
        </w:tc>
      </w:tr>
      <w:tr>
        <w:tc>
          <w:tcPr/>
          <w:p>
            <w:pPr>
              <w:pStyle w:val="Compact"/>
              <w:jc w:val="left"/>
            </w:pPr>
            <w:r>
              <w:t xml:space="preserve">Prism Health Analytics, Inc. — Capitalization Table</w:t>
            </w:r>
          </w:p>
        </w:tc>
        <w:tc>
          <w:tcPr/>
          <w:p>
            <w:pPr>
              <w:pStyle w:val="Compact"/>
              <w:jc w:val="left"/>
            </w:pPr>
            <w:r>
              <w:t xml:space="preserve">Company counsel</w:t>
            </w:r>
          </w:p>
        </w:tc>
        <w:tc>
          <w:tcPr/>
          <w:p>
            <w:pPr>
              <w:pStyle w:val="Compact"/>
              <w:jc w:val="left"/>
            </w:pPr>
            <w:r>
              <w:t xml:space="preserve">as of December 31, 2024</w:t>
            </w:r>
          </w:p>
        </w:tc>
      </w:tr>
      <w:tr>
        <w:tc>
          <w:tcPr/>
          <w:p>
            <w:pPr>
              <w:pStyle w:val="Compact"/>
              <w:jc w:val="left"/>
            </w:pPr>
            <w:r>
              <w:t xml:space="preserve">Amended and Restated Operating Agreement of Beacon Insights, LLC</w:t>
            </w:r>
          </w:p>
        </w:tc>
        <w:tc>
          <w:tcPr/>
          <w:p>
            <w:pPr>
              <w:pStyle w:val="Compact"/>
              <w:jc w:val="left"/>
            </w:pPr>
            <w:r>
              <w:t xml:space="preserve">Beacon members</w:t>
            </w:r>
          </w:p>
        </w:tc>
        <w:tc>
          <w:tcPr/>
          <w:p>
            <w:pPr>
              <w:pStyle w:val="Compact"/>
              <w:jc w:val="left"/>
            </w:pPr>
            <w:r>
              <w:t xml:space="preserve">August 1, 2018</w:t>
            </w:r>
          </w:p>
        </w:tc>
      </w:tr>
      <w:tr>
        <w:tc>
          <w:tcPr/>
          <w:p>
            <w:pPr>
              <w:pStyle w:val="Compact"/>
              <w:jc w:val="left"/>
            </w:pPr>
            <w:r>
              <w:t xml:space="preserve">QSBS Eligibility correspondence (email thread)</w:t>
            </w:r>
          </w:p>
        </w:tc>
        <w:tc>
          <w:tcPr/>
          <w:p>
            <w:pPr>
              <w:pStyle w:val="Compact"/>
              <w:jc w:val="left"/>
            </w:pPr>
            <w:r>
              <w:t xml:space="preserve">Linden Rock Advisory / CSW</w:t>
            </w:r>
          </w:p>
        </w:tc>
        <w:tc>
          <w:tcPr/>
          <w:p>
            <w:pPr>
              <w:pStyle w:val="Compact"/>
              <w:jc w:val="left"/>
            </w:pPr>
            <w:r>
              <w:t xml:space="preserve">Nov 2024 – Jan 2025</w:t>
            </w:r>
          </w:p>
        </w:tc>
      </w:tr>
    </w:tbl>
    <w:bookmarkEnd w:id="26"/>
    <w:bookmarkStart w:id="27" w:name="c.-methodology"/>
    <w:p>
      <w:pPr>
        <w:pStyle w:val="Heading3"/>
      </w:pPr>
      <w:r>
        <w:t xml:space="preserve">C. Methodology</w:t>
      </w:r>
    </w:p>
    <w:p>
      <w:pPr>
        <w:pStyle w:val="FirstParagraph"/>
      </w:pPr>
      <w:r>
        <w:t xml:space="preserve">Each provision of the Memo was compared against the corresponding disclosure, representation, computation, or factual record in the supporting documents. Findings are classified by severity based on (i) the magnitude of the tax or economic impact, (ii) whether the issue affects a threshold requirement for the elected structure, (iii) whether the issue reflects an internal inconsistency or a contradiction with an authoritative source document, and (iv) whether the issue is an omission of a matter that the Memo represents or was requested to address. Severity tiers are defined as follows:</w:t>
      </w:r>
    </w:p>
    <w:p>
      <w:pPr>
        <w:pStyle w:val="Compact"/>
        <w:numPr>
          <w:ilvl w:val="0"/>
          <w:numId w:val="1003"/>
        </w:numPr>
      </w:pPr>
      <w:r>
        <w:rPr>
          <w:b/>
          <w:bCs/>
        </w:rPr>
        <w:t xml:space="preserve">Critical</w:t>
      </w:r>
      <w:r>
        <w:t xml:space="preserve"> </w:t>
      </w:r>
      <w:r>
        <w:t xml:space="preserve">— Affects a threshold requirement for the transaction structure, reflects a material computational error, or constitutes an omission of a matter expressly committed to be addressed; could invalidate the structure or cause a material misstatement of tax consequences.</w:t>
      </w:r>
    </w:p>
    <w:p>
      <w:pPr>
        <w:pStyle w:val="Compact"/>
        <w:numPr>
          <w:ilvl w:val="0"/>
          <w:numId w:val="1003"/>
        </w:numPr>
      </w:pPr>
      <w:r>
        <w:rPr>
          <w:b/>
          <w:bCs/>
        </w:rPr>
        <w:t xml:space="preserve">High</w:t>
      </w:r>
      <w:r>
        <w:t xml:space="preserve"> </w:t>
      </w:r>
      <w:r>
        <w:t xml:space="preserve">— Material error or omission that significantly affects the quantification of tax consequences, contradicts a definitive agreement, or omits analysis required for an informed decision; must be resolved before reliance.</w:t>
      </w:r>
    </w:p>
    <w:p>
      <w:pPr>
        <w:pStyle w:val="Compact"/>
        <w:numPr>
          <w:ilvl w:val="0"/>
          <w:numId w:val="1003"/>
        </w:numPr>
      </w:pPr>
      <w:r>
        <w:rPr>
          <w:b/>
          <w:bCs/>
        </w:rPr>
        <w:t xml:space="preserve">Moderate</w:t>
      </w:r>
      <w:r>
        <w:t xml:space="preserve"> </w:t>
      </w:r>
      <w:r>
        <w:t xml:space="preserve">— Notable error, inconsistency, or omission that warrants correction and may affect secondary tax consequences or deal terms.</w:t>
      </w:r>
    </w:p>
    <w:p>
      <w:pPr>
        <w:pStyle w:val="Compact"/>
        <w:numPr>
          <w:ilvl w:val="0"/>
          <w:numId w:val="1003"/>
        </w:numPr>
      </w:pPr>
      <w:r>
        <w:rPr>
          <w:b/>
          <w:bCs/>
        </w:rPr>
        <w:t xml:space="preserve">Low</w:t>
      </w:r>
      <w:r>
        <w:t xml:space="preserve"> </w:t>
      </w:r>
      <w:r>
        <w:t xml:space="preserve">— Minor inconsistency, unsupported assumption, or completeness gap that should be corrected but is unlikely to alter the transaction structure or primary tax conclusions.</w:t>
      </w:r>
    </w:p>
    <w:p>
      <w:r>
        <w:pict>
          <v:rect style="width:0;height:1.5pt" o:hralign="center" o:hrstd="t" o:hr="t"/>
        </w:pict>
      </w:r>
    </w:p>
    <w:bookmarkEnd w:id="27"/>
    <w:bookmarkEnd w:id="28"/>
    <w:bookmarkStart w:id="32" w:name="iii.-critical-findings"/>
    <w:p>
      <w:pPr>
        <w:pStyle w:val="Heading2"/>
      </w:pPr>
      <w:r>
        <w:t xml:space="preserve">III. Critical Findings</w:t>
      </w:r>
    </w:p>
    <w:bookmarkStart w:id="29" w:name="X8c4af07f106e0420eb723316688db5b803e865f"/>
    <w:p>
      <w:pPr>
        <w:pStyle w:val="Heading3"/>
      </w:pPr>
      <w:r>
        <w:t xml:space="preserve">C-1. ADSP Overstated by $48 Million — Double-Counting of Funded Debt</w:t>
      </w:r>
    </w:p>
    <w:p>
      <w:pPr>
        <w:pStyle w:val="FirstParagraph"/>
      </w:pPr>
      <w:r>
        <w:rPr>
          <w:b/>
          <w:bCs/>
        </w:rPr>
        <w:t xml:space="preserve">Severity:</w:t>
      </w:r>
      <w:r>
        <w:t xml:space="preserve"> </w:t>
      </w:r>
      <w:r>
        <w:t xml:space="preserve">Critical</w:t>
      </w:r>
    </w:p>
    <w:p>
      <w:pPr>
        <w:pStyle w:val="BodyText"/>
      </w:pPr>
      <w:r>
        <w:rPr>
          <w:b/>
          <w:bCs/>
        </w:rPr>
        <w:t xml:space="preserve">Description.</w:t>
      </w:r>
      <w:r>
        <w:t xml:space="preserve"> </w:t>
      </w:r>
      <w:r>
        <w:t xml:space="preserve">The Memo computes the Aggregate Deemed Sale Price (ADSP) as follows (Section IV.B):</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Memo Amount</w:t>
            </w:r>
          </w:p>
        </w:tc>
      </w:tr>
      <w:tr>
        <w:tc>
          <w:tcPr/>
          <w:p>
            <w:pPr>
              <w:pStyle w:val="Compact"/>
              <w:jc w:val="left"/>
            </w:pPr>
            <w:r>
              <w:t xml:space="preserve">Enterprise Value</w:t>
            </w:r>
          </w:p>
        </w:tc>
        <w:tc>
          <w:tcPr/>
          <w:p>
            <w:pPr>
              <w:pStyle w:val="Compact"/>
              <w:jc w:val="left"/>
            </w:pPr>
            <w:r>
              <w:t xml:space="preserve">$425,000,000</w:t>
            </w:r>
          </w:p>
        </w:tc>
      </w:tr>
      <w:tr>
        <w:tc>
          <w:tcPr/>
          <w:p>
            <w:pPr>
              <w:pStyle w:val="Compact"/>
              <w:jc w:val="left"/>
            </w:pPr>
            <w:r>
              <w:t xml:space="preserve">Plus: Assumed Liabilities (Funded Debt at Closing)</w:t>
            </w:r>
          </w:p>
        </w:tc>
        <w:tc>
          <w:tcPr/>
          <w:p>
            <w:pPr>
              <w:pStyle w:val="Compact"/>
              <w:jc w:val="left"/>
            </w:pPr>
            <w:r>
              <w:t xml:space="preserve">$48,000,000</w:t>
            </w:r>
          </w:p>
        </w:tc>
      </w:tr>
      <w:tr>
        <w:tc>
          <w:tcPr/>
          <w:p>
            <w:pPr>
              <w:pStyle w:val="Compact"/>
              <w:jc w:val="left"/>
            </w:pPr>
            <w:r>
              <w:rPr>
                <w:b/>
                <w:bCs/>
              </w:rPr>
              <w:t xml:space="preserve">ADSP</w:t>
            </w:r>
          </w:p>
        </w:tc>
        <w:tc>
          <w:tcPr/>
          <w:p>
            <w:pPr>
              <w:pStyle w:val="Compact"/>
              <w:jc w:val="left"/>
            </w:pPr>
            <w:r>
              <w:rPr>
                <w:b/>
                <w:bCs/>
              </w:rPr>
              <w:t xml:space="preserve">$473,000,000</w:t>
            </w:r>
          </w:p>
        </w:tc>
      </w:tr>
    </w:tbl>
    <w:p>
      <w:pPr>
        <w:pStyle w:val="BodyText"/>
      </w:pPr>
      <w:r>
        <w:t xml:space="preserve">This computation is incorrect. Enterprise value already includes the funded debt. The Memo itself establishes the relationship elsewhere (Section II.C): Equity Value = Enterprise Value ($425M) − Funded Debt ($48M) − Seller Transaction Expenses ($7M) = $370M. Stated differently, EV = Equity Value + Funded Debt + Seller Transaction Expenses. Adding the $48M of funded debt to enterprise value therefore counts the debt twice.</w:t>
      </w:r>
    </w:p>
    <w:p>
      <w:pPr>
        <w:pStyle w:val="BodyText"/>
      </w:pPr>
      <w:r>
        <w:t xml:space="preserve">Under Treas. Reg. 1.338-4, the ADSP equals the grossed-up amount realized on the sale of the target’s stock plus the liabilities of old target. The amount realized on the stock is the equity value — i.e., the consideration paid for the shareholders’ stock ($333M cash + $37M rollover equity = $370M) — not the enterprise value. The correct computation 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Correct Amount</w:t>
            </w:r>
          </w:p>
        </w:tc>
      </w:tr>
      <w:tr>
        <w:tc>
          <w:tcPr/>
          <w:p>
            <w:pPr>
              <w:pStyle w:val="Compact"/>
              <w:jc w:val="left"/>
            </w:pPr>
            <w:r>
              <w:t xml:space="preserve">Amount realized on stock (equity value)</w:t>
            </w:r>
          </w:p>
        </w:tc>
        <w:tc>
          <w:tcPr/>
          <w:p>
            <w:pPr>
              <w:pStyle w:val="Compact"/>
              <w:jc w:val="left"/>
            </w:pPr>
            <w:r>
              <w:t xml:space="preserve">$370,000,000</w:t>
            </w:r>
          </w:p>
        </w:tc>
      </w:tr>
      <w:tr>
        <w:tc>
          <w:tcPr/>
          <w:p>
            <w:pPr>
              <w:pStyle w:val="Compact"/>
              <w:jc w:val="left"/>
            </w:pPr>
            <w:r>
              <w:t xml:space="preserve">Plus: Funded debt (target liability)</w:t>
            </w:r>
          </w:p>
        </w:tc>
        <w:tc>
          <w:tcPr/>
          <w:p>
            <w:pPr>
              <w:pStyle w:val="Compact"/>
              <w:jc w:val="left"/>
            </w:pPr>
            <w:r>
              <w:t xml:space="preserve">$48,000,000</w:t>
            </w:r>
          </w:p>
        </w:tc>
      </w:tr>
      <w:tr>
        <w:tc>
          <w:tcPr/>
          <w:p>
            <w:pPr>
              <w:pStyle w:val="Compact"/>
              <w:jc w:val="left"/>
            </w:pPr>
            <w:r>
              <w:t xml:space="preserve">Plus: Seller transaction expenses (target liability, if so treated)</w:t>
            </w:r>
          </w:p>
        </w:tc>
        <w:tc>
          <w:tcPr/>
          <w:p>
            <w:pPr>
              <w:pStyle w:val="Compact"/>
              <w:jc w:val="left"/>
            </w:pPr>
            <w:r>
              <w:t xml:space="preserve">$7,000,000</w:t>
            </w:r>
          </w:p>
        </w:tc>
      </w:tr>
      <w:tr>
        <w:tc>
          <w:tcPr/>
          <w:p>
            <w:pPr>
              <w:pStyle w:val="Compact"/>
              <w:jc w:val="left"/>
            </w:pPr>
            <w:r>
              <w:rPr>
                <w:b/>
                <w:bCs/>
              </w:rPr>
              <w:t xml:space="preserve">ADSP (including seller expenses)</w:t>
            </w:r>
          </w:p>
        </w:tc>
        <w:tc>
          <w:tcPr/>
          <w:p>
            <w:pPr>
              <w:pStyle w:val="Compact"/>
              <w:jc w:val="left"/>
            </w:pPr>
            <w:r>
              <w:rPr>
                <w:b/>
                <w:bCs/>
              </w:rPr>
              <w:t xml:space="preserve">$425,000,000</w:t>
            </w:r>
          </w:p>
        </w:tc>
      </w:tr>
      <w:tr>
        <w:tc>
          <w:tcPr/>
          <w:p>
            <w:pPr>
              <w:pStyle w:val="Compact"/>
              <w:jc w:val="left"/>
            </w:pPr>
            <w:r>
              <w:rPr>
                <w:b/>
                <w:bCs/>
              </w:rPr>
              <w:t xml:space="preserve">ADSP (excluding seller expenses)</w:t>
            </w:r>
          </w:p>
        </w:tc>
        <w:tc>
          <w:tcPr/>
          <w:p>
            <w:pPr>
              <w:pStyle w:val="Compact"/>
              <w:jc w:val="left"/>
            </w:pPr>
            <w:r>
              <w:rPr>
                <w:b/>
                <w:bCs/>
              </w:rPr>
              <w:t xml:space="preserve">$418,000,000</w:t>
            </w:r>
          </w:p>
        </w:tc>
      </w:tr>
    </w:tbl>
    <w:p>
      <w:pPr>
        <w:pStyle w:val="BodyText"/>
      </w:pPr>
      <w:r>
        <w:t xml:space="preserve">The Thornfield asset valuation summary (Allocation Summary tab) independently identifies this error, stating:</w:t>
      </w:r>
      <w:r>
        <w:t xml:space="preserve"> </w:t>
      </w:r>
      <w:r>
        <w:t xml:space="preserve">“</w:t>
      </w:r>
      <w:r>
        <w:t xml:space="preserve">The memorandum computes ADSP as $425M enterprise value + $48M liabilities = $473M. This double-counts the $48M funded debt, which was already subtracted to derive equity value ($425M − $48M − $7M = $370M) and is then added back again.</w:t>
      </w:r>
      <w:r>
        <w:t xml:space="preserve">”</w:t>
      </w:r>
    </w:p>
    <w:p>
      <w:pPr>
        <w:pStyle w:val="BodyText"/>
      </w:pPr>
      <w:r>
        <w:rPr>
          <w:b/>
          <w:bCs/>
        </w:rPr>
        <w:t xml:space="preserve">Impact.</w:t>
      </w:r>
      <w:r>
        <w:t xml:space="preserve"> </w:t>
      </w:r>
      <w:r>
        <w:t xml:space="preserve">The $48M overstatement propagates throughout the Memo’s analysis:</w:t>
      </w:r>
    </w:p>
    <w:p>
      <w:pPr>
        <w:pStyle w:val="Compact"/>
        <w:numPr>
          <w:ilvl w:val="0"/>
          <w:numId w:val="1004"/>
        </w:numPr>
      </w:pPr>
      <w:r>
        <w:rPr>
          <w:b/>
          <w:bCs/>
        </w:rPr>
        <w:t xml:space="preserve">Class VII goodwill</w:t>
      </w:r>
      <w:r>
        <w:t xml:space="preserve"> </w:t>
      </w:r>
      <w:r>
        <w:t xml:space="preserve">is overstated by $48M (the entire overstatement falls to the residual class): $272.8M (Memo) vs. approximately $224.8M (corrected, excluding seller expenses) or $196.3M (per Thornfield, which also corrects the Class V allocation — see H-2).</w:t>
      </w:r>
    </w:p>
    <w:p>
      <w:pPr>
        <w:pStyle w:val="Compact"/>
        <w:numPr>
          <w:ilvl w:val="0"/>
          <w:numId w:val="1004"/>
        </w:numPr>
      </w:pPr>
      <w:r>
        <w:rPr>
          <w:b/>
          <w:bCs/>
        </w:rPr>
        <w:t xml:space="preserve">Total deemed sale gain</w:t>
      </w:r>
      <w:r>
        <w:t xml:space="preserve"> </w:t>
      </w:r>
      <w:r>
        <w:t xml:space="preserve">is overstated by $48M before considering the basis discrepancy in H-1.</w:t>
      </w:r>
    </w:p>
    <w:p>
      <w:pPr>
        <w:pStyle w:val="Compact"/>
        <w:numPr>
          <w:ilvl w:val="0"/>
          <w:numId w:val="1004"/>
        </w:numPr>
      </w:pPr>
      <w:r>
        <w:rPr>
          <w:b/>
          <w:bCs/>
        </w:rPr>
        <w:t xml:space="preserve">Buyer’s annual amortization deductions</w:t>
      </w:r>
      <w:r>
        <w:t xml:space="preserve"> </w:t>
      </w:r>
      <w:r>
        <w:t xml:space="preserve">attributable to goodwill are overstated by approximately $3.2M/year ($48M ÷ 15 years), with a corresponding overstatement of projected cash tax savings.</w:t>
      </w:r>
    </w:p>
    <w:p>
      <w:pPr>
        <w:pStyle w:val="Compact"/>
        <w:numPr>
          <w:ilvl w:val="0"/>
          <w:numId w:val="1004"/>
        </w:numPr>
      </w:pPr>
      <w:r>
        <w:t xml:space="preserve">The Memo’s headline buyer benefit figures (Section VII.A: ~$24.5M annual D&amp;A; ~$6.125M annual cash tax savings) are derived from the overstated ADSP and require recomputation.</w:t>
      </w:r>
    </w:p>
    <w:p>
      <w:pPr>
        <w:pStyle w:val="FirstParagraph"/>
      </w:pPr>
      <w:r>
        <w:rPr>
          <w:b/>
          <w:bCs/>
        </w:rPr>
        <w:t xml:space="preserve">Recommendation.</w:t>
      </w:r>
      <w:r>
        <w:t xml:space="preserve"> </w:t>
      </w:r>
      <w:r>
        <w:t xml:space="preserve">Recompute the ADSP starting from the amount realized on the stock ($370M) plus target liabilities. Reconcile with Thornfield’s computation. Revise the purchase price allocation, the deemed sale gain, the per-shareholder gain allocations, and the buyer benefit estimates accordingly. Confirm whether seller transaction expenses are properly treated as target liabilities for ADSP purposes (the Memo excludes them; Thornfield includes them</w:t>
      </w:r>
      <w:r>
        <w:t xml:space="preserve"> </w:t>
      </w:r>
      <w:r>
        <w:t xml:space="preserve">“</w:t>
      </w:r>
      <w:r>
        <w:t xml:space="preserve">for conservatism</w:t>
      </w:r>
      <w:r>
        <w:t xml:space="preserve">”</w:t>
      </w:r>
      <w:r>
        <w:t xml:space="preserve">).</w:t>
      </w:r>
    </w:p>
    <w:p>
      <w:r>
        <w:pict>
          <v:rect style="width:0;height:1.5pt" o:hralign="center" o:hrstd="t" o:hr="t"/>
        </w:pict>
      </w:r>
    </w:p>
    <w:bookmarkEnd w:id="29"/>
    <w:bookmarkStart w:id="30" w:name="X53369e99b2138054e24f92eb9d9b2cd9ea2baee"/>
    <w:p>
      <w:pPr>
        <w:pStyle w:val="Heading3"/>
      </w:pPr>
      <w:r>
        <w:t xml:space="preserve">C-2. S Corporation Shareholder Eligibility — Memo Contradicts the Due Diligence Record</w:t>
      </w:r>
    </w:p>
    <w:p>
      <w:pPr>
        <w:pStyle w:val="FirstParagraph"/>
      </w:pPr>
      <w:r>
        <w:rPr>
          <w:b/>
          <w:bCs/>
        </w:rPr>
        <w:t xml:space="preserve">Severity:</w:t>
      </w:r>
      <w:r>
        <w:t xml:space="preserve"> </w:t>
      </w:r>
      <w:r>
        <w:t xml:space="preserve">Critical</w:t>
      </w:r>
    </w:p>
    <w:p>
      <w:pPr>
        <w:pStyle w:val="BodyText"/>
      </w:pPr>
      <w:r>
        <w:rPr>
          <w:b/>
          <w:bCs/>
        </w:rPr>
        <w:t xml:space="preserve">Description.</w:t>
      </w:r>
      <w:r>
        <w:t xml:space="preserve"> </w:t>
      </w:r>
      <w:r>
        <w:t xml:space="preserve">The Memo states (Section III.A):</w:t>
      </w:r>
      <w:r>
        <w:t xml:space="preserve"> </w:t>
      </w:r>
      <w:r>
        <w:t xml:space="preserve">“</w:t>
      </w:r>
      <w:r>
        <w:t xml:space="preserve">We have reviewed the S election file and the annual shareholder records provided to us. No events causing a termination of the S election have been identified. All shareholders of Prism are U.S. individuals, and we are not aware of any ineligible shareholders.</w:t>
      </w:r>
      <w:r>
        <w:t xml:space="preserve">”</w:t>
      </w:r>
      <w:r>
        <w:t xml:space="preserve"> </w:t>
      </w:r>
      <w:r>
        <w:t xml:space="preserve">The Memo reiterates in Section II.A that the restricted stock holders are</w:t>
      </w:r>
      <w:r>
        <w:t xml:space="preserve"> </w:t>
      </w:r>
      <w:r>
        <w:t xml:space="preserve">“</w:t>
      </w:r>
      <w:r>
        <w:t xml:space="preserve">individuals</w:t>
      </w:r>
      <w:r>
        <w:t xml:space="preserve">”</w:t>
      </w:r>
      <w:r>
        <w:t xml:space="preserve"> </w:t>
      </w:r>
      <w:r>
        <w:t xml:space="preserve">and that the</w:t>
      </w:r>
      <w:r>
        <w:t xml:space="preserve"> </w:t>
      </w:r>
      <w:r>
        <w:t xml:space="preserve">“</w:t>
      </w:r>
      <w:r>
        <w:t xml:space="preserve">other shareholders</w:t>
      </w:r>
      <w:r>
        <w:t xml:space="preserve">”</w:t>
      </w:r>
      <w:r>
        <w:t xml:space="preserve"> </w:t>
      </w:r>
      <w:r>
        <w:t xml:space="preserve">group consists of holders who are</w:t>
      </w:r>
      <w:r>
        <w:t xml:space="preserve"> </w:t>
      </w:r>
      <w:r>
        <w:t xml:space="preserve">“</w:t>
      </w:r>
      <w:r>
        <w:t xml:space="preserve">all individuals.</w:t>
      </w:r>
      <w:r>
        <w:t xml:space="preserve">”</w:t>
      </w:r>
    </w:p>
    <w:p>
      <w:pPr>
        <w:pStyle w:val="BodyText"/>
      </w:pPr>
      <w:r>
        <w:t xml:space="preserve">These statements are directly contradicted by the Thornfield Tax Due Diligence Report, which the Memo represents (in its opening paragraph and Section I) to have reviewed. Thornfield identifies shareholder eligibility as a</w:t>
      </w:r>
      <w:r>
        <w:t xml:space="preserve"> </w:t>
      </w:r>
      <w:r>
        <w:rPr>
          <w:b/>
          <w:bCs/>
        </w:rPr>
        <w:t xml:space="preserve">critical</w:t>
      </w:r>
      <w:r>
        <w:t xml:space="preserve"> </w:t>
      </w:r>
      <w:r>
        <w:t xml:space="preserve">open item (Section III.B; Summary Finding No. 1):</w:t>
      </w:r>
    </w:p>
    <w:p>
      <w:pPr>
        <w:pStyle w:val="Compact"/>
        <w:numPr>
          <w:ilvl w:val="0"/>
          <w:numId w:val="1005"/>
        </w:numPr>
      </w:pPr>
      <w:r>
        <w:rPr>
          <w:b/>
          <w:bCs/>
        </w:rPr>
        <w:t xml:space="preserve">One restricted stock holder</w:t>
      </w:r>
      <w:r>
        <w:t xml:space="preserve"> </w:t>
      </w:r>
      <w:r>
        <w:t xml:space="preserve">is identified in personnel records as a Canadian national on an H-1B nonimmigrant visa. Thornfield could not confirm substantial-presence-test compliance under Section 7701(b)(3) for each year since the grant. If the holder failed the substantial-presence test in any year, the holder would be a nonresident alien — an ineligible S corporation shareholder under Section 1361(b)(1) — causing retroactive termination of the S election under Section 1362(d)(2).</w:t>
      </w:r>
    </w:p>
    <w:p>
      <w:pPr>
        <w:pStyle w:val="Compact"/>
        <w:numPr>
          <w:ilvl w:val="0"/>
          <w:numId w:val="1005"/>
        </w:numPr>
      </w:pPr>
      <w:r>
        <w:rPr>
          <w:b/>
          <w:bCs/>
        </w:rPr>
        <w:t xml:space="preserve">One restricted stock holder</w:t>
      </w:r>
      <w:r>
        <w:t xml:space="preserve"> </w:t>
      </w:r>
      <w:r>
        <w:t xml:space="preserve">is the subject of an annotation in Prism’s 2021 internal stock ledger referencing a</w:t>
      </w:r>
      <w:r>
        <w:t xml:space="preserve"> </w:t>
      </w:r>
      <w:r>
        <w:t xml:space="preserve">“</w:t>
      </w:r>
      <w:r>
        <w:t xml:space="preserve">transfer to [name] Family Holdings, LLC.</w:t>
      </w:r>
      <w:r>
        <w:t xml:space="preserve">”</w:t>
      </w:r>
      <w:r>
        <w:t xml:space="preserve"> </w:t>
      </w:r>
      <w:r>
        <w:t xml:space="preserve">If the transfer occurred and the LLC is a multi-member LLC (or a single-member LLC owned by an ineligible person), the LLC is an ineligible shareholder, terminating the S election as of the transfer date.</w:t>
      </w:r>
    </w:p>
    <w:p>
      <w:pPr>
        <w:pStyle w:val="FirstParagraph"/>
      </w:pPr>
      <w:r>
        <w:t xml:space="preserve">The Prism capitalization table independently flags</w:t>
      </w:r>
      <w:r>
        <w:t xml:space="preserve"> </w:t>
      </w:r>
      <w:r>
        <w:rPr>
          <w:b/>
          <w:bCs/>
        </w:rPr>
        <w:t xml:space="preserve">three</w:t>
      </w:r>
      <w:r>
        <w:t xml:space="preserve"> </w:t>
      </w:r>
      <w:r>
        <w:t xml:space="preserve">restricted stock holders with unverified S corporation eligibility: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Holder</w:t>
            </w:r>
          </w:p>
        </w:tc>
        <w:tc>
          <w:tcPr/>
          <w:p>
            <w:pPr>
              <w:pStyle w:val="Compact"/>
              <w:jc w:val="left"/>
            </w:pPr>
            <w:r>
              <w:t xml:space="preserve">Issue (per cap table)</w:t>
            </w:r>
          </w:p>
        </w:tc>
      </w:tr>
      <w:tr>
        <w:tc>
          <w:tcPr/>
          <w:p>
            <w:pPr>
              <w:pStyle w:val="Compact"/>
              <w:jc w:val="left"/>
            </w:pPr>
            <w:r>
              <w:t xml:space="preserve">Lin Wei Zhang</w:t>
            </w:r>
          </w:p>
        </w:tc>
        <w:tc>
          <w:tcPr/>
          <w:p>
            <w:pPr>
              <w:pStyle w:val="Compact"/>
              <w:jc w:val="left"/>
            </w:pPr>
            <w:r>
              <w:t xml:space="preserve">H-1B visa holder; PRC citizen; permanent residency application pending; residency/citizenship not verified</w:t>
            </w:r>
          </w:p>
        </w:tc>
      </w:tr>
      <w:tr>
        <w:tc>
          <w:tcPr/>
          <w:p>
            <w:pPr>
              <w:pStyle w:val="Compact"/>
              <w:jc w:val="left"/>
            </w:pPr>
            <w:r>
              <w:t xml:space="preserve">Yusuf Al-Rashidi</w:t>
            </w:r>
          </w:p>
        </w:tc>
        <w:tc>
          <w:tcPr/>
          <w:p>
            <w:pPr>
              <w:pStyle w:val="Compact"/>
              <w:jc w:val="left"/>
            </w:pPr>
            <w:r>
              <w:t xml:space="preserve">Dual citizen (U.S./Jordan); U.S. citizenship documentation not on file</w:t>
            </w:r>
          </w:p>
        </w:tc>
      </w:tr>
      <w:tr>
        <w:tc>
          <w:tcPr/>
          <w:p>
            <w:pPr>
              <w:pStyle w:val="Compact"/>
              <w:jc w:val="left"/>
            </w:pPr>
            <w:r>
              <w:t xml:space="preserve">Nina Petrova</w:t>
            </w:r>
          </w:p>
        </w:tc>
        <w:tc>
          <w:tcPr/>
          <w:p>
            <w:pPr>
              <w:pStyle w:val="Compact"/>
              <w:jc w:val="left"/>
            </w:pPr>
            <w:r>
              <w:t xml:space="preserve">Bulgarian-born; green card (lawful permanent resident) status unconfirmed on file</w:t>
            </w:r>
          </w:p>
        </w:tc>
      </w:tr>
    </w:tbl>
    <w:p>
      <w:pPr>
        <w:pStyle w:val="BodyText"/>
      </w:pPr>
      <w:r>
        <w:t xml:space="preserve">The capitalization table’s aggregate note confirms:</w:t>
      </w:r>
      <w:r>
        <w:t xml:space="preserve"> </w:t>
      </w:r>
      <w:r>
        <w:t xml:space="preserve">“</w:t>
      </w:r>
      <w:r>
        <w:t xml:space="preserve">Unverified S corp eligibility: 3 shareholders.</w:t>
      </w:r>
      <w:r>
        <w:t xml:space="preserve">”</w:t>
      </w:r>
      <w:r>
        <w:t xml:space="preserve"> </w:t>
      </w:r>
      <w:r>
        <w:t xml:space="preserve">The cap table also notes that these three holders are in line to receive an aggregate of approximately $2,775,000 in transaction consideration.</w:t>
      </w:r>
    </w:p>
    <w:p>
      <w:pPr>
        <w:pStyle w:val="BodyText"/>
      </w:pPr>
      <w:r>
        <w:t xml:space="preserve">The Stock Purchase Agreement compounds the issue. Section 4.9(a) represents that</w:t>
      </w:r>
      <w:r>
        <w:t xml:space="preserve"> </w:t>
      </w:r>
      <w:r>
        <w:t xml:space="preserve">“</w:t>
      </w:r>
      <w:r>
        <w:t xml:space="preserve">each shareholder is an eligible S corporation shareholder within the meaning of Section 1361(b)(1),</w:t>
      </w:r>
      <w:r>
        <w:t xml:space="preserve">”</w:t>
      </w:r>
      <w:r>
        <w:t xml:space="preserve"> </w:t>
      </w:r>
      <w:r>
        <w:t xml:space="preserve">and Section 2.5 represents that</w:t>
      </w:r>
      <w:r>
        <w:t xml:space="preserve"> </w:t>
      </w:r>
      <w:r>
        <w:t xml:space="preserve">“</w:t>
      </w:r>
      <w:r>
        <w:t xml:space="preserve">each holder of restricted stock is an individual who is a citizen or resident of the United States.</w:t>
      </w:r>
      <w:r>
        <w:t xml:space="preserve">”</w:t>
      </w:r>
      <w:r>
        <w:t xml:space="preserve"> </w:t>
      </w:r>
      <w:r>
        <w:t xml:space="preserve">Given the Thornfield and cap-table findings, these representations may be inaccurate. Section 8.2(c) makes maintenance of valid S corporation status through closing a condition to Buyer’s obligations.</w:t>
      </w:r>
    </w:p>
    <w:p>
      <w:pPr>
        <w:pStyle w:val="BodyText"/>
      </w:pPr>
      <w:r>
        <w:rPr>
          <w:b/>
          <w:bCs/>
        </w:rPr>
        <w:t xml:space="preserve">Impact.</w:t>
      </w:r>
      <w:r>
        <w:t xml:space="preserve"> </w:t>
      </w:r>
      <w:r>
        <w:t xml:space="preserve">Valid S corporation status is a threshold requirement for the Section 338(h)(10) election. If the S election was inadvertently terminated in any prior year, Prism would have been a C corporation for that and all subsequent years, with cascading consequences: entity-level federal and state C corporation income tax for all open years, penalties and interest, invalidation of the state-level S elections (per Thornfield Section V.B), and unavailability of the Section 338(h)(10) election — the central feature of the structure the Memo analyzes. The Memo’s affirmative statement that it is</w:t>
      </w:r>
      <w:r>
        <w:t xml:space="preserve"> </w:t>
      </w:r>
      <w:r>
        <w:t xml:space="preserve">“</w:t>
      </w:r>
      <w:r>
        <w:t xml:space="preserve">not aware of any ineligible shareholders</w:t>
      </w:r>
      <w:r>
        <w:t xml:space="preserve">”</w:t>
      </w:r>
      <w:r>
        <w:t xml:space="preserve"> </w:t>
      </w:r>
      <w:r>
        <w:t xml:space="preserve">is inconsistent with the due diligence record it cites and creates a risk that the Investment Committee relies on a conclusion the supporting documents do not support.</w:t>
      </w:r>
    </w:p>
    <w:p>
      <w:pPr>
        <w:pStyle w:val="BodyText"/>
      </w:pPr>
      <w:r>
        <w:rPr>
          <w:b/>
          <w:bCs/>
        </w:rPr>
        <w:t xml:space="preserve">Recommendation.</w:t>
      </w:r>
      <w:r>
        <w:t xml:space="preserve"> </w:t>
      </w:r>
      <w:r>
        <w:t xml:space="preserve">The Memo should be revised to (i) disclose the eligibility open items identified by Thornfield and the capitalization table, (ii) withdraw or qualify the statement that no ineligible shareholders have been identified, and (iii) make resolution of shareholder eligibility an express condition precedent to closing and to the 338(h)(10) election, consistent with Stock Purchase Agreement Section 8.2(c) and (d). Immigration/residency documentation for the H-1B holder and documentation of the alleged family-LLC transfer should be obtained and reviewed before closing. The accuracy of the Section 4.9(a) and 2.5 representations should be confirmed.</w:t>
      </w:r>
    </w:p>
    <w:p>
      <w:r>
        <w:pict>
          <v:rect style="width:0;height:1.5pt" o:hralign="center" o:hrstd="t" o:hr="t"/>
        </w:pict>
      </w:r>
    </w:p>
    <w:bookmarkEnd w:id="30"/>
    <w:bookmarkStart w:id="31" w:name="Xbea1256c9c9c2eadf0f66f53c52206d626894be"/>
    <w:p>
      <w:pPr>
        <w:pStyle w:val="Heading3"/>
      </w:pPr>
      <w:r>
        <w:t xml:space="preserve">C-3. QSBS / Section 1202 Analysis Entirely Omitted Despite Express Commitment</w:t>
      </w:r>
    </w:p>
    <w:p>
      <w:pPr>
        <w:pStyle w:val="FirstParagraph"/>
      </w:pPr>
      <w:r>
        <w:rPr>
          <w:b/>
          <w:bCs/>
        </w:rPr>
        <w:t xml:space="preserve">Severity:</w:t>
      </w:r>
      <w:r>
        <w:t xml:space="preserve"> </w:t>
      </w:r>
      <w:r>
        <w:t xml:space="preserve">Critical</w:t>
      </w:r>
    </w:p>
    <w:p>
      <w:pPr>
        <w:pStyle w:val="BodyText"/>
      </w:pPr>
      <w:r>
        <w:rPr>
          <w:b/>
          <w:bCs/>
        </w:rPr>
        <w:t xml:space="preserve">Description.</w:t>
      </w:r>
      <w:r>
        <w:t xml:space="preserve"> </w:t>
      </w:r>
      <w:r>
        <w:t xml:space="preserve">The Memo contains no Section 1202 / qualified small business stock (QSBS) analysis. There is no reference to Section 1202 anywhere in the Memo, no dedicated section, and no discussion of the interaction between QSBS and the Section 338(h)(10) election. This omission is significant in light of the following record:</w:t>
      </w:r>
    </w:p>
    <w:p>
      <w:pPr>
        <w:pStyle w:val="Compact"/>
        <w:numPr>
          <w:ilvl w:val="0"/>
          <w:numId w:val="1006"/>
        </w:numPr>
      </w:pPr>
      <w:r>
        <w:rPr>
          <w:b/>
          <w:bCs/>
        </w:rPr>
        <w:t xml:space="preserve">Thornfield Due Diligence Report</w:t>
      </w:r>
      <w:r>
        <w:t xml:space="preserve"> </w:t>
      </w:r>
      <w:r>
        <w:t xml:space="preserve">(Section VIII.B; Summary Finding No. 4) identifies QSBS as a moderate finding, noting that several angel investors raised Section 1202 questions and that</w:t>
      </w:r>
      <w:r>
        <w:t xml:space="preserve"> </w:t>
      </w:r>
      <w:r>
        <w:t xml:space="preserve">“</w:t>
      </w:r>
      <w:r>
        <w:t xml:space="preserve">the interaction between QSBS treatment and the proposed Section 338(h)(10) deemed asset sale framework has not been analyzed.</w:t>
      </w:r>
      <w:r>
        <w:t xml:space="preserve">”</w:t>
      </w:r>
      <w:r>
        <w:t xml:space="preserve"> </w:t>
      </w:r>
      <w:r>
        <w:t xml:space="preserve">Thornfield recommends that</w:t>
      </w:r>
      <w:r>
        <w:t xml:space="preserve"> </w:t>
      </w:r>
      <w:r>
        <w:t xml:space="preserve">“</w:t>
      </w:r>
      <w:r>
        <w:t xml:space="preserve">tax counsel should provide a definitive analysis of QSBS eligibility.</w:t>
      </w:r>
      <w:r>
        <w:t xml:space="preserve">”</w:t>
      </w:r>
    </w:p>
    <w:p>
      <w:pPr>
        <w:pStyle w:val="Compact"/>
        <w:numPr>
          <w:ilvl w:val="0"/>
          <w:numId w:val="1006"/>
        </w:numPr>
      </w:pPr>
      <w:r>
        <w:rPr>
          <w:b/>
          <w:bCs/>
        </w:rPr>
        <w:t xml:space="preserve">Linden Rock Advisory correspondence (November 2024):</w:t>
      </w:r>
      <w:r>
        <w:t xml:space="preserve"> </w:t>
      </w:r>
      <w:r>
        <w:t xml:space="preserve">The selling shareholders’ financial advisor formally requested that CSW provide a written QSBS analysis, identifying four specific questions: (1) the effect of the C-to-S conversion on QSBS eligibility; (2) the interaction between Section 1202 and the Section 338(h)(10) election; (3) whether Prism met the qualified small business requirements (including the $50M gross assets test); and (4) the position of the two California-resident shareholders. Linden Rock stated the issue was</w:t>
      </w:r>
      <w:r>
        <w:t xml:space="preserve"> </w:t>
      </w:r>
      <w:r>
        <w:t xml:space="preserve">“</w:t>
      </w:r>
      <w:r>
        <w:t xml:space="preserve">time-sensitive</w:t>
      </w:r>
      <w:r>
        <w:t xml:space="preserve">”</w:t>
      </w:r>
      <w:r>
        <w:t xml:space="preserve"> </w:t>
      </w:r>
      <w:r>
        <w:t xml:space="preserve">and requested analysis</w:t>
      </w:r>
      <w:r>
        <w:t xml:space="preserve"> </w:t>
      </w:r>
      <w:r>
        <w:t xml:space="preserve">“</w:t>
      </w:r>
      <w:r>
        <w:t xml:space="preserve">before the shareholders are asked to commit to the definitive documents.</w:t>
      </w:r>
      <w:r>
        <w:t xml:space="preserve">”</w:t>
      </w:r>
    </w:p>
    <w:p>
      <w:pPr>
        <w:pStyle w:val="Compact"/>
        <w:numPr>
          <w:ilvl w:val="0"/>
          <w:numId w:val="1006"/>
        </w:numPr>
      </w:pPr>
      <w:r>
        <w:rPr>
          <w:b/>
          <w:bCs/>
        </w:rPr>
        <w:t xml:space="preserve">CSW response (November 20, 2024):</w:t>
      </w:r>
      <w:r>
        <w:t xml:space="preserve"> </w:t>
      </w:r>
      <w:r>
        <w:t xml:space="preserve">CSW’s senior partner acknowledged the issue, flagged that the 338(h)(10) deemed asset sale treatment may be</w:t>
      </w:r>
      <w:r>
        <w:t xml:space="preserve"> </w:t>
      </w:r>
      <w:r>
        <w:t xml:space="preserve">“</w:t>
      </w:r>
      <w:r>
        <w:t xml:space="preserve">in tension with the statutory language of Section 1202,</w:t>
      </w:r>
      <w:r>
        <w:t xml:space="preserve">”</w:t>
      </w:r>
      <w:r>
        <w:t xml:space="preserve"> </w:t>
      </w:r>
      <w:r>
        <w:t xml:space="preserve">and expressly committed:</w:t>
      </w:r>
      <w:r>
        <w:t xml:space="preserve"> </w:t>
      </w:r>
      <w:r>
        <w:t xml:space="preserve">“</w:t>
      </w:r>
      <w:r>
        <w:t xml:space="preserve">We intend to include a QSBS analysis as part of the transaction structure memorandum we are preparing for Ridgeline… My goal is to have the QSBS section drafted and incorporated into the memorandum well before the purchase agreement is executed.</w:t>
      </w:r>
      <w:r>
        <w:t xml:space="preserve">”</w:t>
      </w:r>
    </w:p>
    <w:p>
      <w:pPr>
        <w:pStyle w:val="Compact"/>
        <w:numPr>
          <w:ilvl w:val="0"/>
          <w:numId w:val="1006"/>
        </w:numPr>
      </w:pPr>
      <w:r>
        <w:rPr>
          <w:b/>
          <w:bCs/>
        </w:rPr>
        <w:t xml:space="preserve">Linden Rock follow-up (January 6, 2025):</w:t>
      </w:r>
      <w:r>
        <w:t xml:space="preserve"> </w:t>
      </w:r>
      <w:r>
        <w:t xml:space="preserve">Linden Rock noted that no written analysis had been received since the November exchange, reiterated the urgency, raised an additional question regarding the $22M escrow and QSBS timing, and asked whether an alternative structure (e.g., a straight stock sale without the 338(h)(10) election) would preserve the exclusion.</w:t>
      </w:r>
    </w:p>
    <w:p>
      <w:pPr>
        <w:pStyle w:val="Compact"/>
        <w:numPr>
          <w:ilvl w:val="0"/>
          <w:numId w:val="1006"/>
        </w:numPr>
      </w:pPr>
      <w:r>
        <w:rPr>
          <w:b/>
          <w:bCs/>
        </w:rPr>
        <w:t xml:space="preserve">The Memo is dated February 10, 2025</w:t>
      </w:r>
      <w:r>
        <w:t xml:space="preserve"> </w:t>
      </w:r>
      <w:r>
        <w:t xml:space="preserve">— after the January 6 follow-up and after the purchase agreement was signed (January 28, 2025) — yet contains no QSBS analysis.</w:t>
      </w:r>
    </w:p>
    <w:p>
      <w:pPr>
        <w:pStyle w:val="FirstParagraph"/>
      </w:pPr>
      <w:r>
        <w:t xml:space="preserve">The capitalization table confirms that multiple shareholders acquired stock during the C corporation period (June 14 – December 31, 2016) and are potentially QSBS-eligible, including the two founders and at least nine non-founder investors (Thomas Greenfield, Patricia Muñoz, David Yoon, Robert Fielding, Karen Whitford, Samuel Okoye, Marcus Donnelly, Priya Srinivasan, and Derek Hawkins). The cap table annotates each with</w:t>
      </w:r>
      <w:r>
        <w:t xml:space="preserve"> </w:t>
      </w:r>
      <w:r>
        <w:t xml:space="preserve">“</w:t>
      </w:r>
      <w:r>
        <w:t xml:space="preserve">Potential QSBS eligibility — not analyzed.</w:t>
      </w:r>
      <w:r>
        <w:t xml:space="preserve">”</w:t>
      </w:r>
      <w:r>
        <w:t xml:space="preserve"> </w:t>
      </w:r>
      <w:r>
        <w:t xml:space="preserve">(Note: Thornfield’s report states that only four seed-round angel investors acquired during the C corporation period; the capitalization table shows a larger number — see M-6.)</w:t>
      </w:r>
    </w:p>
    <w:p>
      <w:pPr>
        <w:pStyle w:val="BodyText"/>
      </w:pPr>
      <w:r>
        <w:rPr>
          <w:b/>
          <w:bCs/>
        </w:rPr>
        <w:t xml:space="preserve">Impact.</w:t>
      </w:r>
      <w:r>
        <w:t xml:space="preserve"> </w:t>
      </w:r>
      <w:r>
        <w:t xml:space="preserve">The QSBS exclusion (up to 100% of gain for stock acquired after September 27, 2010, subject to per-issuer and per-taxpayer caps) is potentially worth seven-figure after-tax amounts to multiple selling shareholders. The Linden Rock correspondence characterizes the difference between a 100% federal exclusion and full capital-gains taxation as,</w:t>
      </w:r>
      <w:r>
        <w:t xml:space="preserve"> </w:t>
      </w:r>
      <w:r>
        <w:t xml:space="preserve">“</w:t>
      </w:r>
      <w:r>
        <w:t xml:space="preserve">in some cases, a seven-figure swing in after-tax proceeds.</w:t>
      </w:r>
      <w:r>
        <w:t xml:space="preserve">”</w:t>
      </w:r>
      <w:r>
        <w:t xml:space="preserve"> </w:t>
      </w:r>
      <w:r>
        <w:t xml:space="preserve">Critically, CSW’s own preliminary observation was that the 338(h)(10) deemed asset sale framework may foreclose QSBS treatment — meaning the election that benefits the Buyer may eliminate a material benefit for the selling shareholders. This is a structural decision point (338(h)(10) vs. straight stock sale) that the Memo entirely fails to address, despite an express written commitment to do so. The omission also leaves the escrow/QSBS timing question (raised January 6, 2025) unanswered.</w:t>
      </w:r>
    </w:p>
    <w:p>
      <w:pPr>
        <w:pStyle w:val="BodyText"/>
      </w:pPr>
      <w:r>
        <w:rPr>
          <w:b/>
          <w:bCs/>
        </w:rPr>
        <w:t xml:space="preserve">Recommendation.</w:t>
      </w:r>
      <w:r>
        <w:t xml:space="preserve"> </w:t>
      </w:r>
      <w:r>
        <w:t xml:space="preserve">The Memo should be supplemented with a dedicated QSBS section addressing: (i) which shareholders’ shares were issued during the C corporation period and may qualify; (ii) whether the C-to-S conversion affects the retained QSBS character of those shares; (iii) whether the Section 338(h)(10) deemed asset sale / deemed liquidation framework permits or forecloses the Section 1202 exclusion; (iv) the $50M aggregate gross assets test; (v) the per-taxpayer/per-issuer limitations; (vi) the treatment of the escrow portion; and (vii) whether an alternative structure would preserve the exclusion and the trade-offs involved. Given that the purchase agreement has been signed, this analysis is overdue and should be provided to the selling shareholders’ advisors promptly.</w:t>
      </w:r>
    </w:p>
    <w:p>
      <w:r>
        <w:pict>
          <v:rect style="width:0;height:1.5pt" o:hralign="center" o:hrstd="t" o:hr="t"/>
        </w:pict>
      </w:r>
    </w:p>
    <w:bookmarkEnd w:id="31"/>
    <w:bookmarkEnd w:id="32"/>
    <w:bookmarkStart w:id="40" w:name="iv.-high-severity-findings"/>
    <w:p>
      <w:pPr>
        <w:pStyle w:val="Heading2"/>
      </w:pPr>
      <w:r>
        <w:t xml:space="preserve">IV. High-Severity Findings</w:t>
      </w:r>
    </w:p>
    <w:bookmarkStart w:id="33" w:name="Xf9c6b3d48a537551f458a6e746d7be7933f8399"/>
    <w:p>
      <w:pPr>
        <w:pStyle w:val="Heading3"/>
      </w:pPr>
      <w:r>
        <w:t xml:space="preserve">H-1. Aggregate Adjusted Tax Basis Cannot Be Reconciled to the Asset Valuation</w:t>
      </w:r>
    </w:p>
    <w:p>
      <w:pPr>
        <w:pStyle w:val="FirstParagraph"/>
      </w:pPr>
      <w:r>
        <w:rPr>
          <w:b/>
          <w:bCs/>
        </w:rPr>
        <w:t xml:space="preserve">Severity:</w:t>
      </w:r>
      <w:r>
        <w:t xml:space="preserve"> </w:t>
      </w:r>
      <w:r>
        <w:t xml:space="preserve">High</w:t>
      </w:r>
    </w:p>
    <w:p>
      <w:pPr>
        <w:pStyle w:val="BodyText"/>
      </w:pPr>
      <w:r>
        <w:rPr>
          <w:b/>
          <w:bCs/>
        </w:rPr>
        <w:t xml:space="preserve">Description.</w:t>
      </w:r>
      <w:r>
        <w:t xml:space="preserve"> </w:t>
      </w:r>
      <w:r>
        <w:t xml:space="preserve">The Memo uses an aggregate adjusted tax basis of $42,800,000 for Prism’s assets (Sections III.B and V.A), describing it as</w:t>
      </w:r>
      <w:r>
        <w:t xml:space="preserve"> </w:t>
      </w:r>
      <w:r>
        <w:t xml:space="preserve">“</w:t>
      </w:r>
      <w:r>
        <w:t xml:space="preserve">the most recent available date</w:t>
      </w:r>
      <w:r>
        <w:t xml:space="preserve">”</w:t>
      </w:r>
      <w:r>
        <w:t xml:space="preserve"> </w:t>
      </w:r>
      <w:r>
        <w:t xml:space="preserve">figure</w:t>
      </w:r>
      <w:r>
        <w:t xml:space="preserve"> </w:t>
      </w:r>
      <w:r>
        <w:t xml:space="preserve">“</w:t>
      </w:r>
      <w:r>
        <w:t xml:space="preserve">reflecting additions, dispositions, and depreciation deductions claimed since the S election became effective.</w:t>
      </w:r>
      <w:r>
        <w:t xml:space="preserve">”</w:t>
      </w:r>
      <w:r>
        <w:t xml:space="preserve"> </w:t>
      </w:r>
      <w:r>
        <w:t xml:space="preserve">This figure is used to compute the total deemed sale gain: ADSP ($473M) − basis ($42.8M) = $430.2M.</w:t>
      </w:r>
    </w:p>
    <w:p>
      <w:pPr>
        <w:pStyle w:val="BodyText"/>
      </w:pPr>
      <w:r>
        <w:t xml:space="preserve">The Thornfield asset valuation summary (Asset Detail tab) provides an adjusted tax basis for each individual asset. The sum of those individual bases is</w:t>
      </w:r>
      <w:r>
        <w:t xml:space="preserve"> </w:t>
      </w:r>
      <w:r>
        <w:rPr>
          <w:b/>
          <w:bCs/>
        </w:rPr>
        <w:t xml:space="preserve">$64,300,000</w:t>
      </w:r>
      <w:r>
        <w:t xml:space="preserve">, computed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Asset</w:t>
            </w:r>
          </w:p>
        </w:tc>
        <w:tc>
          <w:tcPr/>
          <w:p>
            <w:pPr>
              <w:pStyle w:val="Compact"/>
              <w:jc w:val="left"/>
            </w:pPr>
            <w:r>
              <w:t xml:space="preserve">Adjusted Tax Basis</w:t>
            </w:r>
          </w:p>
        </w:tc>
      </w:tr>
      <w:tr>
        <w:tc>
          <w:tcPr/>
          <w:p>
            <w:pPr>
              <w:pStyle w:val="Compact"/>
              <w:jc w:val="left"/>
            </w:pPr>
            <w:r>
              <w:t xml:space="preserve">Cash and cash equivalents</w:t>
            </w:r>
          </w:p>
        </w:tc>
        <w:tc>
          <w:tcPr/>
          <w:p>
            <w:pPr>
              <w:pStyle w:val="Compact"/>
              <w:jc w:val="left"/>
            </w:pPr>
            <w:r>
              <w:t xml:space="preserve">$12,400,000</w:t>
            </w:r>
          </w:p>
        </w:tc>
      </w:tr>
      <w:tr>
        <w:tc>
          <w:tcPr/>
          <w:p>
            <w:pPr>
              <w:pStyle w:val="Compact"/>
              <w:jc w:val="left"/>
            </w:pPr>
            <w:r>
              <w:t xml:space="preserve">Accounts receivable — commercial</w:t>
            </w:r>
          </w:p>
        </w:tc>
        <w:tc>
          <w:tcPr/>
          <w:p>
            <w:pPr>
              <w:pStyle w:val="Compact"/>
              <w:jc w:val="left"/>
            </w:pPr>
            <w:r>
              <w:t xml:space="preserve">$18,700,000</w:t>
            </w:r>
          </w:p>
        </w:tc>
      </w:tr>
      <w:tr>
        <w:tc>
          <w:tcPr/>
          <w:p>
            <w:pPr>
              <w:pStyle w:val="Compact"/>
              <w:jc w:val="left"/>
            </w:pPr>
            <w:r>
              <w:t xml:space="preserve">Accounts receivable — government</w:t>
            </w:r>
          </w:p>
        </w:tc>
        <w:tc>
          <w:tcPr/>
          <w:p>
            <w:pPr>
              <w:pStyle w:val="Compact"/>
              <w:jc w:val="left"/>
            </w:pPr>
            <w:r>
              <w:t xml:space="preserve">$6,400,000</w:t>
            </w:r>
          </w:p>
        </w:tc>
      </w:tr>
      <w:tr>
        <w:tc>
          <w:tcPr/>
          <w:p>
            <w:pPr>
              <w:pStyle w:val="Compact"/>
              <w:jc w:val="left"/>
            </w:pPr>
            <w:r>
              <w:t xml:space="preserve">Real property — Raleigh office</w:t>
            </w:r>
          </w:p>
        </w:tc>
        <w:tc>
          <w:tcPr/>
          <w:p>
            <w:pPr>
              <w:pStyle w:val="Compact"/>
              <w:jc w:val="left"/>
            </w:pPr>
            <w:r>
              <w:t xml:space="preserve">$9,100,000</w:t>
            </w:r>
          </w:p>
        </w:tc>
      </w:tr>
      <w:tr>
        <w:tc>
          <w:tcPr/>
          <w:p>
            <w:pPr>
              <w:pStyle w:val="Compact"/>
              <w:jc w:val="left"/>
            </w:pPr>
            <w:r>
              <w:t xml:space="preserve">Furniture, fixtures &amp; equipment</w:t>
            </w:r>
          </w:p>
        </w:tc>
        <w:tc>
          <w:tcPr/>
          <w:p>
            <w:pPr>
              <w:pStyle w:val="Compact"/>
              <w:jc w:val="left"/>
            </w:pPr>
            <w:r>
              <w:t xml:space="preserve">$3,200,000</w:t>
            </w:r>
          </w:p>
        </w:tc>
      </w:tr>
      <w:tr>
        <w:tc>
          <w:tcPr/>
          <w:p>
            <w:pPr>
              <w:pStyle w:val="Compact"/>
              <w:jc w:val="left"/>
            </w:pPr>
            <w:r>
              <w:t xml:space="preserve">Developed technology / software platform</w:t>
            </w:r>
          </w:p>
        </w:tc>
        <w:tc>
          <w:tcPr/>
          <w:p>
            <w:pPr>
              <w:pStyle w:val="Compact"/>
              <w:jc w:val="left"/>
            </w:pPr>
            <w:r>
              <w:t xml:space="preserve">$4,800,000</w:t>
            </w:r>
          </w:p>
        </w:tc>
      </w:tr>
      <w:tr>
        <w:tc>
          <w:tcPr/>
          <w:p>
            <w:pPr>
              <w:pStyle w:val="Compact"/>
              <w:jc w:val="left"/>
            </w:pPr>
            <w:r>
              <w:t xml:space="preserve">Government-sector software licenses</w:t>
            </w:r>
          </w:p>
        </w:tc>
        <w:tc>
          <w:tcPr/>
          <w:p>
            <w:pPr>
              <w:pStyle w:val="Compact"/>
              <w:jc w:val="left"/>
            </w:pPr>
            <w:r>
              <w:t xml:space="preserve">$1,200,000</w:t>
            </w:r>
          </w:p>
        </w:tc>
      </w:tr>
      <w:tr>
        <w:tc>
          <w:tcPr/>
          <w:p>
            <w:pPr>
              <w:pStyle w:val="Compact"/>
              <w:jc w:val="left"/>
            </w:pPr>
            <w:r>
              <w:t xml:space="preserve">NC data processing license</w:t>
            </w:r>
          </w:p>
        </w:tc>
        <w:tc>
          <w:tcPr/>
          <w:p>
            <w:pPr>
              <w:pStyle w:val="Compact"/>
              <w:jc w:val="left"/>
            </w:pPr>
            <w:r>
              <w:t xml:space="preserve">$0</w:t>
            </w:r>
          </w:p>
        </w:tc>
      </w:tr>
      <w:tr>
        <w:tc>
          <w:tcPr/>
          <w:p>
            <w:pPr>
              <w:pStyle w:val="Compact"/>
              <w:jc w:val="left"/>
            </w:pPr>
            <w:r>
              <w:t xml:space="preserve">80.5% Beacon Insights interest</w:t>
            </w:r>
          </w:p>
        </w:tc>
        <w:tc>
          <w:tcPr/>
          <w:p>
            <w:pPr>
              <w:pStyle w:val="Compact"/>
              <w:jc w:val="left"/>
            </w:pPr>
            <w:r>
              <w:t xml:space="preserve">$6,400,000</w:t>
            </w:r>
          </w:p>
        </w:tc>
      </w:tr>
      <w:tr>
        <w:tc>
          <w:tcPr/>
          <w:p>
            <w:pPr>
              <w:pStyle w:val="Compact"/>
              <w:jc w:val="left"/>
            </w:pPr>
            <w:r>
              <w:t xml:space="preserve">Customer relationships (hospital)</w:t>
            </w:r>
          </w:p>
        </w:tc>
        <w:tc>
          <w:tcPr/>
          <w:p>
            <w:pPr>
              <w:pStyle w:val="Compact"/>
              <w:jc w:val="left"/>
            </w:pPr>
            <w:r>
              <w:t xml:space="preserve">$0</w:t>
            </w:r>
          </w:p>
        </w:tc>
      </w:tr>
      <w:tr>
        <w:tc>
          <w:tcPr/>
          <w:p>
            <w:pPr>
              <w:pStyle w:val="Compact"/>
              <w:jc w:val="left"/>
            </w:pPr>
            <w:r>
              <w:t xml:space="preserve">Customer relationships (insurer)</w:t>
            </w:r>
          </w:p>
        </w:tc>
        <w:tc>
          <w:tcPr/>
          <w:p>
            <w:pPr>
              <w:pStyle w:val="Compact"/>
              <w:jc w:val="left"/>
            </w:pPr>
            <w:r>
              <w:t xml:space="preserve">$0</w:t>
            </w:r>
          </w:p>
        </w:tc>
      </w:tr>
      <w:tr>
        <w:tc>
          <w:tcPr/>
          <w:p>
            <w:pPr>
              <w:pStyle w:val="Compact"/>
              <w:jc w:val="left"/>
            </w:pPr>
            <w:r>
              <w:t xml:space="preserve">Proprietary data sets / databases</w:t>
            </w:r>
          </w:p>
        </w:tc>
        <w:tc>
          <w:tcPr/>
          <w:p>
            <w:pPr>
              <w:pStyle w:val="Compact"/>
              <w:jc w:val="left"/>
            </w:pPr>
            <w:r>
              <w:t xml:space="preserve">$2,100,000</w:t>
            </w:r>
          </w:p>
        </w:tc>
      </w:tr>
      <w:tr>
        <w:tc>
          <w:tcPr/>
          <w:p>
            <w:pPr>
              <w:pStyle w:val="Compact"/>
              <w:jc w:val="left"/>
            </w:pPr>
            <w:r>
              <w:t xml:space="preserve">Non-compete agreements</w:t>
            </w:r>
          </w:p>
        </w:tc>
        <w:tc>
          <w:tcPr/>
          <w:p>
            <w:pPr>
              <w:pStyle w:val="Compact"/>
              <w:jc w:val="left"/>
            </w:pPr>
            <w:r>
              <w:t xml:space="preserve">$0</w:t>
            </w:r>
          </w:p>
        </w:tc>
      </w:tr>
      <w:tr>
        <w:tc>
          <w:tcPr/>
          <w:p>
            <w:pPr>
              <w:pStyle w:val="Compact"/>
              <w:jc w:val="left"/>
            </w:pPr>
            <w:r>
              <w:t xml:space="preserve">Assembled workforce</w:t>
            </w:r>
          </w:p>
        </w:tc>
        <w:tc>
          <w:tcPr/>
          <w:p>
            <w:pPr>
              <w:pStyle w:val="Compact"/>
              <w:jc w:val="left"/>
            </w:pPr>
            <w:r>
              <w:t xml:space="preserve">$0</w:t>
            </w:r>
          </w:p>
        </w:tc>
      </w:tr>
      <w:tr>
        <w:tc>
          <w:tcPr/>
          <w:p>
            <w:pPr>
              <w:pStyle w:val="Compact"/>
              <w:jc w:val="left"/>
            </w:pPr>
            <w:r>
              <w:t xml:space="preserve">Goodwill</w:t>
            </w:r>
          </w:p>
        </w:tc>
        <w:tc>
          <w:tcPr/>
          <w:p>
            <w:pPr>
              <w:pStyle w:val="Compact"/>
              <w:jc w:val="left"/>
            </w:pPr>
            <w:r>
              <w:t xml:space="preserve">$0</w:t>
            </w:r>
          </w:p>
        </w:tc>
      </w:tr>
      <w:tr>
        <w:tc>
          <w:tcPr/>
          <w:p>
            <w:pPr>
              <w:pStyle w:val="Compact"/>
              <w:jc w:val="left"/>
            </w:pPr>
            <w:r>
              <w:rPr>
                <w:b/>
                <w:bCs/>
              </w:rPr>
              <w:t xml:space="preserve">Total</w:t>
            </w:r>
          </w:p>
        </w:tc>
        <w:tc>
          <w:tcPr/>
          <w:p>
            <w:pPr>
              <w:pStyle w:val="Compact"/>
              <w:jc w:val="left"/>
            </w:pPr>
            <w:r>
              <w:rPr>
                <w:b/>
                <w:bCs/>
              </w:rPr>
              <w:t xml:space="preserve">$64,300,000</w:t>
            </w:r>
          </w:p>
        </w:tc>
      </w:tr>
    </w:tbl>
    <w:p>
      <w:pPr>
        <w:pStyle w:val="BodyText"/>
      </w:pPr>
      <w:r>
        <w:t xml:space="preserve">The Memo’s $42.8M figure is $21.5M lower than the $64.3M sum of the individual asset bases. The Memo does not provide a reconciliation or explain which assets are included or excluded.</w:t>
      </w:r>
    </w:p>
    <w:p>
      <w:pPr>
        <w:pStyle w:val="BodyText"/>
      </w:pPr>
      <w:r>
        <w:rPr>
          <w:b/>
          <w:bCs/>
        </w:rPr>
        <w:t xml:space="preserve">Impact.</w:t>
      </w:r>
      <w:r>
        <w:t xml:space="preserve"> </w:t>
      </w:r>
      <w:r>
        <w:t xml:space="preserve">The aggregate basis directly determines the deemed sale gain. Combined with the ADSP overstatement in C-1, the Memo’s deemed sale gain of $430.2M may be overstated by approximately $69.5M (the $48M ADSP overstatement plus the $21.5M basis understatement), which would reduce the correct gain to approximately $360.7M (using Thornfield’s ADSP of $425M and the asset-valuation basis of $64.3M). This affects every per-shareholder gain allocation in Section V.B and the associated tax liability estimates. Even if a portion of the $21.5M difference is attributable to a legitimate methodology choice (e.g., treatment of cash or receivables), the Memo does not disclose the composition of its $42.8M figure, making it impossible to audit.</w:t>
      </w:r>
    </w:p>
    <w:p>
      <w:pPr>
        <w:pStyle w:val="BodyText"/>
      </w:pPr>
      <w:r>
        <w:rPr>
          <w:b/>
          <w:bCs/>
        </w:rPr>
        <w:t xml:space="preserve">Recommendation.</w:t>
      </w:r>
      <w:r>
        <w:t xml:space="preserve"> </w:t>
      </w:r>
      <w:r>
        <w:t xml:space="preserve">Provide a line-item reconciliation of the $42.8M aggregate basis to the individual asset bases in the Thornfield asset valuation summary. If the figures differ due to timing, methodology, or the treatment of specific assets (e.g., cash, receivables, the Beacon interest), disclose and justify the treatment. Recompute the deemed sale gain on a reconciled basis.</w:t>
      </w:r>
    </w:p>
    <w:p>
      <w:r>
        <w:pict>
          <v:rect style="width:0;height:1.5pt" o:hralign="center" o:hrstd="t" o:hr="t"/>
        </w:pict>
      </w:r>
    </w:p>
    <w:bookmarkEnd w:id="33"/>
    <w:bookmarkStart w:id="34" w:name="X7c91ef22b85cb22d3647ad8519337b448c74404"/>
    <w:p>
      <w:pPr>
        <w:pStyle w:val="Heading3"/>
      </w:pPr>
      <w:r>
        <w:t xml:space="preserve">H-2. Class V Allocation Understated by $28.5 Million — Developed Technology and Government Software Licenses</w:t>
      </w:r>
    </w:p>
    <w:p>
      <w:pPr>
        <w:pStyle w:val="FirstParagraph"/>
      </w:pPr>
      <w:r>
        <w:rPr>
          <w:b/>
          <w:bCs/>
        </w:rPr>
        <w:t xml:space="preserve">Severity:</w:t>
      </w:r>
      <w:r>
        <w:t xml:space="preserve"> </w:t>
      </w:r>
      <w:r>
        <w:t xml:space="preserve">High</w:t>
      </w:r>
    </w:p>
    <w:p>
      <w:pPr>
        <w:pStyle w:val="BodyText"/>
      </w:pPr>
      <w:r>
        <w:rPr>
          <w:b/>
          <w:bCs/>
        </w:rPr>
        <w:t xml:space="preserve">Description.</w:t>
      </w:r>
      <w:r>
        <w:t xml:space="preserve"> </w:t>
      </w:r>
      <w:r>
        <w:t xml:space="preserve">The Memo’s Class V allocation is $68,500,000, comprised of:</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Class V Component (Memo)</w:t>
            </w:r>
          </w:p>
        </w:tc>
        <w:tc>
          <w:tcPr/>
          <w:p>
            <w:pPr>
              <w:pStyle w:val="Compact"/>
              <w:jc w:val="left"/>
            </w:pPr>
            <w:r>
              <w:t xml:space="preserve">Amount</w:t>
            </w:r>
          </w:p>
        </w:tc>
      </w:tr>
      <w:tr>
        <w:tc>
          <w:tcPr/>
          <w:p>
            <w:pPr>
              <w:pStyle w:val="Compact"/>
              <w:jc w:val="left"/>
            </w:pPr>
            <w:r>
              <w:t xml:space="preserve">Real property — Raleigh office</w:t>
            </w:r>
          </w:p>
        </w:tc>
        <w:tc>
          <w:tcPr/>
          <w:p>
            <w:pPr>
              <w:pStyle w:val="Compact"/>
              <w:jc w:val="left"/>
            </w:pPr>
            <w:r>
              <w:t xml:space="preserve">$14,200,000</w:t>
            </w:r>
          </w:p>
        </w:tc>
      </w:tr>
      <w:tr>
        <w:tc>
          <w:tcPr/>
          <w:p>
            <w:pPr>
              <w:pStyle w:val="Compact"/>
              <w:jc w:val="left"/>
            </w:pPr>
            <w:r>
              <w:t xml:space="preserve">Furniture, fixtures &amp; equipment</w:t>
            </w:r>
          </w:p>
        </w:tc>
        <w:tc>
          <w:tcPr/>
          <w:p>
            <w:pPr>
              <w:pStyle w:val="Compact"/>
              <w:jc w:val="left"/>
            </w:pPr>
            <w:r>
              <w:t xml:space="preserve">$6,800,000</w:t>
            </w:r>
          </w:p>
        </w:tc>
      </w:tr>
      <w:tr>
        <w:tc>
          <w:tcPr/>
          <w:p>
            <w:pPr>
              <w:pStyle w:val="Compact"/>
              <w:jc w:val="left"/>
            </w:pPr>
            <w:r>
              <w:t xml:space="preserve">Software / developed technology</w:t>
            </w:r>
          </w:p>
        </w:tc>
        <w:tc>
          <w:tcPr/>
          <w:p>
            <w:pPr>
              <w:pStyle w:val="Compact"/>
              <w:jc w:val="left"/>
            </w:pPr>
            <w:r>
              <w:t xml:space="preserve">$19,000,000</w:t>
            </w:r>
          </w:p>
        </w:tc>
      </w:tr>
      <w:tr>
        <w:tc>
          <w:tcPr/>
          <w:p>
            <w:pPr>
              <w:pStyle w:val="Compact"/>
              <w:jc w:val="left"/>
            </w:pPr>
            <w:r>
              <w:t xml:space="preserve">Prism’s 80.5% Beacon interest</w:t>
            </w:r>
          </w:p>
        </w:tc>
        <w:tc>
          <w:tcPr/>
          <w:p>
            <w:pPr>
              <w:pStyle w:val="Compact"/>
              <w:jc w:val="left"/>
            </w:pPr>
            <w:r>
              <w:t xml:space="preserve">$28,500,000</w:t>
            </w:r>
          </w:p>
        </w:tc>
      </w:tr>
      <w:tr>
        <w:tc>
          <w:tcPr/>
          <w:p>
            <w:pPr>
              <w:pStyle w:val="Compact"/>
              <w:jc w:val="left"/>
            </w:pPr>
            <w:r>
              <w:rPr>
                <w:b/>
                <w:bCs/>
              </w:rPr>
              <w:t xml:space="preserve">Total Class V (Memo)</w:t>
            </w:r>
          </w:p>
        </w:tc>
        <w:tc>
          <w:tcPr/>
          <w:p>
            <w:pPr>
              <w:pStyle w:val="Compact"/>
              <w:jc w:val="left"/>
            </w:pPr>
            <w:r>
              <w:rPr>
                <w:b/>
                <w:bCs/>
              </w:rPr>
              <w:t xml:space="preserve">$68,500,000</w:t>
            </w:r>
          </w:p>
        </w:tc>
      </w:tr>
    </w:tbl>
    <w:p>
      <w:pPr>
        <w:pStyle w:val="BodyText"/>
      </w:pPr>
      <w:r>
        <w:t xml:space="preserve">The Thornfield asset valuation summary allocates $97,000,000 to Class V, comprised of:</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Class V Component (Thornfield)</w:t>
            </w:r>
          </w:p>
        </w:tc>
        <w:tc>
          <w:tcPr/>
          <w:p>
            <w:pPr>
              <w:pStyle w:val="Compact"/>
              <w:jc w:val="left"/>
            </w:pPr>
            <w:r>
              <w:t xml:space="preserve">Amount</w:t>
            </w:r>
          </w:p>
        </w:tc>
      </w:tr>
      <w:tr>
        <w:tc>
          <w:tcPr/>
          <w:p>
            <w:pPr>
              <w:pStyle w:val="Compact"/>
              <w:jc w:val="left"/>
            </w:pPr>
            <w:r>
              <w:t xml:space="preserve">Real property — Raleigh office</w:t>
            </w:r>
          </w:p>
        </w:tc>
        <w:tc>
          <w:tcPr/>
          <w:p>
            <w:pPr>
              <w:pStyle w:val="Compact"/>
              <w:jc w:val="left"/>
            </w:pPr>
            <w:r>
              <w:t xml:space="preserve">$14,200,000</w:t>
            </w:r>
          </w:p>
        </w:tc>
      </w:tr>
      <w:tr>
        <w:tc>
          <w:tcPr/>
          <w:p>
            <w:pPr>
              <w:pStyle w:val="Compact"/>
              <w:jc w:val="left"/>
            </w:pPr>
            <w:r>
              <w:t xml:space="preserve">Furniture, fixtures &amp; equipment</w:t>
            </w:r>
          </w:p>
        </w:tc>
        <w:tc>
          <w:tcPr/>
          <w:p>
            <w:pPr>
              <w:pStyle w:val="Compact"/>
              <w:jc w:val="left"/>
            </w:pPr>
            <w:r>
              <w:t xml:space="preserve">$6,800,000</w:t>
            </w:r>
          </w:p>
        </w:tc>
      </w:tr>
      <w:tr>
        <w:tc>
          <w:tcPr/>
          <w:p>
            <w:pPr>
              <w:pStyle w:val="Compact"/>
              <w:jc w:val="left"/>
            </w:pPr>
            <w:r>
              <w:t xml:space="preserve">Developed technology / software platform</w:t>
            </w:r>
          </w:p>
        </w:tc>
        <w:tc>
          <w:tcPr/>
          <w:p>
            <w:pPr>
              <w:pStyle w:val="Compact"/>
              <w:jc w:val="left"/>
            </w:pPr>
            <w:r>
              <w:t xml:space="preserve">$41,800,000</w:t>
            </w:r>
          </w:p>
        </w:tc>
      </w:tr>
      <w:tr>
        <w:tc>
          <w:tcPr/>
          <w:p>
            <w:pPr>
              <w:pStyle w:val="Compact"/>
              <w:jc w:val="left"/>
            </w:pPr>
            <w:r>
              <w:t xml:space="preserve">Government-sector software licenses</w:t>
            </w:r>
          </w:p>
        </w:tc>
        <w:tc>
          <w:tcPr/>
          <w:p>
            <w:pPr>
              <w:pStyle w:val="Compact"/>
              <w:jc w:val="left"/>
            </w:pPr>
            <w:r>
              <w:t xml:space="preserve">$5,700,000</w:t>
            </w:r>
          </w:p>
        </w:tc>
      </w:tr>
      <w:tr>
        <w:tc>
          <w:tcPr/>
          <w:p>
            <w:pPr>
              <w:pStyle w:val="Compact"/>
              <w:jc w:val="left"/>
            </w:pPr>
            <w:r>
              <w:t xml:space="preserve">NC data processing license</w:t>
            </w:r>
          </w:p>
        </w:tc>
        <w:tc>
          <w:tcPr/>
          <w:p>
            <w:pPr>
              <w:pStyle w:val="Compact"/>
              <w:jc w:val="left"/>
            </w:pPr>
            <w:r>
              <w:t xml:space="preserve">$0</w:t>
            </w:r>
          </w:p>
        </w:tc>
      </w:tr>
      <w:tr>
        <w:tc>
          <w:tcPr/>
          <w:p>
            <w:pPr>
              <w:pStyle w:val="Compact"/>
              <w:jc w:val="left"/>
            </w:pPr>
            <w:r>
              <w:t xml:space="preserve">Prism’s 80.5% Beacon interest</w:t>
            </w:r>
          </w:p>
        </w:tc>
        <w:tc>
          <w:tcPr/>
          <w:p>
            <w:pPr>
              <w:pStyle w:val="Compact"/>
              <w:jc w:val="left"/>
            </w:pPr>
            <w:r>
              <w:t xml:space="preserve">$28,500,000</w:t>
            </w:r>
          </w:p>
        </w:tc>
      </w:tr>
      <w:tr>
        <w:tc>
          <w:tcPr/>
          <w:p>
            <w:pPr>
              <w:pStyle w:val="Compact"/>
              <w:jc w:val="left"/>
            </w:pPr>
            <w:r>
              <w:rPr>
                <w:b/>
                <w:bCs/>
              </w:rPr>
              <w:t xml:space="preserve">Total Class V (Thornfield)</w:t>
            </w:r>
          </w:p>
        </w:tc>
        <w:tc>
          <w:tcPr/>
          <w:p>
            <w:pPr>
              <w:pStyle w:val="Compact"/>
              <w:jc w:val="left"/>
            </w:pPr>
            <w:r>
              <w:rPr>
                <w:b/>
                <w:bCs/>
              </w:rPr>
              <w:t xml:space="preserve">$97,000,000</w:t>
            </w:r>
          </w:p>
        </w:tc>
      </w:tr>
    </w:tbl>
    <w:p>
      <w:pPr>
        <w:pStyle w:val="BodyText"/>
      </w:pPr>
      <w:r>
        <w:t xml:space="preserve">The $28.5M variance is attributable to two items:</w:t>
      </w:r>
    </w:p>
    <w:p>
      <w:pPr>
        <w:pStyle w:val="Compact"/>
        <w:numPr>
          <w:ilvl w:val="0"/>
          <w:numId w:val="1007"/>
        </w:numPr>
      </w:pPr>
      <w:r>
        <w:rPr>
          <w:b/>
          <w:bCs/>
        </w:rPr>
        <w:t xml:space="preserve">Developed technology:</w:t>
      </w:r>
      <w:r>
        <w:t xml:space="preserve"> </w:t>
      </w:r>
      <w:r>
        <w:t xml:space="preserve">The Memo values developed technology at $19.0M; Thornfield values it at $41.8M (relief-from-royalty method) — a $22.8M understatement in the Memo.</w:t>
      </w:r>
    </w:p>
    <w:p>
      <w:pPr>
        <w:pStyle w:val="Compact"/>
        <w:numPr>
          <w:ilvl w:val="0"/>
          <w:numId w:val="1007"/>
        </w:numPr>
      </w:pPr>
      <w:r>
        <w:rPr>
          <w:b/>
          <w:bCs/>
        </w:rPr>
        <w:t xml:space="preserve">Government-sector software licenses:</w:t>
      </w:r>
      <w:r>
        <w:t xml:space="preserve"> </w:t>
      </w:r>
      <w:r>
        <w:t xml:space="preserve">The Memo omits these entirely; Thornfield values them at $5.7M (income/DCF approach) — a $5.7M omission in the Memo.</w:t>
      </w:r>
    </w:p>
    <w:p>
      <w:pPr>
        <w:pStyle w:val="FirstParagraph"/>
      </w:pPr>
      <w:r>
        <w:t xml:space="preserve">(Note: Thornfield’s reconciliation note (Note 2) states that the Memo’s Class V</w:t>
      </w:r>
      <w:r>
        <w:t xml:space="preserve"> </w:t>
      </w:r>
      <w:r>
        <w:t xml:space="preserve">“</w:t>
      </w:r>
      <w:r>
        <w:t xml:space="preserve">does not appear to include the $28,500,000 Beacon interest.</w:t>
      </w:r>
      <w:r>
        <w:t xml:space="preserve">”</w:t>
      </w:r>
      <w:r>
        <w:t xml:space="preserve"> </w:t>
      </w:r>
      <w:r>
        <w:t xml:space="preserve">This attribution is incorrect — the Memo’s Class V table expressly lists the Beacon interest at $28.5M, and the Memo’s Class V components sum correctly to $68.5M. The actual cause of the variance is the developed technology valuation and the omitted government software licenses, not the Beacon interest. This error in Thornfield’s own reconciliation underscores the need for a careful line-by-line reconciliation between the two work products.)</w:t>
      </w:r>
    </w:p>
    <w:p>
      <w:pPr>
        <w:pStyle w:val="BodyText"/>
      </w:pPr>
      <w:r>
        <w:rPr>
          <w:b/>
          <w:bCs/>
        </w:rPr>
        <w:t xml:space="preserve">Impact.</w:t>
      </w:r>
      <w:r>
        <w:t xml:space="preserve"> </w:t>
      </w:r>
      <w:r>
        <w:t xml:space="preserve">The $28.5M Class V understatement, combined with the $48M ADSP overstatement (C-1), drives the $76.5M overstatement of Class VII goodwill ($272.8M Memo vs. $196.3M Thornfield). This affects (i) the character and timing of the buyer’s depreciation and amortization deductions (developed technology is generally amortizable over a shorter period than goodwill, and is amortizable under Section 167 rather than Section 197), (ii) the seller’s gain character (Class V tangible gains may include Section 1245/1250 recapture as ordinary income, whereas goodwill is capital), and (iii) the overall allocation between ordinary and capital gain. The Memo’s deferral of the character analysis</w:t>
      </w:r>
      <w:r>
        <w:t xml:space="preserve"> </w:t>
      </w:r>
      <w:r>
        <w:t xml:space="preserve">“</w:t>
      </w:r>
      <w:r>
        <w:t xml:space="preserve">upon completion of the Thornfield asset valuation</w:t>
      </w:r>
      <w:r>
        <w:t xml:space="preserve">”</w:t>
      </w:r>
      <w:r>
        <w:t xml:space="preserve"> </w:t>
      </w:r>
      <w:r>
        <w:t xml:space="preserve">does not excuse the use of a developed-technology value ($19M) that is less than half of Thornfield’s ($41.8M) without explanation.</w:t>
      </w:r>
    </w:p>
    <w:p>
      <w:pPr>
        <w:pStyle w:val="BodyText"/>
      </w:pPr>
      <w:r>
        <w:rPr>
          <w:b/>
          <w:bCs/>
        </w:rPr>
        <w:t xml:space="preserve">Recommendation.</w:t>
      </w:r>
      <w:r>
        <w:t xml:space="preserve"> </w:t>
      </w:r>
      <w:r>
        <w:t xml:space="preserve">Reconcile the Class V allocation to the Thornfield asset valuation. Adopt or justify the deviation from Thornfield’s $41.8M developed technology value and include the $5.7M government software licenses. Correct Thornfield’s misattribution of the variance. Re-examine the Section 167 vs. Section 197 amortization treatment for developed technology and software (the asset valuation notes that the software platform is</w:t>
      </w:r>
      <w:r>
        <w:t xml:space="preserve"> </w:t>
      </w:r>
      <w:r>
        <w:t xml:space="preserve">“</w:t>
      </w:r>
      <w:r>
        <w:t xml:space="preserve">not a §197 intangible</w:t>
      </w:r>
      <w:r>
        <w:t xml:space="preserve">”</w:t>
      </w:r>
      <w:r>
        <w:t xml:space="preserve"> </w:t>
      </w:r>
      <w:r>
        <w:t xml:space="preserve">and is amortizable under Section 167, which the Memo’s Section VII.A does not reflect — it treats all Class V intangibles under MACRS without distinguishing Section 167 software).</w:t>
      </w:r>
    </w:p>
    <w:p>
      <w:r>
        <w:pict>
          <v:rect style="width:0;height:1.5pt" o:hralign="center" o:hrstd="t" o:hr="t"/>
        </w:pict>
      </w:r>
    </w:p>
    <w:bookmarkEnd w:id="34"/>
    <w:bookmarkStart w:id="35" w:name="Xedf5828c40729655427d13c485aa7e8eb6ea482"/>
    <w:p>
      <w:pPr>
        <w:pStyle w:val="Heading3"/>
      </w:pPr>
      <w:r>
        <w:t xml:space="preserve">H-3. Non-Transferable North Carolina Data Processing License — Deemed Sale Consequences Not Analyzed</w:t>
      </w:r>
    </w:p>
    <w:p>
      <w:pPr>
        <w:pStyle w:val="FirstParagraph"/>
      </w:pPr>
      <w:r>
        <w:rPr>
          <w:b/>
          <w:bCs/>
        </w:rPr>
        <w:t xml:space="preserve">Severity:</w:t>
      </w:r>
      <w:r>
        <w:t xml:space="preserve"> </w:t>
      </w:r>
      <w:r>
        <w:t xml:space="preserve">High</w:t>
      </w:r>
    </w:p>
    <w:p>
      <w:pPr>
        <w:pStyle w:val="BodyText"/>
      </w:pPr>
      <w:r>
        <w:rPr>
          <w:b/>
          <w:bCs/>
        </w:rPr>
        <w:t xml:space="preserve">Description.</w:t>
      </w:r>
      <w:r>
        <w:t xml:space="preserve"> </w:t>
      </w:r>
      <w:r>
        <w:t xml:space="preserve">The North Carolina data processing license (No. DIT-2019-04821) is held by Prism Data Services, LLC and is, by its terms,</w:t>
      </w:r>
      <w:r>
        <w:t xml:space="preserve"> </w:t>
      </w:r>
      <w:r>
        <w:rPr>
          <w:b/>
          <w:bCs/>
        </w:rPr>
        <w:t xml:space="preserve">non-transferable and non-assignable</w:t>
      </w:r>
      <w:r>
        <w:t xml:space="preserve">. This is confirmed by two independent sources:</w:t>
      </w:r>
    </w:p>
    <w:p>
      <w:pPr>
        <w:pStyle w:val="Compact"/>
        <w:numPr>
          <w:ilvl w:val="0"/>
          <w:numId w:val="1008"/>
        </w:numPr>
      </w:pPr>
      <w:r>
        <w:rPr>
          <w:b/>
          <w:bCs/>
        </w:rPr>
        <w:t xml:space="preserve">Thornfield asset valuation summary (Asset A-008):</w:t>
      </w:r>
      <w:r>
        <w:t xml:space="preserve"> </w:t>
      </w:r>
      <w:r>
        <w:t xml:space="preserve">“</w:t>
      </w:r>
      <w:r>
        <w:t xml:space="preserve">NC DIT data processing license is non-transferable and non-assignable per license terms. In a deemed asset sale under §338(h)(10), this license cannot be transferred and may need to be re-obtained by the surviving entity… If terminated, value associated with the government business line should be reassigned to goodwill or reduced.</w:t>
      </w:r>
      <w:r>
        <w:t xml:space="preserve">”</w:t>
      </w:r>
    </w:p>
    <w:p>
      <w:pPr>
        <w:pStyle w:val="Compact"/>
        <w:numPr>
          <w:ilvl w:val="0"/>
          <w:numId w:val="1008"/>
        </w:numPr>
      </w:pPr>
      <w:r>
        <w:rPr>
          <w:b/>
          <w:bCs/>
        </w:rPr>
        <w:t xml:space="preserve">Stock Purchase Agreement Section 4.9(i):</w:t>
      </w:r>
      <w:r>
        <w:t xml:space="preserve"> </w:t>
      </w:r>
      <w:r>
        <w:t xml:space="preserve">The license</w:t>
      </w:r>
      <w:r>
        <w:t xml:space="preserve"> </w:t>
      </w:r>
      <w:r>
        <w:t xml:space="preserve">“</w:t>
      </w:r>
      <w:r>
        <w:t xml:space="preserve">pursuant to its terms, is non-transferable and non-assignable.</w:t>
      </w:r>
      <w:r>
        <w:t xml:space="preserve">”</w:t>
      </w:r>
    </w:p>
    <w:p>
      <w:pPr>
        <w:pStyle w:val="FirstParagraph"/>
      </w:pPr>
      <w:r>
        <w:t xml:space="preserve">The license supports approximately $19,000,000 in annual government-sector revenue (per the Memo, Thornfield, and the asset valuation). Thornfield assigned the license $0 fair market value for purchase price allocation purposes precisely because it cannot be transferred.</w:t>
      </w:r>
    </w:p>
    <w:p>
      <w:pPr>
        <w:pStyle w:val="BodyText"/>
      </w:pPr>
      <w:r>
        <w:t xml:space="preserve">The Memo addresses the license in four places (Sections II.A, III.C, VI.A, IX.A) but in each instance treats it as a minor commercial matter to be handled by</w:t>
      </w:r>
      <w:r>
        <w:t xml:space="preserve"> </w:t>
      </w:r>
      <w:r>
        <w:t xml:space="preserve">“</w:t>
      </w:r>
      <w:r>
        <w:t xml:space="preserve">deal counsel in the pre-closing period.</w:t>
      </w:r>
      <w:r>
        <w:t xml:space="preserve">”</w:t>
      </w:r>
      <w:r>
        <w:t xml:space="preserve"> </w:t>
      </w:r>
      <w:r>
        <w:t xml:space="preserve">Section VI.A states:</w:t>
      </w:r>
      <w:r>
        <w:t xml:space="preserve"> </w:t>
      </w:r>
      <w:r>
        <w:t xml:space="preserve">“</w:t>
      </w:r>
      <w:r>
        <w:t xml:space="preserve">we expect that the existing license should remain valid post-closing, subject to confirmation with the North Carolina Department of Information Technology.</w:t>
      </w:r>
      <w:r>
        <w:t xml:space="preserve">”</w:t>
      </w:r>
    </w:p>
    <w:p>
      <w:pPr>
        <w:pStyle w:val="BodyText"/>
      </w:pPr>
      <w:r>
        <w:rPr>
          <w:b/>
          <w:bCs/>
        </w:rPr>
        <w:t xml:space="preserve">Impact.</w:t>
      </w:r>
      <w:r>
        <w:t xml:space="preserve"> </w:t>
      </w:r>
      <w:r>
        <w:t xml:space="preserve">The Memo does not analyze the central tax-structural problem: a Section 338(h)(10) election treats the transaction as a</w:t>
      </w:r>
      <w:r>
        <w:t xml:space="preserve"> </w:t>
      </w:r>
      <w:r>
        <w:rPr>
          <w:b/>
          <w:bCs/>
        </w:rPr>
        <w:t xml:space="preserve">deemed sale of all of the target’s assets</w:t>
      </w:r>
      <w:r>
        <w:t xml:space="preserve">. A non-transferable license that is deemed sold may be deemed terminated, because the deemed sale is to a</w:t>
      </w:r>
      <w:r>
        <w:t xml:space="preserve"> </w:t>
      </w:r>
      <w:r>
        <w:t xml:space="preserve">“</w:t>
      </w:r>
      <w:r>
        <w:t xml:space="preserve">new</w:t>
      </w:r>
      <w:r>
        <w:t xml:space="preserve">”</w:t>
      </w:r>
      <w:r>
        <w:t xml:space="preserve"> </w:t>
      </w:r>
      <w:r>
        <w:t xml:space="preserve">target that did not hold the license. If the license is deemed terminated, (i) the $19M government-sector revenue stream is impaired, (ii) the enterprise value and purchase price allocation supporting that revenue may need to be revisited, and (iii) the value Thornfield assigned to goodwill (which implicitly captures the going-concern value of the government business) may be overstated if the license does not survive. The Memo’s expectation that the license</w:t>
      </w:r>
      <w:r>
        <w:t xml:space="preserve"> </w:t>
      </w:r>
      <w:r>
        <w:t xml:space="preserve">“</w:t>
      </w:r>
      <w:r>
        <w:t xml:space="preserve">should remain valid</w:t>
      </w:r>
      <w:r>
        <w:t xml:space="preserve">”</w:t>
      </w:r>
      <w:r>
        <w:t xml:space="preserve"> </w:t>
      </w:r>
      <w:r>
        <w:t xml:space="preserve">is asserted without analysis of the deemed-sale mechanics and is in tension with the non-transferable terms. The reverse triangular merger preserves Prism’s legal existence (which may help), but the 338(h)(10) deemed asset sale is a separate construct that the Memo does not reconcile with the license’s transfer restrictions.</w:t>
      </w:r>
    </w:p>
    <w:p>
      <w:pPr>
        <w:pStyle w:val="BodyText"/>
      </w:pPr>
      <w:r>
        <w:rPr>
          <w:b/>
          <w:bCs/>
        </w:rPr>
        <w:t xml:space="preserve">Recommendation.</w:t>
      </w:r>
      <w:r>
        <w:t xml:space="preserve"> </w:t>
      </w:r>
      <w:r>
        <w:t xml:space="preserve">Obtain a definitive legal opinion or confirmation from the North Carolina Department of Information Technology regarding whether the license survives (a) the reverse triangular merger and (b) the Section 338(h)(10) deemed asset sale. If the license cannot survive the deemed sale, analyze the impact on the government-sector revenue, the enterprise value, and the purchase price allocation, and consider whether a structural alternative (e.g., excluding Prism Data Services from the 338(h)(10) deemed sale, or obtaining a new license pre-closing) is required. The Memo should not represent that the license</w:t>
      </w:r>
      <w:r>
        <w:t xml:space="preserve"> </w:t>
      </w:r>
      <w:r>
        <w:t xml:space="preserve">“</w:t>
      </w:r>
      <w:r>
        <w:t xml:space="preserve">should remain valid</w:t>
      </w:r>
      <w:r>
        <w:t xml:space="preserve">”</w:t>
      </w:r>
      <w:r>
        <w:t xml:space="preserve"> </w:t>
      </w:r>
      <w:r>
        <w:t xml:space="preserve">without supporting analysis.</w:t>
      </w:r>
    </w:p>
    <w:p>
      <w:r>
        <w:pict>
          <v:rect style="width:0;height:1.5pt" o:hralign="center" o:hrstd="t" o:hr="t"/>
        </w:pict>
      </w:r>
    </w:p>
    <w:bookmarkEnd w:id="35"/>
    <w:bookmarkStart w:id="36" w:name="Xaa9061850170544301a0f410198c11fabeff204"/>
    <w:p>
      <w:pPr>
        <w:pStyle w:val="Heading3"/>
      </w:pPr>
      <w:r>
        <w:t xml:space="preserve">H-4. Rollover Equity Treatment Internally Inconsistent; No Section 351/721 Analysis</w:t>
      </w:r>
    </w:p>
    <w:p>
      <w:pPr>
        <w:pStyle w:val="FirstParagraph"/>
      </w:pPr>
      <w:r>
        <w:rPr>
          <w:b/>
          <w:bCs/>
        </w:rPr>
        <w:t xml:space="preserve">Severity:</w:t>
      </w:r>
      <w:r>
        <w:t xml:space="preserve"> </w:t>
      </w:r>
      <w:r>
        <w:t xml:space="preserve">High</w:t>
      </w:r>
    </w:p>
    <w:p>
      <w:pPr>
        <w:pStyle w:val="BodyText"/>
      </w:pPr>
      <w:r>
        <w:rPr>
          <w:b/>
          <w:bCs/>
        </w:rPr>
        <w:t xml:space="preserve">Description.</w:t>
      </w:r>
      <w:r>
        <w:t xml:space="preserve"> </w:t>
      </w:r>
      <w:r>
        <w:t xml:space="preserve">The Memo describes Dr. Chandra’s $37M rollover in Sections II.B and V.B, stating (Section V.B):</w:t>
      </w:r>
      <w:r>
        <w:t xml:space="preserve"> </w:t>
      </w:r>
      <w:r>
        <w:t xml:space="preserve">“</w:t>
      </w:r>
      <w:r>
        <w:t xml:space="preserve">Dr. Chandra’s rollover of $37,000,000 into the post-closing entity is treated as a separate transaction from the deemed sale. Dr. Chandra will recognize his full pro rata share of the deemed sale gain and then contribute a portion of his after-tax proceeds to the new entity in exchange for equity. The rollover does not reduce or defer Dr. Chandra’s recognition of deemed sale gain.</w:t>
      </w:r>
      <w:r>
        <w:t xml:space="preserve">”</w:t>
      </w:r>
    </w:p>
    <w:p>
      <w:pPr>
        <w:pStyle w:val="BodyText"/>
      </w:pPr>
      <w:r>
        <w:t xml:space="preserve">This treatment is internally inconsistent with the Memo’s own ADSP computation. The rollover equity ($37M) is a component of the equity value ($370M = $333M cash + $37M rollover), which is the</w:t>
      </w:r>
      <w:r>
        <w:t xml:space="preserve"> </w:t>
      </w:r>
      <w:r>
        <w:t xml:space="preserve">“</w:t>
      </w:r>
      <w:r>
        <w:t xml:space="preserve">amount realized on the sale of the target’s stock</w:t>
      </w:r>
      <w:r>
        <w:t xml:space="preserve">”</w:t>
      </w:r>
      <w:r>
        <w:t xml:space="preserve"> </w:t>
      </w:r>
      <w:r>
        <w:t xml:space="preserve">that feeds the ADSP. If the rollover is part of the amount realized on the deemed stock sale, it is</w:t>
      </w:r>
      <w:r>
        <w:t xml:space="preserve"> </w:t>
      </w:r>
      <w:r>
        <w:rPr>
          <w:b/>
          <w:bCs/>
        </w:rPr>
        <w:t xml:space="preserve">not</w:t>
      </w:r>
      <w:r>
        <w:t xml:space="preserve"> </w:t>
      </w:r>
      <w:r>
        <w:t xml:space="preserve">a</w:t>
      </w:r>
      <w:r>
        <w:t xml:space="preserve"> </w:t>
      </w:r>
      <w:r>
        <w:t xml:space="preserve">“</w:t>
      </w:r>
      <w:r>
        <w:t xml:space="preserve">separate transaction from the deemed sale</w:t>
      </w:r>
      <w:r>
        <w:t xml:space="preserve">”</w:t>
      </w:r>
      <w:r>
        <w:t xml:space="preserve"> </w:t>
      </w:r>
      <w:r>
        <w:t xml:space="preserve">— it is embedded in it. The Memo cannot simultaneously (a) include the rollover in the amount realized that drives the ADSP and deemed sale gain, and (b) characterize the rollover as a separate, post-deemed-sale contribution of</w:t>
      </w:r>
      <w:r>
        <w:t xml:space="preserve"> </w:t>
      </w:r>
      <w:r>
        <w:t xml:space="preserve">“</w:t>
      </w:r>
      <w:r>
        <w:t xml:space="preserve">after-tax proceeds.</w:t>
      </w:r>
      <w:r>
        <w:t xml:space="preserve">”</w:t>
      </w:r>
    </w:p>
    <w:p>
      <w:pPr>
        <w:pStyle w:val="BodyText"/>
      </w:pPr>
      <w:r>
        <w:t xml:space="preserve">The capitalization table’s consideration waterfall notes this gap explicitly:</w:t>
      </w:r>
      <w:r>
        <w:t xml:space="preserve"> </w:t>
      </w:r>
      <w:r>
        <w:t xml:space="preserve">“</w:t>
      </w:r>
      <w:r>
        <w:t xml:space="preserve">Memo does not address interaction of rollover with 338(h)(10) deemed sale.</w:t>
      </w:r>
      <w:r>
        <w:t xml:space="preserve">”</w:t>
      </w:r>
    </w:p>
    <w:p>
      <w:pPr>
        <w:pStyle w:val="BodyText"/>
      </w:pPr>
      <w:r>
        <w:t xml:space="preserve">Additionally, the Memo provides no analysis of whether the contribution of the rollover proceeds (or rollover shares) to the post-closing vehicle qualifies for tax-free treatment under Section 351 (if the vehicle is a corporation) or Section 721 (if the vehicle is a partnership). The Memo’s statement that Chandra contributes</w:t>
      </w:r>
      <w:r>
        <w:t xml:space="preserve"> </w:t>
      </w:r>
      <w:r>
        <w:t xml:space="preserve">“</w:t>
      </w:r>
      <w:r>
        <w:t xml:space="preserve">after-tax proceeds</w:t>
      </w:r>
      <w:r>
        <w:t xml:space="preserve">”</w:t>
      </w:r>
      <w:r>
        <w:t xml:space="preserve"> </w:t>
      </w:r>
      <w:r>
        <w:t xml:space="preserve">implies a taxable contribution, but a properly structured rollover may be tax-deferred. The Memo also refers to the rollover vehicle inconsistently — as a</w:t>
      </w:r>
      <w:r>
        <w:t xml:space="preserve"> </w:t>
      </w:r>
      <w:r>
        <w:t xml:space="preserve">“</w:t>
      </w:r>
      <w:r>
        <w:t xml:space="preserve">post-closing acquisition vehicle</w:t>
      </w:r>
      <w:r>
        <w:t xml:space="preserve">”</w:t>
      </w:r>
      <w:r>
        <w:t xml:space="preserve"> </w:t>
      </w:r>
      <w:r>
        <w:t xml:space="preserve">(Section II.A), as a vehicle issuing</w:t>
      </w:r>
      <w:r>
        <w:t xml:space="preserve"> </w:t>
      </w:r>
      <w:r>
        <w:t xml:space="preserve">“</w:t>
      </w:r>
      <w:r>
        <w:t xml:space="preserve">membership interests</w:t>
      </w:r>
      <w:r>
        <w:t xml:space="preserve">”</w:t>
      </w:r>
      <w:r>
        <w:t xml:space="preserve"> </w:t>
      </w:r>
      <w:r>
        <w:t xml:space="preserve">(Section II.B, suggesting partnership/LLC classification), and as</w:t>
      </w:r>
      <w:r>
        <w:t xml:space="preserve"> </w:t>
      </w:r>
      <w:r>
        <w:t xml:space="preserve">“</w:t>
      </w:r>
      <w:r>
        <w:t xml:space="preserve">Parent (or a designated acquisition vehicle thereof)</w:t>
      </w:r>
      <w:r>
        <w:t xml:space="preserve">”</w:t>
      </w:r>
      <w:r>
        <w:t xml:space="preserve"> </w:t>
      </w:r>
      <w:r>
        <w:t xml:space="preserve">(matching the Stock Purchase Agreement, Section 2.4(c) and 2.6(e)). The entity classification of the rollover vehicle, which determines the applicable contribution provision, is not specified.</w:t>
      </w:r>
    </w:p>
    <w:p>
      <w:pPr>
        <w:pStyle w:val="BodyText"/>
      </w:pPr>
      <w:r>
        <w:rPr>
          <w:b/>
          <w:bCs/>
        </w:rPr>
        <w:t xml:space="preserve">Impact.</w:t>
      </w:r>
      <w:r>
        <w:t xml:space="preserve"> </w:t>
      </w:r>
      <w:r>
        <w:t xml:space="preserve">The rollover represents 10% of the equity value ($37M of $370M) and is a significant component of Dr. Chandra’s economics. The internal inconsistency creates ambiguity about whether the rollover is taxed once (as part of the deemed sale) or twice (as part of the deemed sale and again as a contribution). The absence of a Section 351/721 analysis means the Memo may overstate Chandra’s tax liability on the rollover or, conversely, may fail to identify a taxable event if the contribution does not qualify for deferral. The Section 197(f)(9) anti-churning analysis (Section VII.B) also depends on Chandra’s post-closing relationship with the buyer, which is shaped by the rollover structure.</w:t>
      </w:r>
    </w:p>
    <w:p>
      <w:pPr>
        <w:pStyle w:val="BodyText"/>
      </w:pPr>
      <w:r>
        <w:rPr>
          <w:b/>
          <w:bCs/>
        </w:rPr>
        <w:t xml:space="preserve">Recommendation.</w:t>
      </w:r>
      <w:r>
        <w:t xml:space="preserve"> </w:t>
      </w:r>
      <w:r>
        <w:t xml:space="preserve">Clarify the rollover mechanics: (i) confirm that the $37M rollover is part of the amount realized on the deemed stock sale (and thus part of the ADSP), and reconcile this with the</w:t>
      </w:r>
      <w:r>
        <w:t xml:space="preserve"> </w:t>
      </w:r>
      <w:r>
        <w:t xml:space="preserve">“</w:t>
      </w:r>
      <w:r>
        <w:t xml:space="preserve">separate transaction</w:t>
      </w:r>
      <w:r>
        <w:t xml:space="preserve">”</w:t>
      </w:r>
      <w:r>
        <w:t xml:space="preserve"> </w:t>
      </w:r>
      <w:r>
        <w:t xml:space="preserve">language; (ii) specify the entity classification of the rollover vehicle; (iii) analyze whether the contribution qualifies for Section 351 or Section 721 tax-free treatment; (iv) analyze the tax consequences to Chandra of receiving equity in the rollover vehicle, including any Section 721(b) or 351 limitations; and (v) reconcile the rollover structure with the Section 197(f)(9) anti-churning analysis.</w:t>
      </w:r>
    </w:p>
    <w:p>
      <w:r>
        <w:pict>
          <v:rect style="width:0;height:1.5pt" o:hralign="center" o:hrstd="t" o:hr="t"/>
        </w:pict>
      </w:r>
    </w:p>
    <w:bookmarkEnd w:id="36"/>
    <w:bookmarkStart w:id="37" w:name="X57d7c44c2b0ae5620c69fe4fc451166b69476d3"/>
    <w:p>
      <w:pPr>
        <w:pStyle w:val="Heading3"/>
      </w:pPr>
      <w:r>
        <w:t xml:space="preserve">H-5. Escrow Tax Treatment Contradicts the Stock Purchase Agreement; Section 453 Availability Questionable</w:t>
      </w:r>
    </w:p>
    <w:p>
      <w:pPr>
        <w:pStyle w:val="FirstParagraph"/>
      </w:pPr>
      <w:r>
        <w:rPr>
          <w:b/>
          <w:bCs/>
        </w:rPr>
        <w:t xml:space="preserve">Severity:</w:t>
      </w:r>
      <w:r>
        <w:t xml:space="preserve"> </w:t>
      </w:r>
      <w:r>
        <w:t xml:space="preserve">High</w:t>
      </w:r>
    </w:p>
    <w:p>
      <w:pPr>
        <w:pStyle w:val="BodyText"/>
      </w:pPr>
      <w:r>
        <w:rPr>
          <w:b/>
          <w:bCs/>
        </w:rPr>
        <w:t xml:space="preserve">Description.</w:t>
      </w:r>
      <w:r>
        <w:t xml:space="preserve"> </w:t>
      </w:r>
      <w:r>
        <w:t xml:space="preserve">The Memo (Section V.C) recommends that the selling shareholders</w:t>
      </w:r>
      <w:r>
        <w:t xml:space="preserve"> </w:t>
      </w:r>
      <w:r>
        <w:t xml:space="preserve">“</w:t>
      </w:r>
      <w:r>
        <w:t xml:space="preserve">may elect installment sale treatment</w:t>
      </w:r>
      <w:r>
        <w:t xml:space="preserve">”</w:t>
      </w:r>
      <w:r>
        <w:t xml:space="preserve"> </w:t>
      </w:r>
      <w:r>
        <w:t xml:space="preserve">under Section 453 with respect to the $22M escrow,</w:t>
      </w:r>
      <w:r>
        <w:t xml:space="preserve"> </w:t>
      </w:r>
      <w:r>
        <w:t xml:space="preserve">“</w:t>
      </w:r>
      <w:r>
        <w:t xml:space="preserve">deferring recognition of a proportionate share of gain until the escrow is released</w:t>
      </w:r>
      <w:r>
        <w:t xml:space="preserve">”</w:t>
      </w:r>
      <w:r>
        <w:t xml:space="preserve"> </w:t>
      </w:r>
      <w:r>
        <w:t xml:space="preserve">(anticipated September 15, 2026). The Memo characterizes the escrow as</w:t>
      </w:r>
      <w:r>
        <w:t xml:space="preserve"> </w:t>
      </w:r>
      <w:r>
        <w:t xml:space="preserve">“</w:t>
      </w:r>
      <w:r>
        <w:t xml:space="preserve">contingent consideration</w:t>
      </w:r>
      <w:r>
        <w:t xml:space="preserve">”</w:t>
      </w:r>
      <w:r>
        <w:t xml:space="preserve"> </w:t>
      </w:r>
      <w:r>
        <w:t xml:space="preserve">and states that installment treatment</w:t>
      </w:r>
      <w:r>
        <w:t xml:space="preserve"> </w:t>
      </w:r>
      <w:r>
        <w:t xml:space="preserve">“</w:t>
      </w:r>
      <w:r>
        <w:t xml:space="preserve">is available because the escrow represents an amount that is not fixed and determinable as of the closing date.</w:t>
      </w:r>
      <w:r>
        <w:t xml:space="preserve">”</w:t>
      </w:r>
    </w:p>
    <w:p>
      <w:pPr>
        <w:pStyle w:val="BodyText"/>
      </w:pPr>
      <w:r>
        <w:t xml:space="preserve">The Stock Purchase Agreement specifies a different treatment. Section 7.4 (</w:t>
      </w:r>
      <w:r>
        <w:t xml:space="preserve">“</w:t>
      </w:r>
      <w:r>
        <w:t xml:space="preserve">Tax Treatment</w:t>
      </w:r>
      <w:r>
        <w:t xml:space="preserve">”</w:t>
      </w:r>
      <w:r>
        <w:t xml:space="preserve">) states:</w:t>
      </w:r>
      <w:r>
        <w:t xml:space="preserve"> </w:t>
      </w:r>
      <w:r>
        <w:t xml:space="preserve">“</w:t>
      </w:r>
      <w:r>
        <w:t xml:space="preserve">the parties intend that the Escrow Amount be reported as an amount realized by the Shareholders in the taxable year in which the Closing occurs, consistent with the treatment of the Escrow Amount as a portion of the Cash Consideration deposited with a third-party agent for the benefit of the Shareholders.</w:t>
      </w:r>
      <w:r>
        <w:t xml:space="preserve">”</w:t>
      </w:r>
      <w:r>
        <w:t xml:space="preserve"> </w:t>
      </w:r>
      <w:r>
        <w:t xml:space="preserve">The Agreement further provides that</w:t>
      </w:r>
      <w:r>
        <w:t xml:space="preserve"> </w:t>
      </w:r>
      <w:r>
        <w:t xml:space="preserve">“</w:t>
      </w:r>
      <w:r>
        <w:t xml:space="preserve">each Shareholder shall be solely responsible for determining the proper treatment of the Escrow Amount on such Shareholder’s own Tax returns.</w:t>
      </w:r>
      <w:r>
        <w:t xml:space="preserve">”</w:t>
      </w:r>
    </w:p>
    <w:p>
      <w:pPr>
        <w:pStyle w:val="BodyText"/>
      </w:pPr>
      <w:r>
        <w:t xml:space="preserve">These positions are in direct conflict: the Memo recommends deferral; the definitive agreement specifies current-year reporting.</w:t>
      </w:r>
    </w:p>
    <w:p>
      <w:pPr>
        <w:pStyle w:val="BodyText"/>
      </w:pPr>
      <w:r>
        <w:t xml:space="preserve">There is also a substantive question whether Section 453 installment treatment is available at all in a Section 338(h)(10) transaction. Under the 338(h)(10) election, the actual stock sale is disregarded; the shareholders do not sell stock. Instead, old target is deemed to sell its assets (recognizing gain at the entity level at the close of the acquisition date) and is then deemed to liquidate, distributing the deemed sale proceeds to the shareholders. The deemed sale gain is recognized at the entity level in the year of the acquisition date and passes through to shareholders on the final S corporation K-1. The escrow ($22M) is part of the cash consideration, which is part of the amount realized on the stock that drives the ADSP; it is therefore embedded in the deemed sale proceeds recognized at closing. Whether the shareholders can separately defer the escrow portion under Section 453 — when the gain has already been recognized at the entity level via the deemed asset sale — is a question the Memo does not address. The Memo’s analysis treats the escrow as if the shareholders sold stock directly, which is not how a 338(h)(10) transaction works.</w:t>
      </w:r>
    </w:p>
    <w:p>
      <w:pPr>
        <w:pStyle w:val="BodyText"/>
      </w:pPr>
      <w:r>
        <w:t xml:space="preserve">The Linden Rock correspondence (January 6, 2025) also raised the escrow/QSBS timing question — whether any exclusion applies to gain attributable to escrow amounts released 18–24 months after closing — which the Memo does not address.</w:t>
      </w:r>
    </w:p>
    <w:p>
      <w:pPr>
        <w:pStyle w:val="BodyText"/>
      </w:pPr>
      <w:r>
        <w:rPr>
          <w:b/>
          <w:bCs/>
        </w:rPr>
        <w:t xml:space="preserve">Impact.</w:t>
      </w:r>
      <w:r>
        <w:t xml:space="preserve"> </w:t>
      </w:r>
      <w:r>
        <w:t xml:space="preserve">The inconsistency between the Memo and the definitive agreement creates uncertainty for the selling shareholders, who may rely on the Memo’s deferral recommendation and find it inconsistent with the Agreement’s stated treatment. If Section 453 is unavailable in the 338(h)(10) context (because the gain is recognized at the entity level at closing), the Memo’s recommendation is legally incorrect and could mislead shareholders into underpaying estimated taxes for 2025. The escrow represents $22M of consideration; the timing of gain recognition on this amount is material to multiple shareholders.</w:t>
      </w:r>
    </w:p>
    <w:p>
      <w:pPr>
        <w:pStyle w:val="BodyText"/>
      </w:pPr>
      <w:r>
        <w:rPr>
          <w:b/>
          <w:bCs/>
        </w:rPr>
        <w:t xml:space="preserve">Recommendation.</w:t>
      </w:r>
      <w:r>
        <w:t xml:space="preserve"> </w:t>
      </w:r>
      <w:r>
        <w:t xml:space="preserve">Reconcile the Memo’s escrow tax-treatment recommendation with Section 7.4 of the Stock Purchase Agreement. Analyze whether Section 453 installment treatment is available to shareholders in a 338(h)(10) transaction given that the gain is recognized at the entity level via the deemed asset sale, or whether the escrow is necessarily included in the amount realized at closing. Address the escrow/QSBS timing question raised by Linden Rock. If the Agreement’s</w:t>
      </w:r>
      <w:r>
        <w:t xml:space="preserve"> </w:t>
      </w:r>
      <w:r>
        <w:t xml:space="preserve">“</w:t>
      </w:r>
      <w:r>
        <w:t xml:space="preserve">solely responsible</w:t>
      </w:r>
      <w:r>
        <w:t xml:space="preserve">”</w:t>
      </w:r>
      <w:r>
        <w:t xml:space="preserve"> </w:t>
      </w:r>
      <w:r>
        <w:t xml:space="preserve">language is intended to leave the treatment to each shareholder, the Memo should not recommend a specific treatment that conflicts with the Agreement’s stated intent without flagging the conflict.</w:t>
      </w:r>
    </w:p>
    <w:p>
      <w:r>
        <w:pict>
          <v:rect style="width:0;height:1.5pt" o:hralign="center" o:hrstd="t" o:hr="t"/>
        </w:pict>
      </w:r>
    </w:p>
    <w:bookmarkEnd w:id="37"/>
    <w:bookmarkStart w:id="38" w:name="Xa5a97d425779874aec2e3db34ec9e061c6c4964"/>
    <w:p>
      <w:pPr>
        <w:pStyle w:val="Heading3"/>
      </w:pPr>
      <w:r>
        <w:t xml:space="preserve">H-6. Buyer’s Annual D&amp;A and Tax Savings Estimates Overstated (Consequence of C-1 and H-2)</w:t>
      </w:r>
    </w:p>
    <w:p>
      <w:pPr>
        <w:pStyle w:val="FirstParagraph"/>
      </w:pPr>
      <w:r>
        <w:rPr>
          <w:b/>
          <w:bCs/>
        </w:rPr>
        <w:t xml:space="preserve">Severity:</w:t>
      </w:r>
      <w:r>
        <w:t xml:space="preserve"> </w:t>
      </w:r>
      <w:r>
        <w:t xml:space="preserve">High</w:t>
      </w:r>
    </w:p>
    <w:p>
      <w:pPr>
        <w:pStyle w:val="BodyText"/>
      </w:pPr>
      <w:r>
        <w:rPr>
          <w:b/>
          <w:bCs/>
        </w:rPr>
        <w:t xml:space="preserve">Description.</w:t>
      </w:r>
      <w:r>
        <w:t xml:space="preserve"> </w:t>
      </w:r>
      <w:r>
        <w:t xml:space="preserve">The Memo (Section VII.A) estimates that new Target will benefit from</w:t>
      </w:r>
      <w:r>
        <w:t xml:space="preserve"> </w:t>
      </w:r>
      <w:r>
        <w:t xml:space="preserve">“</w:t>
      </w:r>
      <w:r>
        <w:t xml:space="preserve">approximately $24,500,000 or more in annual depreciation and amortization deductions</w:t>
      </w:r>
      <w:r>
        <w:t xml:space="preserve">”</w:t>
      </w:r>
      <w:r>
        <w:t xml:space="preserve"> </w:t>
      </w:r>
      <w:r>
        <w:t xml:space="preserve">attributable to the stepped-up basis, generating</w:t>
      </w:r>
      <w:r>
        <w:t xml:space="preserve"> </w:t>
      </w:r>
      <w:r>
        <w:t xml:space="preserve">“</w:t>
      </w:r>
      <w:r>
        <w:t xml:space="preserve">approximately $6,125,000</w:t>
      </w:r>
      <w:r>
        <w:t xml:space="preserve">”</w:t>
      </w:r>
      <w:r>
        <w:t xml:space="preserve"> </w:t>
      </w:r>
      <w:r>
        <w:t xml:space="preserve">in annual cash tax savings at an assumed 25% combined effective rate. The Memo further states that the aggregate present value of the tax benefits</w:t>
      </w:r>
      <w:r>
        <w:t xml:space="preserve"> </w:t>
      </w:r>
      <w:r>
        <w:t xml:space="preserve">“</w:t>
      </w:r>
      <w:r>
        <w:t xml:space="preserve">is substantial and is a key driver of the transaction economics.</w:t>
      </w:r>
      <w:r>
        <w:t xml:space="preserve">”</w:t>
      </w:r>
    </w:p>
    <w:p>
      <w:pPr>
        <w:pStyle w:val="BodyText"/>
      </w:pPr>
      <w:r>
        <w:t xml:space="preserve">These estimates are derived from the overstated ADSP ($473M) and the incorrect asset mix:</w:t>
      </w:r>
    </w:p>
    <w:p>
      <w:pPr>
        <w:pStyle w:val="Compact"/>
        <w:numPr>
          <w:ilvl w:val="0"/>
          <w:numId w:val="1009"/>
        </w:numPr>
      </w:pPr>
      <w:r>
        <w:rPr>
          <w:b/>
          <w:bCs/>
        </w:rPr>
        <w:t xml:space="preserve">Class VII goodwill amortization:</w:t>
      </w:r>
      <w:r>
        <w:t xml:space="preserve"> </w:t>
      </w:r>
      <w:r>
        <w:t xml:space="preserve">The Memo computes $272.8M ÷ 15 = ~$18.19M/year. Using the corrected ADSP and Thornfield’s Class V allocation, goodwill is approximately $196.3M, yielding ~$13.09M/year — an overstatement of ~$5.1M/year in goodwill amortization alone.</w:t>
      </w:r>
    </w:p>
    <w:p>
      <w:pPr>
        <w:pStyle w:val="Compact"/>
        <w:numPr>
          <w:ilvl w:val="0"/>
          <w:numId w:val="1009"/>
        </w:numPr>
      </w:pPr>
      <w:r>
        <w:rPr>
          <w:b/>
          <w:bCs/>
        </w:rPr>
        <w:t xml:space="preserve">Class V intangible amortization:</w:t>
      </w:r>
      <w:r>
        <w:t xml:space="preserve"> </w:t>
      </w:r>
      <w:r>
        <w:t xml:space="preserve">The Memo does not separately amortize the developed technology (valued at $19M) or government software licenses (omitted). Under Thornfield’s valuation, developed technology ($41.8M) is amortizable under Section 167 (the asset valuation notes a 5-year useful life), and government software licenses ($5.7M) are amortizable over ~7 years. The Memo’s treatment of all Class V intangibles under MACRS without distinguishing Section 167 software understates the early-year deductions from these assets while overstating the long-lived goodwill deductions.</w:t>
      </w:r>
    </w:p>
    <w:p>
      <w:pPr>
        <w:pStyle w:val="Compact"/>
        <w:numPr>
          <w:ilvl w:val="0"/>
          <w:numId w:val="1009"/>
        </w:numPr>
      </w:pPr>
      <w:r>
        <w:rPr>
          <w:b/>
          <w:bCs/>
        </w:rPr>
        <w:t xml:space="preserve">Total amortizable base:</w:t>
      </w:r>
      <w:r>
        <w:t xml:space="preserve"> </w:t>
      </w:r>
      <w:r>
        <w:t xml:space="preserve">The Memo’s amortizable base (ADSP less cash and receivables) is $473M − $12.4M − $24.3M = $436.3M. The corrected base (using Thornfield’s ADSP of $425M) is $425M − $12.4M − $24.3M = $388.3M — $48M lower. Over the full amortization period, the Memo overstates total deductions by $48M.</w:t>
      </w:r>
    </w:p>
    <w:p>
      <w:pPr>
        <w:pStyle w:val="FirstParagraph"/>
      </w:pPr>
      <w:r>
        <w:rPr>
          <w:b/>
          <w:bCs/>
        </w:rPr>
        <w:t xml:space="preserve">Impact.</w:t>
      </w:r>
      <w:r>
        <w:t xml:space="preserve"> </w:t>
      </w:r>
      <w:r>
        <w:t xml:space="preserve">The buyer benefit estimates are a</w:t>
      </w:r>
      <w:r>
        <w:t xml:space="preserve"> </w:t>
      </w:r>
      <w:r>
        <w:t xml:space="preserve">“</w:t>
      </w:r>
      <w:r>
        <w:t xml:space="preserve">key driver of the transaction economics</w:t>
      </w:r>
      <w:r>
        <w:t xml:space="preserve">”</w:t>
      </w:r>
      <w:r>
        <w:t xml:space="preserve"> </w:t>
      </w:r>
      <w:r>
        <w:t xml:space="preserve">per the Memo’s own characterization. The overstatement of annual D&amp;A (~$5M+ in goodwill amortization alone, with offsetting effects from the Class V mix) and the $48M overstatement of the total amortizable base materially affect the projected cash tax savings and the present-value analysis that the Investment Committee may be relying upon. The timing of deductions is also affected: the Memo’s allocation is goodwill-heavy (15-year amortization), whereas the corrected allocation shifts value to shorter-lived Class V assets (5-year developed technology), changing the NPV of the tax shield.</w:t>
      </w:r>
    </w:p>
    <w:p>
      <w:pPr>
        <w:pStyle w:val="BodyText"/>
      </w:pPr>
      <w:r>
        <w:rPr>
          <w:b/>
          <w:bCs/>
        </w:rPr>
        <w:t xml:space="preserve">Recommendation.</w:t>
      </w:r>
      <w:r>
        <w:t xml:space="preserve"> </w:t>
      </w:r>
      <w:r>
        <w:t xml:space="preserve">Recompute the annual D&amp;A and tax savings estimates using the corrected ADSP and the reconciled asset allocation. Present a year-by-year D&amp;A schedule reflecting the correct asset mix and the Section 167 vs. Section 197 distinction. Recompute the present value of the tax shield. Disclose the sensitivity of the buyer’s returns to the ADSP and allocation corrections.</w:t>
      </w:r>
    </w:p>
    <w:p>
      <w:r>
        <w:pict>
          <v:rect style="width:0;height:1.5pt" o:hralign="center" o:hrstd="t" o:hr="t"/>
        </w:pict>
      </w:r>
    </w:p>
    <w:bookmarkEnd w:id="38"/>
    <w:bookmarkStart w:id="39" w:name="Xf93e46d8bdfd0840c5f401c9e24f3f76e22615e"/>
    <w:p>
      <w:pPr>
        <w:pStyle w:val="Heading3"/>
      </w:pPr>
      <w:r>
        <w:t xml:space="preserve">H-7. Beacon Insights Gain Characterization and Section 754 Election Not Analyzed</w:t>
      </w:r>
    </w:p>
    <w:p>
      <w:pPr>
        <w:pStyle w:val="FirstParagraph"/>
      </w:pPr>
      <w:r>
        <w:rPr>
          <w:b/>
          <w:bCs/>
        </w:rPr>
        <w:t xml:space="preserve">Severity:</w:t>
      </w:r>
      <w:r>
        <w:t xml:space="preserve"> </w:t>
      </w:r>
      <w:r>
        <w:t xml:space="preserve">High</w:t>
      </w:r>
    </w:p>
    <w:p>
      <w:pPr>
        <w:pStyle w:val="BodyText"/>
      </w:pPr>
      <w:r>
        <w:rPr>
          <w:b/>
          <w:bCs/>
        </w:rPr>
        <w:t xml:space="preserve">Description.</w:t>
      </w:r>
      <w:r>
        <w:t xml:space="preserve"> </w:t>
      </w:r>
      <w:r>
        <w:t xml:space="preserve">The Memo (Section VIII) characterizes the $22.1M gain on the deemed disposition of Prism’s 80.5% Beacon Insights interest as</w:t>
      </w:r>
      <w:r>
        <w:t xml:space="preserve"> </w:t>
      </w:r>
      <w:r>
        <w:t xml:space="preserve">“</w:t>
      </w:r>
      <w:r>
        <w:t xml:space="preserve">expected to be long-term capital gain, given that Prism has held its membership interest in Beacon for more than one year.</w:t>
      </w:r>
      <w:r>
        <w:t xml:space="preserve">”</w:t>
      </w:r>
      <w:r>
        <w:t xml:space="preserve"> </w:t>
      </w:r>
      <w:r>
        <w:t xml:space="preserve">The Memo states the character</w:t>
      </w:r>
      <w:r>
        <w:t xml:space="preserve"> </w:t>
      </w:r>
      <w:r>
        <w:t xml:space="preserve">“</w:t>
      </w:r>
      <w:r>
        <w:t xml:space="preserve">will be confirmed upon completion of the Thornfield asset valuation.</w:t>
      </w:r>
      <w:r>
        <w:t xml:space="preserve">”</w:t>
      </w:r>
    </w:p>
    <w:p>
      <w:pPr>
        <w:pStyle w:val="BodyText"/>
      </w:pPr>
      <w:r>
        <w:t xml:space="preserve">This characterization may be incorrect and is incomplete in two respects:</w:t>
      </w:r>
    </w:p>
    <w:p>
      <w:pPr>
        <w:numPr>
          <w:ilvl w:val="0"/>
          <w:numId w:val="1010"/>
        </w:numPr>
      </w:pPr>
      <w:r>
        <w:rPr>
          <w:b/>
          <w:bCs/>
        </w:rPr>
        <w:t xml:space="preserve">Section 751</w:t>
      </w:r>
      <w:r>
        <w:rPr>
          <w:b/>
          <w:bCs/>
        </w:rPr>
        <w:t xml:space="preserve"> </w:t>
      </w:r>
      <w:r>
        <w:rPr>
          <w:b/>
          <w:bCs/>
        </w:rPr>
        <w:t xml:space="preserve">“</w:t>
      </w:r>
      <w:r>
        <w:rPr>
          <w:b/>
          <w:bCs/>
        </w:rPr>
        <w:t xml:space="preserve">hot assets.</w:t>
      </w:r>
      <w:r>
        <w:rPr>
          <w:b/>
          <w:bCs/>
        </w:rPr>
        <w:t xml:space="preserve">”</w:t>
      </w:r>
      <w:r>
        <w:t xml:space="preserve"> </w:t>
      </w:r>
      <w:r>
        <w:t xml:space="preserve">The Thornfield due diligence report (Section VI.B) notes that Beacon’s underlying assets include accounts receivable (approximately $2.1M as of December 31, 2023) and accrued but unbilled revenue (approximately $1.8M). Under Section 751, unrealized receivables and substantially appreciated inventory items are</w:t>
      </w:r>
      <w:r>
        <w:t xml:space="preserve"> </w:t>
      </w:r>
      <w:r>
        <w:t xml:space="preserve">“</w:t>
      </w:r>
      <w:r>
        <w:t xml:space="preserve">hot assets,</w:t>
      </w:r>
      <w:r>
        <w:t xml:space="preserve">”</w:t>
      </w:r>
      <w:r>
        <w:t xml:space="preserve"> </w:t>
      </w:r>
      <w:r>
        <w:t xml:space="preserve">and gain attributable to hot assets on the sale or exchange of a partnership interest is treated as</w:t>
      </w:r>
      <w:r>
        <w:t xml:space="preserve"> </w:t>
      </w:r>
      <w:r>
        <w:rPr>
          <w:b/>
          <w:bCs/>
        </w:rPr>
        <w:t xml:space="preserve">ordinary income</w:t>
      </w:r>
      <w:r>
        <w:t xml:space="preserve">, not capital gain. The Memo does not address Section 751 at all. To the extent the $22.1M gain is attributable to Beacon’s hot assets (approximately $3.9M of receivables and unbilled revenue), that portion would be ordinary income, not the long-term capital gain the Memo projects.</w:t>
      </w:r>
    </w:p>
    <w:p>
      <w:pPr>
        <w:numPr>
          <w:ilvl w:val="0"/>
          <w:numId w:val="1010"/>
        </w:numPr>
      </w:pPr>
      <w:r>
        <w:rPr>
          <w:b/>
          <w:bCs/>
        </w:rPr>
        <w:t xml:space="preserve">Section 754 election.</w:t>
      </w:r>
      <w:r>
        <w:t xml:space="preserve"> </w:t>
      </w:r>
      <w:r>
        <w:t xml:space="preserve">The Beacon operating agreement (Section 11.05) states that</w:t>
      </w:r>
      <w:r>
        <w:t xml:space="preserve"> </w:t>
      </w:r>
      <w:r>
        <w:t xml:space="preserve">“</w:t>
      </w:r>
      <w:r>
        <w:t xml:space="preserve">as of the date of this Agreement, the Company has not made an election under Section 754.</w:t>
      </w:r>
      <w:r>
        <w:t xml:space="preserve">”</w:t>
      </w:r>
      <w:r>
        <w:t xml:space="preserve"> </w:t>
      </w:r>
      <w:r>
        <w:t xml:space="preserve">The Thornfield asset valuation summary (Asset A-009) notes that</w:t>
      </w:r>
      <w:r>
        <w:t xml:space="preserve"> </w:t>
      </w:r>
      <w:r>
        <w:t xml:space="preserve">“</w:t>
      </w:r>
      <w:r>
        <w:t xml:space="preserve">the amortization and depreciation treatment of the step-up allocated to this interest will depend on the nature of Beacon’s underlying assets and potential §754 election implications</w:t>
      </w:r>
      <w:r>
        <w:t xml:space="preserve">”</w:t>
      </w:r>
      <w:r>
        <w:t xml:space="preserve"> </w:t>
      </w:r>
      <w:r>
        <w:t xml:space="preserve">and that</w:t>
      </w:r>
      <w:r>
        <w:t xml:space="preserve"> </w:t>
      </w:r>
      <w:r>
        <w:t xml:space="preserve">“</w:t>
      </w:r>
      <w:r>
        <w:t xml:space="preserve">Thornfield has not performed a look-through analysis of Beacon’s underlying assets.</w:t>
      </w:r>
      <w:r>
        <w:t xml:space="preserve">”</w:t>
      </w:r>
      <w:r>
        <w:t xml:space="preserve"> </w:t>
      </w:r>
      <w:r>
        <w:t xml:space="preserve">The Memo does not address whether a Section 754 election should be made by Beacon (which would produce a Section 743(b) inside-basis adjustment for the buyer with respect to Prism’s interest), how the step-up allocated to the Beacon interest in the 338(h)(10) PPA would be amortized without a look-through analysis, or the consequences for Beacon’s minority members (Delano and Avesta).</w:t>
      </w:r>
    </w:p>
    <w:p>
      <w:pPr>
        <w:pStyle w:val="FirstParagraph"/>
      </w:pPr>
      <w:r>
        <w:rPr>
          <w:b/>
          <w:bCs/>
        </w:rPr>
        <w:t xml:space="preserve">Impact.</w:t>
      </w:r>
      <w:r>
        <w:t xml:space="preserve"> </w:t>
      </w:r>
      <w:r>
        <w:t xml:space="preserve">The gain character (ordinary vs. capital) directly affects the shareholders’ tax rates (up to 37% ordinary plus 3.8% NIIT vs. 20% capital plus 3.8% NIIT). The Section 754 election affects the buyer’s ability to amortize the step-up in Beacon’s inside assets and the basis adjustments available to the minority members. The Memo’s projection of long-term capital gain for the entire $22.1M may overstate the capital-gain portion and understate the ordinary-income portion, misstating the shareholders’ tax liabilities. The omission of the 754 analysis leaves a significant post-closing tax-planning decision unaddressed.</w:t>
      </w:r>
    </w:p>
    <w:p>
      <w:pPr>
        <w:pStyle w:val="BodyText"/>
      </w:pPr>
      <w:r>
        <w:rPr>
          <w:b/>
          <w:bCs/>
        </w:rPr>
        <w:t xml:space="preserve">Recommendation.</w:t>
      </w:r>
      <w:r>
        <w:t xml:space="preserve"> </w:t>
      </w:r>
      <w:r>
        <w:t xml:space="preserve">Perform a Section 751 hot-asset analysis for Beacon and quantify the ordinary-income portion of the deemed disposition gain. Determine whether a Section 754 election should be made by Beacon and, if so, prepare the Section 743(b) basis adjustment computations. Perform (or commission) a look-through analysis of Beacon’s underlying assets to determine the proper amortization/depreciation treatment of the step-up allocated to the Beacon interest. Analyze the impact on Beacon’s minority members and the interaction with the Beacon operating agreement’s partnership-representative and tax-election provisions (Sections 11.02, 11.04).</w:t>
      </w:r>
    </w:p>
    <w:p>
      <w:r>
        <w:pict>
          <v:rect style="width:0;height:1.5pt" o:hralign="center" o:hrstd="t" o:hr="t"/>
        </w:pict>
      </w:r>
    </w:p>
    <w:bookmarkEnd w:id="39"/>
    <w:bookmarkEnd w:id="40"/>
    <w:bookmarkStart w:id="49" w:name="v.-moderate-severity-findings"/>
    <w:p>
      <w:pPr>
        <w:pStyle w:val="Heading2"/>
      </w:pPr>
      <w:r>
        <w:t xml:space="preserve">V. Moderate-Severity Findings</w:t>
      </w:r>
    </w:p>
    <w:bookmarkStart w:id="41" w:name="X825a0dfc70580e8526915d2e148c1dc6c9b8e93"/>
    <w:p>
      <w:pPr>
        <w:pStyle w:val="Heading3"/>
      </w:pPr>
      <w:r>
        <w:t xml:space="preserve">M-1. Suspended R&amp;D Credits ($3.8M) — Cursory Treatment; Permanent Loss Risk Not Analyzed</w:t>
      </w:r>
    </w:p>
    <w:p>
      <w:pPr>
        <w:pStyle w:val="FirstParagraph"/>
      </w:pPr>
      <w:r>
        <w:rPr>
          <w:b/>
          <w:bCs/>
        </w:rPr>
        <w:t xml:space="preserve">Severity:</w:t>
      </w:r>
      <w:r>
        <w:t xml:space="preserve"> </w:t>
      </w:r>
      <w:r>
        <w:t xml:space="preserve">Moderate</w:t>
      </w:r>
    </w:p>
    <w:p>
      <w:pPr>
        <w:pStyle w:val="BodyText"/>
      </w:pPr>
      <w:r>
        <w:rPr>
          <w:b/>
          <w:bCs/>
        </w:rPr>
        <w:t xml:space="preserve">Description.</w:t>
      </w:r>
      <w:r>
        <w:t xml:space="preserve"> </w:t>
      </w:r>
      <w:r>
        <w:t xml:space="preserve">The Memo (Section III.D) acknowledges the $3.8M in unused federal R&amp;D credits carried forward from Prism’s 2016 C corporation year, stating only that</w:t>
      </w:r>
      <w:r>
        <w:t xml:space="preserve"> </w:t>
      </w:r>
      <w:r>
        <w:t xml:space="preserve">“</w:t>
      </w:r>
      <w:r>
        <w:t xml:space="preserve">these credits are noted and will be addressed in the post-closing tax planning.</w:t>
      </w:r>
      <w:r>
        <w:t xml:space="preserve">”</w:t>
      </w:r>
      <w:r>
        <w:t xml:space="preserve"> </w:t>
      </w:r>
      <w:r>
        <w:t xml:space="preserve">The Thornfield due diligence report (Sections IV.B and IX.A; Summary Finding No. 2) analyzes the credits in detail and concludes they are</w:t>
      </w:r>
      <w:r>
        <w:t xml:space="preserve"> </w:t>
      </w:r>
      <w:r>
        <w:t xml:space="preserve">“</w:t>
      </w:r>
      <w:r>
        <w:t xml:space="preserve">at significant risk of permanent expiration in connection with this transaction.</w:t>
      </w:r>
      <w:r>
        <w:t xml:space="preserve">”</w:t>
      </w:r>
      <w:r>
        <w:t xml:space="preserve"> </w:t>
      </w:r>
      <w:r>
        <w:t xml:space="preserve">Thornfield evaluated three utilization scenarios (built-in-gains offset, post-termination transition period, and deemed-liquidation final return) and found that none clearly preserves the credits, deferring the legal analysis to tax counsel.</w:t>
      </w:r>
    </w:p>
    <w:p>
      <w:pPr>
        <w:pStyle w:val="BodyText"/>
      </w:pPr>
      <w:r>
        <w:rPr>
          <w:b/>
          <w:bCs/>
        </w:rPr>
        <w:t xml:space="preserve">Impact.</w:t>
      </w:r>
      <w:r>
        <w:t xml:space="preserve"> </w:t>
      </w:r>
      <w:r>
        <w:t xml:space="preserve">The 338(h)(10) deemed liquidation may terminate the credits permanently. $3.8M is a material amount. The Memo’s deferral to</w:t>
      </w:r>
      <w:r>
        <w:t xml:space="preserve"> </w:t>
      </w:r>
      <w:r>
        <w:t xml:space="preserve">“</w:t>
      </w:r>
      <w:r>
        <w:t xml:space="preserve">post-closing tax planning</w:t>
      </w:r>
      <w:r>
        <w:t xml:space="preserve">”</w:t>
      </w:r>
      <w:r>
        <w:t xml:space="preserve"> </w:t>
      </w:r>
      <w:r>
        <w:t xml:space="preserve">is inadequate because the loss, if it occurs, is triggered by the transaction structure itself — post-closing planning cannot recover credits lost at the deemed liquidation. The Memo does not analyze whether any structuring alternative could preserve the credits.</w:t>
      </w:r>
    </w:p>
    <w:p>
      <w:pPr>
        <w:pStyle w:val="BodyText"/>
      </w:pPr>
      <w:r>
        <w:rPr>
          <w:b/>
          <w:bCs/>
        </w:rPr>
        <w:t xml:space="preserve">Recommendation.</w:t>
      </w:r>
      <w:r>
        <w:t xml:space="preserve"> </w:t>
      </w:r>
      <w:r>
        <w:t xml:space="preserve">Analyze the interaction of Sections 1371(b), 1371(e), 1374, and 338(h)(10) to determine whether any portion of the $3.8M can be salvaged. Evaluate structuring alternatives (e.g., timing of the S election termination, use of the post-termination transition period) before closing. If the credits cannot be preserved, document the treatment on the final return and reflect the loss in the transaction economics.</w:t>
      </w:r>
    </w:p>
    <w:p>
      <w:r>
        <w:pict>
          <v:rect style="width:0;height:1.5pt" o:hralign="center" o:hrstd="t" o:hr="t"/>
        </w:pict>
      </w:r>
    </w:p>
    <w:bookmarkEnd w:id="41"/>
    <w:bookmarkStart w:id="42" w:name="X8854513be28c95d5d441aeb3a3e3cb7635672c4"/>
    <w:p>
      <w:pPr>
        <w:pStyle w:val="Heading3"/>
      </w:pPr>
      <w:r>
        <w:t xml:space="preserve">M-2. Intercompany Transfer Pricing — $6.3M Section 482 Exposure Omitted</w:t>
      </w:r>
    </w:p>
    <w:p>
      <w:pPr>
        <w:pStyle w:val="FirstParagraph"/>
      </w:pPr>
      <w:r>
        <w:rPr>
          <w:b/>
          <w:bCs/>
        </w:rPr>
        <w:t xml:space="preserve">Severity:</w:t>
      </w:r>
      <w:r>
        <w:t xml:space="preserve"> </w:t>
      </w:r>
      <w:r>
        <w:t xml:space="preserve">Moderate</w:t>
      </w:r>
    </w:p>
    <w:p>
      <w:pPr>
        <w:pStyle w:val="BodyText"/>
      </w:pPr>
      <w:r>
        <w:rPr>
          <w:b/>
          <w:bCs/>
        </w:rPr>
        <w:t xml:space="preserve">Description.</w:t>
      </w:r>
      <w:r>
        <w:t xml:space="preserve"> </w:t>
      </w:r>
      <w:r>
        <w:t xml:space="preserve">The Memo (Sections III.C and VIII) describes the intercompany management fee ($850K/year) and IP license fee ($400K/year) between Prism and Beacon and states that</w:t>
      </w:r>
      <w:r>
        <w:t xml:space="preserve"> </w:t>
      </w:r>
      <w:r>
        <w:t xml:space="preserve">“</w:t>
      </w:r>
      <w:r>
        <w:t xml:space="preserve">the intercompany fees have been reported on Prism’s and Beacon’s respective tax returns, and are reflected in the Thornfield due diligence report.</w:t>
      </w:r>
      <w:r>
        <w:t xml:space="preserve">”</w:t>
      </w:r>
      <w:r>
        <w:t xml:space="preserve"> </w:t>
      </w:r>
      <w:r>
        <w:t xml:space="preserve">The Memo does not address the Section 482 transfer-pricing exposure.</w:t>
      </w:r>
    </w:p>
    <w:p>
      <w:pPr>
        <w:pStyle w:val="BodyText"/>
      </w:pPr>
      <w:r>
        <w:t xml:space="preserve">The Thornfield due diligence report (Section VII; Summary Finding No. 3) identifies approximately $6.3M in cumulative Section 482 exposure for 2019–2024, concluding that both fees appear below arm’s-length pricing (the management fee understates actual cost by ~$350K/year; the IP license fee at ~3.6% of Beacon revenue is well below the 8–15% industry benchmark). The Beacon operating agreement (Sections 9.01, 9.02) confirms that neither fee has been subjected to a benchmarking study, transfer-pricing analysis, or independent appraisal, and that the fees do not adjust based on actual cost or revenue. The Stock Purchase Agreement Section 4.9(h) represents that the fees</w:t>
      </w:r>
      <w:r>
        <w:t xml:space="preserve"> </w:t>
      </w:r>
      <w:r>
        <w:t xml:space="preserve">“</w:t>
      </w:r>
      <w:r>
        <w:t xml:space="preserve">are at arm’s length</w:t>
      </w:r>
      <w:r>
        <w:t xml:space="preserve">”</w:t>
      </w:r>
      <w:r>
        <w:t xml:space="preserve"> </w:t>
      </w:r>
      <w:r>
        <w:t xml:space="preserve">while disclosing that</w:t>
      </w:r>
      <w:r>
        <w:t xml:space="preserve"> </w:t>
      </w:r>
      <w:r>
        <w:t xml:space="preserve">“</w:t>
      </w:r>
      <w:r>
        <w:t xml:space="preserve">[n]o formal transfer pricing study has been prepared.</w:t>
      </w:r>
      <w:r>
        <w:t xml:space="preserve">”</w:t>
      </w:r>
    </w:p>
    <w:p>
      <w:pPr>
        <w:pStyle w:val="BodyText"/>
      </w:pPr>
      <w:r>
        <w:rPr>
          <w:b/>
          <w:bCs/>
        </w:rPr>
        <w:t xml:space="preserve">Impact.</w:t>
      </w:r>
      <w:r>
        <w:t xml:space="preserve"> </w:t>
      </w:r>
      <w:r>
        <w:t xml:space="preserve">A Section 482 reallocation would shift income between Prism (flowing to all Prism shareholders) and Beacon (flowing 80.5% to Prism and 19.5% to the minority members), affecting multiple parties in different proportions. The $6.3M exposure is a pre-closing tax liability that should be addressed in the indemnification and risk-allocation provisions. The Section 4.9(h) representation that the fees are</w:t>
      </w:r>
      <w:r>
        <w:t xml:space="preserve"> </w:t>
      </w:r>
      <w:r>
        <w:t xml:space="preserve">“</w:t>
      </w:r>
      <w:r>
        <w:t xml:space="preserve">at arm’s length</w:t>
      </w:r>
      <w:r>
        <w:t xml:space="preserve">”</w:t>
      </w:r>
      <w:r>
        <w:t xml:space="preserve"> </w:t>
      </w:r>
      <w:r>
        <w:t xml:space="preserve">may be difficult to support given Thornfield’s contrary conclusion and the absence of any transfer-pricing study.</w:t>
      </w:r>
    </w:p>
    <w:p>
      <w:pPr>
        <w:pStyle w:val="BodyText"/>
      </w:pPr>
      <w:r>
        <w:rPr>
          <w:b/>
          <w:bCs/>
        </w:rPr>
        <w:t xml:space="preserve">Recommendation.</w:t>
      </w:r>
      <w:r>
        <w:t xml:space="preserve"> </w:t>
      </w:r>
      <w:r>
        <w:t xml:space="preserve">Commission a formal transfer-pricing study and prepare contemporaneous documentation. Evaluate whether amended returns or a voluntary disclosure for prior years is warranted. Reflect the Section 482 exposure in the indemnification provisions and escrow analysis. Reconcile the Section 4.9(h)</w:t>
      </w:r>
      <w:r>
        <w:t xml:space="preserve"> </w:t>
      </w:r>
      <w:r>
        <w:t xml:space="preserve">“</w:t>
      </w:r>
      <w:r>
        <w:t xml:space="preserve">arm’s length</w:t>
      </w:r>
      <w:r>
        <w:t xml:space="preserve">”</w:t>
      </w:r>
      <w:r>
        <w:t xml:space="preserve"> </w:t>
      </w:r>
      <w:r>
        <w:t xml:space="preserve">representation with the absence of supporting documentation.</w:t>
      </w:r>
    </w:p>
    <w:p>
      <w:r>
        <w:pict>
          <v:rect style="width:0;height:1.5pt" o:hralign="center" o:hrstd="t" o:hr="t"/>
        </w:pict>
      </w:r>
    </w:p>
    <w:bookmarkEnd w:id="42"/>
    <w:bookmarkStart w:id="43" w:name="X9d84665cbbc47c787eb50fb74c7b74afac8e4fc"/>
    <w:p>
      <w:pPr>
        <w:pStyle w:val="Heading3"/>
      </w:pPr>
      <w:r>
        <w:t xml:space="preserve">M-3. AAA / AE&amp;P / Deemed Liquidation Characterization Omitted</w:t>
      </w:r>
    </w:p>
    <w:p>
      <w:pPr>
        <w:pStyle w:val="FirstParagraph"/>
      </w:pPr>
      <w:r>
        <w:rPr>
          <w:b/>
          <w:bCs/>
        </w:rPr>
        <w:t xml:space="preserve">Severity:</w:t>
      </w:r>
      <w:r>
        <w:t xml:space="preserve"> </w:t>
      </w:r>
      <w:r>
        <w:t xml:space="preserve">Moderate</w:t>
      </w:r>
    </w:p>
    <w:p>
      <w:pPr>
        <w:pStyle w:val="BodyText"/>
      </w:pPr>
      <w:r>
        <w:rPr>
          <w:b/>
          <w:bCs/>
        </w:rPr>
        <w:t xml:space="preserve">Description.</w:t>
      </w:r>
      <w:r>
        <w:t xml:space="preserve"> </w:t>
      </w:r>
      <w:r>
        <w:t xml:space="preserve">The Memo (Section V.A) states that the deemed sale gain</w:t>
      </w:r>
      <w:r>
        <w:t xml:space="preserve"> </w:t>
      </w:r>
      <w:r>
        <w:t xml:space="preserve">“</w:t>
      </w:r>
      <w:r>
        <w:t xml:space="preserve">passes through to Prism’s shareholders on the final S corporation return… in proportion to their respective stock ownership percentages.</w:t>
      </w:r>
      <w:r>
        <w:t xml:space="preserve">”</w:t>
      </w:r>
      <w:r>
        <w:t xml:space="preserve"> </w:t>
      </w:r>
      <w:r>
        <w:t xml:space="preserve">The Memo does not address the Accumulated Adjustments Account (AAA), Accumulated Earnings and Profits (AE&amp;P), or the characterization of the deemed liquidating distributions.</w:t>
      </w:r>
    </w:p>
    <w:p>
      <w:pPr>
        <w:pStyle w:val="BodyText"/>
      </w:pPr>
      <w:r>
        <w:t xml:space="preserve">The Thornfield due diligence report (Section IX.C) identifies the following attribute balances as of December 31, 2023: AAA $64,200,000; AE&amp;P $792,000 (from the C corporation year); PTI $792,000. In the deemed liquidation under Section 338(h)(10), the deemed liquidating distributions are characterized first against AAA (tax-free to the extent of the shareholder’s stock basis), then against AE&amp;P (taxable as a dividend), then as return of capital, then as capital gain. Thornfield notes that the AAA balance</w:t>
      </w:r>
      <w:r>
        <w:t xml:space="preserve"> </w:t>
      </w:r>
      <w:r>
        <w:t xml:space="preserve">“</w:t>
      </w:r>
      <w:r>
        <w:t xml:space="preserve">appears sufficient to absorb a substantial portion of the deemed liquidating distribution, but this should be confirmed by tax counsel.</w:t>
      </w:r>
      <w:r>
        <w:t xml:space="preserve">”</w:t>
      </w:r>
    </w:p>
    <w:p>
      <w:pPr>
        <w:pStyle w:val="BodyText"/>
      </w:pPr>
      <w:r>
        <w:rPr>
          <w:b/>
          <w:bCs/>
        </w:rPr>
        <w:t xml:space="preserve">Impact.</w:t>
      </w:r>
      <w:r>
        <w:t xml:space="preserve"> </w:t>
      </w:r>
      <w:r>
        <w:t xml:space="preserve">The AAA ($64.2M) and AE&amp;P ($792K) materially affect the characterization of the distributions to shareholders and thus the shareholders’ tax liabilities. The Memo’s simplification — that the gain simply</w:t>
      </w:r>
      <w:r>
        <w:t xml:space="preserve"> </w:t>
      </w:r>
      <w:r>
        <w:t xml:space="preserve">“</w:t>
      </w:r>
      <w:r>
        <w:t xml:space="preserve">passes through</w:t>
      </w:r>
      <w:r>
        <w:t xml:space="preserve">”</w:t>
      </w:r>
      <w:r>
        <w:t xml:space="preserve"> </w:t>
      </w:r>
      <w:r>
        <w:t xml:space="preserve">pro rata — omits the ordering rules that determine how much of the distribution is tax-free (AAA), dividend (AE&amp;P), return of capital, or capital gain. This affects the effective tax rate for each shareholder and the interaction with each shareholder’s stock basis (see M-5 and L-3).</w:t>
      </w:r>
    </w:p>
    <w:p>
      <w:pPr>
        <w:pStyle w:val="BodyText"/>
      </w:pPr>
      <w:r>
        <w:rPr>
          <w:b/>
          <w:bCs/>
        </w:rPr>
        <w:t xml:space="preserve">Recommendation.</w:t>
      </w:r>
      <w:r>
        <w:t xml:space="preserve"> </w:t>
      </w:r>
      <w:r>
        <w:t xml:space="preserve">Incorporate the AAA/AE&amp;P/PTI analysis into the deemed-liquidation characterization. Compute the deemed liquidating distribution for each shareholder and apply the ordering rules (AAA, then AE&amp;P, then return of capital, then capital gain). Update the AAA for the final short-period income allocation before computing the distribution characterization.</w:t>
      </w:r>
    </w:p>
    <w:p>
      <w:r>
        <w:pict>
          <v:rect style="width:0;height:1.5pt" o:hralign="center" o:hrstd="t" o:hr="t"/>
        </w:pict>
      </w:r>
    </w:p>
    <w:bookmarkEnd w:id="43"/>
    <w:bookmarkStart w:id="44" w:name="X316da640370eccebc0f94feb75290e9ca0a0695"/>
    <w:p>
      <w:pPr>
        <w:pStyle w:val="Heading3"/>
      </w:pPr>
      <w:r>
        <w:t xml:space="preserve">M-4. Beacon ROFR and IP License Termination — Closing Condition and Tax Consequences Not Analyzed</w:t>
      </w:r>
    </w:p>
    <w:p>
      <w:pPr>
        <w:pStyle w:val="FirstParagraph"/>
      </w:pPr>
      <w:r>
        <w:rPr>
          <w:b/>
          <w:bCs/>
        </w:rPr>
        <w:t xml:space="preserve">Severity:</w:t>
      </w:r>
      <w:r>
        <w:t xml:space="preserve"> </w:t>
      </w:r>
      <w:r>
        <w:t xml:space="preserve">Moderate</w:t>
      </w:r>
    </w:p>
    <w:p>
      <w:pPr>
        <w:pStyle w:val="BodyText"/>
      </w:pPr>
      <w:r>
        <w:rPr>
          <w:b/>
          <w:bCs/>
        </w:rPr>
        <w:t xml:space="preserve">Description.</w:t>
      </w:r>
      <w:r>
        <w:t xml:space="preserve"> </w:t>
      </w:r>
      <w:r>
        <w:t xml:space="preserve">The Beacon operating agreement (Section 8.03) contains a right of first refusal (ROFR) triggered by a</w:t>
      </w:r>
      <w:r>
        <w:t xml:space="preserve"> </w:t>
      </w:r>
      <w:r>
        <w:t xml:space="preserve">“</w:t>
      </w:r>
      <w:r>
        <w:t xml:space="preserve">Change of Control of any Member that is an entity.</w:t>
      </w:r>
      <w:r>
        <w:t xml:space="preserve">”</w:t>
      </w:r>
      <w:r>
        <w:t xml:space="preserve"> </w:t>
      </w:r>
      <w:r>
        <w:t xml:space="preserve">Because Prism is a member of Beacon and is undergoing a change of control (the merger), the ROFR is triggered. The non-transferring members (Delano and Avesta) would have 45 days following a ROFR Notice to elect to purchase Prism’s interest at fair market value (determined under Section 8.04, without discount for lack of control or marketability). The Stock Purchase Agreement Section 8.2(g) makes obtaining</w:t>
      </w:r>
      <w:r>
        <w:t xml:space="preserve"> </w:t>
      </w:r>
      <w:r>
        <w:t xml:space="preserve">“</w:t>
      </w:r>
      <w:r>
        <w:t xml:space="preserve">any required consents under the operating agreement of Beacon Insights, LLC</w:t>
      </w:r>
      <w:r>
        <w:t xml:space="preserve">”</w:t>
      </w:r>
      <w:r>
        <w:t xml:space="preserve"> </w:t>
      </w:r>
      <w:r>
        <w:t xml:space="preserve">a closing condition.</w:t>
      </w:r>
    </w:p>
    <w:p>
      <w:pPr>
        <w:pStyle w:val="BodyText"/>
      </w:pPr>
      <w:r>
        <w:t xml:space="preserve">Separately, the Beacon operating agreement Section 9.02 provides that the IP License Agreement</w:t>
      </w:r>
      <w:r>
        <w:t xml:space="preserve"> </w:t>
      </w:r>
      <w:r>
        <w:t xml:space="preserve">“</w:t>
      </w:r>
      <w:r>
        <w:t xml:space="preserve">shall terminate automatically upon a Transfer of Prism’s Membership Interest in the Company (including a deemed Transfer resulting from a Change of Control of Prism), unless the parties agree otherwise in writing.</w:t>
      </w:r>
      <w:r>
        <w:t xml:space="preserve">”</w:t>
      </w:r>
      <w:r>
        <w:t xml:space="preserve"> </w:t>
      </w:r>
      <w:r>
        <w:t xml:space="preserve">Beacon’s business relies on IP licensed from Prism; automatic termination of the license upon the change of control could impair Beacon’s operations and value.</w:t>
      </w:r>
    </w:p>
    <w:p>
      <w:pPr>
        <w:pStyle w:val="BodyText"/>
      </w:pPr>
      <w:r>
        <w:t xml:space="preserve">The Memo (Section VIII) acknowledges the ROFR in a single sentence —</w:t>
      </w:r>
      <w:r>
        <w:t xml:space="preserve"> </w:t>
      </w:r>
      <w:r>
        <w:t xml:space="preserve">“</w:t>
      </w:r>
      <w:r>
        <w:t xml:space="preserve">We understand that the parties and their counsel are addressing these transfer provisions</w:t>
      </w:r>
      <w:r>
        <w:t xml:space="preserve">”</w:t>
      </w:r>
      <w:r>
        <w:t xml:space="preserve"> </w:t>
      </w:r>
      <w:r>
        <w:t xml:space="preserve">— but does not analyze the tax or structural consequences if the ROFR is exercised or the IP license terminates.</w:t>
      </w:r>
    </w:p>
    <w:p>
      <w:pPr>
        <w:pStyle w:val="BodyText"/>
      </w:pPr>
      <w:r>
        <w:rPr>
          <w:b/>
          <w:bCs/>
        </w:rPr>
        <w:t xml:space="preserve">Impact.</w:t>
      </w:r>
      <w:r>
        <w:t xml:space="preserve"> </w:t>
      </w:r>
      <w:r>
        <w:t xml:space="preserve">If the ROFR is exercised, Prism’s Beacon interest would be sold to Delano and/or Avesta (an actual sale, not a deemed sale under 338(h)(10)), altering the transaction structure and the PPA. The ROFR could delay or jeopardize closing (it is a closing condition). The automatic termination of the IP license could impair Beacon’s $11M revenue stream and the $28.5M value assigned to Prism’s Beacon interest. The deemed-transfer language in Section 9.02 (which expressly references a</w:t>
      </w:r>
      <w:r>
        <w:t xml:space="preserve"> </w:t>
      </w:r>
      <w:r>
        <w:t xml:space="preserve">“</w:t>
      </w:r>
      <w:r>
        <w:t xml:space="preserve">deemed Transfer resulting from a Change of Control</w:t>
      </w:r>
      <w:r>
        <w:t xml:space="preserve">”</w:t>
      </w:r>
      <w:r>
        <w:t xml:space="preserve">) may interact with the 338(h)(10) deemed sale in ways the Memo does not explore.</w:t>
      </w:r>
    </w:p>
    <w:p>
      <w:pPr>
        <w:pStyle w:val="BodyText"/>
      </w:pPr>
      <w:r>
        <w:rPr>
          <w:b/>
          <w:bCs/>
        </w:rPr>
        <w:t xml:space="preserve">Recommendation.</w:t>
      </w:r>
      <w:r>
        <w:t xml:space="preserve"> </w:t>
      </w:r>
      <w:r>
        <w:t xml:space="preserve">Analyze the tax consequences if the Beacon ROFR is exercised (including whether the actual sale of the Beacon interest would be outside the 338(h)(10) deemed sale and how that affects the PPA). Confirm whether the IP license will be preserved post-closing (via written agreement under Section 9.02) and the consequences if it is not. Address the ROFR and IP license as closing conditions in the Memo’s open-items list (Section IX.C), which currently does not mention them.</w:t>
      </w:r>
    </w:p>
    <w:p>
      <w:r>
        <w:pict>
          <v:rect style="width:0;height:1.5pt" o:hralign="center" o:hrstd="t" o:hr="t"/>
        </w:pict>
      </w:r>
    </w:p>
    <w:bookmarkEnd w:id="44"/>
    <w:bookmarkStart w:id="45" w:name="Xa05d22d6724279a70f10f810d08955acb5434b8"/>
    <w:p>
      <w:pPr>
        <w:pStyle w:val="Heading3"/>
      </w:pPr>
      <w:r>
        <w:t xml:space="preserve">M-5. Per-Shareholder Gain Allocation Uses Basic Ownership; Inconsistent with Fully-Diluted Treatment of Restricted Stock</w:t>
      </w:r>
    </w:p>
    <w:p>
      <w:pPr>
        <w:pStyle w:val="FirstParagraph"/>
      </w:pPr>
      <w:r>
        <w:rPr>
          <w:b/>
          <w:bCs/>
        </w:rPr>
        <w:t xml:space="preserve">Severity:</w:t>
      </w:r>
      <w:r>
        <w:t xml:space="preserve"> </w:t>
      </w:r>
      <w:r>
        <w:t xml:space="preserve">Moderate</w:t>
      </w:r>
    </w:p>
    <w:p>
      <w:pPr>
        <w:pStyle w:val="BodyText"/>
      </w:pPr>
      <w:r>
        <w:rPr>
          <w:b/>
          <w:bCs/>
        </w:rPr>
        <w:t xml:space="preserve">Description.</w:t>
      </w:r>
      <w:r>
        <w:t xml:space="preserve"> </w:t>
      </w:r>
      <w:r>
        <w:t xml:space="preserve">The Memo allocates the deemed sale gain using basic ownership percentages: Chandra 52%, Stowe 28%, Other Shareholders 20% (Sections II.A, V.B). The Memo also states (Section II.A, III.A) that the restricted stock (45,000 shares) is</w:t>
      </w:r>
      <w:r>
        <w:t xml:space="preserve"> </w:t>
      </w:r>
      <w:r>
        <w:t xml:space="preserve">“</w:t>
      </w:r>
      <w:r>
        <w:t xml:space="preserve">treated as outstanding for purposes of the S corporation shareholder requirements</w:t>
      </w:r>
      <w:r>
        <w:t xml:space="preserve">”</w:t>
      </w:r>
      <w:r>
        <w:t xml:space="preserve"> </w:t>
      </w:r>
      <w:r>
        <w:t xml:space="preserve">and that the 20%</w:t>
      </w:r>
      <w:r>
        <w:t xml:space="preserve"> </w:t>
      </w:r>
      <w:r>
        <w:t xml:space="preserve">“</w:t>
      </w:r>
      <w:r>
        <w:t xml:space="preserve">other shareholders</w:t>
      </w:r>
      <w:r>
        <w:t xml:space="preserve">”</w:t>
      </w:r>
      <w:r>
        <w:t xml:space="preserve"> </w:t>
      </w:r>
      <w:r>
        <w:t xml:space="preserve">allocation is</w:t>
      </w:r>
      <w:r>
        <w:t xml:space="preserve"> </w:t>
      </w:r>
      <w:r>
        <w:t xml:space="preserve">“</w:t>
      </w:r>
      <w:r>
        <w:t xml:space="preserve">inclusive of restricted stock holders.</w:t>
      </w:r>
      <w:r>
        <w:t xml:space="preserve">”</w:t>
      </w:r>
    </w:p>
    <w:p>
      <w:pPr>
        <w:pStyle w:val="BodyText"/>
      </w:pPr>
      <w:r>
        <w:t xml:space="preserve">The capitalization table shows that on a fully diluted basis (which reflects the outstanding restricted stock), the ownership is: Chandra 50.83%, Stowe 27.37%, Other Shareholders 21.80%. The capitalization table’s consideration waterfall uses fully diluted percentages. The Memo uses basic percentages (52/28/20).</w:t>
      </w:r>
    </w:p>
    <w:p>
      <w:pPr>
        <w:pStyle w:val="BodyText"/>
      </w:pPr>
      <w:r>
        <w:t xml:space="preserve">If the restricted stock is outstanding for S corporation purposes (as the Memo asserts), the S corporation’s income — including the deemed sale gain — should be allocated pro rata across all outstanding shares, i.e., on a fully diluted basis. The Memo’s use of basic percentages is inconsistent with its own treatment of the restricted stock as outstanding.</w:t>
      </w:r>
    </w:p>
    <w:p>
      <w:pPr>
        <w:pStyle w:val="BodyText"/>
      </w:pPr>
      <w:r>
        <w:rPr>
          <w:b/>
          <w:bCs/>
        </w:rPr>
        <w:t xml:space="preserve">Impact.</w:t>
      </w:r>
      <w:r>
        <w:t xml:space="preserve"> </w:t>
      </w:r>
      <w:r>
        <w:t xml:space="preserve">The allocation difference is material. On the Memo’s $430.2M deemed sale gain, the 1.17% shift from Chandra (52% → 50.83%) represents approximately $5.0M of gain; the 1.80% shift to the other shareholders (20% → 21.80%) represents approximately $7.7M. These differences affect each shareholder’s tax liability. The inconsistency also affects the escrow pro-rata allocation and the per-shareholder K-1 reporting.</w:t>
      </w:r>
    </w:p>
    <w:p>
      <w:pPr>
        <w:pStyle w:val="BodyText"/>
      </w:pPr>
      <w:r>
        <w:rPr>
          <w:b/>
          <w:bCs/>
        </w:rPr>
        <w:t xml:space="preserve">Recommendation.</w:t>
      </w:r>
      <w:r>
        <w:t xml:space="preserve"> </w:t>
      </w:r>
      <w:r>
        <w:t xml:space="preserve">Confirm whether the deemed sale gain is allocated on a basic or fully diluted basis, consistent with the treatment of restricted stock as outstanding. Reconcile the Memo’s allocation to the capitalization table’s fully diluted percentages. Ensure the per-shareholder K-1 allocations and escrow pro-rata calculations use a consistent basis.</w:t>
      </w:r>
    </w:p>
    <w:p>
      <w:r>
        <w:pict>
          <v:rect style="width:0;height:1.5pt" o:hralign="center" o:hrstd="t" o:hr="t"/>
        </w:pict>
      </w:r>
    </w:p>
    <w:bookmarkEnd w:id="45"/>
    <w:bookmarkStart w:id="46" w:name="Xf76f526092fd5b158ae9a22d86fadd2d0ffcbed"/>
    <w:p>
      <w:pPr>
        <w:pStyle w:val="Heading3"/>
      </w:pPr>
      <w:r>
        <w:t xml:space="preserve">M-6. Shareholder Count and Residency — Memo Undercounts Minority Shareholders</w:t>
      </w:r>
    </w:p>
    <w:p>
      <w:pPr>
        <w:pStyle w:val="FirstParagraph"/>
      </w:pPr>
      <w:r>
        <w:rPr>
          <w:b/>
          <w:bCs/>
        </w:rPr>
        <w:t xml:space="preserve">Severity:</w:t>
      </w:r>
      <w:r>
        <w:t xml:space="preserve"> </w:t>
      </w:r>
      <w:r>
        <w:t xml:space="preserve">Moderate</w:t>
      </w:r>
    </w:p>
    <w:p>
      <w:pPr>
        <w:pStyle w:val="BodyText"/>
      </w:pPr>
      <w:r>
        <w:rPr>
          <w:b/>
          <w:bCs/>
        </w:rPr>
        <w:t xml:space="preserve">Description.</w:t>
      </w:r>
      <w:r>
        <w:t xml:space="preserve"> </w:t>
      </w:r>
      <w:r>
        <w:t xml:space="preserve">The Memo (Section II.A) states that</w:t>
      </w:r>
      <w:r>
        <w:t xml:space="preserve"> </w:t>
      </w:r>
      <w:r>
        <w:t xml:space="preserve">“</w:t>
      </w:r>
      <w:r>
        <w:t xml:space="preserve">Fourteen (14) angel investors and early employees hold the remaining 20% of the outstanding common stock,</w:t>
      </w:r>
      <w:r>
        <w:t xml:space="preserve">”</w:t>
      </w:r>
      <w:r>
        <w:t xml:space="preserve"> </w:t>
      </w:r>
      <w:r>
        <w:t xml:space="preserve">with residency of</w:t>
      </w:r>
      <w:r>
        <w:t xml:space="preserve"> </w:t>
      </w:r>
      <w:r>
        <w:t xml:space="preserve">“</w:t>
      </w:r>
      <w:r>
        <w:t xml:space="preserve">eleven (11) in North Carolina, two (2) in California, and one (1) in New York</w:t>
      </w:r>
      <w:r>
        <w:t xml:space="preserve">”</w:t>
      </w:r>
      <w:r>
        <w:t xml:space="preserve"> </w:t>
      </w:r>
      <w:r>
        <w:t xml:space="preserve">(totaling 14). The Thornfield report repeats the same count.</w:t>
      </w:r>
    </w:p>
    <w:p>
      <w:pPr>
        <w:pStyle w:val="BodyText"/>
      </w:pPr>
      <w:r>
        <w:t xml:space="preserve">The capitalization table lists</w:t>
      </w:r>
      <w:r>
        <w:t xml:space="preserve"> </w:t>
      </w:r>
      <w:r>
        <w:rPr>
          <w:b/>
          <w:bCs/>
        </w:rPr>
        <w:t xml:space="preserve">seventeen</w:t>
      </w:r>
      <w:r>
        <w:t xml:space="preserve"> </w:t>
      </w:r>
      <w:r>
        <w:t xml:space="preserve">non-founder individuals (19 total shareholders, including the two founders), with residency of fourteen (14) in North Carolina, two (2) in California, and one (1) in New York. The three additional North Carolina residents not reflected in the Memo’s count are precisely the three restricted stock holders with unverified S corporation eligibility (Lin Wei Zhang, Yusuf Al-Rashidi, Nina Petrova). The capitalization table’s aggregate note confirms</w:t>
      </w:r>
      <w:r>
        <w:t xml:space="preserve"> </w:t>
      </w:r>
      <w:r>
        <w:t xml:space="preserve">“</w:t>
      </w:r>
      <w:r>
        <w:t xml:space="preserve">Unverified S corp eligibility: 3 shareholders</w:t>
      </w:r>
      <w:r>
        <w:t xml:space="preserve">”</w:t>
      </w:r>
      <w:r>
        <w:t xml:space="preserve"> </w:t>
      </w:r>
      <w:r>
        <w:t xml:space="preserve">receiving approximately $2,775,000 in aggregate consideration.</w:t>
      </w:r>
    </w:p>
    <w:p>
      <w:pPr>
        <w:pStyle w:val="BodyText"/>
      </w:pPr>
      <w:r>
        <w:t xml:space="preserve">The Memo’s count of 14 (11 NC + 2 CA + 1 NY) exactly equals the capitalization table’s count minus the three unverified-eligibility holders (14 NC − 3 = 11 NC). This suggests the Memo may have excluded the unverified holders from its count, even though the Memo states the 20% is</w:t>
      </w:r>
      <w:r>
        <w:t xml:space="preserve"> </w:t>
      </w:r>
      <w:r>
        <w:t xml:space="preserve">“</w:t>
      </w:r>
      <w:r>
        <w:t xml:space="preserve">inclusive of restricted stock holders</w:t>
      </w:r>
      <w:r>
        <w:t xml:space="preserve">”</w:t>
      </w:r>
      <w:r>
        <w:t xml:space="preserve"> </w:t>
      </w:r>
      <w:r>
        <w:t xml:space="preserve">and that</w:t>
      </w:r>
      <w:r>
        <w:t xml:space="preserve"> </w:t>
      </w:r>
      <w:r>
        <w:t xml:space="preserve">“</w:t>
      </w:r>
      <w:r>
        <w:t xml:space="preserve">all holders are individuals.</w:t>
      </w:r>
      <w:r>
        <w:t xml:space="preserve">”</w:t>
      </w:r>
    </w:p>
    <w:p>
      <w:pPr>
        <w:pStyle w:val="BodyText"/>
      </w:pPr>
      <w:r>
        <w:rPr>
          <w:b/>
          <w:bCs/>
        </w:rPr>
        <w:t xml:space="preserve">Impact.</w:t>
      </w:r>
      <w:r>
        <w:t xml:space="preserve"> </w:t>
      </w:r>
      <w:r>
        <w:t xml:space="preserve">The undercount affects the S corporation eligibility analysis (the three unverified holders are not accounted for), the consent logistics for the 338(h)(10) election (all shareholders must consent), the per-shareholder gain allocation, and the state-tax residency analysis. The Memo’s statement that</w:t>
      </w:r>
      <w:r>
        <w:t xml:space="preserve"> </w:t>
      </w:r>
      <w:r>
        <w:t xml:space="preserve">“</w:t>
      </w:r>
      <w:r>
        <w:t xml:space="preserve">all holders are individuals</w:t>
      </w:r>
      <w:r>
        <w:t xml:space="preserve">”</w:t>
      </w:r>
      <w:r>
        <w:t xml:space="preserve"> </w:t>
      </w:r>
      <w:r>
        <w:t xml:space="preserve">is also potentially inaccurate given Thornfield’s flag of a possible transfer to a family LLC (see C-2).</w:t>
      </w:r>
    </w:p>
    <w:p>
      <w:pPr>
        <w:pStyle w:val="BodyText"/>
      </w:pPr>
      <w:r>
        <w:rPr>
          <w:b/>
          <w:bCs/>
        </w:rPr>
        <w:t xml:space="preserve">Recommendation.</w:t>
      </w:r>
      <w:r>
        <w:t xml:space="preserve"> </w:t>
      </w:r>
      <w:r>
        <w:t xml:space="preserve">Correct the shareholder count to reflect the capitalization table (17 non-founder individuals). Reconcile the residency breakdown. Ensure all 17 non-founder shareholders (plus the two founders) are included in the 338(h)(10) consent process and the gain allocation. Address the three unverified-eligibility holders explicitly rather than excluding them from the count.</w:t>
      </w:r>
    </w:p>
    <w:p>
      <w:r>
        <w:pict>
          <v:rect style="width:0;height:1.5pt" o:hralign="center" o:hrstd="t" o:hr="t"/>
        </w:pict>
      </w:r>
    </w:p>
    <w:bookmarkEnd w:id="46"/>
    <w:bookmarkStart w:id="47" w:name="X70ba3f4fd8d589ad5a0e096723fb72062ed2a1c"/>
    <w:p>
      <w:pPr>
        <w:pStyle w:val="Heading3"/>
      </w:pPr>
      <w:r>
        <w:t xml:space="preserve">M-7. Non-Compete Agreements — Compensatory vs. Amortizable Character Not Analyzed</w:t>
      </w:r>
    </w:p>
    <w:p>
      <w:pPr>
        <w:pStyle w:val="FirstParagraph"/>
      </w:pPr>
      <w:r>
        <w:rPr>
          <w:b/>
          <w:bCs/>
        </w:rPr>
        <w:t xml:space="preserve">Severity:</w:t>
      </w:r>
      <w:r>
        <w:t xml:space="preserve"> </w:t>
      </w:r>
      <w:r>
        <w:t xml:space="preserve">Moderate</w:t>
      </w:r>
    </w:p>
    <w:p>
      <w:pPr>
        <w:pStyle w:val="BodyText"/>
      </w:pPr>
      <w:r>
        <w:rPr>
          <w:b/>
          <w:bCs/>
        </w:rPr>
        <w:t xml:space="preserve">Description.</w:t>
      </w:r>
      <w:r>
        <w:t xml:space="preserve"> </w:t>
      </w:r>
      <w:r>
        <w:t xml:space="preserve">The Memo allocates $15M to non-compete agreements (Class VI), amortizable over 15 years under Section 197. The Thornfield asset valuation (Asset A-013) breaks this into Chandra ($10.5M, tied to a 4-year employment agreement) and Stowe ($4.5M, tied to a 2-year consulting agreement), valued using the with-and-without method.</w:t>
      </w:r>
    </w:p>
    <w:p>
      <w:pPr>
        <w:pStyle w:val="BodyText"/>
      </w:pPr>
      <w:r>
        <w:t xml:space="preserve">The Memo does not analyze whether the non-compete payments are genuinely for non-compete covenants (amortizable to the buyer under Section 197) or are, in substance, disguised compensation for services (ordinary income to the recipient and not amortizable as an intangible to the buyer). The non-competes are tied to employment and consulting arrangements, which is a common fact pattern in which the IRS or courts may recharacterize a portion as compensatory. The Memo treats the consulting agreement compensation (Section V.B) as</w:t>
      </w:r>
      <w:r>
        <w:t xml:space="preserve"> </w:t>
      </w:r>
      <w:r>
        <w:t xml:space="preserve">“</w:t>
      </w:r>
      <w:r>
        <w:t xml:space="preserve">a separate compensatory arrangement… not part of the purchase price,</w:t>
      </w:r>
      <w:r>
        <w:t xml:space="preserve">”</w:t>
      </w:r>
      <w:r>
        <w:t xml:space="preserve"> </w:t>
      </w:r>
      <w:r>
        <w:t xml:space="preserve">but does not address whether the non-compete component itself is compensatory.</w:t>
      </w:r>
    </w:p>
    <w:p>
      <w:pPr>
        <w:pStyle w:val="BodyText"/>
      </w:pPr>
      <w:r>
        <w:rPr>
          <w:b/>
          <w:bCs/>
        </w:rPr>
        <w:t xml:space="preserve">Impact.</w:t>
      </w:r>
      <w:r>
        <w:t xml:space="preserve"> </w:t>
      </w:r>
      <w:r>
        <w:t xml:space="preserve">If a portion of the $15M non-compete allocation is recharacterized as compensation, the buyer loses the corresponding Section 197 amortization deduction, and the recipient recognizes ordinary income (potentially at higher rates and subject to employment taxes) rather than capital gain. This affects both the buyer’s tax benefits and the sellers’ tax liabilities.</w:t>
      </w:r>
    </w:p>
    <w:p>
      <w:pPr>
        <w:pStyle w:val="BodyText"/>
      </w:pPr>
      <w:r>
        <w:rPr>
          <w:b/>
          <w:bCs/>
        </w:rPr>
        <w:t xml:space="preserve">Recommendation.</w:t>
      </w:r>
      <w:r>
        <w:t xml:space="preserve"> </w:t>
      </w:r>
      <w:r>
        <w:t xml:space="preserve">Analyze the substance of the non-compete arrangements to confirm they are bona fide non-compete covenants (not disguised compensation). Document the with-and-without valuation support. Consider whether the non-compete values are supportable relative to the employment/consulting compensation and the sellers’ roles.</w:t>
      </w:r>
    </w:p>
    <w:p>
      <w:r>
        <w:pict>
          <v:rect style="width:0;height:1.5pt" o:hralign="center" o:hrstd="t" o:hr="t"/>
        </w:pict>
      </w:r>
    </w:p>
    <w:bookmarkEnd w:id="47"/>
    <w:bookmarkStart w:id="48" w:name="Xe40b2d2717a4f4046c1b8e9dc328c323d5abfa7"/>
    <w:p>
      <w:pPr>
        <w:pStyle w:val="Heading3"/>
      </w:pPr>
      <w:r>
        <w:t xml:space="preserve">M-8. Section 197(f)(9) Anti-Churning Analysis Is Cursory</w:t>
      </w:r>
    </w:p>
    <w:p>
      <w:pPr>
        <w:pStyle w:val="FirstParagraph"/>
      </w:pPr>
      <w:r>
        <w:rPr>
          <w:b/>
          <w:bCs/>
        </w:rPr>
        <w:t xml:space="preserve">Severity:</w:t>
      </w:r>
      <w:r>
        <w:t xml:space="preserve"> </w:t>
      </w:r>
      <w:r>
        <w:t xml:space="preserve">Moderate</w:t>
      </w:r>
    </w:p>
    <w:p>
      <w:pPr>
        <w:pStyle w:val="BodyText"/>
      </w:pPr>
      <w:r>
        <w:rPr>
          <w:b/>
          <w:bCs/>
        </w:rPr>
        <w:t xml:space="preserve">Description.</w:t>
      </w:r>
      <w:r>
        <w:t xml:space="preserve"> </w:t>
      </w:r>
      <w:r>
        <w:t xml:space="preserve">The Memo (Section VII.B) addresses the Section 197(f)(9) anti-churning rules in a single paragraph, concluding they</w:t>
      </w:r>
      <w:r>
        <w:t xml:space="preserve"> </w:t>
      </w:r>
      <w:r>
        <w:t xml:space="preserve">“</w:t>
      </w:r>
      <w:r>
        <w:t xml:space="preserve">should not apply</w:t>
      </w:r>
      <w:r>
        <w:t xml:space="preserve">”</w:t>
      </w:r>
      <w:r>
        <w:t xml:space="preserve"> </w:t>
      </w:r>
      <w:r>
        <w:t xml:space="preserve">because the buyer is unrelated to the sellers and</w:t>
      </w:r>
      <w:r>
        <w:t xml:space="preserve"> </w:t>
      </w:r>
      <w:r>
        <w:t xml:space="preserve">“</w:t>
      </w:r>
      <w:r>
        <w:t xml:space="preserve">Dr. Chandra’s continued employment and rollover equity interest do not give rise to a prohibited relationship… as Chandra will not control Buyer after the closing.</w:t>
      </w:r>
      <w:r>
        <w:t xml:space="preserve">”</w:t>
      </w:r>
    </w:p>
    <w:p>
      <w:pPr>
        <w:pStyle w:val="BodyText"/>
      </w:pPr>
      <w:r>
        <w:t xml:space="preserve">The analysis is cursory given that Dr. Chandra is rolling over $37M (10% of the equity value) into the post-closing vehicle and will enter a four-year employment agreement. The anti-churning rules restrict amortization of intangibles acquired from related parties or in transactions that do not result in a meaningful change of ownership. The determination of whether Chandra’s rollover and continued role create a</w:t>
      </w:r>
      <w:r>
        <w:t xml:space="preserve"> </w:t>
      </w:r>
      <w:r>
        <w:t xml:space="preserve">“</w:t>
      </w:r>
      <w:r>
        <w:t xml:space="preserve">related party</w:t>
      </w:r>
      <w:r>
        <w:t xml:space="preserve">”</w:t>
      </w:r>
      <w:r>
        <w:t xml:space="preserve"> </w:t>
      </w:r>
      <w:r>
        <w:t xml:space="preserve">relationship under Section 197(f)(9) and the related regulations (including the</w:t>
      </w:r>
      <w:r>
        <w:t xml:space="preserve"> </w:t>
      </w:r>
      <w:r>
        <w:t xml:space="preserve">“</w:t>
      </w:r>
      <w:r>
        <w:t xml:space="preserve">related person</w:t>
      </w:r>
      <w:r>
        <w:t xml:space="preserve">”</w:t>
      </w:r>
      <w:r>
        <w:t xml:space="preserve"> </w:t>
      </w:r>
      <w:r>
        <w:t xml:space="preserve">and</w:t>
      </w:r>
      <w:r>
        <w:t xml:space="preserve"> </w:t>
      </w:r>
      <w:r>
        <w:t xml:space="preserve">“</w:t>
      </w:r>
      <w:r>
        <w:t xml:space="preserve">related transaction</w:t>
      </w:r>
      <w:r>
        <w:t xml:space="preserve">”</w:t>
      </w:r>
      <w:r>
        <w:t xml:space="preserve"> </w:t>
      </w:r>
      <w:r>
        <w:t xml:space="preserve">definitions) requires a more detailed analysis than the Memo provides, particularly as to the intangibles that Chandra may be treated as having an interest in (e.g., customer relationships, non-compete).</w:t>
      </w:r>
    </w:p>
    <w:p>
      <w:pPr>
        <w:pStyle w:val="BodyText"/>
      </w:pPr>
      <w:r>
        <w:rPr>
          <w:b/>
          <w:bCs/>
        </w:rPr>
        <w:t xml:space="preserve">Impact.</w:t>
      </w:r>
      <w:r>
        <w:t xml:space="preserve"> </w:t>
      </w:r>
      <w:r>
        <w:t xml:space="preserve">If the anti-churning rules apply to any intangibles, the buyer would lose the Section 197 amortization deduction for those intangibles — a material reduction in the buyer’s tax benefits. The customer relationships ($62M) and non-compete ($15M) are the most exposed.</w:t>
      </w:r>
    </w:p>
    <w:p>
      <w:pPr>
        <w:pStyle w:val="BodyText"/>
      </w:pPr>
      <w:r>
        <w:rPr>
          <w:b/>
          <w:bCs/>
        </w:rPr>
        <w:t xml:space="preserve">Recommendation.</w:t>
      </w:r>
      <w:r>
        <w:t xml:space="preserve"> </w:t>
      </w:r>
      <w:r>
        <w:t xml:space="preserve">Provide a detailed Section 197(f)(9) analysis addressing (i) whether Chandra’s 10% rollover equity and continued employment/role create a</w:t>
      </w:r>
      <w:r>
        <w:t xml:space="preserve"> </w:t>
      </w:r>
      <w:r>
        <w:t xml:space="preserve">“</w:t>
      </w:r>
      <w:r>
        <w:t xml:space="preserve">related person</w:t>
      </w:r>
      <w:r>
        <w:t xml:space="preserve">”</w:t>
      </w:r>
      <w:r>
        <w:t xml:space="preserve"> </w:t>
      </w:r>
      <w:r>
        <w:t xml:space="preserve">or</w:t>
      </w:r>
      <w:r>
        <w:t xml:space="preserve"> </w:t>
      </w:r>
      <w:r>
        <w:t xml:space="preserve">“</w:t>
      </w:r>
      <w:r>
        <w:t xml:space="preserve">related transaction</w:t>
      </w:r>
      <w:r>
        <w:t xml:space="preserve">”</w:t>
      </w:r>
      <w:r>
        <w:t xml:space="preserve"> </w:t>
      </w:r>
      <w:r>
        <w:t xml:space="preserve">relationship, (ii) which specific intangibles (if any) are subject to the anti-churning rules, and (iii) whether any structuring modifications (e.g., to the rollover percentage or employment terms) would mitigate the risk.</w:t>
      </w:r>
    </w:p>
    <w:p>
      <w:r>
        <w:pict>
          <v:rect style="width:0;height:1.5pt" o:hralign="center" o:hrstd="t" o:hr="t"/>
        </w:pict>
      </w:r>
    </w:p>
    <w:bookmarkEnd w:id="48"/>
    <w:bookmarkEnd w:id="49"/>
    <w:bookmarkStart w:id="60" w:name="vi.-low-severity-findings"/>
    <w:p>
      <w:pPr>
        <w:pStyle w:val="Heading2"/>
      </w:pPr>
      <w:r>
        <w:t xml:space="preserve">VI. Low-Severity Findings</w:t>
      </w:r>
    </w:p>
    <w:bookmarkStart w:id="50" w:name="Xc75b4969b3196ed69560e8bdd9e14a57cc37f9d"/>
    <w:p>
      <w:pPr>
        <w:pStyle w:val="Heading3"/>
      </w:pPr>
      <w:r>
        <w:t xml:space="preserve">L-1. New York Sales Tax Exposure ($150K–$300K) Omitted</w:t>
      </w:r>
    </w:p>
    <w:p>
      <w:pPr>
        <w:pStyle w:val="FirstParagraph"/>
      </w:pPr>
      <w:r>
        <w:rPr>
          <w:b/>
          <w:bCs/>
        </w:rPr>
        <w:t xml:space="preserve">Severity:</w:t>
      </w:r>
      <w:r>
        <w:t xml:space="preserve"> </w:t>
      </w:r>
      <w:r>
        <w:t xml:space="preserve">Low</w:t>
      </w:r>
    </w:p>
    <w:p>
      <w:pPr>
        <w:pStyle w:val="BodyText"/>
      </w:pPr>
      <w:r>
        <w:t xml:space="preserve">The Thornfield due diligence report (Section X.A) identifies that Prism has not been collecting New York sales tax on its SaaS subscription revenue sourced to New York customers, with estimated exposure of $150,000–$300,000 (inclusive of penalties and interest), and recommends a voluntary disclosure agreement. The Memo does not mention this exposure. As a pre-closing tax liability, it is relevant to the indemnification provisions and the closing balance-sheet/working-capital adjustments.</w:t>
      </w:r>
      <w:r>
        <w:t xml:space="preserve"> </w:t>
      </w:r>
      <w:r>
        <w:rPr>
          <w:b/>
          <w:bCs/>
        </w:rPr>
        <w:t xml:space="preserve">Recommendation:</w:t>
      </w:r>
      <w:r>
        <w:t xml:space="preserve"> </w:t>
      </w:r>
      <w:r>
        <w:t xml:space="preserve">Note the exposure and confirm it is addressed in the indemnification or pre-closing remediation.</w:t>
      </w:r>
    </w:p>
    <w:bookmarkEnd w:id="50"/>
    <w:bookmarkStart w:id="51" w:name="Xe6119804b1c3209da68579cf93c671ef02fe987"/>
    <w:p>
      <w:pPr>
        <w:pStyle w:val="Heading3"/>
      </w:pPr>
      <w:r>
        <w:t xml:space="preserve">L-2. North Carolina Individual Income Tax Rate for 2025</w:t>
      </w:r>
    </w:p>
    <w:p>
      <w:pPr>
        <w:pStyle w:val="FirstParagraph"/>
      </w:pPr>
      <w:r>
        <w:rPr>
          <w:b/>
          <w:bCs/>
        </w:rPr>
        <w:t xml:space="preserve">Severity:</w:t>
      </w:r>
      <w:r>
        <w:t xml:space="preserve"> </w:t>
      </w:r>
      <w:r>
        <w:t xml:space="preserve">Low</w:t>
      </w:r>
    </w:p>
    <w:p>
      <w:pPr>
        <w:pStyle w:val="BodyText"/>
      </w:pPr>
      <w:r>
        <w:t xml:space="preserve">The Memo (Section VI.A) states the 2025 North Carolina individual income tax rate is 4.5%. Under the 2023 North Carolina tax reform (the rate-reduction schedule enacted in House Bill 259), the individual rate was 4.5% for 2024 and was scheduled to decrease to 4.25% for 2025 (subject to revenue triggers). The Memo should verify the applicable 2025 rate, as it affects the state tax estimates for the North Carolina-resident shareholders.</w:t>
      </w:r>
      <w:r>
        <w:t xml:space="preserve"> </w:t>
      </w:r>
      <w:r>
        <w:rPr>
          <w:b/>
          <w:bCs/>
        </w:rPr>
        <w:t xml:space="preserve">Recommendation:</w:t>
      </w:r>
      <w:r>
        <w:t xml:space="preserve"> </w:t>
      </w:r>
      <w:r>
        <w:t xml:space="preserve">Confirm the 2025 NC individual rate and update the state tax estimates if the 4.25% rate applies.</w:t>
      </w:r>
    </w:p>
    <w:bookmarkEnd w:id="51"/>
    <w:bookmarkStart w:id="52" w:name="Xc0048fb84a412539937c61d027cbe1b5b16f24c"/>
    <w:p>
      <w:pPr>
        <w:pStyle w:val="Heading3"/>
      </w:pPr>
      <w:r>
        <w:t xml:space="preserve">L-3. Dr. Chandra’s Stock Basis — Estimate Inconsistent with Capitalization Table</w:t>
      </w:r>
    </w:p>
    <w:p>
      <w:pPr>
        <w:pStyle w:val="FirstParagraph"/>
      </w:pPr>
      <w:r>
        <w:rPr>
          <w:b/>
          <w:bCs/>
        </w:rPr>
        <w:t xml:space="preserve">Severity:</w:t>
      </w:r>
      <w:r>
        <w:t xml:space="preserve"> </w:t>
      </w:r>
      <w:r>
        <w:t xml:space="preserve">Low</w:t>
      </w:r>
    </w:p>
    <w:p>
      <w:pPr>
        <w:pStyle w:val="BodyText"/>
      </w:pPr>
      <w:r>
        <w:t xml:space="preserve">The Memo (Section V.B) estimates Dr. Chandra’s tax basis in his Prism stock at</w:t>
      </w:r>
      <w:r>
        <w:t xml:space="preserve"> </w:t>
      </w:r>
      <w:r>
        <w:t xml:space="preserve">“</w:t>
      </w:r>
      <w:r>
        <w:t xml:space="preserve">approximately $1,500,000 based on his original investment at the time of founding,</w:t>
      </w:r>
      <w:r>
        <w:t xml:space="preserve">”</w:t>
      </w:r>
      <w:r>
        <w:t xml:space="preserve"> </w:t>
      </w:r>
      <w:r>
        <w:t xml:space="preserve">noting it is</w:t>
      </w:r>
      <w:r>
        <w:t xml:space="preserve"> </w:t>
      </w:r>
      <w:r>
        <w:t xml:space="preserve">“</w:t>
      </w:r>
      <w:r>
        <w:t xml:space="preserve">to be confirmed by Thornfield Accounting Group.</w:t>
      </w:r>
      <w:r>
        <w:t xml:space="preserve">”</w:t>
      </w:r>
      <w:r>
        <w:t xml:space="preserve"> </w:t>
      </w:r>
      <w:r>
        <w:t xml:space="preserve">The capitalization table shows Chandra’s total cost basis as $1,014.00 (1,014,000 shares at $0.001 par value). The $1.5M estimate is not reconciled to the cap table and may include additional capital contributions not reflected in the share-acquisition records. The stock basis affects the deemed-liquidation gain characterization (distribution less basis).</w:t>
      </w:r>
      <w:r>
        <w:t xml:space="preserve"> </w:t>
      </w:r>
      <w:r>
        <w:rPr>
          <w:b/>
          <w:bCs/>
        </w:rPr>
        <w:t xml:space="preserve">Recommendation:</w:t>
      </w:r>
      <w:r>
        <w:t xml:space="preserve"> </w:t>
      </w:r>
      <w:r>
        <w:t xml:space="preserve">Confirm Chandra’s (and all shareholders’) stock basis against the capitalization table and capital-account records, and reconcile any difference.</w:t>
      </w:r>
    </w:p>
    <w:bookmarkEnd w:id="52"/>
    <w:bookmarkStart w:id="53" w:name="X61e32eaef12a98044bd8199f9e4a7dfec26100b"/>
    <w:p>
      <w:pPr>
        <w:pStyle w:val="Heading3"/>
      </w:pPr>
      <w:r>
        <w:t xml:space="preserve">L-4. Thornfield Report Date Cited Incorrectly</w:t>
      </w:r>
    </w:p>
    <w:p>
      <w:pPr>
        <w:pStyle w:val="FirstParagraph"/>
      </w:pPr>
      <w:r>
        <w:rPr>
          <w:b/>
          <w:bCs/>
        </w:rPr>
        <w:t xml:space="preserve">Severity:</w:t>
      </w:r>
      <w:r>
        <w:t xml:space="preserve"> </w:t>
      </w:r>
      <w:r>
        <w:t xml:space="preserve">Low</w:t>
      </w:r>
    </w:p>
    <w:p>
      <w:pPr>
        <w:pStyle w:val="BodyText"/>
      </w:pPr>
      <w:r>
        <w:t xml:space="preserve">The Memo’s opening paragraph cites</w:t>
      </w:r>
      <w:r>
        <w:t xml:space="preserve"> </w:t>
      </w:r>
      <w:r>
        <w:t xml:space="preserve">“</w:t>
      </w:r>
      <w:r>
        <w:t xml:space="preserve">the quality of earnings and tax due diligence report prepared by Thornfield Accounting Group, LLP dated January 10, 2025.</w:t>
      </w:r>
      <w:r>
        <w:t xml:space="preserve">”</w:t>
      </w:r>
      <w:r>
        <w:t xml:space="preserve"> </w:t>
      </w:r>
      <w:r>
        <w:t xml:space="preserve">The Thornfield report is dated January 15, 2025 (the January 10 date appears in the report’s scope section as the cutoff for supplemental information received, not the report date).</w:t>
      </w:r>
      <w:r>
        <w:t xml:space="preserve"> </w:t>
      </w:r>
      <w:r>
        <w:rPr>
          <w:b/>
          <w:bCs/>
        </w:rPr>
        <w:t xml:space="preserve">Recommendation:</w:t>
      </w:r>
      <w:r>
        <w:t xml:space="preserve"> </w:t>
      </w:r>
      <w:r>
        <w:t xml:space="preserve">Correct the cited date to January 15, 2025. (Note: the asset valuation summary references a</w:t>
      </w:r>
      <w:r>
        <w:t xml:space="preserve"> </w:t>
      </w:r>
      <w:r>
        <w:t xml:space="preserve">“</w:t>
      </w:r>
      <w:r>
        <w:t xml:space="preserve">Calloway, Stern &amp; Whitaker LLP Memo dated 1/28/2025,</w:t>
      </w:r>
      <w:r>
        <w:t xml:space="preserve">”</w:t>
      </w:r>
      <w:r>
        <w:t xml:space="preserve"> </w:t>
      </w:r>
      <w:r>
        <w:t xml:space="preserve">suggesting Thornfield reviewed an earlier draft; the final Memo is dated 2/10/2025 and retains the same ADSP and allocation figures, confirming the errors identified in C-1 and H-2 persist in the final version.)</w:t>
      </w:r>
    </w:p>
    <w:bookmarkEnd w:id="53"/>
    <w:bookmarkStart w:id="54" w:name="X0cf265d377fe2b8ccf5cc8e8aa3d5d0298e8422"/>
    <w:p>
      <w:pPr>
        <w:pStyle w:val="Heading3"/>
      </w:pPr>
      <w:r>
        <w:t xml:space="preserve">L-5. Section 163(j) EBITDA Figure Unsubstantiated</w:t>
      </w:r>
    </w:p>
    <w:p>
      <w:pPr>
        <w:pStyle w:val="FirstParagraph"/>
      </w:pPr>
      <w:r>
        <w:rPr>
          <w:b/>
          <w:bCs/>
        </w:rPr>
        <w:t xml:space="preserve">Severity:</w:t>
      </w:r>
      <w:r>
        <w:t xml:space="preserve"> </w:t>
      </w:r>
      <w:r>
        <w:t xml:space="preserve">Low</w:t>
      </w:r>
    </w:p>
    <w:p>
      <w:pPr>
        <w:pStyle w:val="BodyText"/>
      </w:pPr>
      <w:r>
        <w:t xml:space="preserve">The Memo (Section VII.B) references</w:t>
      </w:r>
      <w:r>
        <w:t xml:space="preserve"> </w:t>
      </w:r>
      <w:r>
        <w:t xml:space="preserve">“</w:t>
      </w:r>
      <w:r>
        <w:t xml:space="preserve">Prism’s historical EBITDA of approximately $58,000,000 (2024 estimate)</w:t>
      </w:r>
      <w:r>
        <w:t xml:space="preserve">”</w:t>
      </w:r>
      <w:r>
        <w:t xml:space="preserve"> </w:t>
      </w:r>
      <w:r>
        <w:t xml:space="preserve">for the Section 163(j) interest-deductibility analysis. This figure is not sourced to any document in the record and implies a ~67% EBITDA margin on $87M of revenue, which is unusually high for a healthcare analytics/SaaS company (Beacon’s EBITDA margin, by comparison, is ~29%). The Thornfield reports do not state a consolidated Prism EBITDA.</w:t>
      </w:r>
      <w:r>
        <w:t xml:space="preserve"> </w:t>
      </w:r>
      <w:r>
        <w:rPr>
          <w:b/>
          <w:bCs/>
        </w:rPr>
        <w:t xml:space="preserve">Recommendation:</w:t>
      </w:r>
      <w:r>
        <w:t xml:space="preserve"> </w:t>
      </w:r>
      <w:r>
        <w:t xml:space="preserve">Reconcile the $58M EBITDA to the quality-of-earnings analysis and confirm the Section 163(j) capacity assessment on a supported figure.</w:t>
      </w:r>
    </w:p>
    <w:bookmarkEnd w:id="54"/>
    <w:bookmarkStart w:id="55" w:name="X6cf74a8066df9ab045bf71dce188d861a8ee890"/>
    <w:p>
      <w:pPr>
        <w:pStyle w:val="Heading3"/>
      </w:pPr>
      <w:r>
        <w:t xml:space="preserve">L-6. Post-Closing Entity Conversion Recommendation Is Cursory</w:t>
      </w:r>
    </w:p>
    <w:p>
      <w:pPr>
        <w:pStyle w:val="FirstParagraph"/>
      </w:pPr>
      <w:r>
        <w:rPr>
          <w:b/>
          <w:bCs/>
        </w:rPr>
        <w:t xml:space="preserve">Severity:</w:t>
      </w:r>
      <w:r>
        <w:t xml:space="preserve"> </w:t>
      </w:r>
      <w:r>
        <w:t xml:space="preserve">Low</w:t>
      </w:r>
    </w:p>
    <w:p>
      <w:pPr>
        <w:pStyle w:val="BodyText"/>
      </w:pPr>
      <w:r>
        <w:t xml:space="preserve">The Memo (Section VII.B) recommends that the buyer</w:t>
      </w:r>
      <w:r>
        <w:t xml:space="preserve"> </w:t>
      </w:r>
      <w:r>
        <w:t xml:space="preserve">“</w:t>
      </w:r>
      <w:r>
        <w:t xml:space="preserve">consider converting Prism from a C corporation to a disregarded entity or partnership</w:t>
      </w:r>
      <w:r>
        <w:t xml:space="preserve">”</w:t>
      </w:r>
      <w:r>
        <w:t xml:space="preserve"> </w:t>
      </w:r>
      <w:r>
        <w:t xml:space="preserve">post-closing via a check-the-box election, to flow the stepped-up deductions through to Fund III. The Memo does not analyze the tax cost of this conversion (a C corporation conversion to a partnership is generally a taxable deemed liquidation under Section 331/336, potentially triggering entity-level tax) or the interaction with the Section 1371 post-termination transition period.</w:t>
      </w:r>
      <w:r>
        <w:t xml:space="preserve"> </w:t>
      </w:r>
      <w:r>
        <w:rPr>
          <w:b/>
          <w:bCs/>
        </w:rPr>
        <w:t xml:space="preserve">Recommendation:</w:t>
      </w:r>
      <w:r>
        <w:t xml:space="preserve"> </w:t>
      </w:r>
      <w:r>
        <w:t xml:space="preserve">Analyze the tax cost of the post-closing conversion and the timing before recommending it.</w:t>
      </w:r>
    </w:p>
    <w:bookmarkEnd w:id="55"/>
    <w:bookmarkStart w:id="56" w:name="X09db9ee684e581b2e30df3ec92c9010f5910bc6"/>
    <w:p>
      <w:pPr>
        <w:pStyle w:val="Heading3"/>
      </w:pPr>
      <w:r>
        <w:t xml:space="preserve">L-7. Recapture and Ordinary-Income Character Analysis Deferred</w:t>
      </w:r>
    </w:p>
    <w:p>
      <w:pPr>
        <w:pStyle w:val="FirstParagraph"/>
      </w:pPr>
      <w:r>
        <w:rPr>
          <w:b/>
          <w:bCs/>
        </w:rPr>
        <w:t xml:space="preserve">Severity:</w:t>
      </w:r>
      <w:r>
        <w:t xml:space="preserve"> </w:t>
      </w:r>
      <w:r>
        <w:t xml:space="preserve">Low</w:t>
      </w:r>
    </w:p>
    <w:p>
      <w:pPr>
        <w:pStyle w:val="BodyText"/>
      </w:pPr>
      <w:r>
        <w:t xml:space="preserve">The Memo (Section V.A) correctly identifies that the deemed sale gain includes ordinary-income components (Section 1245/1250 recapture, accounts receivable) but defers the detailed character analysis</w:t>
      </w:r>
      <w:r>
        <w:t xml:space="preserve"> </w:t>
      </w:r>
      <w:r>
        <w:t xml:space="preserve">“</w:t>
      </w:r>
      <w:r>
        <w:t xml:space="preserve">upon completion of the Thornfield asset valuation.</w:t>
      </w:r>
      <w:r>
        <w:t xml:space="preserve">”</w:t>
      </w:r>
      <w:r>
        <w:t xml:space="preserve"> </w:t>
      </w:r>
      <w:r>
        <w:t xml:space="preserve">The asset valuation is now available and shows, e.g., $3.6M of FF&amp;E gain (Section 1245 recapture), ~$5.1M of real-property gain (Section 1250, including unrecaptured Section 1250 at 25%), and a ~$0.8M loss on receivables.</w:t>
      </w:r>
      <w:r>
        <w:t xml:space="preserve"> </w:t>
      </w:r>
      <w:r>
        <w:rPr>
          <w:b/>
          <w:bCs/>
        </w:rPr>
        <w:t xml:space="preserve">Recommendation:</w:t>
      </w:r>
      <w:r>
        <w:t xml:space="preserve"> </w:t>
      </w:r>
      <w:r>
        <w:t xml:space="preserve">Complete the character analysis using the available asset valuation and quantify the ordinary vs. capital split for each shareholder.</w:t>
      </w:r>
    </w:p>
    <w:bookmarkEnd w:id="56"/>
    <w:bookmarkStart w:id="57" w:name="X581b2417e492a6ab1decc91e1e4b62f6584c83f"/>
    <w:p>
      <w:pPr>
        <w:pStyle w:val="Heading3"/>
      </w:pPr>
      <w:r>
        <w:t xml:space="preserve">L-8. Virginia and New York State Tax Treatment Is Cursory</w:t>
      </w:r>
    </w:p>
    <w:p>
      <w:pPr>
        <w:pStyle w:val="FirstParagraph"/>
      </w:pPr>
      <w:r>
        <w:rPr>
          <w:b/>
          <w:bCs/>
        </w:rPr>
        <w:t xml:space="preserve">Severity:</w:t>
      </w:r>
      <w:r>
        <w:t xml:space="preserve"> </w:t>
      </w:r>
      <w:r>
        <w:t xml:space="preserve">Low</w:t>
      </w:r>
    </w:p>
    <w:p>
      <w:pPr>
        <w:pStyle w:val="BodyText"/>
      </w:pPr>
      <w:r>
        <w:t xml:space="preserve">The Memo (Section VI.C) addresses Virginia and New York in a single paragraph, deferring to individual advisors. The Thornfield report notes Virginia imposes no entity-level S corporation tax and New York imposes a fixed dollar minimum tax (Prism paid ~$4,500 for 2023). The New York-resident shareholder (Samuel Okoye) will be subject to New York tax on the gain; the Memo does not quantify any state-level exposure for non-NC/CA residents or address New York’s treatment of the 338(h)(10) election.</w:t>
      </w:r>
      <w:r>
        <w:t xml:space="preserve"> </w:t>
      </w:r>
      <w:r>
        <w:rPr>
          <w:b/>
          <w:bCs/>
        </w:rPr>
        <w:t xml:space="preserve">Recommendation:</w:t>
      </w:r>
      <w:r>
        <w:t xml:space="preserve"> </w:t>
      </w:r>
      <w:r>
        <w:t xml:space="preserve">Expand the state analysis to address Virginia and New York conformity to the 338(h)(10) election and the resident/non-resident filing obligations for the affected shareholders.</w:t>
      </w:r>
    </w:p>
    <w:bookmarkEnd w:id="57"/>
    <w:bookmarkStart w:id="58" w:name="l-9.-form-8883-not-referenced"/>
    <w:p>
      <w:pPr>
        <w:pStyle w:val="Heading3"/>
      </w:pPr>
      <w:r>
        <w:t xml:space="preserve">L-9. Form 8883 Not Referenced</w:t>
      </w:r>
    </w:p>
    <w:p>
      <w:pPr>
        <w:pStyle w:val="FirstParagraph"/>
      </w:pPr>
      <w:r>
        <w:rPr>
          <w:b/>
          <w:bCs/>
        </w:rPr>
        <w:t xml:space="preserve">Severity:</w:t>
      </w:r>
      <w:r>
        <w:t xml:space="preserve"> </w:t>
      </w:r>
      <w:r>
        <w:t xml:space="preserve">Low</w:t>
      </w:r>
    </w:p>
    <w:p>
      <w:pPr>
        <w:pStyle w:val="BodyText"/>
      </w:pPr>
      <w:r>
        <w:t xml:space="preserve">The Stock Purchase Agreement (Section 7.3(b)) requires each party to file IRS Form 8883 (Asset Allocation Statement) consistent with the final allocation. The Memo discusses Form 8023 (the 338(h)(10) election form) but does not mention Form 8883 in its post-closing filings list (Section IX.B).</w:t>
      </w:r>
      <w:r>
        <w:t xml:space="preserve"> </w:t>
      </w:r>
      <w:r>
        <w:rPr>
          <w:b/>
          <w:bCs/>
        </w:rPr>
        <w:t xml:space="preserve">Recommendation:</w:t>
      </w:r>
      <w:r>
        <w:t xml:space="preserve"> </w:t>
      </w:r>
      <w:r>
        <w:t xml:space="preserve">Add Form 8883 to the post-closing filings list and note the 90-day allocation-preparation and 30-day review timeline in Section 7.3(b).</w:t>
      </w:r>
    </w:p>
    <w:bookmarkEnd w:id="58"/>
    <w:bookmarkStart w:id="59" w:name="Xd17549f6d813029458abc4d43bfa04f0b09770b"/>
    <w:p>
      <w:pPr>
        <w:pStyle w:val="Heading3"/>
      </w:pPr>
      <w:r>
        <w:t xml:space="preserve">L-10. 2024 S Corporation Return Timing Not Addressed</w:t>
      </w:r>
    </w:p>
    <w:p>
      <w:pPr>
        <w:pStyle w:val="FirstParagraph"/>
      </w:pPr>
      <w:r>
        <w:rPr>
          <w:b/>
          <w:bCs/>
        </w:rPr>
        <w:t xml:space="preserve">Severity:</w:t>
      </w:r>
      <w:r>
        <w:t xml:space="preserve"> </w:t>
      </w:r>
      <w:r>
        <w:t xml:space="preserve">Low</w:t>
      </w:r>
    </w:p>
    <w:p>
      <w:pPr>
        <w:pStyle w:val="BodyText"/>
      </w:pPr>
      <w:r>
        <w:t xml:space="preserve">The Thornfield report (Section IV.A) notes that the 2024 Form 1120-S has not been filed and is due March 15, 2025 — the same date as the expected closing. An extension will likely be required. The Memo does not address the 2024 return timing or its interaction with the final short-period return (January 1 – March 15, 2025).</w:t>
      </w:r>
      <w:r>
        <w:t xml:space="preserve"> </w:t>
      </w:r>
      <w:r>
        <w:rPr>
          <w:b/>
          <w:bCs/>
        </w:rPr>
        <w:t xml:space="preserve">Recommendation:</w:t>
      </w:r>
      <w:r>
        <w:t xml:space="preserve"> </w:t>
      </w:r>
      <w:r>
        <w:t xml:space="preserve">Address the 2024 return filing/extension and coordinate with the final short-period return preparation.</w:t>
      </w:r>
    </w:p>
    <w:p>
      <w:r>
        <w:pict>
          <v:rect style="width:0;height:1.5pt" o:hralign="center" o:hrstd="t" o:hr="t"/>
        </w:pict>
      </w:r>
    </w:p>
    <w:bookmarkEnd w:id="59"/>
    <w:bookmarkEnd w:id="60"/>
    <w:bookmarkStart w:id="61" w:name="vii.-consolidated-findings-table"/>
    <w:p>
      <w:pPr>
        <w:pStyle w:val="Heading2"/>
      </w:pPr>
      <w:r>
        <w:t xml:space="preserve">VII. Consolidated Findings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Severity</w:t>
            </w:r>
          </w:p>
        </w:tc>
        <w:tc>
          <w:tcPr/>
          <w:p>
            <w:pPr>
              <w:pStyle w:val="Compact"/>
              <w:jc w:val="left"/>
            </w:pPr>
            <w:r>
              <w:t xml:space="preserve">Finding</w:t>
            </w:r>
          </w:p>
        </w:tc>
        <w:tc>
          <w:tcPr/>
          <w:p>
            <w:pPr>
              <w:pStyle w:val="Compact"/>
              <w:jc w:val="left"/>
            </w:pPr>
            <w:r>
              <w:t xml:space="preserve">Primary Source(s) Cross-Referenced</w:t>
            </w:r>
          </w:p>
        </w:tc>
        <w:tc>
          <w:tcPr/>
          <w:p>
            <w:pPr>
              <w:pStyle w:val="Compact"/>
              <w:jc w:val="left"/>
            </w:pPr>
            <w:r>
              <w:t xml:space="preserve">Estimated Impact</w:t>
            </w:r>
          </w:p>
        </w:tc>
      </w:tr>
      <w:tr>
        <w:tc>
          <w:tcPr/>
          <w:p>
            <w:pPr>
              <w:pStyle w:val="Compact"/>
              <w:jc w:val="left"/>
            </w:pPr>
            <w:r>
              <w:t xml:space="preserve">C-1</w:t>
            </w:r>
          </w:p>
        </w:tc>
        <w:tc>
          <w:tcPr/>
          <w:p>
            <w:pPr>
              <w:pStyle w:val="Compact"/>
              <w:jc w:val="left"/>
            </w:pPr>
            <w:r>
              <w:t xml:space="preserve">Critical</w:t>
            </w:r>
          </w:p>
        </w:tc>
        <w:tc>
          <w:tcPr/>
          <w:p>
            <w:pPr>
              <w:pStyle w:val="Compact"/>
              <w:jc w:val="left"/>
            </w:pPr>
            <w:r>
              <w:t xml:space="preserve">ADSP overstated $48M (funded debt double-counted)</w:t>
            </w:r>
          </w:p>
        </w:tc>
        <w:tc>
          <w:tcPr/>
          <w:p>
            <w:pPr>
              <w:pStyle w:val="Compact"/>
              <w:jc w:val="left"/>
            </w:pPr>
            <w:r>
              <w:t xml:space="preserve">Asset valuation summary; SPA §2.6, 7.3(b)</w:t>
            </w:r>
          </w:p>
        </w:tc>
        <w:tc>
          <w:tcPr/>
          <w:p>
            <w:pPr>
              <w:pStyle w:val="Compact"/>
              <w:jc w:val="left"/>
            </w:pPr>
            <w:r>
              <w:t xml:space="preserve">$48M ADSP / goodwill overstatement; cascading gain and buyer-benefit errors</w:t>
            </w:r>
          </w:p>
        </w:tc>
      </w:tr>
      <w:tr>
        <w:tc>
          <w:tcPr/>
          <w:p>
            <w:pPr>
              <w:pStyle w:val="Compact"/>
              <w:jc w:val="left"/>
            </w:pPr>
            <w:r>
              <w:t xml:space="preserve">C-2</w:t>
            </w:r>
          </w:p>
        </w:tc>
        <w:tc>
          <w:tcPr/>
          <w:p>
            <w:pPr>
              <w:pStyle w:val="Compact"/>
              <w:jc w:val="left"/>
            </w:pPr>
            <w:r>
              <w:t xml:space="preserve">Critical</w:t>
            </w:r>
          </w:p>
        </w:tc>
        <w:tc>
          <w:tcPr/>
          <w:p>
            <w:pPr>
              <w:pStyle w:val="Compact"/>
              <w:jc w:val="left"/>
            </w:pPr>
            <w:r>
              <w:t xml:space="preserve">S corp eligibility conclusion contradicts due diligence</w:t>
            </w:r>
          </w:p>
        </w:tc>
        <w:tc>
          <w:tcPr/>
          <w:p>
            <w:pPr>
              <w:pStyle w:val="Compact"/>
              <w:jc w:val="left"/>
            </w:pPr>
            <w:r>
              <w:t xml:space="preserve">Thornfield §III.B; cap table; SPA §4.9(a), 2.5, 8.2(c)</w:t>
            </w:r>
          </w:p>
        </w:tc>
        <w:tc>
          <w:tcPr/>
          <w:p>
            <w:pPr>
              <w:pStyle w:val="Compact"/>
              <w:jc w:val="left"/>
            </w:pPr>
            <w:r>
              <w:t xml:space="preserve">Potential invalidation of S election and 338(h)(10); entity-level tax for open years</w:t>
            </w:r>
          </w:p>
        </w:tc>
      </w:tr>
      <w:tr>
        <w:tc>
          <w:tcPr/>
          <w:p>
            <w:pPr>
              <w:pStyle w:val="Compact"/>
              <w:jc w:val="left"/>
            </w:pPr>
            <w:r>
              <w:t xml:space="preserve">C-3</w:t>
            </w:r>
          </w:p>
        </w:tc>
        <w:tc>
          <w:tcPr/>
          <w:p>
            <w:pPr>
              <w:pStyle w:val="Compact"/>
              <w:jc w:val="left"/>
            </w:pPr>
            <w:r>
              <w:t xml:space="preserve">Critical</w:t>
            </w:r>
          </w:p>
        </w:tc>
        <w:tc>
          <w:tcPr/>
          <w:p>
            <w:pPr>
              <w:pStyle w:val="Compact"/>
              <w:jc w:val="left"/>
            </w:pPr>
            <w:r>
              <w:t xml:space="preserve">QSBS / Section 1202 analysis entirely omitted</w:t>
            </w:r>
          </w:p>
        </w:tc>
        <w:tc>
          <w:tcPr/>
          <w:p>
            <w:pPr>
              <w:pStyle w:val="Compact"/>
              <w:jc w:val="left"/>
            </w:pPr>
            <w:r>
              <w:t xml:space="preserve">Linden Rock emails; Thornfield §VIII.B; cap table</w:t>
            </w:r>
          </w:p>
        </w:tc>
        <w:tc>
          <w:tcPr/>
          <w:p>
            <w:pPr>
              <w:pStyle w:val="Compact"/>
              <w:jc w:val="left"/>
            </w:pPr>
            <w:r>
              <w:t xml:space="preserve">Potential seven-figure loss of exclusion for multiple shareholders; structural decision unaddressed</w:t>
            </w:r>
          </w:p>
        </w:tc>
      </w:tr>
      <w:tr>
        <w:tc>
          <w:tcPr/>
          <w:p>
            <w:pPr>
              <w:pStyle w:val="Compact"/>
              <w:jc w:val="left"/>
            </w:pPr>
            <w:r>
              <w:t xml:space="preserve">H-1</w:t>
            </w:r>
          </w:p>
        </w:tc>
        <w:tc>
          <w:tcPr/>
          <w:p>
            <w:pPr>
              <w:pStyle w:val="Compact"/>
              <w:jc w:val="left"/>
            </w:pPr>
            <w:r>
              <w:t xml:space="preserve">High</w:t>
            </w:r>
          </w:p>
        </w:tc>
        <w:tc>
          <w:tcPr/>
          <w:p>
            <w:pPr>
              <w:pStyle w:val="Compact"/>
              <w:jc w:val="left"/>
            </w:pPr>
            <w:r>
              <w:t xml:space="preserve">Aggregate tax basis ($42.8M) unreconciled to asset valuation ($64.3M)</w:t>
            </w:r>
          </w:p>
        </w:tc>
        <w:tc>
          <w:tcPr/>
          <w:p>
            <w:pPr>
              <w:pStyle w:val="Compact"/>
              <w:jc w:val="left"/>
            </w:pPr>
            <w:r>
              <w:t xml:space="preserve">Asset valuation summary</w:t>
            </w:r>
          </w:p>
        </w:tc>
        <w:tc>
          <w:tcPr/>
          <w:p>
            <w:pPr>
              <w:pStyle w:val="Compact"/>
              <w:jc w:val="left"/>
            </w:pPr>
            <w:r>
              <w:t xml:space="preserve">$21.5M basis discrepancy; ~$69.5M combined gain overstatement (with C-1)</w:t>
            </w:r>
          </w:p>
        </w:tc>
      </w:tr>
      <w:tr>
        <w:tc>
          <w:tcPr/>
          <w:p>
            <w:pPr>
              <w:pStyle w:val="Compact"/>
              <w:jc w:val="left"/>
            </w:pPr>
            <w:r>
              <w:t xml:space="preserve">H-2</w:t>
            </w:r>
          </w:p>
        </w:tc>
        <w:tc>
          <w:tcPr/>
          <w:p>
            <w:pPr>
              <w:pStyle w:val="Compact"/>
              <w:jc w:val="left"/>
            </w:pPr>
            <w:r>
              <w:t xml:space="preserve">High</w:t>
            </w:r>
          </w:p>
        </w:tc>
        <w:tc>
          <w:tcPr/>
          <w:p>
            <w:pPr>
              <w:pStyle w:val="Compact"/>
              <w:jc w:val="left"/>
            </w:pPr>
            <w:r>
              <w:t xml:space="preserve">Class V understated $28.5M (developed tech $19M vs $41.8M; govt licenses omitted)</w:t>
            </w:r>
          </w:p>
        </w:tc>
        <w:tc>
          <w:tcPr/>
          <w:p>
            <w:pPr>
              <w:pStyle w:val="Compact"/>
              <w:jc w:val="left"/>
            </w:pPr>
            <w:r>
              <w:t xml:space="preserve">Asset valuation summary</w:t>
            </w:r>
          </w:p>
        </w:tc>
        <w:tc>
          <w:tcPr/>
          <w:p>
            <w:pPr>
              <w:pStyle w:val="Compact"/>
              <w:jc w:val="left"/>
            </w:pPr>
            <w:r>
              <w:t xml:space="preserve">$28.5M Class V / Class VII misallocation; D&amp;A timing and gain-character errors</w:t>
            </w:r>
          </w:p>
        </w:tc>
      </w:tr>
      <w:tr>
        <w:tc>
          <w:tcPr/>
          <w:p>
            <w:pPr>
              <w:pStyle w:val="Compact"/>
              <w:jc w:val="left"/>
            </w:pPr>
            <w:r>
              <w:t xml:space="preserve">H-3</w:t>
            </w:r>
          </w:p>
        </w:tc>
        <w:tc>
          <w:tcPr/>
          <w:p>
            <w:pPr>
              <w:pStyle w:val="Compact"/>
              <w:jc w:val="left"/>
            </w:pPr>
            <w:r>
              <w:t xml:space="preserve">High</w:t>
            </w:r>
          </w:p>
        </w:tc>
        <w:tc>
          <w:tcPr/>
          <w:p>
            <w:pPr>
              <w:pStyle w:val="Compact"/>
              <w:jc w:val="left"/>
            </w:pPr>
            <w:r>
              <w:t xml:space="preserve">Non-transferable NC data processing license — deemed-sale consequences not analyzed</w:t>
            </w:r>
          </w:p>
        </w:tc>
        <w:tc>
          <w:tcPr/>
          <w:p>
            <w:pPr>
              <w:pStyle w:val="Compact"/>
              <w:jc w:val="left"/>
            </w:pPr>
            <w:r>
              <w:t xml:space="preserve">Asset valuation A-008; SPA §4.9(i)</w:t>
            </w:r>
          </w:p>
        </w:tc>
        <w:tc>
          <w:tcPr/>
          <w:p>
            <w:pPr>
              <w:pStyle w:val="Compact"/>
              <w:jc w:val="left"/>
            </w:pPr>
            <w:r>
              <w:t xml:space="preserve">~$19M government revenue at risk; PPA / enterprise value may need revision</w:t>
            </w:r>
          </w:p>
        </w:tc>
      </w:tr>
      <w:tr>
        <w:tc>
          <w:tcPr/>
          <w:p>
            <w:pPr>
              <w:pStyle w:val="Compact"/>
              <w:jc w:val="left"/>
            </w:pPr>
            <w:r>
              <w:t xml:space="preserve">H-4</w:t>
            </w:r>
          </w:p>
        </w:tc>
        <w:tc>
          <w:tcPr/>
          <w:p>
            <w:pPr>
              <w:pStyle w:val="Compact"/>
              <w:jc w:val="left"/>
            </w:pPr>
            <w:r>
              <w:t xml:space="preserve">High</w:t>
            </w:r>
          </w:p>
        </w:tc>
        <w:tc>
          <w:tcPr/>
          <w:p>
            <w:pPr>
              <w:pStyle w:val="Compact"/>
              <w:jc w:val="left"/>
            </w:pPr>
            <w:r>
              <w:t xml:space="preserve">Rollover equity treatment internally inconsistent; no §351/721 analysis</w:t>
            </w:r>
          </w:p>
        </w:tc>
        <w:tc>
          <w:tcPr/>
          <w:p>
            <w:pPr>
              <w:pStyle w:val="Compact"/>
              <w:jc w:val="left"/>
            </w:pPr>
            <w:r>
              <w:t xml:space="preserve">SPA §2.4(c), 2.6(e); cap table</w:t>
            </w:r>
          </w:p>
        </w:tc>
        <w:tc>
          <w:tcPr/>
          <w:p>
            <w:pPr>
              <w:pStyle w:val="Compact"/>
              <w:jc w:val="left"/>
            </w:pPr>
            <w:r>
              <w:t xml:space="preserve">Ambiguity in Chandra’s tax treatment; potential double-taxation or missed deferral</w:t>
            </w:r>
          </w:p>
        </w:tc>
      </w:tr>
      <w:tr>
        <w:tc>
          <w:tcPr/>
          <w:p>
            <w:pPr>
              <w:pStyle w:val="Compact"/>
              <w:jc w:val="left"/>
            </w:pPr>
            <w:r>
              <w:t xml:space="preserve">H-5</w:t>
            </w:r>
          </w:p>
        </w:tc>
        <w:tc>
          <w:tcPr/>
          <w:p>
            <w:pPr>
              <w:pStyle w:val="Compact"/>
              <w:jc w:val="left"/>
            </w:pPr>
            <w:r>
              <w:t xml:space="preserve">High</w:t>
            </w:r>
          </w:p>
        </w:tc>
        <w:tc>
          <w:tcPr/>
          <w:p>
            <w:pPr>
              <w:pStyle w:val="Compact"/>
              <w:jc w:val="left"/>
            </w:pPr>
            <w:r>
              <w:t xml:space="preserve">Escrow tax treatment (§453 deferral) contradicts SPA (current-year reporting)</w:t>
            </w:r>
          </w:p>
        </w:tc>
        <w:tc>
          <w:tcPr/>
          <w:p>
            <w:pPr>
              <w:pStyle w:val="Compact"/>
              <w:jc w:val="left"/>
            </w:pPr>
            <w:r>
              <w:t xml:space="preserve">SPA §7.4; Linden Rock emails</w:t>
            </w:r>
          </w:p>
        </w:tc>
        <w:tc>
          <w:tcPr/>
          <w:p>
            <w:pPr>
              <w:pStyle w:val="Compact"/>
              <w:jc w:val="left"/>
            </w:pPr>
            <w:r>
              <w:t xml:space="preserve">Shareholder tax-timing uncertainty; §453 may be unavailable in 338(h)(10)</w:t>
            </w:r>
          </w:p>
        </w:tc>
      </w:tr>
      <w:tr>
        <w:tc>
          <w:tcPr/>
          <w:p>
            <w:pPr>
              <w:pStyle w:val="Compact"/>
              <w:jc w:val="left"/>
            </w:pPr>
            <w:r>
              <w:t xml:space="preserve">H-6</w:t>
            </w:r>
          </w:p>
        </w:tc>
        <w:tc>
          <w:tcPr/>
          <w:p>
            <w:pPr>
              <w:pStyle w:val="Compact"/>
              <w:jc w:val="left"/>
            </w:pPr>
            <w:r>
              <w:t xml:space="preserve">High</w:t>
            </w:r>
          </w:p>
        </w:tc>
        <w:tc>
          <w:tcPr/>
          <w:p>
            <w:pPr>
              <w:pStyle w:val="Compact"/>
              <w:jc w:val="left"/>
            </w:pPr>
            <w:r>
              <w:t xml:space="preserve">Buyer annual D&amp;A / tax savings overstated (consequence of C-1, H-2)</w:t>
            </w:r>
          </w:p>
        </w:tc>
        <w:tc>
          <w:tcPr/>
          <w:p>
            <w:pPr>
              <w:pStyle w:val="Compact"/>
              <w:jc w:val="left"/>
            </w:pPr>
            <w:r>
              <w:t xml:space="preserve">Asset valuation summary</w:t>
            </w:r>
          </w:p>
        </w:tc>
        <w:tc>
          <w:tcPr/>
          <w:p>
            <w:pPr>
              <w:pStyle w:val="Compact"/>
              <w:jc w:val="left"/>
            </w:pPr>
            <w:r>
              <w:t xml:space="preserve">~$5M+/year goodwill amortization overstatement; $48M total amortizable-base overstatement</w:t>
            </w:r>
          </w:p>
        </w:tc>
      </w:tr>
      <w:tr>
        <w:tc>
          <w:tcPr/>
          <w:p>
            <w:pPr>
              <w:pStyle w:val="Compact"/>
              <w:jc w:val="left"/>
            </w:pPr>
            <w:r>
              <w:t xml:space="preserve">H-7</w:t>
            </w:r>
          </w:p>
        </w:tc>
        <w:tc>
          <w:tcPr/>
          <w:p>
            <w:pPr>
              <w:pStyle w:val="Compact"/>
              <w:jc w:val="left"/>
            </w:pPr>
            <w:r>
              <w:t xml:space="preserve">High</w:t>
            </w:r>
          </w:p>
        </w:tc>
        <w:tc>
          <w:tcPr/>
          <w:p>
            <w:pPr>
              <w:pStyle w:val="Compact"/>
              <w:jc w:val="left"/>
            </w:pPr>
            <w:r>
              <w:t xml:space="preserve">Beacon gain character (§751 hot assets) and §754 election not analyzed</w:t>
            </w:r>
          </w:p>
        </w:tc>
        <w:tc>
          <w:tcPr/>
          <w:p>
            <w:pPr>
              <w:pStyle w:val="Compact"/>
              <w:jc w:val="left"/>
            </w:pPr>
            <w:r>
              <w:t xml:space="preserve">Thornfield §VI.B; Beacon OA §11.05; asset valuation A-009</w:t>
            </w:r>
          </w:p>
        </w:tc>
        <w:tc>
          <w:tcPr/>
          <w:p>
            <w:pPr>
              <w:pStyle w:val="Compact"/>
              <w:jc w:val="left"/>
            </w:pPr>
            <w:r>
              <w:t xml:space="preserve">Ordinary vs. capital mischaracterization; buyer inside-basis step-up undetermined</w:t>
            </w:r>
          </w:p>
        </w:tc>
      </w:tr>
      <w:tr>
        <w:tc>
          <w:tcPr/>
          <w:p>
            <w:pPr>
              <w:pStyle w:val="Compact"/>
              <w:jc w:val="left"/>
            </w:pPr>
            <w:r>
              <w:t xml:space="preserve">M-1</w:t>
            </w:r>
          </w:p>
        </w:tc>
        <w:tc>
          <w:tcPr/>
          <w:p>
            <w:pPr>
              <w:pStyle w:val="Compact"/>
              <w:jc w:val="left"/>
            </w:pPr>
            <w:r>
              <w:t xml:space="preserve">Moderate</w:t>
            </w:r>
          </w:p>
        </w:tc>
        <w:tc>
          <w:tcPr/>
          <w:p>
            <w:pPr>
              <w:pStyle w:val="Compact"/>
              <w:jc w:val="left"/>
            </w:pPr>
            <w:r>
              <w:t xml:space="preserve">Suspended R&amp;D credits ($3.8M) — permanent-loss risk not analyzed</w:t>
            </w:r>
          </w:p>
        </w:tc>
        <w:tc>
          <w:tcPr/>
          <w:p>
            <w:pPr>
              <w:pStyle w:val="Compact"/>
              <w:jc w:val="left"/>
            </w:pPr>
            <w:r>
              <w:t xml:space="preserve">Thornfield §IV.B, IX.A</w:t>
            </w:r>
          </w:p>
        </w:tc>
        <w:tc>
          <w:tcPr/>
          <w:p>
            <w:pPr>
              <w:pStyle w:val="Compact"/>
              <w:jc w:val="left"/>
            </w:pPr>
            <w:r>
              <w:t xml:space="preserve">$3.8M credits at risk of permanent expiration</w:t>
            </w:r>
          </w:p>
        </w:tc>
      </w:tr>
      <w:tr>
        <w:tc>
          <w:tcPr/>
          <w:p>
            <w:pPr>
              <w:pStyle w:val="Compact"/>
              <w:jc w:val="left"/>
            </w:pPr>
            <w:r>
              <w:t xml:space="preserve">M-2</w:t>
            </w:r>
          </w:p>
        </w:tc>
        <w:tc>
          <w:tcPr/>
          <w:p>
            <w:pPr>
              <w:pStyle w:val="Compact"/>
              <w:jc w:val="left"/>
            </w:pPr>
            <w:r>
              <w:t xml:space="preserve">Moderate</w:t>
            </w:r>
          </w:p>
        </w:tc>
        <w:tc>
          <w:tcPr/>
          <w:p>
            <w:pPr>
              <w:pStyle w:val="Compact"/>
              <w:jc w:val="left"/>
            </w:pPr>
            <w:r>
              <w:t xml:space="preserve">Intercompany transfer pricing — $6.3M §482 exposure omitted</w:t>
            </w:r>
          </w:p>
        </w:tc>
        <w:tc>
          <w:tcPr/>
          <w:p>
            <w:pPr>
              <w:pStyle w:val="Compact"/>
              <w:jc w:val="left"/>
            </w:pPr>
            <w:r>
              <w:t xml:space="preserve">Thornfield §VII; Beacon OA §9.01–9.02; SPA §4.9(h)</w:t>
            </w:r>
          </w:p>
        </w:tc>
        <w:tc>
          <w:tcPr/>
          <w:p>
            <w:pPr>
              <w:pStyle w:val="Compact"/>
              <w:jc w:val="left"/>
            </w:pPr>
            <w:r>
              <w:t xml:space="preserve">~$6.3M cumulative exposure; §4.9(h) representation supportability</w:t>
            </w:r>
          </w:p>
        </w:tc>
      </w:tr>
      <w:tr>
        <w:tc>
          <w:tcPr/>
          <w:p>
            <w:pPr>
              <w:pStyle w:val="Compact"/>
              <w:jc w:val="left"/>
            </w:pPr>
            <w:r>
              <w:t xml:space="preserve">M-3</w:t>
            </w:r>
          </w:p>
        </w:tc>
        <w:tc>
          <w:tcPr/>
          <w:p>
            <w:pPr>
              <w:pStyle w:val="Compact"/>
              <w:jc w:val="left"/>
            </w:pPr>
            <w:r>
              <w:t xml:space="preserve">Moderate</w:t>
            </w:r>
          </w:p>
        </w:tc>
        <w:tc>
          <w:tcPr/>
          <w:p>
            <w:pPr>
              <w:pStyle w:val="Compact"/>
              <w:jc w:val="left"/>
            </w:pPr>
            <w:r>
              <w:t xml:space="preserve">AAA / AE&amp;P deemed-liquidation characterization omitted</w:t>
            </w:r>
          </w:p>
        </w:tc>
        <w:tc>
          <w:tcPr/>
          <w:p>
            <w:pPr>
              <w:pStyle w:val="Compact"/>
              <w:jc w:val="left"/>
            </w:pPr>
            <w:r>
              <w:t xml:space="preserve">Thornfield §IX.C</w:t>
            </w:r>
          </w:p>
        </w:tc>
        <w:tc>
          <w:tcPr/>
          <w:p>
            <w:pPr>
              <w:pStyle w:val="Compact"/>
              <w:jc w:val="left"/>
            </w:pPr>
            <w:r>
              <w:t xml:space="preserve">$64.2M AAA / $792K AE&amp;P affect distribution character and shareholder tax</w:t>
            </w:r>
          </w:p>
        </w:tc>
      </w:tr>
      <w:tr>
        <w:tc>
          <w:tcPr/>
          <w:p>
            <w:pPr>
              <w:pStyle w:val="Compact"/>
              <w:jc w:val="left"/>
            </w:pPr>
            <w:r>
              <w:t xml:space="preserve">M-4</w:t>
            </w:r>
          </w:p>
        </w:tc>
        <w:tc>
          <w:tcPr/>
          <w:p>
            <w:pPr>
              <w:pStyle w:val="Compact"/>
              <w:jc w:val="left"/>
            </w:pPr>
            <w:r>
              <w:t xml:space="preserve">Moderate</w:t>
            </w:r>
          </w:p>
        </w:tc>
        <w:tc>
          <w:tcPr/>
          <w:p>
            <w:pPr>
              <w:pStyle w:val="Compact"/>
              <w:jc w:val="left"/>
            </w:pPr>
            <w:r>
              <w:t xml:space="preserve">Beacon ROFR and IP license termination not analyzed</w:t>
            </w:r>
          </w:p>
        </w:tc>
        <w:tc>
          <w:tcPr/>
          <w:p>
            <w:pPr>
              <w:pStyle w:val="Compact"/>
              <w:jc w:val="left"/>
            </w:pPr>
            <w:r>
              <w:t xml:space="preserve">Beacon OA §8.03, 9.02; SPA §8.2(g)</w:t>
            </w:r>
          </w:p>
        </w:tc>
        <w:tc>
          <w:tcPr/>
          <w:p>
            <w:pPr>
              <w:pStyle w:val="Compact"/>
              <w:jc w:val="left"/>
            </w:pPr>
            <w:r>
              <w:t xml:space="preserve">Closing condition; potential structural change; Beacon value/revenue at risk</w:t>
            </w:r>
          </w:p>
        </w:tc>
      </w:tr>
      <w:tr>
        <w:tc>
          <w:tcPr/>
          <w:p>
            <w:pPr>
              <w:pStyle w:val="Compact"/>
              <w:jc w:val="left"/>
            </w:pPr>
            <w:r>
              <w:t xml:space="preserve">M-5</w:t>
            </w:r>
          </w:p>
        </w:tc>
        <w:tc>
          <w:tcPr/>
          <w:p>
            <w:pPr>
              <w:pStyle w:val="Compact"/>
              <w:jc w:val="left"/>
            </w:pPr>
            <w:r>
              <w:t xml:space="preserve">Moderate</w:t>
            </w:r>
          </w:p>
        </w:tc>
        <w:tc>
          <w:tcPr/>
          <w:p>
            <w:pPr>
              <w:pStyle w:val="Compact"/>
              <w:jc w:val="left"/>
            </w:pPr>
            <w:r>
              <w:t xml:space="preserve">Gain allocation uses basic (52/28/20) not fully-diluted ownership</w:t>
            </w:r>
          </w:p>
        </w:tc>
        <w:tc>
          <w:tcPr/>
          <w:p>
            <w:pPr>
              <w:pStyle w:val="Compact"/>
              <w:jc w:val="left"/>
            </w:pPr>
            <w:r>
              <w:t xml:space="preserve">Cap table</w:t>
            </w:r>
          </w:p>
        </w:tc>
        <w:tc>
          <w:tcPr/>
          <w:p>
            <w:pPr>
              <w:pStyle w:val="Compact"/>
              <w:jc w:val="left"/>
            </w:pPr>
            <w:r>
              <w:t xml:space="preserve">~$5M–$7.7M gain reallocation among shareholders</w:t>
            </w:r>
          </w:p>
        </w:tc>
      </w:tr>
      <w:tr>
        <w:tc>
          <w:tcPr/>
          <w:p>
            <w:pPr>
              <w:pStyle w:val="Compact"/>
              <w:jc w:val="left"/>
            </w:pPr>
            <w:r>
              <w:t xml:space="preserve">M-6</w:t>
            </w:r>
          </w:p>
        </w:tc>
        <w:tc>
          <w:tcPr/>
          <w:p>
            <w:pPr>
              <w:pStyle w:val="Compact"/>
              <w:jc w:val="left"/>
            </w:pPr>
            <w:r>
              <w:t xml:space="preserve">Moderate</w:t>
            </w:r>
          </w:p>
        </w:tc>
        <w:tc>
          <w:tcPr/>
          <w:p>
            <w:pPr>
              <w:pStyle w:val="Compact"/>
              <w:jc w:val="left"/>
            </w:pPr>
            <w:r>
              <w:t xml:space="preserve">Shareholder count (14) undercounts cap table (17); unverified holders excluded</w:t>
            </w:r>
          </w:p>
        </w:tc>
        <w:tc>
          <w:tcPr/>
          <w:p>
            <w:pPr>
              <w:pStyle w:val="Compact"/>
              <w:jc w:val="left"/>
            </w:pPr>
            <w:r>
              <w:t xml:space="preserve">Cap table; Thornfield §III.B</w:t>
            </w:r>
          </w:p>
        </w:tc>
        <w:tc>
          <w:tcPr/>
          <w:p>
            <w:pPr>
              <w:pStyle w:val="Compact"/>
              <w:jc w:val="left"/>
            </w:pPr>
            <w:r>
              <w:t xml:space="preserve">Eligibility, consent, and allocation affected</w:t>
            </w:r>
          </w:p>
        </w:tc>
      </w:tr>
      <w:tr>
        <w:tc>
          <w:tcPr/>
          <w:p>
            <w:pPr>
              <w:pStyle w:val="Compact"/>
              <w:jc w:val="left"/>
            </w:pPr>
            <w:r>
              <w:t xml:space="preserve">M-7</w:t>
            </w:r>
          </w:p>
        </w:tc>
        <w:tc>
          <w:tcPr/>
          <w:p>
            <w:pPr>
              <w:pStyle w:val="Compact"/>
              <w:jc w:val="left"/>
            </w:pPr>
            <w:r>
              <w:t xml:space="preserve">Moderate</w:t>
            </w:r>
          </w:p>
        </w:tc>
        <w:tc>
          <w:tcPr/>
          <w:p>
            <w:pPr>
              <w:pStyle w:val="Compact"/>
              <w:jc w:val="left"/>
            </w:pPr>
            <w:r>
              <w:t xml:space="preserve">Non-compete compensatory vs. amortizable character not analyzed</w:t>
            </w:r>
          </w:p>
        </w:tc>
        <w:tc>
          <w:tcPr/>
          <w:p>
            <w:pPr>
              <w:pStyle w:val="Compact"/>
              <w:jc w:val="left"/>
            </w:pPr>
            <w:r>
              <w:t xml:space="preserve">Asset valuation A-013; SPA §2.6</w:t>
            </w:r>
          </w:p>
        </w:tc>
        <w:tc>
          <w:tcPr/>
          <w:p>
            <w:pPr>
              <w:pStyle w:val="Compact"/>
              <w:jc w:val="left"/>
            </w:pPr>
            <w:r>
              <w:t xml:space="preserve">$15M allocation at risk of recharacterization</w:t>
            </w:r>
          </w:p>
        </w:tc>
      </w:tr>
      <w:tr>
        <w:tc>
          <w:tcPr/>
          <w:p>
            <w:pPr>
              <w:pStyle w:val="Compact"/>
              <w:jc w:val="left"/>
            </w:pPr>
            <w:r>
              <w:t xml:space="preserve">M-8</w:t>
            </w:r>
          </w:p>
        </w:tc>
        <w:tc>
          <w:tcPr/>
          <w:p>
            <w:pPr>
              <w:pStyle w:val="Compact"/>
              <w:jc w:val="left"/>
            </w:pPr>
            <w:r>
              <w:t xml:space="preserve">Moderate</w:t>
            </w:r>
          </w:p>
        </w:tc>
        <w:tc>
          <w:tcPr/>
          <w:p>
            <w:pPr>
              <w:pStyle w:val="Compact"/>
              <w:jc w:val="left"/>
            </w:pPr>
            <w:r>
              <w:t xml:space="preserve">§197(f)(9) anti-churning analysis cursory (Chandra rollover/role)</w:t>
            </w:r>
          </w:p>
        </w:tc>
        <w:tc>
          <w:tcPr/>
          <w:p>
            <w:pPr>
              <w:pStyle w:val="Compact"/>
              <w:jc w:val="left"/>
            </w:pPr>
            <w:r>
              <w:t xml:space="preserve">SPA §2.4(c); Memo §VII.B</w:t>
            </w:r>
          </w:p>
        </w:tc>
        <w:tc>
          <w:tcPr/>
          <w:p>
            <w:pPr>
              <w:pStyle w:val="Compact"/>
              <w:jc w:val="left"/>
            </w:pPr>
            <w:r>
              <w:t xml:space="preserve">Potential loss of §197 amortization on $62M customer relationships / $15M non-compete</w:t>
            </w:r>
          </w:p>
        </w:tc>
      </w:tr>
      <w:tr>
        <w:tc>
          <w:tcPr/>
          <w:p>
            <w:pPr>
              <w:pStyle w:val="Compact"/>
              <w:jc w:val="left"/>
            </w:pPr>
            <w:r>
              <w:t xml:space="preserve">L-1</w:t>
            </w:r>
          </w:p>
        </w:tc>
        <w:tc>
          <w:tcPr/>
          <w:p>
            <w:pPr>
              <w:pStyle w:val="Compact"/>
              <w:jc w:val="left"/>
            </w:pPr>
            <w:r>
              <w:t xml:space="preserve">Low</w:t>
            </w:r>
          </w:p>
        </w:tc>
        <w:tc>
          <w:tcPr/>
          <w:p>
            <w:pPr>
              <w:pStyle w:val="Compact"/>
              <w:jc w:val="left"/>
            </w:pPr>
            <w:r>
              <w:t xml:space="preserve">New York sales tax exposure ($150K–$300K) omitted</w:t>
            </w:r>
          </w:p>
        </w:tc>
        <w:tc>
          <w:tcPr/>
          <w:p>
            <w:pPr>
              <w:pStyle w:val="Compact"/>
              <w:jc w:val="left"/>
            </w:pPr>
            <w:r>
              <w:t xml:space="preserve">Thornfield §X.A</w:t>
            </w:r>
          </w:p>
        </w:tc>
        <w:tc>
          <w:tcPr/>
          <w:p>
            <w:pPr>
              <w:pStyle w:val="Compact"/>
              <w:jc w:val="left"/>
            </w:pPr>
            <w:r>
              <w:t xml:space="preserve">Pre-closing liability; indemnification</w:t>
            </w:r>
          </w:p>
        </w:tc>
      </w:tr>
      <w:tr>
        <w:tc>
          <w:tcPr/>
          <w:p>
            <w:pPr>
              <w:pStyle w:val="Compact"/>
              <w:jc w:val="left"/>
            </w:pPr>
            <w:r>
              <w:t xml:space="preserve">L-2</w:t>
            </w:r>
          </w:p>
        </w:tc>
        <w:tc>
          <w:tcPr/>
          <w:p>
            <w:pPr>
              <w:pStyle w:val="Compact"/>
              <w:jc w:val="left"/>
            </w:pPr>
            <w:r>
              <w:t xml:space="preserve">Low</w:t>
            </w:r>
          </w:p>
        </w:tc>
        <w:tc>
          <w:tcPr/>
          <w:p>
            <w:pPr>
              <w:pStyle w:val="Compact"/>
              <w:jc w:val="left"/>
            </w:pPr>
            <w:r>
              <w:t xml:space="preserve">NC 2025 individual rate stated as 4.5% (may be 4.25%)</w:t>
            </w:r>
          </w:p>
        </w:tc>
        <w:tc>
          <w:tcPr/>
          <w:p>
            <w:pPr>
              <w:pStyle w:val="Compact"/>
              <w:jc w:val="left"/>
            </w:pPr>
            <w:r>
              <w:t xml:space="preserve">Thornfield §V.A</w:t>
            </w:r>
          </w:p>
        </w:tc>
        <w:tc>
          <w:tcPr/>
          <w:p>
            <w:pPr>
              <w:pStyle w:val="Compact"/>
              <w:jc w:val="left"/>
            </w:pPr>
            <w:r>
              <w:t xml:space="preserve">State tax estimate accuracy</w:t>
            </w:r>
          </w:p>
        </w:tc>
      </w:tr>
      <w:tr>
        <w:tc>
          <w:tcPr/>
          <w:p>
            <w:pPr>
              <w:pStyle w:val="Compact"/>
              <w:jc w:val="left"/>
            </w:pPr>
            <w:r>
              <w:t xml:space="preserve">L-3</w:t>
            </w:r>
          </w:p>
        </w:tc>
        <w:tc>
          <w:tcPr/>
          <w:p>
            <w:pPr>
              <w:pStyle w:val="Compact"/>
              <w:jc w:val="left"/>
            </w:pPr>
            <w:r>
              <w:t xml:space="preserve">Low</w:t>
            </w:r>
          </w:p>
        </w:tc>
        <w:tc>
          <w:tcPr/>
          <w:p>
            <w:pPr>
              <w:pStyle w:val="Compact"/>
              <w:jc w:val="left"/>
            </w:pPr>
            <w:r>
              <w:t xml:space="preserve">Chandra stock basis ($1.5M) inconsistent with cap table ($1,014)</w:t>
            </w:r>
          </w:p>
        </w:tc>
        <w:tc>
          <w:tcPr/>
          <w:p>
            <w:pPr>
              <w:pStyle w:val="Compact"/>
              <w:jc w:val="left"/>
            </w:pPr>
            <w:r>
              <w:t xml:space="preserve">Cap table</w:t>
            </w:r>
          </w:p>
        </w:tc>
        <w:tc>
          <w:tcPr/>
          <w:p>
            <w:pPr>
              <w:pStyle w:val="Compact"/>
              <w:jc w:val="left"/>
            </w:pPr>
            <w:r>
              <w:t xml:space="preserve">Deemed-liquidation gain characterization</w:t>
            </w:r>
          </w:p>
        </w:tc>
      </w:tr>
      <w:tr>
        <w:tc>
          <w:tcPr/>
          <w:p>
            <w:pPr>
              <w:pStyle w:val="Compact"/>
              <w:jc w:val="left"/>
            </w:pPr>
            <w:r>
              <w:t xml:space="preserve">L-4</w:t>
            </w:r>
          </w:p>
        </w:tc>
        <w:tc>
          <w:tcPr/>
          <w:p>
            <w:pPr>
              <w:pStyle w:val="Compact"/>
              <w:jc w:val="left"/>
            </w:pPr>
            <w:r>
              <w:t xml:space="preserve">Low</w:t>
            </w:r>
          </w:p>
        </w:tc>
        <w:tc>
          <w:tcPr/>
          <w:p>
            <w:pPr>
              <w:pStyle w:val="Compact"/>
              <w:jc w:val="left"/>
            </w:pPr>
            <w:r>
              <w:t xml:space="preserve">Thornfield report date cited as Jan 10 (report dated Jan 15)</w:t>
            </w:r>
          </w:p>
        </w:tc>
        <w:tc>
          <w:tcPr/>
          <w:p>
            <w:pPr>
              <w:pStyle w:val="Compact"/>
              <w:jc w:val="left"/>
            </w:pPr>
            <w:r>
              <w:t xml:space="preserve">Thornfield report</w:t>
            </w:r>
          </w:p>
        </w:tc>
        <w:tc>
          <w:tcPr/>
          <w:p>
            <w:pPr>
              <w:pStyle w:val="Compact"/>
              <w:jc w:val="left"/>
            </w:pPr>
            <w:r>
              <w:t xml:space="preserve">Citation accuracy</w:t>
            </w:r>
          </w:p>
        </w:tc>
      </w:tr>
      <w:tr>
        <w:tc>
          <w:tcPr/>
          <w:p>
            <w:pPr>
              <w:pStyle w:val="Compact"/>
              <w:jc w:val="left"/>
            </w:pPr>
            <w:r>
              <w:t xml:space="preserve">L-5</w:t>
            </w:r>
          </w:p>
        </w:tc>
        <w:tc>
          <w:tcPr/>
          <w:p>
            <w:pPr>
              <w:pStyle w:val="Compact"/>
              <w:jc w:val="left"/>
            </w:pPr>
            <w:r>
              <w:t xml:space="preserve">Low</w:t>
            </w:r>
          </w:p>
        </w:tc>
        <w:tc>
          <w:tcPr/>
          <w:p>
            <w:pPr>
              <w:pStyle w:val="Compact"/>
              <w:jc w:val="left"/>
            </w:pPr>
            <w:r>
              <w:t xml:space="preserve">§163(j) EBITDA ($58M) unsubstantiated; margin appears high</w:t>
            </w:r>
          </w:p>
        </w:tc>
        <w:tc>
          <w:tcPr/>
          <w:p>
            <w:pPr>
              <w:pStyle w:val="Compact"/>
              <w:jc w:val="left"/>
            </w:pPr>
            <w:r>
              <w:t xml:space="preserve">—</w:t>
            </w:r>
          </w:p>
        </w:tc>
        <w:tc>
          <w:tcPr/>
          <w:p>
            <w:pPr>
              <w:pStyle w:val="Compact"/>
              <w:jc w:val="left"/>
            </w:pPr>
            <w:r>
              <w:t xml:space="preserve">Interest-deductibility capacity assessment</w:t>
            </w:r>
          </w:p>
        </w:tc>
      </w:tr>
      <w:tr>
        <w:tc>
          <w:tcPr/>
          <w:p>
            <w:pPr>
              <w:pStyle w:val="Compact"/>
              <w:jc w:val="left"/>
            </w:pPr>
            <w:r>
              <w:t xml:space="preserve">L-6</w:t>
            </w:r>
          </w:p>
        </w:tc>
        <w:tc>
          <w:tcPr/>
          <w:p>
            <w:pPr>
              <w:pStyle w:val="Compact"/>
              <w:jc w:val="left"/>
            </w:pPr>
            <w:r>
              <w:t xml:space="preserve">Low</w:t>
            </w:r>
          </w:p>
        </w:tc>
        <w:tc>
          <w:tcPr/>
          <w:p>
            <w:pPr>
              <w:pStyle w:val="Compact"/>
              <w:jc w:val="left"/>
            </w:pPr>
            <w:r>
              <w:t xml:space="preserve">Post-closing entity conversion recommendation cursory</w:t>
            </w:r>
          </w:p>
        </w:tc>
        <w:tc>
          <w:tcPr/>
          <w:p>
            <w:pPr>
              <w:pStyle w:val="Compact"/>
              <w:jc w:val="left"/>
            </w:pPr>
            <w:r>
              <w:t xml:space="preserve">Memo §VII.B</w:t>
            </w:r>
          </w:p>
        </w:tc>
        <w:tc>
          <w:tcPr/>
          <w:p>
            <w:pPr>
              <w:pStyle w:val="Compact"/>
              <w:jc w:val="left"/>
            </w:pPr>
            <w:r>
              <w:t xml:space="preserve">Conversion tax cost not analyzed</w:t>
            </w:r>
          </w:p>
        </w:tc>
      </w:tr>
      <w:tr>
        <w:tc>
          <w:tcPr/>
          <w:p>
            <w:pPr>
              <w:pStyle w:val="Compact"/>
              <w:jc w:val="left"/>
            </w:pPr>
            <w:r>
              <w:t xml:space="preserve">L-7</w:t>
            </w:r>
          </w:p>
        </w:tc>
        <w:tc>
          <w:tcPr/>
          <w:p>
            <w:pPr>
              <w:pStyle w:val="Compact"/>
              <w:jc w:val="left"/>
            </w:pPr>
            <w:r>
              <w:t xml:space="preserve">Low</w:t>
            </w:r>
          </w:p>
        </w:tc>
        <w:tc>
          <w:tcPr/>
          <w:p>
            <w:pPr>
              <w:pStyle w:val="Compact"/>
              <w:jc w:val="left"/>
            </w:pPr>
            <w:r>
              <w:t xml:space="preserve">Recapture / ordinary-income character analysis deferred</w:t>
            </w:r>
          </w:p>
        </w:tc>
        <w:tc>
          <w:tcPr/>
          <w:p>
            <w:pPr>
              <w:pStyle w:val="Compact"/>
              <w:jc w:val="left"/>
            </w:pPr>
            <w:r>
              <w:t xml:space="preserve">Asset valuation summary</w:t>
            </w:r>
          </w:p>
        </w:tc>
        <w:tc>
          <w:tcPr/>
          <w:p>
            <w:pPr>
              <w:pStyle w:val="Compact"/>
              <w:jc w:val="left"/>
            </w:pPr>
            <w:r>
              <w:t xml:space="preserve">Gain-character quantification</w:t>
            </w:r>
          </w:p>
        </w:tc>
      </w:tr>
      <w:tr>
        <w:tc>
          <w:tcPr/>
          <w:p>
            <w:pPr>
              <w:pStyle w:val="Compact"/>
              <w:jc w:val="left"/>
            </w:pPr>
            <w:r>
              <w:t xml:space="preserve">L-8</w:t>
            </w:r>
          </w:p>
        </w:tc>
        <w:tc>
          <w:tcPr/>
          <w:p>
            <w:pPr>
              <w:pStyle w:val="Compact"/>
              <w:jc w:val="left"/>
            </w:pPr>
            <w:r>
              <w:t xml:space="preserve">Low</w:t>
            </w:r>
          </w:p>
        </w:tc>
        <w:tc>
          <w:tcPr/>
          <w:p>
            <w:pPr>
              <w:pStyle w:val="Compact"/>
              <w:jc w:val="left"/>
            </w:pPr>
            <w:r>
              <w:t xml:space="preserve">Virginia / New York state tax treatment cursory</w:t>
            </w:r>
          </w:p>
        </w:tc>
        <w:tc>
          <w:tcPr/>
          <w:p>
            <w:pPr>
              <w:pStyle w:val="Compact"/>
              <w:jc w:val="left"/>
            </w:pPr>
            <w:r>
              <w:t xml:space="preserve">Thornfield §V.A</w:t>
            </w:r>
          </w:p>
        </w:tc>
        <w:tc>
          <w:tcPr/>
          <w:p>
            <w:pPr>
              <w:pStyle w:val="Compact"/>
              <w:jc w:val="left"/>
            </w:pPr>
            <w:r>
              <w:t xml:space="preserve">Non-NC/CA shareholder state exposure</w:t>
            </w:r>
          </w:p>
        </w:tc>
      </w:tr>
      <w:tr>
        <w:tc>
          <w:tcPr/>
          <w:p>
            <w:pPr>
              <w:pStyle w:val="Compact"/>
              <w:jc w:val="left"/>
            </w:pPr>
            <w:r>
              <w:t xml:space="preserve">L-9</w:t>
            </w:r>
          </w:p>
        </w:tc>
        <w:tc>
          <w:tcPr/>
          <w:p>
            <w:pPr>
              <w:pStyle w:val="Compact"/>
              <w:jc w:val="left"/>
            </w:pPr>
            <w:r>
              <w:t xml:space="preserve">Low</w:t>
            </w:r>
          </w:p>
        </w:tc>
        <w:tc>
          <w:tcPr/>
          <w:p>
            <w:pPr>
              <w:pStyle w:val="Compact"/>
              <w:jc w:val="left"/>
            </w:pPr>
            <w:r>
              <w:t xml:space="preserve">Form 8883 not referenced in filings list</w:t>
            </w:r>
          </w:p>
        </w:tc>
        <w:tc>
          <w:tcPr/>
          <w:p>
            <w:pPr>
              <w:pStyle w:val="Compact"/>
              <w:jc w:val="left"/>
            </w:pPr>
            <w:r>
              <w:t xml:space="preserve">SPA §7.3(b)</w:t>
            </w:r>
          </w:p>
        </w:tc>
        <w:tc>
          <w:tcPr/>
          <w:p>
            <w:pPr>
              <w:pStyle w:val="Compact"/>
              <w:jc w:val="left"/>
            </w:pPr>
            <w:r>
              <w:t xml:space="preserve">Post-closing compliance completeness</w:t>
            </w:r>
          </w:p>
        </w:tc>
      </w:tr>
      <w:tr>
        <w:tc>
          <w:tcPr/>
          <w:p>
            <w:pPr>
              <w:pStyle w:val="Compact"/>
              <w:jc w:val="left"/>
            </w:pPr>
            <w:r>
              <w:t xml:space="preserve">L-10</w:t>
            </w:r>
          </w:p>
        </w:tc>
        <w:tc>
          <w:tcPr/>
          <w:p>
            <w:pPr>
              <w:pStyle w:val="Compact"/>
              <w:jc w:val="left"/>
            </w:pPr>
            <w:r>
              <w:t xml:space="preserve">Low</w:t>
            </w:r>
          </w:p>
        </w:tc>
        <w:tc>
          <w:tcPr/>
          <w:p>
            <w:pPr>
              <w:pStyle w:val="Compact"/>
              <w:jc w:val="left"/>
            </w:pPr>
            <w:r>
              <w:t xml:space="preserve">2024 S corp return timing (due 3/15/2025) not addressed</w:t>
            </w:r>
          </w:p>
        </w:tc>
        <w:tc>
          <w:tcPr/>
          <w:p>
            <w:pPr>
              <w:pStyle w:val="Compact"/>
              <w:jc w:val="left"/>
            </w:pPr>
            <w:r>
              <w:t xml:space="preserve">Thornfield §IV.A</w:t>
            </w:r>
          </w:p>
        </w:tc>
        <w:tc>
          <w:tcPr/>
          <w:p>
            <w:pPr>
              <w:pStyle w:val="Compact"/>
              <w:jc w:val="left"/>
            </w:pPr>
            <w:r>
              <w:t xml:space="preserve">Filing coordination</w:t>
            </w:r>
          </w:p>
        </w:tc>
      </w:tr>
    </w:tbl>
    <w:p>
      <w:r>
        <w:pict>
          <v:rect style="width:0;height:1.5pt" o:hralign="center" o:hrstd="t" o:hr="t"/>
        </w:pict>
      </w:r>
    </w:p>
    <w:bookmarkEnd w:id="61"/>
    <w:bookmarkStart w:id="62" w:name="viii.-recommended-next-steps"/>
    <w:p>
      <w:pPr>
        <w:pStyle w:val="Heading2"/>
      </w:pPr>
      <w:r>
        <w:t xml:space="preserve">VIII. Recommended Next Steps</w:t>
      </w:r>
    </w:p>
    <w:p>
      <w:pPr>
        <w:pStyle w:val="FirstParagraph"/>
      </w:pPr>
      <w:r>
        <w:t xml:space="preserve">The following actions are recommended, in priority order, before the Memo is relied upon by the Investment Committee and before closing:</w:t>
      </w:r>
    </w:p>
    <w:p>
      <w:pPr>
        <w:numPr>
          <w:ilvl w:val="0"/>
          <w:numId w:val="1011"/>
        </w:numPr>
      </w:pPr>
      <w:r>
        <w:rPr>
          <w:b/>
          <w:bCs/>
        </w:rPr>
        <w:t xml:space="preserve">Recompute the ADSP and purchase price allocation</w:t>
      </w:r>
      <w:r>
        <w:t xml:space="preserve"> </w:t>
      </w:r>
      <w:r>
        <w:t xml:space="preserve">(C-1, H-1, H-2, H-6). Start from the amount realized on the stock ($370M) plus target liabilities; reconcile the aggregate basis to the asset valuation; correct the Class V allocation (developed technology and government software licenses); and recompute the deemed sale gain, per-shareholder allocations, and buyer D&amp;A/tax-savings estimates.</w:t>
      </w:r>
    </w:p>
    <w:p>
      <w:pPr>
        <w:numPr>
          <w:ilvl w:val="0"/>
          <w:numId w:val="1011"/>
        </w:numPr>
      </w:pPr>
      <w:r>
        <w:rPr>
          <w:b/>
          <w:bCs/>
        </w:rPr>
        <w:t xml:space="preserve">Resolve S corporation shareholder eligibility before closing</w:t>
      </w:r>
      <w:r>
        <w:t xml:space="preserve"> </w:t>
      </w:r>
      <w:r>
        <w:t xml:space="preserve">(C-2). Obtain immigration/residency documentation for the H-1B holder and all unverified holders; investigate the alleged family-LLC transfer; confirm eligibility for every year since January 1, 2017; and revise the Memo to disclose the open items and withdraw the</w:t>
      </w:r>
      <w:r>
        <w:t xml:space="preserve"> </w:t>
      </w:r>
      <w:r>
        <w:t xml:space="preserve">“</w:t>
      </w:r>
      <w:r>
        <w:t xml:space="preserve">not aware of any ineligible shareholders</w:t>
      </w:r>
      <w:r>
        <w:t xml:space="preserve">”</w:t>
      </w:r>
      <w:r>
        <w:t xml:space="preserve"> </w:t>
      </w:r>
      <w:r>
        <w:t xml:space="preserve">statement. Treat resolution as a condition to the 338(h)(10) election.</w:t>
      </w:r>
    </w:p>
    <w:p>
      <w:pPr>
        <w:numPr>
          <w:ilvl w:val="0"/>
          <w:numId w:val="1011"/>
        </w:numPr>
      </w:pPr>
      <w:r>
        <w:rPr>
          <w:b/>
          <w:bCs/>
        </w:rPr>
        <w:t xml:space="preserve">Prepare and deliver the QSBS / Section 1202 analysis</w:t>
      </w:r>
      <w:r>
        <w:t xml:space="preserve"> </w:t>
      </w:r>
      <w:r>
        <w:t xml:space="preserve">(C-3). Address the C-to-S conversion, the 338(h)(10) interaction, the $50M gross-assets test, the per-taxpayer limitations, the escrow timing, and the alternative-structure trade-offs. Provide to the selling shareholders’ advisors.</w:t>
      </w:r>
    </w:p>
    <w:p>
      <w:pPr>
        <w:numPr>
          <w:ilvl w:val="0"/>
          <w:numId w:val="1011"/>
        </w:numPr>
      </w:pPr>
      <w:r>
        <w:rPr>
          <w:b/>
          <w:bCs/>
        </w:rPr>
        <w:t xml:space="preserve">Obtain a definitive determination on the NC data processing license</w:t>
      </w:r>
      <w:r>
        <w:t xml:space="preserve"> </w:t>
      </w:r>
      <w:r>
        <w:t xml:space="preserve">(H-3). Confirm whether the license survives the reverse triangular merger and the 338(h)(10) deemed sale; analyze the impact on the government-sector revenue and PPA if it does not.</w:t>
      </w:r>
    </w:p>
    <w:p>
      <w:pPr>
        <w:numPr>
          <w:ilvl w:val="0"/>
          <w:numId w:val="1011"/>
        </w:numPr>
      </w:pPr>
      <w:r>
        <w:rPr>
          <w:b/>
          <w:bCs/>
        </w:rPr>
        <w:t xml:space="preserve">Reconcile the escrow tax treatment with the Stock Purchase Agreement</w:t>
      </w:r>
      <w:r>
        <w:t xml:space="preserve"> </w:t>
      </w:r>
      <w:r>
        <w:t xml:space="preserve">(H-5). Analyze Section 453 availability in the 338(h)(10) context and align the Memo’s recommendation with Section 7.4.</w:t>
      </w:r>
    </w:p>
    <w:p>
      <w:pPr>
        <w:numPr>
          <w:ilvl w:val="0"/>
          <w:numId w:val="1011"/>
        </w:numPr>
      </w:pPr>
      <w:r>
        <w:rPr>
          <w:b/>
          <w:bCs/>
        </w:rPr>
        <w:t xml:space="preserve">Complete the Beacon analysis</w:t>
      </w:r>
      <w:r>
        <w:t xml:space="preserve"> </w:t>
      </w:r>
      <w:r>
        <w:t xml:space="preserve">(H-7, M-4). Perform the Section 751 hot-asset analysis, evaluate the Section 754 election, perform the look-through analysis, and address the ROFR and IP license termination as closing conditions.</w:t>
      </w:r>
    </w:p>
    <w:p>
      <w:pPr>
        <w:numPr>
          <w:ilvl w:val="0"/>
          <w:numId w:val="1011"/>
        </w:numPr>
      </w:pPr>
      <w:r>
        <w:rPr>
          <w:b/>
          <w:bCs/>
        </w:rPr>
        <w:t xml:space="preserve">Clarify the rollover mechanics</w:t>
      </w:r>
      <w:r>
        <w:t xml:space="preserve"> </w:t>
      </w:r>
      <w:r>
        <w:t xml:space="preserve">(H-4). Reconcile the rollover treatment with the ADSP, specify the rollover vehicle classification, and analyze Section 351/721 availability.</w:t>
      </w:r>
    </w:p>
    <w:p>
      <w:pPr>
        <w:numPr>
          <w:ilvl w:val="0"/>
          <w:numId w:val="1011"/>
        </w:numPr>
      </w:pPr>
      <w:r>
        <w:rPr>
          <w:b/>
          <w:bCs/>
        </w:rPr>
        <w:t xml:space="preserve">Address the remaining moderate and low findings</w:t>
      </w:r>
      <w:r>
        <w:t xml:space="preserve"> </w:t>
      </w:r>
      <w:r>
        <w:t xml:space="preserve">(M-1 through M-8, L-1 through L-10), including the suspended R&amp;D credits, transfer-pricing exposure, AAA/AE&amp;P characterization, gain-allocation basis, shareholder count, non-compete character, anti-churning analysis, and the various completeness items.</w:t>
      </w:r>
    </w:p>
    <w:p>
      <w:pPr>
        <w:numPr>
          <w:ilvl w:val="0"/>
          <w:numId w:val="1011"/>
        </w:numPr>
      </w:pPr>
      <w:r>
        <w:rPr>
          <w:b/>
          <w:bCs/>
        </w:rPr>
        <w:t xml:space="preserve">Update the Memo’s open-items list</w:t>
      </w:r>
      <w:r>
        <w:t xml:space="preserve"> </w:t>
      </w:r>
      <w:r>
        <w:t xml:space="preserve">(Section IX.C) to incorporate the items above, several of which (the NC license, the Beacon ROFR/IP license, the eligibility documentation, the QSBS analysis) are not currently listed.</w:t>
      </w:r>
    </w:p>
    <w:p>
      <w:r>
        <w:pict>
          <v:rect style="width:0;height:1.5pt" o:hralign="center" o:hrstd="t" o:hr="t"/>
        </w:pict>
      </w:r>
    </w:p>
    <w:p>
      <w:pPr>
        <w:pStyle w:val="FirstParagraph"/>
      </w:pPr>
      <w:r>
        <w:rPr>
          <w:i/>
          <w:iCs/>
        </w:rPr>
        <w:t xml:space="preserve">This report has been prepared solely for the internal use of Ridgeline Capital Partners Fund III, LP and its advisors in connection with the review of the Tax Structure Memorandum. It identifies issues for further analysis and does not constitute a tax opinion. Definitive legal and tax conclusions on the matters identified should be reached in consultation with qualified tax counsel.</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2026-06-23T05:55:24Z</dcterms:created>
  <dcterms:modified xsi:type="dcterms:W3CDTF">2026-06-23T05:55:24Z</dcterms:modified>
</cp:coreProperties>
</file>

<file path=docProps/custom.xml><?xml version="1.0" encoding="utf-8"?>
<Properties xmlns="http://schemas.openxmlformats.org/officeDocument/2006/custom-properties" xmlns:vt="http://schemas.openxmlformats.org/officeDocument/2006/docPropsVTypes"/>
</file>