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 / ATTORNEY WORK PRODUCT</w:t>
      </w:r>
    </w:p>
    <w:p>
      <w:pPr>
        <w:pStyle w:val="BodyText"/>
      </w:pPr>
      <w:r>
        <w:rPr>
          <w:b/>
          <w:bCs/>
        </w:rPr>
        <w:t xml:space="preserve">KESSLER, ODOM &amp; PRATT LLP</w:t>
      </w:r>
      <w:r>
        <w:t xml:space="preserve"> </w:t>
      </w:r>
      <w:r>
        <w:t xml:space="preserve">210 South Wacker Drive, Suite 2400</w:t>
      </w:r>
      <w:r>
        <w:t xml:space="preserve"> </w:t>
      </w:r>
      <w:r>
        <w:t xml:space="preserve">Chicago, Illinois 60606</w:t>
      </w:r>
    </w:p>
    <w:p>
      <w:pPr>
        <w:pStyle w:val="BodyText"/>
      </w:pPr>
      <w:r>
        <w:rPr>
          <w:b/>
          <w:bCs/>
        </w:rPr>
        <w:t xml:space="preserve">MEMORANDUM</w:t>
      </w:r>
    </w:p>
    <w:p>
      <w:pPr>
        <w:pStyle w:val="BodyText"/>
      </w:pPr>
      <w:r>
        <w:rPr>
          <w:b/>
          <w:bCs/>
        </w:rPr>
        <w:t xml:space="preserve">TO:</w:t>
      </w:r>
      <w:r>
        <w:t xml:space="preserve"> </w:t>
      </w:r>
      <w:r>
        <w:t xml:space="preserve">Catherine Odom, Partner</w:t>
      </w:r>
      <w:r>
        <w:t xml:space="preserve"> </w:t>
      </w:r>
      <w:r>
        <w:rPr>
          <w:b/>
          <w:bCs/>
        </w:rPr>
        <w:t xml:space="preserve">FROM:</w:t>
      </w:r>
      <w:r>
        <w:t xml:space="preserve"> </w:t>
      </w:r>
      <w:r>
        <w:t xml:space="preserve">Alejandro Reyes, Associate</w:t>
      </w:r>
      <w:r>
        <w:t xml:space="preserve"> </w:t>
      </w:r>
      <w:r>
        <w:rPr>
          <w:b/>
          <w:bCs/>
        </w:rPr>
        <w:t xml:space="preserve">DATE:</w:t>
      </w:r>
      <w:r>
        <w:t xml:space="preserve"> </w:t>
      </w:r>
      <w:r>
        <w:t xml:space="preserve">January 10, 2025</w:t>
      </w:r>
      <w:r>
        <w:t xml:space="preserve"> </w:t>
      </w:r>
      <w:r>
        <w:rPr>
          <w:b/>
          <w:bCs/>
        </w:rPr>
        <w:t xml:space="preserve">RE:</w:t>
      </w:r>
      <w:r>
        <w:t xml:space="preserve"> </w:t>
      </w:r>
      <w:r>
        <w:t xml:space="preserve">Review of Husband’s Counsel’s Redlined Postnuptial Agreement (Veselka-Thornton / Thornton) — Change Analysis and Negotiation Strategy in Advance of the January 27 Four-Way Conference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January 6, 2025, we received from Thomas Baxter of Hargrove Baxter LLP a marked-up draft of the postnuptial agreement (the</w:t>
      </w:r>
      <w:r>
        <w:t xml:space="preserve"> </w:t>
      </w:r>
      <w:r>
        <w:t xml:space="preserve">“</w:t>
      </w:r>
      <w:r>
        <w:t xml:space="preserve">Redline</w:t>
      </w:r>
      <w:r>
        <w:t xml:space="preserve">”</w:t>
      </w:r>
      <w:r>
        <w:t xml:space="preserve">), transmitted with a cover email characterizing the edits as</w:t>
      </w:r>
      <w:r>
        <w:t xml:space="preserve"> </w:t>
      </w:r>
      <w:r>
        <w:t xml:space="preserve">“</w:t>
      </w:r>
      <w:r>
        <w:t xml:space="preserve">modest clarifications and a few requests for balanced treatment</w:t>
      </w:r>
      <w:r>
        <w:t xml:space="preserve">”</w:t>
      </w:r>
      <w:r>
        <w:t xml:space="preserve"> </w:t>
      </w:r>
      <w:r>
        <w:t xml:space="preserve">that do not</w:t>
      </w:r>
      <w:r>
        <w:t xml:space="preserve"> </w:t>
      </w:r>
      <w:r>
        <w:t xml:space="preserve">“</w:t>
      </w:r>
      <w:r>
        <w:t xml:space="preserve">move us far from where we started.</w:t>
      </w:r>
      <w:r>
        <w:t xml:space="preserve">”</w:t>
      </w:r>
      <w:r>
        <w:t xml:space="preserve"> </w:t>
      </w:r>
      <w:r>
        <w:rPr>
          <w:b/>
          <w:bCs/>
        </w:rPr>
        <w:t xml:space="preserve">That characterization is not accurate.</w:t>
      </w:r>
      <w:r>
        <w:t xml:space="preserve"> </w:t>
      </w:r>
      <w:r>
        <w:t xml:space="preserve">The Redline is a substantial, top-to-bottom rewrite that, behind a layer of definitional and formatting refinements, dismantles nearly every protection we built into the original draft (the</w:t>
      </w:r>
      <w:r>
        <w:t xml:space="preserve"> </w:t>
      </w:r>
      <w:r>
        <w:t xml:space="preserve">“</w:t>
      </w:r>
      <w:r>
        <w:t xml:space="preserve">Original Draft</w:t>
      </w:r>
      <w:r>
        <w:t xml:space="preserve">”</w:t>
      </w:r>
      <w:r>
        <w:t xml:space="preserve">) and strikes directly at each of Diane’s five stated objectives.</w:t>
      </w:r>
    </w:p>
    <w:p>
      <w:pPr>
        <w:pStyle w:val="BodyText"/>
      </w:pPr>
      <w:r>
        <w:t xml:space="preserve">The most consequential changes, none of which Mr. Baxter flagged in his cover email, are:</w:t>
      </w:r>
    </w:p>
    <w:p>
      <w:pPr>
        <w:pStyle w:val="Compact"/>
        <w:numPr>
          <w:ilvl w:val="0"/>
          <w:numId w:val="1001"/>
        </w:numPr>
      </w:pPr>
      <w:r>
        <w:rPr>
          <w:b/>
          <w:bCs/>
        </w:rPr>
        <w:t xml:space="preserve">Deletion of the $1.2 million premarital-savings reimbursement right</w:t>
      </w:r>
      <w:r>
        <w:t xml:space="preserve"> </w:t>
      </w:r>
      <w:r>
        <w:t xml:space="preserve">— Diane’s single most important objective and the reason she engaged us. This is approximately a</w:t>
      </w:r>
      <w:r>
        <w:t xml:space="preserve"> </w:t>
      </w:r>
      <w:r>
        <w:rPr>
          <w:b/>
          <w:bCs/>
        </w:rPr>
        <w:t xml:space="preserve">$600,000 swing</w:t>
      </w:r>
      <w:r>
        <w:t xml:space="preserve"> </w:t>
      </w:r>
      <w:r>
        <w:t xml:space="preserve">against Diane on the joint investment account alone.</w:t>
      </w:r>
    </w:p>
    <w:p>
      <w:pPr>
        <w:pStyle w:val="Compact"/>
        <w:numPr>
          <w:ilvl w:val="0"/>
          <w:numId w:val="1001"/>
        </w:numPr>
      </w:pPr>
      <w:r>
        <w:rPr>
          <w:b/>
          <w:bCs/>
        </w:rPr>
        <w:t xml:space="preserve">Gutting of the financial-disclosure and voidability protections</w:t>
      </w:r>
      <w:r>
        <w:t xml:space="preserve"> </w:t>
      </w:r>
      <w:r>
        <w:t xml:space="preserve">— replacing our</w:t>
      </w:r>
      <w:r>
        <w:t xml:space="preserve"> </w:t>
      </w:r>
      <w:r>
        <w:t xml:space="preserve">“</w:t>
      </w:r>
      <w:r>
        <w:t xml:space="preserve">material omission</w:t>
      </w:r>
      <w:r>
        <w:t xml:space="preserve">”</w:t>
      </w:r>
      <w:r>
        <w:t xml:space="preserve"> </w:t>
      </w:r>
      <w:r>
        <w:t xml:space="preserve">standard (no intent, no dollar threshold) with a heightened</w:t>
      </w:r>
      <w:r>
        <w:t xml:space="preserve"> </w:t>
      </w:r>
      <w:r>
        <w:t xml:space="preserve">“</w:t>
      </w:r>
      <w:r>
        <w:t xml:space="preserve">intentional concealment + clear and convincing evidence + $100,000 aggregate + two-year limitations</w:t>
      </w:r>
      <w:r>
        <w:t xml:space="preserve">”</w:t>
      </w:r>
      <w:r>
        <w:t xml:space="preserve"> </w:t>
      </w:r>
      <w:r>
        <w:t xml:space="preserve">regime, and deleting the ongoing disclosure duty entirely. This is the precise outcome our intake analysis warned against, and it is especially dangerous given Marcus’s documented pattern of financial concealment.</w:t>
      </w:r>
    </w:p>
    <w:p>
      <w:pPr>
        <w:pStyle w:val="Compact"/>
        <w:numPr>
          <w:ilvl w:val="0"/>
          <w:numId w:val="1001"/>
        </w:numPr>
      </w:pPr>
      <w:r>
        <w:rPr>
          <w:b/>
          <w:bCs/>
        </w:rPr>
        <w:t xml:space="preserve">Reversal of the commingling/transmutation framework</w:t>
      </w:r>
      <w:r>
        <w:t xml:space="preserve"> </w:t>
      </w:r>
      <w:r>
        <w:t xml:space="preserve">— converting our client-protective presumption (separate property used for the household becomes marital) into a Husband-protective reimbursement-only rule that insulates his $3.8 million inheritance from any marital claim.</w:t>
      </w:r>
    </w:p>
    <w:p>
      <w:pPr>
        <w:pStyle w:val="Compact"/>
        <w:numPr>
          <w:ilvl w:val="0"/>
          <w:numId w:val="1001"/>
        </w:numPr>
      </w:pPr>
      <w:r>
        <w:rPr>
          <w:b/>
          <w:bCs/>
        </w:rPr>
        <w:t xml:space="preserve">A new</w:t>
      </w:r>
      <w:r>
        <w:rPr>
          <w:b/>
          <w:bCs/>
        </w:rPr>
        <w:t xml:space="preserve"> </w:t>
      </w:r>
      <w:r>
        <w:rPr>
          <w:b/>
          <w:bCs/>
        </w:rPr>
        <w:t xml:space="preserve">“</w:t>
      </w:r>
      <w:r>
        <w:rPr>
          <w:b/>
          <w:bCs/>
        </w:rPr>
        <w:t xml:space="preserve">Earned Income</w:t>
      </w:r>
      <w:r>
        <w:rPr>
          <w:b/>
          <w:bCs/>
        </w:rPr>
        <w:t xml:space="preserve">”</w:t>
      </w:r>
      <w:r>
        <w:rPr>
          <w:b/>
          <w:bCs/>
        </w:rPr>
        <w:t xml:space="preserve"> </w:t>
      </w:r>
      <w:r>
        <w:rPr>
          <w:b/>
          <w:bCs/>
        </w:rPr>
        <w:t xml:space="preserve">definition that excludes bonuses, equity, and RSUs</w:t>
      </w:r>
      <w:r>
        <w:t xml:space="preserve">, then cross-references that definition in the Marital Property clause — a hidden term that could read variable compensation out of the marital estate, directly contradicting Diane’s instruction that the bonus be treated as income</w:t>
      </w:r>
      <w:r>
        <w:t xml:space="preserve"> </w:t>
      </w:r>
      <w:r>
        <w:t xml:space="preserve">“</w:t>
      </w:r>
      <w:r>
        <w:t xml:space="preserve">for all purposes.</w:t>
      </w:r>
      <w:r>
        <w:t xml:space="preserve">”</w:t>
      </w:r>
    </w:p>
    <w:p>
      <w:pPr>
        <w:pStyle w:val="Compact"/>
        <w:numPr>
          <w:ilvl w:val="0"/>
          <w:numId w:val="1001"/>
        </w:numPr>
      </w:pPr>
      <w:r>
        <w:rPr>
          <w:b/>
          <w:bCs/>
        </w:rPr>
        <w:t xml:space="preserve">A unilateral modification mechanism</w:t>
      </w:r>
      <w:r>
        <w:t xml:space="preserve"> </w:t>
      </w:r>
      <w:r>
        <w:t xml:space="preserve">allowing either party to amend the agreement by 90 days’ written notice unless the other objects — the one-sided change process Diane specifically asked us to prohibit.</w:t>
      </w:r>
    </w:p>
    <w:p>
      <w:pPr>
        <w:pStyle w:val="FirstParagraph"/>
      </w:pPr>
      <w:r>
        <w:t xml:space="preserve">Set against these, the Redline offers Diane a small number of genuinely favorable items — most notably an active/passive appreciation framework for her practice interest (supported by the Strand valuation report) and a set of maintenance provisions that, because Diane is the higher-earning spouse, operate in her favor as the likely payor. These appear designed to make the Redline look</w:t>
      </w:r>
      <w:r>
        <w:t xml:space="preserve"> </w:t>
      </w:r>
      <w:r>
        <w:t xml:space="preserve">“</w:t>
      </w:r>
      <w:r>
        <w:t xml:space="preserve">balanced</w:t>
      </w:r>
      <w:r>
        <w:t xml:space="preserve">”</w:t>
      </w:r>
      <w:r>
        <w:t xml:space="preserve"> </w:t>
      </w:r>
      <w:r>
        <w:t xml:space="preserve">and to shore up the overall enforceability of an agreement that is otherwise heavily tilted toward Marcus.</w:t>
      </w:r>
    </w:p>
    <w:p>
      <w:pPr>
        <w:pStyle w:val="BodyText"/>
      </w:pPr>
      <w:r>
        <w:rPr>
          <w:b/>
          <w:bCs/>
        </w:rPr>
        <w:t xml:space="preserve">Bottom-line recommendation:</w:t>
      </w:r>
      <w:r>
        <w:t xml:space="preserve"> </w:t>
      </w:r>
      <w:r>
        <w:t xml:space="preserve">We should not treat the Redline as a near-final draft. We should prepare a written response before January 27 that (a) rejects the Tier 1 items below as non-negotiable, (b) signals our willingness to accept the genuinely balanced items (active/passive appreciation, maintenance framework, severability, execution formalities), and (c) requires reconciliation of numerous factual errors. The goal for the four-way conference should be a focused, prioritized negotiation — but our</w:t>
      </w:r>
      <w:r>
        <w:t xml:space="preserve"> </w:t>
      </w:r>
      <w:r>
        <w:t xml:space="preserve">“</w:t>
      </w:r>
      <w:r>
        <w:t xml:space="preserve">short list</w:t>
      </w:r>
      <w:r>
        <w:t xml:space="preserve">”</w:t>
      </w:r>
      <w:r>
        <w:t xml:space="preserve"> </w:t>
      </w:r>
      <w:r>
        <w:t xml:space="preserve">will be materially longer than Mr. Baxter’s email implies, because the Redline moved us a great distance from the starting point on the issues that matter most to Diane.</w:t>
      </w:r>
    </w:p>
    <w:p>
      <w:r>
        <w:pict>
          <v:rect style="width:0;height:1.5pt" o:hralign="center" o:hrstd="t" o:hr="t"/>
        </w:pict>
      </w:r>
    </w:p>
    <w:bookmarkEnd w:id="20"/>
    <w:bookmarkStart w:id="21" w:name="ii.-background-and-procedural-posture"/>
    <w:p>
      <w:pPr>
        <w:pStyle w:val="Heading2"/>
      </w:pPr>
      <w:r>
        <w:t xml:space="preserve">II. Background and Procedural Posture</w:t>
      </w:r>
    </w:p>
    <w:p>
      <w:pPr>
        <w:pStyle w:val="Compact"/>
        <w:numPr>
          <w:ilvl w:val="0"/>
          <w:numId w:val="1002"/>
        </w:numPr>
      </w:pPr>
      <w:r>
        <w:rPr>
          <w:b/>
          <w:bCs/>
        </w:rPr>
        <w:t xml:space="preserve">Our client:</w:t>
      </w:r>
      <w:r>
        <w:t xml:space="preserve"> </w:t>
      </w:r>
      <w:r>
        <w:t xml:space="preserve">Diane Veselka-Thornton (</w:t>
      </w:r>
      <w:r>
        <w:t xml:space="preserve">“</w:t>
      </w:r>
      <w:r>
        <w:t xml:space="preserve">Wife</w:t>
      </w:r>
      <w:r>
        <w:t xml:space="preserve">”</w:t>
      </w:r>
      <w:r>
        <w:t xml:space="preserve">), represented by Catherine Odom. Intake meeting November 5, 2024 (see November 5 intake memo).</w:t>
      </w:r>
    </w:p>
    <w:p>
      <w:pPr>
        <w:pStyle w:val="Compact"/>
        <w:numPr>
          <w:ilvl w:val="0"/>
          <w:numId w:val="1002"/>
        </w:numPr>
      </w:pPr>
      <w:r>
        <w:rPr>
          <w:b/>
          <w:bCs/>
        </w:rPr>
        <w:t xml:space="preserve">Opposing party:</w:t>
      </w:r>
      <w:r>
        <w:t xml:space="preserve"> </w:t>
      </w:r>
      <w:r>
        <w:t xml:space="preserve">Marcus Thornton (</w:t>
      </w:r>
      <w:r>
        <w:t xml:space="preserve">“</w:t>
      </w:r>
      <w:r>
        <w:t xml:space="preserve">Husband</w:t>
      </w:r>
      <w:r>
        <w:t xml:space="preserve">”</w:t>
      </w:r>
      <w:r>
        <w:t xml:space="preserve">), represented by Thomas Baxter, Hargrove Baxter LLP.</w:t>
      </w:r>
    </w:p>
    <w:p>
      <w:pPr>
        <w:pStyle w:val="Compact"/>
        <w:numPr>
          <w:ilvl w:val="0"/>
          <w:numId w:val="1002"/>
        </w:numPr>
      </w:pPr>
      <w:r>
        <w:rPr>
          <w:b/>
          <w:bCs/>
        </w:rPr>
        <w:t xml:space="preserve">The Original Draft</w:t>
      </w:r>
      <w:r>
        <w:t xml:space="preserve"> </w:t>
      </w:r>
      <w:r>
        <w:t xml:space="preserve">was transmitted to Hargrove Baxter on December 16, 2024.</w:t>
      </w:r>
    </w:p>
    <w:p>
      <w:pPr>
        <w:pStyle w:val="Compact"/>
        <w:numPr>
          <w:ilvl w:val="0"/>
          <w:numId w:val="1002"/>
        </w:numPr>
      </w:pPr>
      <w:r>
        <w:rPr>
          <w:b/>
          <w:bCs/>
        </w:rPr>
        <w:t xml:space="preserve">The Redline</w:t>
      </w:r>
      <w:r>
        <w:t xml:space="preserve"> </w:t>
      </w:r>
      <w:r>
        <w:t xml:space="preserve">was received January 6, 2025, with Mr. Baxter’s cover email. It is labeled</w:t>
      </w:r>
      <w:r>
        <w:t xml:space="preserve"> </w:t>
      </w:r>
      <w:r>
        <w:t xml:space="preserve">“</w:t>
      </w:r>
      <w:r>
        <w:t xml:space="preserve">REVISED DRAFT — January 6, 2025</w:t>
      </w:r>
      <w:r>
        <w:t xml:space="preserve">”</w:t>
      </w:r>
      <w:r>
        <w:t xml:space="preserve"> </w:t>
      </w:r>
      <w:r>
        <w:t xml:space="preserve">and contains inline change markers (TC-01 through TC-47) and twelve margin comments (MC-01 through MC-12) authored by</w:t>
      </w:r>
      <w:r>
        <w:t xml:space="preserve"> </w:t>
      </w:r>
      <w:r>
        <w:t xml:space="preserve">“</w:t>
      </w:r>
      <w:r>
        <w:t xml:space="preserve">TB.</w:t>
      </w:r>
      <w:r>
        <w:t xml:space="preserve">”</w:t>
      </w:r>
    </w:p>
    <w:p>
      <w:pPr>
        <w:pStyle w:val="Compact"/>
        <w:numPr>
          <w:ilvl w:val="0"/>
          <w:numId w:val="1002"/>
        </w:numPr>
      </w:pPr>
      <w:r>
        <w:rPr>
          <w:b/>
          <w:bCs/>
        </w:rPr>
        <w:t xml:space="preserve">Four-way conference</w:t>
      </w:r>
      <w:r>
        <w:t xml:space="preserve"> </w:t>
      </w:r>
      <w:r>
        <w:t xml:space="preserve">scheduled for January 27, 2025. Mr. Baxter has proposed that we</w:t>
      </w:r>
      <w:r>
        <w:t xml:space="preserve"> </w:t>
      </w:r>
      <w:r>
        <w:t xml:space="preserve">“</w:t>
      </w:r>
      <w:r>
        <w:t xml:space="preserve">walk into the 27th with a short list.</w:t>
      </w:r>
      <w:r>
        <w:t xml:space="preserve">”</w:t>
      </w:r>
    </w:p>
    <w:p>
      <w:pPr>
        <w:pStyle w:val="Compact"/>
        <w:numPr>
          <w:ilvl w:val="0"/>
          <w:numId w:val="1002"/>
        </w:numPr>
      </w:pPr>
      <w:r>
        <w:rPr>
          <w:b/>
          <w:bCs/>
        </w:rPr>
        <w:t xml:space="preserve">Governing law:</w:t>
      </w:r>
      <w:r>
        <w:t xml:space="preserve"> </w:t>
      </w:r>
      <w:r>
        <w:t xml:space="preserve">Illinois Marriage and Dissolution of Marriage Act, 750 ILCS 5/502 (marital agreements), 5/503 (property), 5/504 (maintenance). Postnuptial agreements are enforceable but subject to heightened scrutiny because of the fiduciary relationship between spouses; both procedural and substantive fairness at execution are examined.</w:t>
      </w:r>
    </w:p>
    <w:p>
      <w:pPr>
        <w:pStyle w:val="FirstParagraph"/>
      </w:pPr>
      <w:r>
        <w:t xml:space="preserve">The Redline also reorganizes the entire document. The Original Draft used lettered Recitals (A–L) followed by Articles 1–15. The Redline folds the recitals into Article I (Sections 1.1–1.6) and renumbers through Article XVI. The reorganization is not itself objectionable, but it makes line-by-line comparison harder and has the effect of dropping several Original Draft provisions without replacement (addressed in Part V.O below).</w:t>
      </w:r>
    </w:p>
    <w:p>
      <w:r>
        <w:pict>
          <v:rect style="width:0;height:1.5pt" o:hralign="center" o:hrstd="t" o:hr="t"/>
        </w:pict>
      </w:r>
    </w:p>
    <w:bookmarkEnd w:id="21"/>
    <w:bookmarkStart w:id="22" w:name="X0269915c53f16e3c9c52cef1a04b5bbd70e7717"/>
    <w:p>
      <w:pPr>
        <w:pStyle w:val="Heading2"/>
      </w:pPr>
      <w:r>
        <w:t xml:space="preserve">III. The Transmittal Email Materially Understates the Changes</w:t>
      </w:r>
    </w:p>
    <w:p>
      <w:pPr>
        <w:pStyle w:val="FirstParagraph"/>
      </w:pPr>
      <w:r>
        <w:t xml:space="preserve">Mr. Baxter’s cover email flags only five items: (1) a severability clause; (2) notarization/witness signature lines; (3) the</w:t>
      </w:r>
      <w:r>
        <w:t xml:space="preserve"> </w:t>
      </w:r>
      <w:r>
        <w:t xml:space="preserve">“</w:t>
      </w:r>
      <w:r>
        <w:t xml:space="preserve">Constane</w:t>
      </w:r>
      <w:r>
        <w:t xml:space="preserve">”</w:t>
      </w:r>
      <w:r>
        <w:t xml:space="preserve"> </w:t>
      </w:r>
      <w:r>
        <w:t xml:space="preserve">→</w:t>
      </w:r>
      <w:r>
        <w:t xml:space="preserve"> </w:t>
      </w:r>
      <w:r>
        <w:t xml:space="preserve">“</w:t>
      </w:r>
      <w:r>
        <w:t xml:space="preserve">Constance</w:t>
      </w:r>
      <w:r>
        <w:t xml:space="preserve">”</w:t>
      </w:r>
      <w:r>
        <w:t xml:space="preserve"> </w:t>
      </w:r>
      <w:r>
        <w:t xml:space="preserve">spelling correction; (4) a marriage-preservation recital; and (5) the sunset-term and DuPage-venue adjustments. He describes the balance of the edits as</w:t>
      </w:r>
      <w:r>
        <w:t xml:space="preserve"> </w:t>
      </w:r>
      <w:r>
        <w:t xml:space="preserve">“</w:t>
      </w:r>
      <w:r>
        <w:t xml:space="preserve">definitional</w:t>
      </w:r>
      <w:r>
        <w:t xml:space="preserve">”</w:t>
      </w:r>
      <w:r>
        <w:t xml:space="preserve"> </w:t>
      </w:r>
      <w:r>
        <w:t xml:space="preserve">and</w:t>
      </w:r>
      <w:r>
        <w:t xml:space="preserve"> </w:t>
      </w:r>
      <w:r>
        <w:t xml:space="preserve">“</w:t>
      </w:r>
      <w:r>
        <w:t xml:space="preserve">designed to bring greater precision.</w:t>
      </w:r>
      <w:r>
        <w:t xml:space="preserve">”</w:t>
      </w:r>
    </w:p>
    <w:p>
      <w:pPr>
        <w:pStyle w:val="BodyText"/>
      </w:pPr>
      <w:r>
        <w:t xml:space="preserve">In fact, the email is silent on the changes that matter most: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Change (not mentioned in email)</w:t>
            </w:r>
          </w:p>
        </w:tc>
        <w:tc>
          <w:tcPr/>
          <w:p>
            <w:pPr>
              <w:pStyle w:val="Compact"/>
              <w:jc w:val="left"/>
            </w:pPr>
            <w:r>
              <w:t xml:space="preserve">Effect</w:t>
            </w:r>
          </w:p>
        </w:tc>
      </w:tr>
      <w:tr>
        <w:tc>
          <w:tcPr/>
          <w:p>
            <w:pPr>
              <w:pStyle w:val="Compact"/>
              <w:jc w:val="left"/>
            </w:pPr>
            <w:r>
              <w:t xml:space="preserve">Deletion of §5.2 reimbursement right (TC-22, MC-05)</w:t>
            </w:r>
          </w:p>
        </w:tc>
        <w:tc>
          <w:tcPr/>
          <w:p>
            <w:pPr>
              <w:pStyle w:val="Compact"/>
              <w:jc w:val="left"/>
            </w:pPr>
            <w:r>
              <w:t xml:space="preserve">~$600,000 loss to Diane</w:t>
            </w:r>
          </w:p>
        </w:tc>
      </w:tr>
      <w:tr>
        <w:tc>
          <w:tcPr/>
          <w:p>
            <w:pPr>
              <w:pStyle w:val="Compact"/>
              <w:jc w:val="left"/>
            </w:pPr>
            <w:r>
              <w:t xml:space="preserve">Heightened voidability standard (TC-42)</w:t>
            </w:r>
          </w:p>
        </w:tc>
        <w:tc>
          <w:tcPr/>
          <w:p>
            <w:pPr>
              <w:pStyle w:val="Compact"/>
              <w:jc w:val="left"/>
            </w:pPr>
            <w:r>
              <w:t xml:space="preserve">Eliminates the client-protective disclosure remedy</w:t>
            </w:r>
          </w:p>
        </w:tc>
      </w:tr>
      <w:tr>
        <w:tc>
          <w:tcPr/>
          <w:p>
            <w:pPr>
              <w:pStyle w:val="Compact"/>
              <w:jc w:val="left"/>
            </w:pPr>
            <w:r>
              <w:t xml:space="preserve">“</w:t>
            </w:r>
            <w:r>
              <w:t xml:space="preserve">Substantially complete</w:t>
            </w:r>
            <w:r>
              <w:t xml:space="preserve">”</w:t>
            </w:r>
            <w:r>
              <w:t xml:space="preserve"> </w:t>
            </w:r>
            <w:r>
              <w:t xml:space="preserve">disclosure (TC-06, TC-41) and</w:t>
            </w:r>
            <w:r>
              <w:t xml:space="preserve"> </w:t>
            </w:r>
            <w:r>
              <w:t xml:space="preserve">“</w:t>
            </w:r>
            <w:r>
              <w:t xml:space="preserve">generally satisfied</w:t>
            </w:r>
            <w:r>
              <w:t xml:space="preserve">”</w:t>
            </w:r>
            <w:r>
              <w:t xml:space="preserve"> </w:t>
            </w:r>
            <w:r>
              <w:t xml:space="preserve">(TC-15)</w:t>
            </w:r>
          </w:p>
        </w:tc>
        <w:tc>
          <w:tcPr/>
          <w:p>
            <w:pPr>
              <w:pStyle w:val="Compact"/>
              <w:jc w:val="left"/>
            </w:pPr>
            <w:r>
              <w:t xml:space="preserve">Waters down the disclosure representations</w:t>
            </w:r>
          </w:p>
        </w:tc>
      </w:tr>
      <w:tr>
        <w:tc>
          <w:tcPr/>
          <w:p>
            <w:pPr>
              <w:pStyle w:val="Compact"/>
              <w:jc w:val="left"/>
            </w:pPr>
            <w:r>
              <w:t xml:space="preserve">Deletion of ongoing disclosure duty (orig. §3.4) and future-debt disclosure (orig. §11.3)</w:t>
            </w:r>
          </w:p>
        </w:tc>
        <w:tc>
          <w:tcPr/>
          <w:p>
            <w:pPr>
              <w:pStyle w:val="Compact"/>
              <w:jc w:val="left"/>
            </w:pPr>
            <w:r>
              <w:t xml:space="preserve">Removes transparency Diane specifically demanded</w:t>
            </w:r>
          </w:p>
        </w:tc>
      </w:tr>
      <w:tr>
        <w:tc>
          <w:tcPr/>
          <w:p>
            <w:pPr>
              <w:pStyle w:val="Compact"/>
              <w:jc w:val="left"/>
            </w:pPr>
            <w:r>
              <w:t xml:space="preserve">Transmutation reversal (TC-18, TC-19, MC-03, MC-04)</w:t>
            </w:r>
          </w:p>
        </w:tc>
        <w:tc>
          <w:tcPr/>
          <w:p>
            <w:pPr>
              <w:pStyle w:val="Compact"/>
              <w:jc w:val="left"/>
            </w:pPr>
            <w:r>
              <w:t xml:space="preserve">Insulates Marcus’s $3.8M inheritance</w:t>
            </w:r>
          </w:p>
        </w:tc>
      </w:tr>
      <w:tr>
        <w:tc>
          <w:tcPr/>
          <w:p>
            <w:pPr>
              <w:pStyle w:val="Compact"/>
              <w:jc w:val="left"/>
            </w:pPr>
            <w:r>
              <w:t xml:space="preserve">“</w:t>
            </w:r>
            <w:r>
              <w:t xml:space="preserve">Earned Income</w:t>
            </w:r>
            <w:r>
              <w:t xml:space="preserve">”</w:t>
            </w:r>
            <w:r>
              <w:t xml:space="preserve"> </w:t>
            </w:r>
            <w:r>
              <w:t xml:space="preserve">definition applied to Marital Property (TC-08, TC-10, TC-21)</w:t>
            </w:r>
          </w:p>
        </w:tc>
        <w:tc>
          <w:tcPr/>
          <w:p>
            <w:pPr>
              <w:pStyle w:val="Compact"/>
              <w:jc w:val="left"/>
            </w:pPr>
            <w:r>
              <w:t xml:space="preserve">Could exclude bonuses/equity from marital estate</w:t>
            </w:r>
          </w:p>
        </w:tc>
      </w:tr>
      <w:tr>
        <w:tc>
          <w:tcPr/>
          <w:p>
            <w:pPr>
              <w:pStyle w:val="Compact"/>
              <w:jc w:val="left"/>
            </w:pPr>
            <w:r>
              <w:t xml:space="preserve">Coverture fraction on RSUs (TC-27, MC-07)</w:t>
            </w:r>
          </w:p>
        </w:tc>
        <w:tc>
          <w:tcPr/>
          <w:p>
            <w:pPr>
              <w:pStyle w:val="Compact"/>
              <w:jc w:val="left"/>
            </w:pPr>
            <w:r>
              <w:t xml:space="preserve">Reduces Diane’s share of unvested RSUs</w:t>
            </w:r>
          </w:p>
        </w:tc>
      </w:tr>
      <w:tr>
        <w:tc>
          <w:tcPr/>
          <w:p>
            <w:pPr>
              <w:pStyle w:val="Compact"/>
              <w:jc w:val="left"/>
            </w:pPr>
            <w:r>
              <w:t xml:space="preserve">$5,000 de minimis on debt indemnity (TC-40, MC-10)</w:t>
            </w:r>
          </w:p>
        </w:tc>
        <w:tc>
          <w:tcPr/>
          <w:p>
            <w:pPr>
              <w:pStyle w:val="Compact"/>
              <w:jc w:val="left"/>
            </w:pPr>
            <w:r>
              <w:t xml:space="preserve">Inserts the</w:t>
            </w:r>
            <w:r>
              <w:t xml:space="preserve"> </w:t>
            </w:r>
            <w:r>
              <w:t xml:space="preserve">“</w:t>
            </w:r>
            <w:r>
              <w:t xml:space="preserve">loophole</w:t>
            </w:r>
            <w:r>
              <w:t xml:space="preserve">”</w:t>
            </w:r>
            <w:r>
              <w:t xml:space="preserve"> </w:t>
            </w:r>
            <w:r>
              <w:t xml:space="preserve">Diane forbade</w:t>
            </w:r>
          </w:p>
        </w:tc>
      </w:tr>
      <w:tr>
        <w:tc>
          <w:tcPr/>
          <w:p>
            <w:pPr>
              <w:pStyle w:val="Compact"/>
              <w:jc w:val="left"/>
            </w:pPr>
            <w:r>
              <w:t xml:space="preserve">Mutual waiver of attorney’s fees (TC-44, MC-11)</w:t>
            </w:r>
          </w:p>
        </w:tc>
        <w:tc>
          <w:tcPr/>
          <w:p>
            <w:pPr>
              <w:pStyle w:val="Compact"/>
              <w:jc w:val="left"/>
            </w:pPr>
            <w:r>
              <w:t xml:space="preserve">Removes prevailing-party fee-shifting</w:t>
            </w:r>
          </w:p>
        </w:tc>
      </w:tr>
      <w:tr>
        <w:tc>
          <w:tcPr/>
          <w:p>
            <w:pPr>
              <w:pStyle w:val="Compact"/>
              <w:jc w:val="left"/>
            </w:pPr>
            <w:r>
              <w:t xml:space="preserve">Unilateral modification by 90-day notice (TC-46)</w:t>
            </w:r>
          </w:p>
        </w:tc>
        <w:tc>
          <w:tcPr/>
          <w:p>
            <w:pPr>
              <w:pStyle w:val="Compact"/>
              <w:jc w:val="left"/>
            </w:pPr>
            <w:r>
              <w:t xml:space="preserve">Creates one-sided amendment process</w:t>
            </w:r>
          </w:p>
        </w:tc>
      </w:tr>
    </w:tbl>
    <w:p>
      <w:pPr>
        <w:pStyle w:val="BodyText"/>
      </w:pPr>
      <w:r>
        <w:t xml:space="preserve">Diane warned us at intake to</w:t>
      </w:r>
      <w:r>
        <w:t xml:space="preserve"> </w:t>
      </w:r>
      <w:r>
        <w:t xml:space="preserve">“</w:t>
      </w:r>
      <w:r>
        <w:t xml:space="preserve">scrutinize any counterproposals carefully for hidden or embedded terms that might undermine her core objectives</w:t>
      </w:r>
      <w:r>
        <w:t xml:space="preserve">”</w:t>
      </w:r>
      <w:r>
        <w:t xml:space="preserve"> </w:t>
      </w:r>
      <w:r>
        <w:t xml:space="preserve">and described Mr. Baxter as a</w:t>
      </w:r>
      <w:r>
        <w:t xml:space="preserve"> </w:t>
      </w:r>
      <w:r>
        <w:t xml:space="preserve">“</w:t>
      </w:r>
      <w:r>
        <w:t xml:space="preserve">tough negotiator.</w:t>
      </w:r>
      <w:r>
        <w:t xml:space="preserve">”</w:t>
      </w:r>
      <w:r>
        <w:t xml:space="preserve"> </w:t>
      </w:r>
      <w:r>
        <w:t xml:space="preserve">The Redline is a textbook example of the dynamic she anticipated: a cordial, minimizing cover letter paired with a draft that quietly rewrites the economics. Our response should make clear — politely but unambiguously — that we have read the Redline in full and that the gap between the email’s framing and the draft’s substance is itself an issue.</w:t>
      </w:r>
    </w:p>
    <w:p>
      <w:r>
        <w:pict>
          <v:rect style="width:0;height:1.5pt" o:hralign="center" o:hrstd="t" o:hr="t"/>
        </w:pict>
      </w:r>
    </w:p>
    <w:bookmarkEnd w:id="22"/>
    <w:bookmarkStart w:id="23" w:name="X7e07f5ed179cd231ed73aa803a96add013c7ec2"/>
    <w:p>
      <w:pPr>
        <w:pStyle w:val="Heading2"/>
      </w:pPr>
      <w:r>
        <w:t xml:space="preserve">IV. Recap of Diane’s Stated Objectives (in her priority order)</w:t>
      </w:r>
    </w:p>
    <w:p>
      <w:pPr>
        <w:pStyle w:val="Compact"/>
        <w:numPr>
          <w:ilvl w:val="0"/>
          <w:numId w:val="1003"/>
        </w:numPr>
      </w:pPr>
      <w:r>
        <w:rPr>
          <w:b/>
          <w:bCs/>
        </w:rPr>
        <w:t xml:space="preserve">Protect the $1.2M premarital-savings reimbursement right</w:t>
      </w:r>
      <w:r>
        <w:t xml:space="preserve"> </w:t>
      </w:r>
      <w:r>
        <w:t xml:space="preserve">—</w:t>
      </w:r>
      <w:r>
        <w:t xml:space="preserve"> </w:t>
      </w:r>
      <w:r>
        <w:t xml:space="preserve">“</w:t>
      </w:r>
      <w:r>
        <w:t xml:space="preserve">non-negotiable,</w:t>
      </w:r>
      <w:r>
        <w:t xml:space="preserve">”</w:t>
      </w:r>
      <w:r>
        <w:t xml:space="preserve"> </w:t>
      </w:r>
      <w:r>
        <w:t xml:space="preserve">“</w:t>
      </w:r>
      <w:r>
        <w:t xml:space="preserve">the whole reason</w:t>
      </w:r>
      <w:r>
        <w:t xml:space="preserve">”</w:t>
      </w:r>
      <w:r>
        <w:t xml:space="preserve"> </w:t>
      </w:r>
      <w:r>
        <w:t xml:space="preserve">she is pursuing the agreement.</w:t>
      </w:r>
    </w:p>
    <w:p>
      <w:pPr>
        <w:pStyle w:val="Compact"/>
        <w:numPr>
          <w:ilvl w:val="0"/>
          <w:numId w:val="1003"/>
        </w:numPr>
      </w:pPr>
      <w:r>
        <w:rPr>
          <w:b/>
          <w:bCs/>
        </w:rPr>
        <w:t xml:space="preserve">Full financial transparency</w:t>
      </w:r>
      <w:r>
        <w:t xml:space="preserve"> </w:t>
      </w:r>
      <w:r>
        <w:t xml:space="preserve">— robust disclosure; voidability for</w:t>
      </w:r>
      <w:r>
        <w:t xml:space="preserve"> </w:t>
      </w:r>
      <w:r>
        <w:rPr>
          <w:i/>
          <w:iCs/>
        </w:rPr>
        <w:t xml:space="preserve">any</w:t>
      </w:r>
      <w:r>
        <w:t xml:space="preserve"> </w:t>
      </w:r>
      <w:r>
        <w:t xml:space="preserve">material omission (no high evidentiary threshold, no dollar floor); ongoing disclosure; the $68,000 debt assigned solely to Marcus with complete indemnification and</w:t>
      </w:r>
      <w:r>
        <w:t xml:space="preserve"> </w:t>
      </w:r>
      <w:r>
        <w:t xml:space="preserve">“</w:t>
      </w:r>
      <w:r>
        <w:t xml:space="preserve">no loopholes or materiality thresholds.</w:t>
      </w:r>
      <w:r>
        <w:t xml:space="preserve">”</w:t>
      </w:r>
    </w:p>
    <w:p>
      <w:pPr>
        <w:pStyle w:val="Compact"/>
        <w:numPr>
          <w:ilvl w:val="0"/>
          <w:numId w:val="1003"/>
        </w:numPr>
      </w:pPr>
      <w:r>
        <w:rPr>
          <w:b/>
          <w:bCs/>
        </w:rPr>
        <w:t xml:space="preserve">Stability for the children</w:t>
      </w:r>
      <w:r>
        <w:t xml:space="preserve"> </w:t>
      </w:r>
      <w:r>
        <w:t xml:space="preserve">— first right to purchase the marital home; a term lasting at least until Julian turns 18 (≈2034), preferably fifteen years (through ≈2040).</w:t>
      </w:r>
    </w:p>
    <w:p>
      <w:pPr>
        <w:pStyle w:val="Compact"/>
        <w:numPr>
          <w:ilvl w:val="0"/>
          <w:numId w:val="1003"/>
        </w:numPr>
      </w:pPr>
      <w:r>
        <w:rPr>
          <w:b/>
          <w:bCs/>
        </w:rPr>
        <w:t xml:space="preserve">Preserve the practice interest as separate property</w:t>
      </w:r>
      <w:r>
        <w:t xml:space="preserve"> </w:t>
      </w:r>
      <w:r>
        <w:t xml:space="preserve">— baseline valuation locked in; only post-agreement appreciation marital; no burdensome/controversial valuation methodology.</w:t>
      </w:r>
    </w:p>
    <w:p>
      <w:pPr>
        <w:pStyle w:val="Compact"/>
        <w:numPr>
          <w:ilvl w:val="0"/>
          <w:numId w:val="1003"/>
        </w:numPr>
      </w:pPr>
      <w:r>
        <w:rPr>
          <w:b/>
          <w:bCs/>
        </w:rPr>
        <w:t xml:space="preserve">Long-term enforceability</w:t>
      </w:r>
      <w:r>
        <w:t xml:space="preserve"> </w:t>
      </w:r>
      <w:r>
        <w:t xml:space="preserve">— independent counsel; adequate review time; no unconscionable terms; prevailing-party attorney’s fees; Cook County venue; modifications by mutual written consent only.</w:t>
      </w:r>
    </w:p>
    <w:p>
      <w:pPr>
        <w:pStyle w:val="FirstParagraph"/>
      </w:pPr>
      <w:r>
        <w:t xml:space="preserve">As detailed below, the Redline undermines Objectives 1, 2, 3, and 5, and partially advances Objective 4 (while introducing the very burdensome valuation process Objective 4 cautioned against).</w:t>
      </w:r>
    </w:p>
    <w:p>
      <w:r>
        <w:pict>
          <v:rect style="width:0;height:1.5pt" o:hralign="center" o:hrstd="t" o:hr="t"/>
        </w:pict>
      </w:r>
    </w:p>
    <w:bookmarkEnd w:id="23"/>
    <w:bookmarkStart w:id="39" w:name="v.-detailed-change-analysis"/>
    <w:p>
      <w:pPr>
        <w:pStyle w:val="Heading2"/>
      </w:pPr>
      <w:r>
        <w:t xml:space="preserve">V. Detailed Change Analysis</w:t>
      </w:r>
    </w:p>
    <w:bookmarkStart w:id="24" w:name="Xac73408ba6cd259dbbac21c7b3399b6c0c8cdfd"/>
    <w:p>
      <w:pPr>
        <w:pStyle w:val="Heading3"/>
      </w:pPr>
      <w:r>
        <w:t xml:space="preserve">A. Wife’s Premarital-Savings Reimbursement Right —</w:t>
      </w:r>
      <w:r>
        <w:t xml:space="preserve"> </w:t>
      </w:r>
      <w:r>
        <w:rPr>
          <w:b/>
          <w:bCs/>
        </w:rPr>
        <w:t xml:space="preserve">REJECT (non-negotiable)</w:t>
      </w:r>
    </w:p>
    <w:p>
      <w:pPr>
        <w:pStyle w:val="FirstParagraph"/>
      </w:pPr>
      <w:r>
        <w:rPr>
          <w:b/>
          <w:bCs/>
        </w:rPr>
        <w:t xml:space="preserve">Original Draft §5.2.</w:t>
      </w:r>
      <w:r>
        <w:t xml:space="preserve"> </w:t>
      </w:r>
      <w:r>
        <w:t xml:space="preserve">Diane holds a first-priority reimbursement claim of $1,200,000 against the joint investment account (</w:t>
      </w:r>
      <w:r>
        <w:t xml:space="preserve">“</w:t>
      </w:r>
      <w:r>
        <w:t xml:space="preserve">JIA</w:t>
      </w:r>
      <w:r>
        <w:t xml:space="preserve">”</w:t>
      </w:r>
      <w:r>
        <w:t xml:space="preserve">), satisfied</w:t>
      </w:r>
      <w:r>
        <w:t xml:space="preserve"> </w:t>
      </w:r>
      <w:r>
        <w:rPr>
          <w:i/>
          <w:iCs/>
        </w:rPr>
        <w:t xml:space="preserve">before</w:t>
      </w:r>
      <w:r>
        <w:t xml:space="preserve"> </w:t>
      </w:r>
      <w:r>
        <w:t xml:space="preserve">any equal division. After reimbursement, the remaining $670,000 of appreciation is split 50/50 ($335,000 each). Result: Diane receives</w:t>
      </w:r>
      <w:r>
        <w:t xml:space="preserve"> </w:t>
      </w:r>
      <w:r>
        <w:rPr>
          <w:b/>
          <w:bCs/>
        </w:rPr>
        <w:t xml:space="preserve">$1,535,000</w:t>
      </w:r>
      <w:r>
        <w:t xml:space="preserve"> </w:t>
      </w:r>
      <w:r>
        <w:t xml:space="preserve">from the JIA; Marcus receives</w:t>
      </w:r>
      <w:r>
        <w:t xml:space="preserve"> </w:t>
      </w:r>
      <w:r>
        <w:rPr>
          <w:b/>
          <w:bCs/>
        </w:rPr>
        <w:t xml:space="preserve">$335,000</w:t>
      </w:r>
      <w:r>
        <w:t xml:space="preserve">.</w:t>
      </w:r>
    </w:p>
    <w:p>
      <w:pPr>
        <w:pStyle w:val="BodyText"/>
      </w:pPr>
      <w:r>
        <w:rPr>
          <w:b/>
          <w:bCs/>
        </w:rPr>
        <w:t xml:space="preserve">Redline.</w:t>
      </w:r>
      <w:r>
        <w:t xml:space="preserve"> </w:t>
      </w:r>
      <w:r>
        <w:t xml:space="preserve">Section 5.2 is deleted in its entirety (TC-22). Margin comment MC-05 calls it</w:t>
      </w:r>
      <w:r>
        <w:t xml:space="preserve"> </w:t>
      </w:r>
      <w:r>
        <w:t xml:space="preserve">“</w:t>
      </w:r>
      <w:r>
        <w:t xml:space="preserve">duplicative of Section 5.1 general property division provisions.</w:t>
      </w:r>
      <w:r>
        <w:t xml:space="preserve">”</w:t>
      </w:r>
      <w:r>
        <w:t xml:space="preserve"> </w:t>
      </w:r>
      <w:r>
        <w:t xml:space="preserve">Under the Redline’s general 50/50 division, the $1,870,000 JIA is split equally:</w:t>
      </w:r>
      <w:r>
        <w:t xml:space="preserve"> </w:t>
      </w:r>
      <w:r>
        <w:rPr>
          <w:b/>
          <w:bCs/>
        </w:rPr>
        <w:t xml:space="preserve">$935,000 each</w:t>
      </w:r>
      <w:r>
        <w:t xml:space="preserve">.</w:t>
      </w:r>
    </w:p>
    <w:p>
      <w:pPr>
        <w:pStyle w:val="BodyText"/>
      </w:pPr>
      <w:r>
        <w:rPr>
          <w:b/>
          <w:bCs/>
        </w:rPr>
        <w:t xml:space="preserve">Impact.</w:t>
      </w:r>
      <w:r>
        <w:t xml:space="preserve"> </w:t>
      </w:r>
      <w:r>
        <w:t xml:space="preserve">This is</w:t>
      </w:r>
      <w:r>
        <w:t xml:space="preserve"> </w:t>
      </w:r>
      <w:r>
        <w:rPr>
          <w:b/>
          <w:bCs/>
        </w:rPr>
        <w:t xml:space="preserve">not</w:t>
      </w:r>
      <w:r>
        <w:t xml:space="preserve"> </w:t>
      </w:r>
      <w:r>
        <w:t xml:space="preserve">duplicative — it is the opposite of what general 50/50 division produces. The reimbursement right is the mechanism that returns Diane’s traceable premarital contribution</w:t>
      </w:r>
      <w:r>
        <w:t xml:space="preserve"> </w:t>
      </w:r>
      <w:r>
        <w:rPr>
          <w:i/>
          <w:iCs/>
        </w:rPr>
        <w:t xml:space="preserve">first</w:t>
      </w:r>
      <w:r>
        <w:t xml:space="preserve">, before the marital residue is shared. Deleting it transfers</w:t>
      </w:r>
      <w:r>
        <w:t xml:space="preserve"> </w:t>
      </w:r>
      <w:r>
        <w:rPr>
          <w:b/>
          <w:bCs/>
        </w:rPr>
        <w:t xml:space="preserve">approximately $600,000 from Diane to Marcus</w:t>
      </w:r>
      <w:r>
        <w:t xml:space="preserve"> </w:t>
      </w:r>
      <w:r>
        <w:t xml:space="preserve">($1,535,000 → $935,000 for Diane; $335,000 → $935,000 for Marcus). The financial-disclosure summary (Line W-5 / Line J-2) documents the tracing in detail: $1,200,000 wired from Diane’s premarital Northbridge account (acct.</w:t>
      </w:r>
      <w:r>
        <w:t xml:space="preserve"> </w:t>
      </w:r>
      <w:r>
        <w:rPr>
          <w:i/>
          <w:iCs/>
        </w:rPr>
        <w:t xml:space="preserve">0184, closed 2014) into the joint account (acct.</w:t>
      </w:r>
      <w:r>
        <w:rPr>
          <w:i/>
          <w:iCs/>
        </w:rPr>
        <w:t xml:space="preserve"> </w:t>
      </w:r>
      <w:r>
        <w:t xml:space="preserve">3291), with $670,000 of appreciation during the marriage. The tracing is well-supported and was the basis for our advice that a contractual first-dollar reimbursement right is enforceable under 750 ILCS 5/503(c).</w:t>
      </w:r>
    </w:p>
    <w:p>
      <w:pPr>
        <w:pStyle w:val="BodyText"/>
      </w:pPr>
      <w:r>
        <w:rPr>
          <w:b/>
          <w:bCs/>
        </w:rPr>
        <w:t xml:space="preserve">Recommendation.</w:t>
      </w:r>
      <w:r>
        <w:t xml:space="preserve"> </w:t>
      </w:r>
      <w:r>
        <w:t xml:space="preserve">Restore §5.2 in full. This is Diane’s #1 objective and she has characterized it as non-negotiable. We should rebut the</w:t>
      </w:r>
      <w:r>
        <w:t xml:space="preserve"> </w:t>
      </w:r>
      <w:r>
        <w:t xml:space="preserve">“</w:t>
      </w:r>
      <w:r>
        <w:t xml:space="preserve">duplicative</w:t>
      </w:r>
      <w:r>
        <w:t xml:space="preserve">”</w:t>
      </w:r>
      <w:r>
        <w:t xml:space="preserve"> </w:t>
      </w:r>
      <w:r>
        <w:t xml:space="preserve">characterization squarely in our response letter: the general division provision yields $935,000 to Diane, not $1,535,000; the reimbursement right is therefore not duplicative but operative and essential.</w:t>
      </w:r>
    </w:p>
    <w:bookmarkEnd w:id="24"/>
    <w:bookmarkStart w:id="25" w:name="X67263f9b33e8a60f5f79b86c23fc5c839f429f0"/>
    <w:p>
      <w:pPr>
        <w:pStyle w:val="Heading3"/>
      </w:pPr>
      <w:r>
        <w:t xml:space="preserve">B. Financial Disclosure and Voidability —</w:t>
      </w:r>
      <w:r>
        <w:t xml:space="preserve"> </w:t>
      </w:r>
      <w:r>
        <w:rPr>
          <w:b/>
          <w:bCs/>
        </w:rPr>
        <w:t xml:space="preserve">REJECT</w:t>
      </w:r>
    </w:p>
    <w:p>
      <w:pPr>
        <w:pStyle w:val="FirstParagraph"/>
      </w:pPr>
      <w:r>
        <w:rPr>
          <w:b/>
          <w:bCs/>
        </w:rPr>
        <w:t xml:space="preserve">Original Draft.</w:t>
      </w:r>
      <w:r>
        <w:t xml:space="preserve"> </w:t>
      </w:r>
      <w:r>
        <w:t xml:space="preserve">§3.1</w:t>
      </w:r>
      <w:r>
        <w:t xml:space="preserve"> </w:t>
      </w:r>
      <w:r>
        <w:t xml:space="preserve">“</w:t>
      </w:r>
      <w:r>
        <w:t xml:space="preserve">full, fair, and complete disclosure</w:t>
      </w:r>
      <w:r>
        <w:t xml:space="preserve">”</w:t>
      </w:r>
      <w:r>
        <w:t xml:space="preserve">; §3.3 voidable for</w:t>
      </w:r>
      <w:r>
        <w:t xml:space="preserve"> </w:t>
      </w:r>
      <w:r>
        <w:rPr>
          <w:i/>
          <w:iCs/>
        </w:rPr>
        <w:t xml:space="preserve">any</w:t>
      </w:r>
      <w:r>
        <w:t xml:space="preserve"> </w:t>
      </w:r>
      <w:r>
        <w:t xml:space="preserve">material omission or misrepresentation,</w:t>
      </w:r>
      <w:r>
        <w:t xml:space="preserve"> </w:t>
      </w:r>
      <w:r>
        <w:t xml:space="preserve">“</w:t>
      </w:r>
      <w:r>
        <w:t xml:space="preserve">without limitation,</w:t>
      </w:r>
      <w:r>
        <w:t xml:space="preserve">”</w:t>
      </w:r>
      <w:r>
        <w:t xml:space="preserve"> </w:t>
      </w:r>
      <w:r>
        <w:t xml:space="preserve">with no heightened evidentiary standard and no dollar threshold; §3.4 a continuing duty to disclose material changes (new assets/debts, income/employment changes, gifts/inheritances over $10,000) within 30 days.</w:t>
      </w:r>
    </w:p>
    <w:p>
      <w:pPr>
        <w:pStyle w:val="BodyText"/>
      </w:pPr>
      <w:r>
        <w:rPr>
          <w:b/>
          <w:bCs/>
        </w:rPr>
        <w:t xml:space="preserve">Redline.</w:t>
      </w:r>
    </w:p>
    <w:p>
      <w:pPr>
        <w:pStyle w:val="Compact"/>
        <w:numPr>
          <w:ilvl w:val="0"/>
          <w:numId w:val="1004"/>
        </w:numPr>
      </w:pPr>
      <w:r>
        <w:t xml:space="preserve">§1.5 (TC-06) and §12.1 (TC-41): disclosure is</w:t>
      </w:r>
      <w:r>
        <w:t xml:space="preserve"> </w:t>
      </w:r>
      <w:r>
        <w:t xml:space="preserve">“</w:t>
      </w:r>
      <w:r>
        <w:t xml:space="preserve">substantially full</w:t>
      </w:r>
      <w:r>
        <w:t xml:space="preserve">”</w:t>
      </w:r>
      <w:r>
        <w:t xml:space="preserve"> </w:t>
      </w:r>
      <w:r>
        <w:t xml:space="preserve">/</w:t>
      </w:r>
      <w:r>
        <w:t xml:space="preserve"> </w:t>
      </w:r>
      <w:r>
        <w:t xml:space="preserve">“</w:t>
      </w:r>
      <w:r>
        <w:t xml:space="preserve">substantially complete</w:t>
      </w:r>
      <w:r>
        <w:t xml:space="preserve">”</w:t>
      </w:r>
      <w:r>
        <w:t xml:space="preserve"> </w:t>
      </w:r>
      <w:r>
        <w:t xml:space="preserve">(not</w:t>
      </w:r>
      <w:r>
        <w:t xml:space="preserve"> </w:t>
      </w:r>
      <w:r>
        <w:t xml:space="preserve">“</w:t>
      </w:r>
      <w:r>
        <w:t xml:space="preserve">full and complete</w:t>
      </w:r>
      <w:r>
        <w:t xml:space="preserve">”</w:t>
      </w:r>
      <w:r>
        <w:t xml:space="preserve">).</w:t>
      </w:r>
    </w:p>
    <w:p>
      <w:pPr>
        <w:pStyle w:val="Compact"/>
        <w:numPr>
          <w:ilvl w:val="0"/>
          <w:numId w:val="1004"/>
        </w:numPr>
      </w:pPr>
      <w:r>
        <w:t xml:space="preserve">§3.1(d) (TC-15): each party is</w:t>
      </w:r>
      <w:r>
        <w:t xml:space="preserve"> </w:t>
      </w:r>
      <w:r>
        <w:t xml:space="preserve">“</w:t>
      </w:r>
      <w:r>
        <w:t xml:space="preserve">generally satisfied</w:t>
      </w:r>
      <w:r>
        <w:t xml:space="preserve">”</w:t>
      </w:r>
      <w:r>
        <w:t xml:space="preserve"> </w:t>
      </w:r>
      <w:r>
        <w:t xml:space="preserve">(not</w:t>
      </w:r>
      <w:r>
        <w:t xml:space="preserve"> </w:t>
      </w:r>
      <w:r>
        <w:t xml:space="preserve">“</w:t>
      </w:r>
      <w:r>
        <w:t xml:space="preserve">satisfied</w:t>
      </w:r>
      <w:r>
        <w:t xml:space="preserve">”</w:t>
      </w:r>
      <w:r>
        <w:t xml:space="preserve">).</w:t>
      </w:r>
    </w:p>
    <w:p>
      <w:pPr>
        <w:pStyle w:val="Compact"/>
        <w:numPr>
          <w:ilvl w:val="0"/>
          <w:numId w:val="1004"/>
        </w:numPr>
      </w:pPr>
      <w:r>
        <w:t xml:space="preserve">§12.2 (TC-42): the agreement is voidable</w:t>
      </w:r>
      <w:r>
        <w:t xml:space="preserve"> </w:t>
      </w:r>
      <w:r>
        <w:rPr>
          <w:b/>
          <w:bCs/>
        </w:rPr>
        <w:t xml:space="preserve">only if</w:t>
      </w:r>
      <w:r>
        <w:t xml:space="preserve"> </w:t>
      </w:r>
      <w:r>
        <w:t xml:space="preserve">a party proves by</w:t>
      </w:r>
      <w:r>
        <w:t xml:space="preserve"> </w:t>
      </w:r>
      <w:r>
        <w:rPr>
          <w:b/>
          <w:bCs/>
        </w:rPr>
        <w:t xml:space="preserve">clear and convincing evidence</w:t>
      </w:r>
      <w:r>
        <w:t xml:space="preserve"> </w:t>
      </w:r>
      <w:r>
        <w:t xml:space="preserve">that the other</w:t>
      </w:r>
      <w:r>
        <w:t xml:space="preserve"> </w:t>
      </w:r>
      <w:r>
        <w:rPr>
          <w:b/>
          <w:bCs/>
        </w:rPr>
        <w:t xml:space="preserve">intentionally concealed</w:t>
      </w:r>
      <w:r>
        <w:t xml:space="preserve"> </w:t>
      </w:r>
      <w:r>
        <w:t xml:space="preserve">assets/income/liabilities with an</w:t>
      </w:r>
      <w:r>
        <w:t xml:space="preserve"> </w:t>
      </w:r>
      <w:r>
        <w:rPr>
          <w:b/>
          <w:bCs/>
        </w:rPr>
        <w:t xml:space="preserve">aggregate value exceeding $100,000</w:t>
      </w:r>
      <w:r>
        <w:t xml:space="preserve">. Inadvertent errors or omissions are expressly excluded. A</w:t>
      </w:r>
      <w:r>
        <w:t xml:space="preserve"> </w:t>
      </w:r>
      <w:r>
        <w:rPr>
          <w:b/>
          <w:bCs/>
        </w:rPr>
        <w:t xml:space="preserve">two-year</w:t>
      </w:r>
      <w:r>
        <w:t xml:space="preserve"> </w:t>
      </w:r>
      <w:r>
        <w:t xml:space="preserve">limitations period runs from discovery.</w:t>
      </w:r>
    </w:p>
    <w:p>
      <w:pPr>
        <w:pStyle w:val="Compact"/>
        <w:numPr>
          <w:ilvl w:val="0"/>
          <w:numId w:val="1004"/>
        </w:numPr>
      </w:pPr>
      <w:r>
        <w:t xml:space="preserve">The ongoing disclosure duty (orig. §3.4) is</w:t>
      </w:r>
      <w:r>
        <w:t xml:space="preserve"> </w:t>
      </w:r>
      <w:r>
        <w:rPr>
          <w:b/>
          <w:bCs/>
        </w:rPr>
        <w:t xml:space="preserve">deleted entirely</w:t>
      </w:r>
      <w:r>
        <w:t xml:space="preserve">, with no replacement.</w:t>
      </w:r>
    </w:p>
    <w:p>
      <w:pPr>
        <w:pStyle w:val="FirstParagraph"/>
      </w:pPr>
      <w:r>
        <w:rPr>
          <w:b/>
          <w:bCs/>
        </w:rPr>
        <w:t xml:space="preserve">Impact.</w:t>
      </w:r>
      <w:r>
        <w:t xml:space="preserve"> </w:t>
      </w:r>
      <w:r>
        <w:t xml:space="preserve">This is the exact outcome our November 5 intake analysis warned against. Diane told us:</w:t>
      </w:r>
      <w:r>
        <w:t xml:space="preserve"> </w:t>
      </w:r>
      <w:r>
        <w:rPr>
          <w:i/>
          <w:iCs/>
        </w:rPr>
        <w:t xml:space="preserve">“</w:t>
      </w:r>
      <w:r>
        <w:rPr>
          <w:i/>
          <w:iCs/>
        </w:rPr>
        <w:t xml:space="preserve">If Marcus is hiding a $10,000 account or a $50,000 account, I want to be able to void this agreement. I don’t want a provision that only kicks in if he hides a million dollars.</w:t>
      </w:r>
      <w:r>
        <w:rPr>
          <w:i/>
          <w:iCs/>
        </w:rPr>
        <w:t xml:space="preserve">”</w:t>
      </w:r>
      <w:r>
        <w:t xml:space="preserve"> </w:t>
      </w:r>
      <w:r>
        <w:t xml:space="preserve">The Redline installs a $100,000 floor, an intent requirement, a clear-and-convincing burden, and a two-year clock — the precise</w:t>
      </w:r>
      <w:r>
        <w:t xml:space="preserve"> </w:t>
      </w:r>
      <w:r>
        <w:t xml:space="preserve">“</w:t>
      </w:r>
      <w:r>
        <w:t xml:space="preserve">heightened intentional-concealment standard or dollar-amount threshold</w:t>
      </w:r>
      <w:r>
        <w:t xml:space="preserve">”</w:t>
      </w:r>
      <w:r>
        <w:t xml:space="preserve"> </w:t>
      </w:r>
      <w:r>
        <w:t xml:space="preserve">we were directed to resist. It is particularly troubling in light of Marcus’s documented conduct: the $68,000 hidden credit-card debt discovered in mid-2024, and Diane’s report of</w:t>
      </w:r>
      <w:r>
        <w:t xml:space="preserve"> </w:t>
      </w:r>
      <w:r>
        <w:t xml:space="preserve">“</w:t>
      </w:r>
      <w:r>
        <w:t xml:space="preserve">at least two prior occasions</w:t>
      </w:r>
      <w:r>
        <w:t xml:space="preserve">”</w:t>
      </w:r>
      <w:r>
        <w:t xml:space="preserve"> </w:t>
      </w:r>
      <w:r>
        <w:t xml:space="preserve">of undisclosed purchases or accounts. The deletion of the ongoing disclosure duty removes the transparency mechanism Diane specifically requested as a guard against future concealment.</w:t>
      </w:r>
    </w:p>
    <w:p>
      <w:pPr>
        <w:pStyle w:val="BodyText"/>
      </w:pPr>
      <w:r>
        <w:rPr>
          <w:b/>
          <w:bCs/>
        </w:rPr>
        <w:t xml:space="preserve">Recommendation.</w:t>
      </w:r>
      <w:r>
        <w:t xml:space="preserve"> </w:t>
      </w:r>
      <w:r>
        <w:t xml:space="preserve">Restore</w:t>
      </w:r>
      <w:r>
        <w:t xml:space="preserve"> </w:t>
      </w:r>
      <w:r>
        <w:t xml:space="preserve">“</w:t>
      </w:r>
      <w:r>
        <w:t xml:space="preserve">full, fair, and complete</w:t>
      </w:r>
      <w:r>
        <w:t xml:space="preserve">”</w:t>
      </w:r>
      <w:r>
        <w:t xml:space="preserve"> </w:t>
      </w:r>
      <w:r>
        <w:t xml:space="preserve">disclosure language; restore the §3.3 material-omission standard (no intent, no dollar threshold, no heightened burden); delete the two-year limitations period; restore the §3.4 ongoing disclosure duty. These are Tier 1.</w:t>
      </w:r>
    </w:p>
    <w:bookmarkEnd w:id="25"/>
    <w:bookmarkStart w:id="26" w:name="X1b65516e12483dc558235a78d41958d63c76b28"/>
    <w:p>
      <w:pPr>
        <w:pStyle w:val="Heading3"/>
      </w:pPr>
      <w:r>
        <w:t xml:space="preserve">C. Ongoing Disclosure and Future-Debt Reporting —</w:t>
      </w:r>
      <w:r>
        <w:t xml:space="preserve"> </w:t>
      </w:r>
      <w:r>
        <w:rPr>
          <w:b/>
          <w:bCs/>
        </w:rPr>
        <w:t xml:space="preserve">REJECT</w:t>
      </w:r>
    </w:p>
    <w:p>
      <w:pPr>
        <w:pStyle w:val="FirstParagraph"/>
      </w:pPr>
      <w:r>
        <w:t xml:space="preserve">The Original Draft’s §3.4 (ongoing disclosure of material changes) and §11.3 (future debts over $5,000 disclosed within 15 days; failure = material breach) are both deleted in the Redline without replacement. The Redline’s §11.1 states only a general principle that each party is responsible for individual-name debts. There is no continuing transparency obligation of any kind.</w:t>
      </w:r>
    </w:p>
    <w:p>
      <w:pPr>
        <w:pStyle w:val="BodyText"/>
      </w:pPr>
      <w:r>
        <w:rPr>
          <w:b/>
          <w:bCs/>
        </w:rPr>
        <w:t xml:space="preserve">Impact.</w:t>
      </w:r>
      <w:r>
        <w:t xml:space="preserve"> </w:t>
      </w:r>
      <w:r>
        <w:t xml:space="preserve">Given that the precipitating event for this entire agreement was Marcus’s concealed debt, the absence of any ongoing disclosure or debt-reporting duty is a significant regression and contradicts Objective 2.</w:t>
      </w:r>
    </w:p>
    <w:p>
      <w:pPr>
        <w:pStyle w:val="BodyText"/>
      </w:pPr>
      <w:r>
        <w:rPr>
          <w:b/>
          <w:bCs/>
        </w:rPr>
        <w:t xml:space="preserve">Recommendation.</w:t>
      </w:r>
      <w:r>
        <w:t xml:space="preserve"> </w:t>
      </w:r>
      <w:r>
        <w:t xml:space="preserve">Restore §3.4 and §11.3. At minimum, require annual disclosure exchanges and prompt written notice of any new individual debt above an agreed threshold.</w:t>
      </w:r>
    </w:p>
    <w:bookmarkEnd w:id="26"/>
    <w:bookmarkStart w:id="27" w:name="X2a4dc4979654184422aafc9c28efe55db65f8e1"/>
    <w:p>
      <w:pPr>
        <w:pStyle w:val="Heading3"/>
      </w:pPr>
      <w:r>
        <w:t xml:space="preserve">D. Commingling, Transmutation, and Separate-Property Protection —</w:t>
      </w:r>
      <w:r>
        <w:t xml:space="preserve"> </w:t>
      </w:r>
      <w:r>
        <w:rPr>
          <w:b/>
          <w:bCs/>
        </w:rPr>
        <w:t xml:space="preserve">REJECT / RENEGOTIATE</w:t>
      </w:r>
    </w:p>
    <w:p>
      <w:pPr>
        <w:pStyle w:val="FirstParagraph"/>
      </w:pPr>
      <w:r>
        <w:rPr>
          <w:b/>
          <w:bCs/>
        </w:rPr>
        <w:t xml:space="preserve">Original Draft §4.3.</w:t>
      </w:r>
      <w:r>
        <w:t xml:space="preserve"> </w:t>
      </w:r>
      <w:r>
        <w:t xml:space="preserve">Separate property commingled with marital property is marital to the extent of commingling (subject to tracing). Critically, §4.3(b) provided that separate property used for the joint benefit of the household (mortgage, improvements, family expenses, tuition, vacations) is</w:t>
      </w:r>
      <w:r>
        <w:t xml:space="preserve"> </w:t>
      </w:r>
      <w:r>
        <w:rPr>
          <w:b/>
          <w:bCs/>
        </w:rPr>
        <w:t xml:space="preserve">deemed a gift to the marriage and treated as marital</w:t>
      </w:r>
      <w:r>
        <w:t xml:space="preserve">, with a</w:t>
      </w:r>
      <w:r>
        <w:t xml:space="preserve"> </w:t>
      </w:r>
      <w:r>
        <w:rPr>
          <w:b/>
          <w:bCs/>
        </w:rPr>
        <w:t xml:space="preserve">rebuttable presumption of transmutation</w:t>
      </w:r>
      <w:r>
        <w:t xml:space="preserve"> </w:t>
      </w:r>
      <w:r>
        <w:t xml:space="preserve">and</w:t>
      </w:r>
      <w:r>
        <w:t xml:space="preserve"> </w:t>
      </w:r>
      <w:r>
        <w:rPr>
          <w:b/>
          <w:bCs/>
        </w:rPr>
        <w:t xml:space="preserve">no requirement to prove donative intent</w:t>
      </w:r>
      <w:r>
        <w:t xml:space="preserve">. This protected Diane: if Marcus deployed inheritance funds into the household, those sums could be pulled into the marital estate.</w:t>
      </w:r>
    </w:p>
    <w:p>
      <w:pPr>
        <w:pStyle w:val="BodyText"/>
      </w:pPr>
      <w:r>
        <w:rPr>
          <w:b/>
          <w:bCs/>
        </w:rPr>
        <w:t xml:space="preserve">Redline §4.3 (TC-18, TC-19, MC-03, MC-04).</w:t>
      </w:r>
      <w:r>
        <w:t xml:space="preserve"> </w:t>
      </w:r>
      <w:r>
        <w:t xml:space="preserve">Reverses the framework. §4.3(b) weakens commingling to</w:t>
      </w:r>
      <w:r>
        <w:t xml:space="preserve"> </w:t>
      </w:r>
      <w:r>
        <w:t xml:space="preserve">“</w:t>
      </w:r>
      <w:r>
        <w:t xml:space="preserve">may, depending on the circumstances, result in reclassification… provided that tracing… remains possible.</w:t>
      </w:r>
      <w:r>
        <w:t xml:space="preserve">”</w:t>
      </w:r>
      <w:r>
        <w:t xml:space="preserve"> </w:t>
      </w:r>
      <w:r>
        <w:t xml:space="preserve">§4.3(c) provides that separate property used for joint benefit</w:t>
      </w:r>
      <w:r>
        <w:t xml:space="preserve"> </w:t>
      </w:r>
      <w:r>
        <w:rPr>
          <w:b/>
          <w:bCs/>
        </w:rPr>
        <w:t xml:space="preserve">“</w:t>
      </w:r>
      <w:r>
        <w:rPr>
          <w:b/>
          <w:bCs/>
        </w:rPr>
        <w:t xml:space="preserve">shall not be deemed commingled solely by reason of such use,</w:t>
      </w:r>
      <w:r>
        <w:rPr>
          <w:b/>
          <w:bCs/>
        </w:rPr>
        <w:t xml:space="preserve">”</w:t>
      </w:r>
      <w:r>
        <w:t xml:space="preserve"> </w:t>
      </w:r>
      <w:r>
        <w:t xml:space="preserve">and the contributing party</w:t>
      </w:r>
      <w:r>
        <w:t xml:space="preserve"> </w:t>
      </w:r>
      <w:r>
        <w:rPr>
          <w:b/>
          <w:bCs/>
        </w:rPr>
        <w:t xml:space="preserve">“</w:t>
      </w:r>
      <w:r>
        <w:rPr>
          <w:b/>
          <w:bCs/>
        </w:rPr>
        <w:t xml:space="preserve">shall retain a claim for reimbursement… with such property retaining its classification as Separate Property.</w:t>
      </w:r>
      <w:r>
        <w:rPr>
          <w:b/>
          <w:bCs/>
        </w:rPr>
        <w:t xml:space="preserve">”</w:t>
      </w:r>
      <w:r>
        <w:t xml:space="preserve"> </w:t>
      </w:r>
      <w:r>
        <w:t xml:space="preserve">§4.2 (TC-17) further grants Marcus</w:t>
      </w:r>
      <w:r>
        <w:t xml:space="preserve"> </w:t>
      </w:r>
      <w:r>
        <w:t xml:space="preserve">“</w:t>
      </w:r>
      <w:r>
        <w:t xml:space="preserve">the sole and exclusive right to manage, control, sell, transfer, encumber, or otherwise dispose of his Separate Property without the consent or joinder of Wife.</w:t>
      </w:r>
      <w:r>
        <w:t xml:space="preserve">”</w:t>
      </w:r>
    </w:p>
    <w:p>
      <w:pPr>
        <w:pStyle w:val="BodyText"/>
      </w:pPr>
      <w:r>
        <w:rPr>
          <w:b/>
          <w:bCs/>
        </w:rPr>
        <w:t xml:space="preserve">Impact.</w:t>
      </w:r>
      <w:r>
        <w:t xml:space="preserve"> </w:t>
      </w:r>
      <w:r>
        <w:t xml:space="preserve">This insulates Marcus’s $3.8 million inheritance from the marital estate. Under the Original Draft, if Marcus paid down the $612,000 mortgage or funded improvements with inheritance funds, Diane could invoke the transmutation presumption to claim a marital interest. Under the Redline, Marcus gets a reimbursement claim (repaid from the marital estate)</w:t>
      </w:r>
      <w:r>
        <w:t xml:space="preserve"> </w:t>
      </w:r>
      <w:r>
        <w:rPr>
          <w:b/>
          <w:bCs/>
        </w:rPr>
        <w:t xml:space="preserve">and</w:t>
      </w:r>
      <w:r>
        <w:t xml:space="preserve"> </w:t>
      </w:r>
      <w:r>
        <w:t xml:space="preserve">the funds retain separate character — he is made whole and the inheritance is preserved. Diane flagged this exact concern at intake: she</w:t>
      </w:r>
      <w:r>
        <w:t xml:space="preserve"> </w:t>
      </w:r>
      <w:r>
        <w:t xml:space="preserve">“</w:t>
      </w:r>
      <w:r>
        <w:t xml:space="preserve">is concerned about how the funds might be deployed during the marriage and the implications for property classification.</w:t>
      </w:r>
      <w:r>
        <w:t xml:space="preserve">”</w:t>
      </w:r>
      <w:r>
        <w:t xml:space="preserve"> </w:t>
      </w:r>
      <w:r>
        <w:t xml:space="preserve">The Redline defeats that concern. The broad disposal right in §4.2 compounds the exposure by allowing Marcus to dissipate inheritance assets without Diane’s consent.</w:t>
      </w:r>
    </w:p>
    <w:p>
      <w:pPr>
        <w:pStyle w:val="BodyText"/>
      </w:pPr>
      <w:r>
        <w:rPr>
          <w:b/>
          <w:bCs/>
        </w:rPr>
        <w:t xml:space="preserve">Recommendation.</w:t>
      </w:r>
      <w:r>
        <w:t xml:space="preserve"> </w:t>
      </w:r>
      <w:r>
        <w:t xml:space="preserve">Reject the transmutation reversal. We should propose a balanced provision that (i) retains a reimbursement right for the contributing party (a reasonable concession), but (ii) preserves a rebuttable presumption of transmutation (or, at minimum, a marital-equity interest) for substantial expenditures of separate property for joint benefit — particularly mortgage pay-downs and capital improvements that increase equity in jointly held property. We should also narrow §4.2’s disposal right to ordinary management and require consent for transactions that materially diminish the separate-property pool or affect jointly held assets.</w:t>
      </w:r>
    </w:p>
    <w:bookmarkEnd w:id="27"/>
    <w:bookmarkStart w:id="28" w:name="X8344acf3a24afa50e71a98ed6b433dbcc6aee58"/>
    <w:p>
      <w:pPr>
        <w:pStyle w:val="Heading3"/>
      </w:pPr>
      <w:r>
        <w:t xml:space="preserve">E. Definition of Marital Property and the</w:t>
      </w:r>
      <w:r>
        <w:t xml:space="preserve"> </w:t>
      </w:r>
      <w:r>
        <w:t xml:space="preserve">“</w:t>
      </w:r>
      <w:r>
        <w:t xml:space="preserve">Earned Income</w:t>
      </w:r>
      <w:r>
        <w:t xml:space="preserve">”</w:t>
      </w:r>
      <w:r>
        <w:t xml:space="preserve"> </w:t>
      </w:r>
      <w:r>
        <w:t xml:space="preserve">Definition —</w:t>
      </w:r>
      <w:r>
        <w:t xml:space="preserve"> </w:t>
      </w:r>
      <w:r>
        <w:rPr>
          <w:b/>
          <w:bCs/>
        </w:rPr>
        <w:t xml:space="preserve">REJECT (hidden term)</w:t>
      </w:r>
    </w:p>
    <w:p>
      <w:pPr>
        <w:pStyle w:val="FirstParagraph"/>
      </w:pPr>
      <w:r>
        <w:rPr>
          <w:b/>
          <w:bCs/>
        </w:rPr>
        <w:t xml:space="preserve">Original Draft §2.1(g).</w:t>
      </w:r>
      <w:r>
        <w:t xml:space="preserve"> </w:t>
      </w:r>
      <w:r>
        <w:t xml:space="preserve">Marital Property expressly</w:t>
      </w:r>
      <w:r>
        <w:t xml:space="preserve"> </w:t>
      </w:r>
      <w:r>
        <w:t xml:space="preserve">“</w:t>
      </w:r>
      <w:r>
        <w:t xml:space="preserve">includes… income, earnings, bonuses… equity compensation (including restricted stock units, stock options…)… appreciation on Separate Property attributable to marital efforts, contributions, or the investment of marital funds… and any other property that would be classified as marital property under 750 ILCS 5/503.</w:t>
      </w:r>
      <w:r>
        <w:t xml:space="preserve">”</w:t>
      </w:r>
    </w:p>
    <w:p>
      <w:pPr>
        <w:pStyle w:val="BodyText"/>
      </w:pPr>
      <w:r>
        <w:rPr>
          <w:b/>
          <w:bCs/>
        </w:rPr>
        <w:t xml:space="preserve">Redline.</w:t>
      </w:r>
      <w:r>
        <w:t xml:space="preserve"> </w:t>
      </w:r>
      <w:r>
        <w:t xml:space="preserve">New §2.1(d) (TC-10, MC-02) defines</w:t>
      </w:r>
      <w:r>
        <w:t xml:space="preserve"> </w:t>
      </w:r>
      <w:r>
        <w:t xml:space="preserve">“</w:t>
      </w:r>
      <w:r>
        <w:t xml:space="preserve">Earned Income</w:t>
      </w:r>
      <w:r>
        <w:t xml:space="preserve">”</w:t>
      </w:r>
      <w:r>
        <w:t xml:space="preserve"> </w:t>
      </w:r>
      <w:r>
        <w:t xml:space="preserve">as base salary, regular wages, and standard employment compensation, and</w:t>
      </w:r>
      <w:r>
        <w:t xml:space="preserve"> </w:t>
      </w:r>
      <w:r>
        <w:rPr>
          <w:b/>
          <w:bCs/>
        </w:rPr>
        <w:t xml:space="preserve">excludes</w:t>
      </w:r>
      <w:r>
        <w:t xml:space="preserve"> </w:t>
      </w:r>
      <w:r>
        <w:t xml:space="preserve">“</w:t>
      </w:r>
      <w:r>
        <w:t xml:space="preserve">discretionary bonuses, commissions, equity compensation, performance incentives, restricted stock or restricted stock units, stock options, or other forms of variable or contingent compensation.</w:t>
      </w:r>
      <w:r>
        <w:t xml:space="preserve">”</w:t>
      </w:r>
      <w:r>
        <w:t xml:space="preserve"> </w:t>
      </w:r>
      <w:r>
        <w:t xml:space="preserve">§2.1(b) (TC-08) and §5.1 (TC-21) then define Marital Property as</w:t>
      </w:r>
      <w:r>
        <w:t xml:space="preserve"> </w:t>
      </w:r>
      <w:r>
        <w:t xml:space="preserve">“</w:t>
      </w:r>
      <w:r>
        <w:t xml:space="preserve">all property acquired by either Party during the marriage</w:t>
      </w:r>
      <w:r>
        <w:t xml:space="preserve"> </w:t>
      </w:r>
      <w:r>
        <w:rPr>
          <w:b/>
          <w:bCs/>
        </w:rPr>
        <w:t xml:space="preserve">from Earned Income or joint efforts</w:t>
      </w:r>
      <w:r>
        <w:t xml:space="preserve">.</w:t>
      </w:r>
      <w:r>
        <w:t xml:space="preserve">”</w:t>
      </w:r>
      <w:r>
        <w:t xml:space="preserve"> </w:t>
      </w:r>
      <w:r>
        <w:t xml:space="preserve">The Original Draft’s express inclusion of bonuses, equity, and marital-effort appreciation is</w:t>
      </w:r>
      <w:r>
        <w:t xml:space="preserve"> </w:t>
      </w:r>
      <w:r>
        <w:rPr>
          <w:b/>
          <w:bCs/>
        </w:rPr>
        <w:t xml:space="preserve">removed</w:t>
      </w:r>
      <w:r>
        <w:t xml:space="preserve">.</w:t>
      </w:r>
    </w:p>
    <w:p>
      <w:pPr>
        <w:pStyle w:val="BodyText"/>
      </w:pPr>
      <w:r>
        <w:rPr>
          <w:b/>
          <w:bCs/>
        </w:rPr>
        <w:t xml:space="preserve">Impact.</w:t>
      </w:r>
      <w:r>
        <w:t xml:space="preserve"> </w:t>
      </w:r>
      <w:r>
        <w:t xml:space="preserve">This is the most carefully disguised change in the Redline. Presented as a</w:t>
      </w:r>
      <w:r>
        <w:t xml:space="preserve"> </w:t>
      </w:r>
      <w:r>
        <w:t xml:space="preserve">“</w:t>
      </w:r>
      <w:r>
        <w:t xml:space="preserve">standard</w:t>
      </w:r>
      <w:r>
        <w:t xml:space="preserve">”</w:t>
      </w:r>
      <w:r>
        <w:t xml:space="preserve"> </w:t>
      </w:r>
      <w:r>
        <w:t xml:space="preserve">definitional clarification for</w:t>
      </w:r>
      <w:r>
        <w:t xml:space="preserve"> </w:t>
      </w:r>
      <w:r>
        <w:t xml:space="preserve">“</w:t>
      </w:r>
      <w:r>
        <w:t xml:space="preserve">calculating contribution obligations</w:t>
      </w:r>
      <w:r>
        <w:t xml:space="preserve">”</w:t>
      </w:r>
      <w:r>
        <w:t xml:space="preserve"> </w:t>
      </w:r>
      <w:r>
        <w:t xml:space="preserve">(MC-02), the</w:t>
      </w:r>
      <w:r>
        <w:t xml:space="preserve"> </w:t>
      </w:r>
      <w:r>
        <w:t xml:space="preserve">“</w:t>
      </w:r>
      <w:r>
        <w:t xml:space="preserve">Earned Income</w:t>
      </w:r>
      <w:r>
        <w:t xml:space="preserve">”</w:t>
      </w:r>
      <w:r>
        <w:t xml:space="preserve"> </w:t>
      </w:r>
      <w:r>
        <w:t xml:space="preserve">definition is cross-referenced into the Marital Property clause. Read together, property acquired from bonuses, equity, and RSUs is arguably</w:t>
      </w:r>
      <w:r>
        <w:t xml:space="preserve"> </w:t>
      </w:r>
      <w:r>
        <w:rPr>
          <w:i/>
          <w:iCs/>
        </w:rPr>
        <w:t xml:space="preserve">outside</w:t>
      </w:r>
      <w:r>
        <w:t xml:space="preserve"> </w:t>
      </w:r>
      <w:r>
        <w:t xml:space="preserve">“</w:t>
      </w:r>
      <w:r>
        <w:t xml:space="preserve">Earned Income,</w:t>
      </w:r>
      <w:r>
        <w:t xml:space="preserve">”</w:t>
      </w:r>
      <w:r>
        <w:t xml:space="preserve"> </w:t>
      </w:r>
      <w:r>
        <w:t xml:space="preserve">and therefore arguably outside the Marital Property definition. The §5.1 catch-all (</w:t>
      </w:r>
      <w:r>
        <w:t xml:space="preserve">“</w:t>
      </w:r>
      <w:r>
        <w:t xml:space="preserve">all other property acquired during the marriage and not otherwise classified as Separate Property</w:t>
      </w:r>
      <w:r>
        <w:t xml:space="preserve">”</w:t>
      </w:r>
      <w:r>
        <w:t xml:space="preserve">) may recapture some of this, but the express exclusion creates ambiguity Marcus could exploit to argue that bonuses and assets acquired with bonuses are not marital. This directly contradicts (a) Diane’s instruction that the bonus be</w:t>
      </w:r>
      <w:r>
        <w:t xml:space="preserve"> </w:t>
      </w:r>
      <w:r>
        <w:t xml:space="preserve">“</w:t>
      </w:r>
      <w:r>
        <w:t xml:space="preserve">treated as income for all purposes,</w:t>
      </w:r>
      <w:r>
        <w:t xml:space="preserve">”</w:t>
      </w:r>
      <w:r>
        <w:t xml:space="preserve"> </w:t>
      </w:r>
      <w:r>
        <w:t xml:space="preserve">(b) the financial-disclosure classification of the bonus as</w:t>
      </w:r>
      <w:r>
        <w:t xml:space="preserve"> </w:t>
      </w:r>
      <w:r>
        <w:t xml:space="preserve">“</w:t>
      </w:r>
      <w:r>
        <w:t xml:space="preserve">Marital (earned during marriage)</w:t>
      </w:r>
      <w:r>
        <w:t xml:space="preserve">”</w:t>
      </w:r>
      <w:r>
        <w:t xml:space="preserve"> </w:t>
      </w:r>
      <w:r>
        <w:t xml:space="preserve">(Line H-2), and (c) the Original Draft’s express inclusion. Separately, removing</w:t>
      </w:r>
      <w:r>
        <w:t xml:space="preserve"> </w:t>
      </w:r>
      <w:r>
        <w:t xml:space="preserve">“</w:t>
      </w:r>
      <w:r>
        <w:t xml:space="preserve">appreciation on Separate Property attributable to marital efforts… or the investment of marital funds</w:t>
      </w:r>
      <w:r>
        <w:t xml:space="preserve">”</w:t>
      </w:r>
      <w:r>
        <w:t xml:space="preserve"> </w:t>
      </w:r>
      <w:r>
        <w:t xml:space="preserve">from the Marital Property definition further narrows the marital estate in Marcus’s favor (his inheritance appreciation would be entirely separate).</w:t>
      </w:r>
    </w:p>
    <w:p>
      <w:pPr>
        <w:pStyle w:val="BodyText"/>
      </w:pPr>
      <w:r>
        <w:rPr>
          <w:b/>
          <w:bCs/>
        </w:rPr>
        <w:t xml:space="preserve">Recommendation.</w:t>
      </w:r>
      <w:r>
        <w:t xml:space="preserve"> </w:t>
      </w:r>
      <w:r>
        <w:t xml:space="preserve">Reject the use of</w:t>
      </w:r>
      <w:r>
        <w:t xml:space="preserve"> </w:t>
      </w:r>
      <w:r>
        <w:t xml:space="preserve">“</w:t>
      </w:r>
      <w:r>
        <w:t xml:space="preserve">Earned Income</w:t>
      </w:r>
      <w:r>
        <w:t xml:space="preserve">”</w:t>
      </w:r>
      <w:r>
        <w:t xml:space="preserve"> </w:t>
      </w:r>
      <w:r>
        <w:t xml:space="preserve">to define Marital Property. Restore the Original Draft’s express inclusion of bonuses, equity compensation, and RSUs as Marital Property, and restore the marital-effort/marital-funds appreciation language. If Mr. Baxter wants a defined term for the maintenance calculation, we can confine</w:t>
      </w:r>
      <w:r>
        <w:t xml:space="preserve"> </w:t>
      </w:r>
      <w:r>
        <w:t xml:space="preserve">“</w:t>
      </w:r>
      <w:r>
        <w:t xml:space="preserve">Earned Income</w:t>
      </w:r>
      <w:r>
        <w:t xml:space="preserve">”</w:t>
      </w:r>
      <w:r>
        <w:t xml:space="preserve"> </w:t>
      </w:r>
      <w:r>
        <w:t xml:space="preserve">(or a differently named term) to Article X only, so it cannot bleed into property classification.</w:t>
      </w:r>
    </w:p>
    <w:bookmarkEnd w:id="28"/>
    <w:bookmarkStart w:id="29" w:name="X805f8229ad7512ff7cd7bcd49091795e8f758e5"/>
    <w:p>
      <w:pPr>
        <w:pStyle w:val="Heading3"/>
      </w:pPr>
      <w:r>
        <w:t xml:space="preserve">F. Wife’s Practice Interest — Active/Passive Appreciation —</w:t>
      </w:r>
      <w:r>
        <w:t xml:space="preserve"> </w:t>
      </w:r>
      <w:r>
        <w:rPr>
          <w:b/>
          <w:bCs/>
        </w:rPr>
        <w:t xml:space="preserve">ACCEPT WITH REFINEMENTS</w:t>
      </w:r>
    </w:p>
    <w:p>
      <w:pPr>
        <w:pStyle w:val="FirstParagraph"/>
      </w:pPr>
      <w:r>
        <w:rPr>
          <w:b/>
          <w:bCs/>
        </w:rPr>
        <w:t xml:space="preserve">Original Draft §6.1(b).</w:t>
      </w:r>
      <w:r>
        <w:t xml:space="preserve"> </w:t>
      </w:r>
      <w:r>
        <w:rPr>
          <w:i/>
          <w:iCs/>
        </w:rPr>
        <w:t xml:space="preserve">All</w:t>
      </w:r>
      <w:r>
        <w:t xml:space="preserve"> </w:t>
      </w:r>
      <w:r>
        <w:t xml:space="preserve">appreciation above the $1,650,000 baseline is marital,</w:t>
      </w:r>
      <w:r>
        <w:t xml:space="preserve"> </w:t>
      </w:r>
      <w:r>
        <w:t xml:space="preserve">“</w:t>
      </w:r>
      <w:r>
        <w:t xml:space="preserve">regardless of the source or cause,</w:t>
      </w:r>
      <w:r>
        <w:t xml:space="preserve">”</w:t>
      </w:r>
      <w:r>
        <w:t xml:space="preserve"> </w:t>
      </w:r>
      <w:r>
        <w:t xml:space="preserve">split 50/50.</w:t>
      </w:r>
    </w:p>
    <w:p>
      <w:pPr>
        <w:pStyle w:val="BodyText"/>
      </w:pPr>
      <w:r>
        <w:rPr>
          <w:b/>
          <w:bCs/>
        </w:rPr>
        <w:t xml:space="preserve">Redline §6.1 (TC-25, MC-06).</w:t>
      </w:r>
      <w:r>
        <w:t xml:space="preserve"> </w:t>
      </w:r>
      <w:r>
        <w:t xml:space="preserve">Only appreciation</w:t>
      </w:r>
      <w:r>
        <w:t xml:space="preserve"> </w:t>
      </w:r>
      <w:r>
        <w:t xml:space="preserve">“</w:t>
      </w:r>
      <w:r>
        <w:t xml:space="preserve">directly attributable to the active personal efforts of Wife</w:t>
      </w:r>
      <w:r>
        <w:t xml:space="preserve">”</w:t>
      </w:r>
      <w:r>
        <w:t xml:space="preserve"> </w:t>
      </w:r>
      <w:r>
        <w:t xml:space="preserve">is marital; appreciation from market forces, reimbursement-rate changes, regulatory changes, passive investment returns, or other non-effort factors remains Wife’s separate property. A qualified forensic valuation expert (mutually agreed or court-appointed) makes the determination.</w:t>
      </w:r>
    </w:p>
    <w:p>
      <w:pPr>
        <w:pStyle w:val="BodyText"/>
      </w:pPr>
      <w:r>
        <w:rPr>
          <w:b/>
          <w:bCs/>
        </w:rPr>
        <w:t xml:space="preserve">Impact.</w:t>
      </w:r>
      <w:r>
        <w:t xml:space="preserve"> </w:t>
      </w:r>
      <w:r>
        <w:t xml:space="preserve">This change is</w:t>
      </w:r>
      <w:r>
        <w:t xml:space="preserve"> </w:t>
      </w:r>
      <w:r>
        <w:rPr>
          <w:b/>
          <w:bCs/>
        </w:rPr>
        <w:t xml:space="preserve">favorable to Diane</w:t>
      </w:r>
      <w:r>
        <w:t xml:space="preserve"> </w:t>
      </w:r>
      <w:r>
        <w:t xml:space="preserve">and is supported by the Strand Valuation Report. Section 9 of the Strand report decomposes the practice’s revenue growth: approximately</w:t>
      </w:r>
      <w:r>
        <w:t xml:space="preserve"> </w:t>
      </w:r>
      <w:r>
        <w:rPr>
          <w:b/>
          <w:bCs/>
        </w:rPr>
        <w:t xml:space="preserve">60% is passive</w:t>
      </w:r>
      <w:r>
        <w:t xml:space="preserve"> </w:t>
      </w:r>
      <w:r>
        <w:t xml:space="preserve">(insurance-reimbursement rate increases ≈35%; demographic expansion ≈25%) and</w:t>
      </w:r>
      <w:r>
        <w:t xml:space="preserve"> </w:t>
      </w:r>
      <w:r>
        <w:rPr>
          <w:b/>
          <w:bCs/>
        </w:rPr>
        <w:t xml:space="preserve">≈40% is active</w:t>
      </w:r>
      <w:r>
        <w:t xml:space="preserve"> </w:t>
      </w:r>
      <w:r>
        <w:t xml:space="preserve">(physician recruitment ≈25%; operational improvements ≈15%). The report’s Application Note concludes that</w:t>
      </w:r>
      <w:r>
        <w:t xml:space="preserve"> </w:t>
      </w:r>
      <w:r>
        <w:t xml:space="preserve">“</w:t>
      </w:r>
      <w:r>
        <w:t xml:space="preserve">a significant majority of any appreciation… approximately 60%… would likely be attributable to passive, market-driven factors.</w:t>
      </w:r>
      <w:r>
        <w:t xml:space="preserve">”</w:t>
      </w:r>
      <w:r>
        <w:t xml:space="preserve"> </w:t>
      </w:r>
      <w:r>
        <w:t xml:space="preserve">Under the Original Draft, Marcus would take 50% of</w:t>
      </w:r>
      <w:r>
        <w:t xml:space="preserve"> </w:t>
      </w:r>
      <w:r>
        <w:rPr>
          <w:i/>
          <w:iCs/>
        </w:rPr>
        <w:t xml:space="preserve">all</w:t>
      </w:r>
      <w:r>
        <w:t xml:space="preserve"> </w:t>
      </w:r>
      <w:r>
        <w:t xml:space="preserve">appreciation; under the Redline, he takes 50% only of the active slice — roughly 50% × 40% =</w:t>
      </w:r>
      <w:r>
        <w:t xml:space="preserve"> </w:t>
      </w:r>
      <w:r>
        <w:rPr>
          <w:b/>
          <w:bCs/>
        </w:rPr>
        <w:t xml:space="preserve">~20% of total appreciation</w:t>
      </w:r>
      <w:r>
        <w:t xml:space="preserve">. This is a meaningful gain for Diane.</w:t>
      </w:r>
    </w:p>
    <w:p>
      <w:pPr>
        <w:pStyle w:val="BodyText"/>
      </w:pPr>
      <w:r>
        <w:t xml:space="preserve">We should nevertheless recognize why Husband’s counsel offered it: the Original Draft’s</w:t>
      </w:r>
      <w:r>
        <w:t xml:space="preserve"> </w:t>
      </w:r>
      <w:r>
        <w:t xml:space="preserve">“</w:t>
      </w:r>
      <w:r>
        <w:t xml:space="preserve">all appreciation is marital regardless of source</w:t>
      </w:r>
      <w:r>
        <w:t xml:space="preserve">”</w:t>
      </w:r>
      <w:r>
        <w:t xml:space="preserve"> </w:t>
      </w:r>
      <w:r>
        <w:t xml:space="preserve">was legally aggressive and vulnerable to an overreaching/unconscionability challenge; conceding the recognized Illinois active/passive doctrine removes that vulnerability and helps the overall (Marcus-favorable) agreement withstand scrutiny. It also packages the Redline as</w:t>
      </w:r>
      <w:r>
        <w:t xml:space="preserve"> </w:t>
      </w:r>
      <w:r>
        <w:t xml:space="preserve">“</w:t>
      </w:r>
      <w:r>
        <w:t xml:space="preserve">balanced.</w:t>
      </w:r>
      <w:r>
        <w:t xml:space="preserve">”</w:t>
      </w:r>
      <w:r>
        <w:t xml:space="preserve"> </w:t>
      </w:r>
      <w:r>
        <w:t xml:space="preserve">We can accept it on the merits while keeping our focus on the items that harm Diane.</w:t>
      </w:r>
    </w:p>
    <w:p>
      <w:pPr>
        <w:pStyle w:val="BodyText"/>
      </w:pPr>
      <w:r>
        <w:rPr>
          <w:b/>
          <w:bCs/>
        </w:rPr>
        <w:t xml:space="preserve">Refinements to negotiate.</w:t>
      </w:r>
      <w:r>
        <w:t xml:space="preserve"> </w:t>
      </w:r>
      <w:r>
        <w:t xml:space="preserve">(i) The</w:t>
      </w:r>
      <w:r>
        <w:t xml:space="preserve"> </w:t>
      </w:r>
      <w:r>
        <w:t xml:space="preserve">“</w:t>
      </w:r>
      <w:r>
        <w:t xml:space="preserve">directly attributable to the active personal efforts of Wife</w:t>
      </w:r>
      <w:r>
        <w:t xml:space="preserve">”</w:t>
      </w:r>
      <w:r>
        <w:t xml:space="preserve"> </w:t>
      </w:r>
      <w:r>
        <w:t xml:space="preserve">standard is</w:t>
      </w:r>
      <w:r>
        <w:t xml:space="preserve"> </w:t>
      </w:r>
      <w:r>
        <w:rPr>
          <w:i/>
          <w:iCs/>
        </w:rPr>
        <w:t xml:space="preserve">stricter</w:t>
      </w:r>
      <w:r>
        <w:t xml:space="preserve"> </w:t>
      </w:r>
      <w:r>
        <w:t xml:space="preserve">than the report’s</w:t>
      </w:r>
      <w:r>
        <w:t xml:space="preserve"> </w:t>
      </w:r>
      <w:r>
        <w:t xml:space="preserve">“</w:t>
      </w:r>
      <w:r>
        <w:t xml:space="preserve">active factors involving the physician-owners (including Wife).</w:t>
      </w:r>
      <w:r>
        <w:t xml:space="preserve">”</w:t>
      </w:r>
      <w:r>
        <w:t xml:space="preserve"> </w:t>
      </w:r>
      <w:r>
        <w:t xml:space="preserve">While a stricter standard favors Diane, it also invites expensive, contentious forensic analysis at dissolution — the very</w:t>
      </w:r>
      <w:r>
        <w:t xml:space="preserve"> </w:t>
      </w:r>
      <w:r>
        <w:t xml:space="preserve">“</w:t>
      </w:r>
      <w:r>
        <w:t xml:space="preserve">burdensome valuation methodology</w:t>
      </w:r>
      <w:r>
        <w:t xml:space="preserve">”</w:t>
      </w:r>
      <w:r>
        <w:t xml:space="preserve"> </w:t>
      </w:r>
      <w:r>
        <w:t xml:space="preserve">Diane asked us to avoid (Objective 4). We should propose a streamlined process: pre-agree the Strand 60/40 attribution as a rebuttable default, cap valuation frequency, or specify a single agreed firm. (ii) Lock the $1,650,000 baseline and the Strand methodology. (iii) Preserve the Redline’s helpful acknowledgment that the Operating Agreement’s transfer restrictions control and that Wife cannot be compelled to transfer the interest.</w:t>
      </w:r>
    </w:p>
    <w:bookmarkEnd w:id="29"/>
    <w:bookmarkStart w:id="30" w:name="X427050e69d4ced9bec48ad523cb7c3141bd850b"/>
    <w:p>
      <w:pPr>
        <w:pStyle w:val="Heading3"/>
      </w:pPr>
      <w:r>
        <w:t xml:space="preserve">G. Husband’s RSUs — Coverture Fraction —</w:t>
      </w:r>
      <w:r>
        <w:t xml:space="preserve"> </w:t>
      </w:r>
      <w:r>
        <w:rPr>
          <w:b/>
          <w:bCs/>
        </w:rPr>
        <w:t xml:space="preserve">NEGOTIABLE</w:t>
      </w:r>
    </w:p>
    <w:p>
      <w:pPr>
        <w:pStyle w:val="FirstParagraph"/>
      </w:pPr>
      <w:r>
        <w:rPr>
          <w:b/>
          <w:bCs/>
        </w:rPr>
        <w:t xml:space="preserve">Original Draft §7.1–7.2.</w:t>
      </w:r>
      <w:r>
        <w:t xml:space="preserve"> </w:t>
      </w:r>
      <w:r>
        <w:t xml:space="preserve">The 12,000 RSUs are</w:t>
      </w:r>
      <w:r>
        <w:t xml:space="preserve"> </w:t>
      </w:r>
      <w:r>
        <w:t xml:space="preserve">“</w:t>
      </w:r>
      <w:r>
        <w:t xml:space="preserve">entirely marital</w:t>
      </w:r>
      <w:r>
        <w:t xml:space="preserve">”</w:t>
      </w:r>
      <w:r>
        <w:t xml:space="preserve"> </w:t>
      </w:r>
      <w:r>
        <w:t xml:space="preserve">(grant and full vesting period within the marriage) and split 50/50.</w:t>
      </w:r>
    </w:p>
    <w:p>
      <w:pPr>
        <w:pStyle w:val="BodyText"/>
      </w:pPr>
      <w:r>
        <w:rPr>
          <w:b/>
          <w:bCs/>
        </w:rPr>
        <w:t xml:space="preserve">Redline §7.1 (TC-27, MC-07).</w:t>
      </w:r>
      <w:r>
        <w:t xml:space="preserve"> </w:t>
      </w:r>
      <w:r>
        <w:t xml:space="preserve">Applies a coverture fraction: Wife receives 50% × (months of marriage during the</w:t>
      </w:r>
      <w:r>
        <w:t xml:space="preserve"> </w:t>
      </w:r>
      <w:r>
        <w:t xml:space="preserve">“</w:t>
      </w:r>
      <w:r>
        <w:t xml:space="preserve">Relevant Service Period</w:t>
      </w:r>
      <w:r>
        <w:t xml:space="preserve">”</w:t>
      </w:r>
      <w:r>
        <w:t xml:space="preserve"> </w:t>
      </w:r>
      <w:r>
        <w:t xml:space="preserve">through Dissolution or vesting, whichever is earlier) ÷ (total months in the Relevant Service Period). The</w:t>
      </w:r>
      <w:r>
        <w:t xml:space="preserve"> </w:t>
      </w:r>
      <w:r>
        <w:t xml:space="preserve">“</w:t>
      </w:r>
      <w:r>
        <w:t xml:space="preserve">Relevant Service Period</w:t>
      </w:r>
      <w:r>
        <w:t xml:space="preserve">”</w:t>
      </w:r>
      <w:r>
        <w:t xml:space="preserve"> </w:t>
      </w:r>
      <w:r>
        <w:t xml:space="preserve">runs from Marcus’s</w:t>
      </w:r>
      <w:r>
        <w:t xml:space="preserve"> </w:t>
      </w:r>
      <w:r>
        <w:rPr>
          <w:b/>
          <w:bCs/>
        </w:rPr>
        <w:t xml:space="preserve">hire date (March 15, 2018)</w:t>
      </w:r>
      <w:r>
        <w:t xml:space="preserve"> </w:t>
      </w:r>
      <w:r>
        <w:t xml:space="preserve">through the final vesting date of the applicable tranche.</w:t>
      </w:r>
    </w:p>
    <w:p>
      <w:pPr>
        <w:pStyle w:val="BodyText"/>
      </w:pPr>
      <w:r>
        <w:rPr>
          <w:b/>
          <w:bCs/>
        </w:rPr>
        <w:t xml:space="preserve">Impact.</w:t>
      </w:r>
      <w:r>
        <w:t xml:space="preserve"> </w:t>
      </w:r>
      <w:r>
        <w:t xml:space="preserve">Because the marriage (June 2013) predates Marcus’s hire (March 2018), the entire service period falls within the marriage. For any tranche that has</w:t>
      </w:r>
      <w:r>
        <w:t xml:space="preserve"> </w:t>
      </w:r>
      <w:r>
        <w:rPr>
          <w:b/>
          <w:bCs/>
        </w:rPr>
        <w:t xml:space="preserve">already vested</w:t>
      </w:r>
      <w:r>
        <w:t xml:space="preserve"> </w:t>
      </w:r>
      <w:r>
        <w:t xml:space="preserve">at dissolution, the fraction is 1.0 and Wife gets 50% — identical to the Original Draft. The reduction arises only for</w:t>
      </w:r>
      <w:r>
        <w:t xml:space="preserve"> </w:t>
      </w:r>
      <w:r>
        <w:rPr>
          <w:b/>
          <w:bCs/>
        </w:rPr>
        <w:t xml:space="preserve">unvested</w:t>
      </w:r>
      <w:r>
        <w:t xml:space="preserve"> </w:t>
      </w:r>
      <w:r>
        <w:t xml:space="preserve">tranches at dissolution. Illustrative example (dissolution January 2026, after Tranche 1, before Tranches 2 and 3):</w:t>
      </w:r>
    </w:p>
    <w:p>
      <w:pPr>
        <w:pStyle w:val="Compact"/>
        <w:numPr>
          <w:ilvl w:val="0"/>
          <w:numId w:val="1005"/>
        </w:numPr>
      </w:pPr>
      <w:r>
        <w:t xml:space="preserve">Tranche 2 (vests 1/1/2026): fraction ≈ 87/94 ≈ 0.93 → Wife ≈ 46.3% (vs. 50%).</w:t>
      </w:r>
    </w:p>
    <w:p>
      <w:pPr>
        <w:pStyle w:val="Compact"/>
        <w:numPr>
          <w:ilvl w:val="0"/>
          <w:numId w:val="1005"/>
        </w:numPr>
      </w:pPr>
      <w:r>
        <w:t xml:space="preserve">Tranche 3 (vests 1/1/2027): fraction ≈ 87/106 ≈ 0.82 → Wife ≈ 41.0% (vs. 50%).</w:t>
      </w:r>
    </w:p>
    <w:p>
      <w:pPr>
        <w:pStyle w:val="FirstParagraph"/>
      </w:pPr>
      <w:r>
        <w:t xml:space="preserve">At the current $38.00/share, the aggregate reduction is modest — on the order of</w:t>
      </w:r>
      <w:r>
        <w:t xml:space="preserve"> </w:t>
      </w:r>
      <w:r>
        <w:rPr>
          <w:b/>
          <w:bCs/>
        </w:rPr>
        <w:t xml:space="preserve">$20,000–$50,000</w:t>
      </w:r>
      <w:r>
        <w:t xml:space="preserve"> </w:t>
      </w:r>
      <w:r>
        <w:t xml:space="preserve">depending on timing — though it grows if dissolution occurs earlier and if the share price appreciates. Notably, Mr. Baxter’s choice of the</w:t>
      </w:r>
      <w:r>
        <w:t xml:space="preserve"> </w:t>
      </w:r>
      <w:r>
        <w:rPr>
          <w:b/>
          <w:bCs/>
        </w:rPr>
        <w:t xml:space="preserve">hire date</w:t>
      </w:r>
      <w:r>
        <w:t xml:space="preserve"> </w:t>
      </w:r>
      <w:r>
        <w:t xml:space="preserve">(rather than the grant date) as the service-period start is</w:t>
      </w:r>
      <w:r>
        <w:t xml:space="preserve"> </w:t>
      </w:r>
      <w:r>
        <w:rPr>
          <w:i/>
          <w:iCs/>
        </w:rPr>
        <w:t xml:space="preserve">relatively favorable</w:t>
      </w:r>
      <w:r>
        <w:t xml:space="preserve"> </w:t>
      </w:r>
      <w:r>
        <w:t xml:space="preserve">to Diane, because the pre-grant service (2018–2024) is counted in both numerator and denominator, pulling the fraction closer to 1.0 than a grant-based fraction would.</w:t>
      </w:r>
    </w:p>
    <w:p>
      <w:pPr>
        <w:pStyle w:val="BodyText"/>
      </w:pPr>
      <w:r>
        <w:rPr>
          <w:b/>
          <w:bCs/>
        </w:rPr>
        <w:t xml:space="preserve">Recommendation.</w:t>
      </w:r>
      <w:r>
        <w:t xml:space="preserve"> </w:t>
      </w:r>
      <w:r>
        <w:t xml:space="preserve">This is a recognized Illinois methodology and the dollar impact is modest. We can accept the coverture framework in exchange for concessions on Tier 1 items, provided the mechanics are clear (counting method, treatment of the already-vested Tranche 1, and the notice/documentation obligations, which the Redline usefully strengthens). If we prefer to hold the line on Diane’s</w:t>
      </w:r>
      <w:r>
        <w:t xml:space="preserve"> </w:t>
      </w:r>
      <w:r>
        <w:t xml:space="preserve">“</w:t>
      </w:r>
      <w:r>
        <w:t xml:space="preserve">equal division</w:t>
      </w:r>
      <w:r>
        <w:t xml:space="preserve">”</w:t>
      </w:r>
      <w:r>
        <w:t xml:space="preserve"> </w:t>
      </w:r>
      <w:r>
        <w:t xml:space="preserve">expectation, we can seek to restore 50/50 as a fallback trade.</w:t>
      </w:r>
    </w:p>
    <w:bookmarkEnd w:id="30"/>
    <w:bookmarkStart w:id="31" w:name="X56cec266d5534cdd32ed9fe9bca1f5577e0c65a"/>
    <w:p>
      <w:pPr>
        <w:pStyle w:val="Heading3"/>
      </w:pPr>
      <w:r>
        <w:t xml:space="preserve">H. Spousal Maintenance —</w:t>
      </w:r>
      <w:r>
        <w:t xml:space="preserve"> </w:t>
      </w:r>
      <w:r>
        <w:rPr>
          <w:b/>
          <w:bCs/>
        </w:rPr>
        <w:t xml:space="preserve">ACCEPT (favorable to Diane), with one caution</w:t>
      </w:r>
    </w:p>
    <w:p>
      <w:pPr>
        <w:pStyle w:val="FirstParagraph"/>
      </w:pPr>
      <w:r>
        <w:t xml:space="preserve">Diane earns $487,000; Marcus earns $305,000 (base $215,000 + bonus $90,000). Diane is the higher earner and therefore the</w:t>
      </w:r>
      <w:r>
        <w:t xml:space="preserve"> </w:t>
      </w:r>
      <w:r>
        <w:rPr>
          <w:b/>
          <w:bCs/>
        </w:rPr>
        <w:t xml:space="preserve">payor</w:t>
      </w:r>
      <w:r>
        <w:t xml:space="preserve">; Marcus is the prospective</w:t>
      </w:r>
      <w:r>
        <w:t xml:space="preserve"> </w:t>
      </w:r>
      <w:r>
        <w:rPr>
          <w:b/>
          <w:bCs/>
        </w:rPr>
        <w:t xml:space="preserve">recipient</w:t>
      </w:r>
      <w:r>
        <w:t xml:space="preserve">. Every maintenance change in the Redline reduces Marcus’s recovery and therefore favors Diane:</w:t>
      </w:r>
    </w:p>
    <w:p>
      <w:pPr>
        <w:pStyle w:val="Compact"/>
        <w:numPr>
          <w:ilvl w:val="0"/>
          <w:numId w:val="1006"/>
        </w:numPr>
      </w:pPr>
      <w:r>
        <w:rPr>
          <w:b/>
          <w:bCs/>
        </w:rPr>
        <w:t xml:space="preserve">§10.2 (TC-36, MC-08):</w:t>
      </w:r>
      <w:r>
        <w:t xml:space="preserve"> </w:t>
      </w:r>
      <w:r>
        <w:t xml:space="preserve">duration cap reduced from</w:t>
      </w:r>
      <w:r>
        <w:t xml:space="preserve"> </w:t>
      </w:r>
      <w:r>
        <w:rPr>
          <w:b/>
          <w:bCs/>
        </w:rPr>
        <w:t xml:space="preserve">5 years to 3 years</w:t>
      </w:r>
      <w:r>
        <w:t xml:space="preserve">.</w:t>
      </w:r>
    </w:p>
    <w:p>
      <w:pPr>
        <w:pStyle w:val="Compact"/>
        <w:numPr>
          <w:ilvl w:val="0"/>
          <w:numId w:val="1006"/>
        </w:numPr>
      </w:pPr>
      <w:r>
        <w:rPr>
          <w:b/>
          <w:bCs/>
        </w:rPr>
        <w:t xml:space="preserve">§10.3 (TC-37, MC-09):</w:t>
      </w:r>
      <w:r>
        <w:t xml:space="preserve"> </w:t>
      </w:r>
      <w:r>
        <w:t xml:space="preserve">new automatic, irrevocable waiver if the eligible (lower-earning) spouse’s gross annual income exceeds</w:t>
      </w:r>
      <w:r>
        <w:t xml:space="preserve"> </w:t>
      </w:r>
      <w:r>
        <w:rPr>
          <w:b/>
          <w:bCs/>
        </w:rPr>
        <w:t xml:space="preserve">$200,000</w:t>
      </w:r>
      <w:r>
        <w:t xml:space="preserve">. Marcus’s current gross ($305,000) exceeds $200,000, so he would be</w:t>
      </w:r>
      <w:r>
        <w:t xml:space="preserve"> </w:t>
      </w:r>
      <w:r>
        <w:rPr>
          <w:b/>
          <w:bCs/>
        </w:rPr>
        <w:t xml:space="preserve">waived entirely</w:t>
      </w:r>
      <w:r>
        <w:t xml:space="preserve">.</w:t>
      </w:r>
    </w:p>
    <w:p>
      <w:pPr>
        <w:pStyle w:val="Compact"/>
        <w:numPr>
          <w:ilvl w:val="0"/>
          <w:numId w:val="1006"/>
        </w:numPr>
      </w:pPr>
      <w:r>
        <w:rPr>
          <w:b/>
          <w:bCs/>
        </w:rPr>
        <w:t xml:space="preserve">§10.4 (TC-38):</w:t>
      </w:r>
      <w:r>
        <w:t xml:space="preserve"> </w:t>
      </w:r>
      <w:r>
        <w:t xml:space="preserve">maintenance calculated on</w:t>
      </w:r>
      <w:r>
        <w:t xml:space="preserve"> </w:t>
      </w:r>
      <w:r>
        <w:rPr>
          <w:b/>
          <w:bCs/>
        </w:rPr>
        <w:t xml:space="preserve">Earned Income</w:t>
      </w:r>
      <w:r>
        <w:t xml:space="preserve"> </w:t>
      </w:r>
      <w:r>
        <w:t xml:space="preserve">(excluding bonuses/equity), further constraining the base.</w:t>
      </w:r>
    </w:p>
    <w:p>
      <w:pPr>
        <w:pStyle w:val="FirstParagraph"/>
      </w:pPr>
      <w:r>
        <w:rPr>
          <w:b/>
          <w:bCs/>
        </w:rPr>
        <w:t xml:space="preserve">Impact.</w:t>
      </w:r>
      <w:r>
        <w:t xml:space="preserve"> </w:t>
      </w:r>
      <w:r>
        <w:t xml:space="preserve">Under the Original Draft (5-year cap, Gross Income, no waiver), Marcus could have sought roughly</w:t>
      </w:r>
      <w:r>
        <w:t xml:space="preserve"> </w:t>
      </w:r>
      <w:r>
        <w:rPr>
          <w:b/>
          <w:bCs/>
        </w:rPr>
        <w:t xml:space="preserve">$84,000/year for up to 5 years (≈$422,000)</w:t>
      </w:r>
      <w:r>
        <w:t xml:space="preserve"> </w:t>
      </w:r>
      <w:r>
        <w:t xml:space="preserve">under the 750 ILCS 5/504(b-1) formula. Under the Redline, the $200,000 waiver eliminates his claim in the expected case — a potential</w:t>
      </w:r>
      <w:r>
        <w:t xml:space="preserve"> </w:t>
      </w:r>
      <w:r>
        <w:rPr>
          <w:b/>
          <w:bCs/>
        </w:rPr>
        <w:t xml:space="preserve">~$400,000+ savings</w:t>
      </w:r>
      <w:r>
        <w:t xml:space="preserve"> </w:t>
      </w:r>
      <w:r>
        <w:t xml:space="preserve">for Diane, contingent on dissolution occurring while Marcus’s income exceeds $200,000. Margin comment MC-09 calls the waiver</w:t>
      </w:r>
      <w:r>
        <w:t xml:space="preserve"> </w:t>
      </w:r>
      <w:r>
        <w:t xml:space="preserve">“</w:t>
      </w:r>
      <w:r>
        <w:t xml:space="preserve">fair and reasonable</w:t>
      </w:r>
      <w:r>
        <w:t xml:space="preserve">”</w:t>
      </w:r>
      <w:r>
        <w:t xml:space="preserve"> </w:t>
      </w:r>
      <w:r>
        <w:t xml:space="preserve">and says it</w:t>
      </w:r>
      <w:r>
        <w:t xml:space="preserve"> </w:t>
      </w:r>
      <w:r>
        <w:t xml:space="preserve">“</w:t>
      </w:r>
      <w:r>
        <w:t xml:space="preserve">benefits both parties equally.</w:t>
      </w:r>
      <w:r>
        <w:t xml:space="preserve">”</w:t>
      </w:r>
      <w:r>
        <w:t xml:space="preserve"> </w:t>
      </w:r>
      <w:r>
        <w:t xml:space="preserve">It does not: it eliminates the</w:t>
      </w:r>
      <w:r>
        <w:t xml:space="preserve"> </w:t>
      </w:r>
      <w:r>
        <w:rPr>
          <w:i/>
          <w:iCs/>
        </w:rPr>
        <w:t xml:space="preserve">lower-earning</w:t>
      </w:r>
      <w:r>
        <w:t xml:space="preserve"> </w:t>
      </w:r>
      <w:r>
        <w:t xml:space="preserve">spouse’s maintenance, and the lower-earning spouse here is Marcus. The framing is misleading.</w:t>
      </w:r>
    </w:p>
    <w:p>
      <w:pPr>
        <w:pStyle w:val="BodyText"/>
      </w:pPr>
      <w:r>
        <w:rPr>
          <w:b/>
          <w:bCs/>
        </w:rPr>
        <w:t xml:space="preserve">Caution.</w:t>
      </w:r>
      <w:r>
        <w:t xml:space="preserve"> </w:t>
      </w:r>
      <w:r>
        <w:t xml:space="preserve">The $200,000 threshold sits just below Marcus’s base salary ($215,000). A modest income decline (loss of bonus, salary adjustment, job change) could drop him below $200,000 and</w:t>
      </w:r>
      <w:r>
        <w:t xml:space="preserve"> </w:t>
      </w:r>
      <w:r>
        <w:rPr>
          <w:b/>
          <w:bCs/>
        </w:rPr>
        <w:t xml:space="preserve">restore</w:t>
      </w:r>
      <w:r>
        <w:t xml:space="preserve"> </w:t>
      </w:r>
      <w:r>
        <w:t xml:space="preserve">his eligibility — at which point the 3-year cap and Earned-Income calculation apply. The waiver is therefore less robust than it appears. Separately, the Earned-Income calculation (excluding Marcus’s bonus) would, counterintuitively,</w:t>
      </w:r>
      <w:r>
        <w:t xml:space="preserve"> </w:t>
      </w:r>
      <w:r>
        <w:rPr>
          <w:i/>
          <w:iCs/>
        </w:rPr>
        <w:t xml:space="preserve">increase</w:t>
      </w:r>
      <w:r>
        <w:t xml:space="preserve"> </w:t>
      </w:r>
      <w:r>
        <w:t xml:space="preserve">the income disparity and could</w:t>
      </w:r>
      <w:r>
        <w:t xml:space="preserve"> </w:t>
      </w:r>
      <w:r>
        <w:rPr>
          <w:i/>
          <w:iCs/>
        </w:rPr>
        <w:t xml:space="preserve">raise</w:t>
      </w:r>
      <w:r>
        <w:t xml:space="preserve"> </w:t>
      </w:r>
      <w:r>
        <w:t xml:space="preserve">any maintenance award in the sub-$200,000 scenario. We should accept these provisions as net-favorable but not over-rely on the waiver, and we must ensure the</w:t>
      </w:r>
      <w:r>
        <w:t xml:space="preserve"> </w:t>
      </w:r>
      <w:r>
        <w:t xml:space="preserve">“</w:t>
      </w:r>
      <w:r>
        <w:t xml:space="preserve">Earned Income</w:t>
      </w:r>
      <w:r>
        <w:t xml:space="preserve">”</w:t>
      </w:r>
      <w:r>
        <w:t xml:space="preserve"> </w:t>
      </w:r>
      <w:r>
        <w:t xml:space="preserve">term is confined to Article X (see Part V.E).</w:t>
      </w:r>
    </w:p>
    <w:p>
      <w:pPr>
        <w:pStyle w:val="BodyText"/>
      </w:pPr>
      <w:r>
        <w:rPr>
          <w:b/>
          <w:bCs/>
        </w:rPr>
        <w:t xml:space="preserve">Recommendation.</w:t>
      </w:r>
      <w:r>
        <w:t xml:space="preserve"> </w:t>
      </w:r>
      <w:r>
        <w:t xml:space="preserve">Accept the maintenance framework. Treat it as a Marcus concession that we will not disturb — but do not allow it to distract from the certain property losses, and do not let</w:t>
      </w:r>
      <w:r>
        <w:t xml:space="preserve"> </w:t>
      </w:r>
      <w:r>
        <w:t xml:space="preserve">“</w:t>
      </w:r>
      <w:r>
        <w:t xml:space="preserve">Earned Income</w:t>
      </w:r>
      <w:r>
        <w:t xml:space="preserve">”</w:t>
      </w:r>
      <w:r>
        <w:t xml:space="preserve"> </w:t>
      </w:r>
      <w:r>
        <w:t xml:space="preserve">migrate into the property definitions.</w:t>
      </w:r>
    </w:p>
    <w:bookmarkEnd w:id="31"/>
    <w:bookmarkStart w:id="32" w:name="X8417e4395c6530902279030c82170f7cbdb8352"/>
    <w:p>
      <w:pPr>
        <w:pStyle w:val="Heading3"/>
      </w:pPr>
      <w:r>
        <w:t xml:space="preserve">I. Identified Debt ($68,000) Indemnification —</w:t>
      </w:r>
      <w:r>
        <w:t xml:space="preserve"> </w:t>
      </w:r>
      <w:r>
        <w:rPr>
          <w:b/>
          <w:bCs/>
        </w:rPr>
        <w:t xml:space="preserve">REJECT the de minimis threshold</w:t>
      </w:r>
    </w:p>
    <w:p>
      <w:pPr>
        <w:pStyle w:val="FirstParagraph"/>
      </w:pPr>
      <w:r>
        <w:rPr>
          <w:b/>
          <w:bCs/>
        </w:rPr>
        <w:t xml:space="preserve">Original Draft §11.1.</w:t>
      </w:r>
      <w:r>
        <w:t xml:space="preserve"> </w:t>
      </w:r>
      <w:r>
        <w:t xml:space="preserve">Marcus assumes sole responsibility for the $68,000, indemnifies Diane</w:t>
      </w:r>
      <w:r>
        <w:t xml:space="preserve"> </w:t>
      </w:r>
      <w:r>
        <w:t xml:space="preserve">“</w:t>
      </w:r>
      <w:r>
        <w:t xml:space="preserve">without limitation as to the amount or nature of individual claims,</w:t>
      </w:r>
      <w:r>
        <w:t xml:space="preserve">”</w:t>
      </w:r>
      <w:r>
        <w:t xml:space="preserve"> </w:t>
      </w:r>
      <w:r>
        <w:t xml:space="preserve">and Diane has no obligation to contribute.</w:t>
      </w:r>
    </w:p>
    <w:p>
      <w:pPr>
        <w:pStyle w:val="BodyText"/>
      </w:pPr>
      <w:r>
        <w:rPr>
          <w:b/>
          <w:bCs/>
        </w:rPr>
        <w:t xml:space="preserve">Redline §11.2 (TC-40, MC-10).</w:t>
      </w:r>
      <w:r>
        <w:t xml:space="preserve"> </w:t>
      </w:r>
      <w:r>
        <w:t xml:space="preserve">Marcus indemnifies Diane,</w:t>
      </w:r>
      <w:r>
        <w:t xml:space="preserve"> </w:t>
      </w:r>
      <w:r>
        <w:rPr>
          <w:b/>
          <w:bCs/>
        </w:rPr>
        <w:t xml:space="preserve">“</w:t>
      </w:r>
      <w:r>
        <w:rPr>
          <w:b/>
          <w:bCs/>
        </w:rPr>
        <w:t xml:space="preserve">provided that such claims are material and exceed Five Thousand Dollars ($5,000) individually,</w:t>
      </w:r>
      <w:r>
        <w:rPr>
          <w:b/>
          <w:bCs/>
        </w:rPr>
        <w:t xml:space="preserve">”</w:t>
      </w:r>
      <w:r>
        <w:t xml:space="preserve"> </w:t>
      </w:r>
      <w:r>
        <w:t xml:space="preserve">and the indemnity</w:t>
      </w:r>
      <w:r>
        <w:t xml:space="preserve"> </w:t>
      </w:r>
      <w:r>
        <w:t xml:space="preserve">“</w:t>
      </w:r>
      <w:r>
        <w:t xml:space="preserve">shall not extend to claims… less than Five Thousand Dollars ($5,000).</w:t>
      </w:r>
      <w:r>
        <w:t xml:space="preserve">”</w:t>
      </w:r>
      <w:r>
        <w:t xml:space="preserve"> </w:t>
      </w:r>
      <w:r>
        <w:t xml:space="preserve">The Redline usefully adds a 24-month payoff requirement and quarterly written statements.</w:t>
      </w:r>
    </w:p>
    <w:p>
      <w:pPr>
        <w:pStyle w:val="BodyText"/>
      </w:pPr>
      <w:r>
        <w:rPr>
          <w:b/>
          <w:bCs/>
        </w:rPr>
        <w:t xml:space="preserve">Impact.</w:t>
      </w:r>
      <w:r>
        <w:t xml:space="preserve"> </w:t>
      </w:r>
      <w:r>
        <w:t xml:space="preserve">Diane told us she wants the debt assigned to Marcus</w:t>
      </w:r>
      <w:r>
        <w:t xml:space="preserve"> </w:t>
      </w:r>
      <w:r>
        <w:t xml:space="preserve">“</w:t>
      </w:r>
      <w:r>
        <w:t xml:space="preserve">with no loopholes or materiality thresholds.</w:t>
      </w:r>
      <w:r>
        <w:t xml:space="preserve">”</w:t>
      </w:r>
      <w:r>
        <w:t xml:space="preserve"> </w:t>
      </w:r>
      <w:r>
        <w:t xml:space="preserve">The $5,000 de minimis is precisely the kind of loophole she forbade. Credit-card collections often arrive as multiple smaller charges or sub-$5,000 actions; the threshold could leave Diane exposed to nuisance claims below the floor. The 24-month payoff and quarterly reporting are good and we should keep them.</w:t>
      </w:r>
    </w:p>
    <w:p>
      <w:pPr>
        <w:pStyle w:val="BodyText"/>
      </w:pPr>
      <w:r>
        <w:rPr>
          <w:b/>
          <w:bCs/>
        </w:rPr>
        <w:t xml:space="preserve">Recommendation.</w:t>
      </w:r>
      <w:r>
        <w:t xml:space="preserve"> </w:t>
      </w:r>
      <w:r>
        <w:t xml:space="preserve">Delete the $5,000 de minimis; restore</w:t>
      </w:r>
      <w:r>
        <w:t xml:space="preserve"> </w:t>
      </w:r>
      <w:r>
        <w:t xml:space="preserve">“</w:t>
      </w:r>
      <w:r>
        <w:t xml:space="preserve">without limitation as to the amount or nature of individual claims.</w:t>
      </w:r>
      <w:r>
        <w:t xml:space="preserve">”</w:t>
      </w:r>
      <w:r>
        <w:t xml:space="preserve"> </w:t>
      </w:r>
      <w:r>
        <w:t xml:space="preserve">Retain the 24-month payoff and quarterly-statement provisions.</w:t>
      </w:r>
    </w:p>
    <w:bookmarkEnd w:id="32"/>
    <w:bookmarkStart w:id="33" w:name="X3da9c51655cb32f6e013f9edbb60dcc32a2f351"/>
    <w:p>
      <w:pPr>
        <w:pStyle w:val="Heading3"/>
      </w:pPr>
      <w:r>
        <w:t xml:space="preserve">J. Marital Residence Buyout —</w:t>
      </w:r>
      <w:r>
        <w:t xml:space="preserve"> </w:t>
      </w:r>
      <w:r>
        <w:rPr>
          <w:b/>
          <w:bCs/>
        </w:rPr>
        <w:t xml:space="preserve">NEGOTIATE TERMS</w:t>
      </w:r>
    </w:p>
    <w:p>
      <w:pPr>
        <w:pStyle w:val="FirstParagraph"/>
      </w:pPr>
      <w:r>
        <w:rPr>
          <w:b/>
          <w:bCs/>
        </w:rPr>
        <w:t xml:space="preserve">Original Draft §9.2.</w:t>
      </w:r>
      <w:r>
        <w:t xml:space="preserve"> </w:t>
      </w:r>
      <w:r>
        <w:t xml:space="preserve">Diane has a right of first refusal; 60 days to exercise; payment within</w:t>
      </w:r>
      <w:r>
        <w:t xml:space="preserve"> </w:t>
      </w:r>
      <w:r>
        <w:rPr>
          <w:b/>
          <w:bCs/>
        </w:rPr>
        <w:t xml:space="preserve">24 months</w:t>
      </w:r>
      <w:r>
        <w:t xml:space="preserve">; AFR interest; three-appraiser tiebreaker if parties cannot agree.</w:t>
      </w:r>
    </w:p>
    <w:p>
      <w:pPr>
        <w:pStyle w:val="BodyText"/>
      </w:pPr>
      <w:r>
        <w:rPr>
          <w:b/>
          <w:bCs/>
        </w:rPr>
        <w:t xml:space="preserve">Redline §9.2 (TC-33, TC-34).</w:t>
      </w:r>
      <w:r>
        <w:t xml:space="preserve"> </w:t>
      </w:r>
      <w:r>
        <w:t xml:space="preserve">Diane has a first right of purchase;</w:t>
      </w:r>
      <w:r>
        <w:t xml:space="preserve"> </w:t>
      </w:r>
      <w:r>
        <w:rPr>
          <w:b/>
          <w:bCs/>
        </w:rPr>
        <w:t xml:space="preserve">30 days</w:t>
      </w:r>
      <w:r>
        <w:t xml:space="preserve"> </w:t>
      </w:r>
      <w:r>
        <w:t xml:space="preserve">to exercise after receiving the appraisal; payment over</w:t>
      </w:r>
      <w:r>
        <w:t xml:space="preserve"> </w:t>
      </w:r>
      <w:r>
        <w:rPr>
          <w:b/>
          <w:bCs/>
        </w:rPr>
        <w:t xml:space="preserve">18 months</w:t>
      </w:r>
      <w:r>
        <w:t xml:space="preserve">; AFR interest</w:t>
      </w:r>
      <w:r>
        <w:t xml:space="preserve"> </w:t>
      </w:r>
      <w:r>
        <w:rPr>
          <w:b/>
          <w:bCs/>
        </w:rPr>
        <w:t xml:space="preserve">compounded monthly</w:t>
      </w:r>
      <w:r>
        <w:t xml:space="preserve">,</w:t>
      </w:r>
      <w:r>
        <w:t xml:space="preserve"> </w:t>
      </w:r>
      <w:r>
        <w:rPr>
          <w:b/>
          <w:bCs/>
        </w:rPr>
        <w:t xml:space="preserve">secured by a lien</w:t>
      </w:r>
      <w:r>
        <w:t xml:space="preserve">; adds Husband’s right to purchase on the same terms if Diane declines; appraisal within 60 days of commencement of dissolution proceedings.</w:t>
      </w:r>
    </w:p>
    <w:p>
      <w:pPr>
        <w:pStyle w:val="BodyText"/>
      </w:pPr>
      <w:r>
        <w:rPr>
          <w:b/>
          <w:bCs/>
        </w:rPr>
        <w:t xml:space="preserve">Impact.</w:t>
      </w:r>
      <w:r>
        <w:t xml:space="preserve"> </w:t>
      </w:r>
      <w:r>
        <w:t xml:space="preserve">The core protection Diane wanted — a first right to purchase so the children can remain in their home and school district — is preserved, which is good. The terms are tighter: 30 days (vs. 60) to exercise and 18 months (vs. 24) to pay make it harder for Diane to arrange financing. The lien is reasonable security for Marcus and is acceptable. Adding Husband’s purchase right if Diane declines is fair.</w:t>
      </w:r>
    </w:p>
    <w:p>
      <w:pPr>
        <w:pStyle w:val="BodyText"/>
      </w:pPr>
      <w:r>
        <w:rPr>
          <w:b/>
          <w:bCs/>
        </w:rPr>
        <w:t xml:space="preserve">Recommendation.</w:t>
      </w:r>
      <w:r>
        <w:t xml:space="preserve"> </w:t>
      </w:r>
      <w:r>
        <w:t xml:space="preserve">Accept the structure; negotiate the exercise period back to</w:t>
      </w:r>
      <w:r>
        <w:t xml:space="preserve"> </w:t>
      </w:r>
      <w:r>
        <w:rPr>
          <w:b/>
          <w:bCs/>
        </w:rPr>
        <w:t xml:space="preserve">60 days</w:t>
      </w:r>
      <w:r>
        <w:t xml:space="preserve"> </w:t>
      </w:r>
      <w:r>
        <w:t xml:space="preserve">and the payment period back to</w:t>
      </w:r>
      <w:r>
        <w:t xml:space="preserve"> </w:t>
      </w:r>
      <w:r>
        <w:rPr>
          <w:b/>
          <w:bCs/>
        </w:rPr>
        <w:t xml:space="preserve">24 months</w:t>
      </w:r>
      <w:r>
        <w:t xml:space="preserve"> </w:t>
      </w:r>
      <w:r>
        <w:t xml:space="preserve">to give Diane realistic financing room. Accept the lien and the Husband’s fallback purchase right.</w:t>
      </w:r>
    </w:p>
    <w:bookmarkEnd w:id="33"/>
    <w:bookmarkStart w:id="34" w:name="k.-attorneys-fees-reject"/>
    <w:p>
      <w:pPr>
        <w:pStyle w:val="Heading3"/>
      </w:pPr>
      <w:r>
        <w:t xml:space="preserve">K. Attorney’s Fees —</w:t>
      </w:r>
      <w:r>
        <w:t xml:space="preserve"> </w:t>
      </w:r>
      <w:r>
        <w:rPr>
          <w:b/>
          <w:bCs/>
        </w:rPr>
        <w:t xml:space="preserve">REJECT</w:t>
      </w:r>
    </w:p>
    <w:p>
      <w:pPr>
        <w:pStyle w:val="FirstParagraph"/>
      </w:pPr>
      <w:r>
        <w:rPr>
          <w:b/>
          <w:bCs/>
        </w:rPr>
        <w:t xml:space="preserve">Original Draft §13.2.</w:t>
      </w:r>
      <w:r>
        <w:t xml:space="preserve"> </w:t>
      </w:r>
      <w:r>
        <w:t xml:space="preserve">Prevailing party recovers reasonable fees and costs.</w:t>
      </w:r>
    </w:p>
    <w:p>
      <w:pPr>
        <w:pStyle w:val="BodyText"/>
      </w:pPr>
      <w:r>
        <w:rPr>
          <w:b/>
          <w:bCs/>
        </w:rPr>
        <w:t xml:space="preserve">Redline §13.2 (TC-44, MC-11).</w:t>
      </w:r>
      <w:r>
        <w:t xml:space="preserve"> </w:t>
      </w:r>
      <w:r>
        <w:t xml:space="preserve">Each party bears its own fees; mutual waiver of any fee award. MC-11 frames this as promoting</w:t>
      </w:r>
      <w:r>
        <w:t xml:space="preserve"> </w:t>
      </w:r>
      <w:r>
        <w:t xml:space="preserve">“</w:t>
      </w:r>
      <w:r>
        <w:t xml:space="preserve">amicable resolution.</w:t>
      </w:r>
      <w:r>
        <w:t xml:space="preserve">”</w:t>
      </w:r>
    </w:p>
    <w:p>
      <w:pPr>
        <w:pStyle w:val="BodyText"/>
      </w:pPr>
      <w:r>
        <w:rPr>
          <w:b/>
          <w:bCs/>
        </w:rPr>
        <w:t xml:space="preserve">Impact.</w:t>
      </w:r>
      <w:r>
        <w:t xml:space="preserve"> </w:t>
      </w:r>
      <w:r>
        <w:t xml:space="preserve">Diane asked for a prevailing-party provision to deter frivolous challenges (Objective 5(d)). The mutual waiver removes her ability to recover fees if she must enforce the agreement — a real concern given Marcus’s history of concealment, which may require enforcement. The</w:t>
      </w:r>
      <w:r>
        <w:t xml:space="preserve"> </w:t>
      </w:r>
      <w:r>
        <w:t xml:space="preserve">“</w:t>
      </w:r>
      <w:r>
        <w:t xml:space="preserve">amicable resolution</w:t>
      </w:r>
      <w:r>
        <w:t xml:space="preserve">”</w:t>
      </w:r>
      <w:r>
        <w:t xml:space="preserve"> </w:t>
      </w:r>
      <w:r>
        <w:t xml:space="preserve">framing cuts against Diane: the party more likely to need to enforce (Diane, policing disclosure and the reimbursement right) loses the fee incentive.</w:t>
      </w:r>
    </w:p>
    <w:p>
      <w:pPr>
        <w:pStyle w:val="BodyText"/>
      </w:pPr>
      <w:r>
        <w:rPr>
          <w:b/>
          <w:bCs/>
        </w:rPr>
        <w:t xml:space="preserve">Recommendation.</w:t>
      </w:r>
      <w:r>
        <w:t xml:space="preserve"> </w:t>
      </w:r>
      <w:r>
        <w:t xml:space="preserve">Restore the prevailing-party provision.</w:t>
      </w:r>
    </w:p>
    <w:bookmarkEnd w:id="34"/>
    <w:bookmarkStart w:id="35" w:name="X74886c83e4695cd2ab5e2bd690864d3452ac0e9"/>
    <w:p>
      <w:pPr>
        <w:pStyle w:val="Heading3"/>
      </w:pPr>
      <w:r>
        <w:t xml:space="preserve">L. Modification and Amendment —</w:t>
      </w:r>
      <w:r>
        <w:t xml:space="preserve"> </w:t>
      </w:r>
      <w:r>
        <w:rPr>
          <w:b/>
          <w:bCs/>
        </w:rPr>
        <w:t xml:space="preserve">REJECT the unilateral mechanism</w:t>
      </w:r>
    </w:p>
    <w:p>
      <w:pPr>
        <w:pStyle w:val="FirstParagraph"/>
      </w:pPr>
      <w:r>
        <w:rPr>
          <w:b/>
          <w:bCs/>
        </w:rPr>
        <w:t xml:space="preserve">Original Draft §14.1.</w:t>
      </w:r>
      <w:r>
        <w:t xml:space="preserve"> </w:t>
      </w:r>
      <w:r>
        <w:t xml:space="preserve">Modifications only by a written instrument signed by both parties; oral and unilateral modifications void.</w:t>
      </w:r>
    </w:p>
    <w:p>
      <w:pPr>
        <w:pStyle w:val="BodyText"/>
      </w:pPr>
      <w:r>
        <w:rPr>
          <w:b/>
          <w:bCs/>
        </w:rPr>
        <w:t xml:space="preserve">Redline §14.1–14.2 (TC-45, TC-46).</w:t>
      </w:r>
      <w:r>
        <w:t xml:space="preserve"> </w:t>
      </w:r>
      <w:r>
        <w:t xml:space="preserve">§14.1 says modification is permitted</w:t>
      </w:r>
      <w:r>
        <w:t xml:space="preserve"> </w:t>
      </w:r>
      <w:r>
        <w:t xml:space="preserve">“</w:t>
      </w:r>
      <w:r>
        <w:t xml:space="preserve">except as provided in this Article XIV.</w:t>
      </w:r>
      <w:r>
        <w:t xml:space="preserve">”</w:t>
      </w:r>
      <w:r>
        <w:t xml:space="preserve"> </w:t>
      </w:r>
      <w:r>
        <w:t xml:space="preserve">New §14.2 then permits</w:t>
      </w:r>
      <w:r>
        <w:t xml:space="preserve"> </w:t>
      </w:r>
      <w:r>
        <w:rPr>
          <w:b/>
          <w:bCs/>
        </w:rPr>
        <w:t xml:space="preserve">either party to propose a modification by written notice that becomes effective 90 days after delivery unless the other party delivers a written objection</w:t>
      </w:r>
      <w:r>
        <w:t xml:space="preserve"> </w:t>
      </w:r>
      <w:r>
        <w:t xml:space="preserve">within that period.</w:t>
      </w:r>
    </w:p>
    <w:p>
      <w:pPr>
        <w:pStyle w:val="BodyText"/>
      </w:pPr>
      <w:r>
        <w:rPr>
          <w:b/>
          <w:bCs/>
        </w:rPr>
        <w:t xml:space="preserve">Impact.</w:t>
      </w:r>
      <w:r>
        <w:t xml:space="preserve"> </w:t>
      </w:r>
      <w:r>
        <w:t xml:space="preserve">This is the one-sided change process Diane specifically asked us to prohibit (Objective 5(f):</w:t>
      </w:r>
      <w:r>
        <w:t xml:space="preserve"> </w:t>
      </w:r>
      <w:r>
        <w:t xml:space="preserve">“</w:t>
      </w:r>
      <w:r>
        <w:t xml:space="preserve">a requirement that any modifications be made only by mutual written consent, to prevent one-sided changes</w:t>
      </w:r>
      <w:r>
        <w:t xml:space="preserve">”</w:t>
      </w:r>
      <w:r>
        <w:t xml:space="preserve">). A 90-day silent-acceptance mechanism is dangerous: a missed deadline or overlooked notice could alter the agreement over Diane’s objection. It is also unusual for a domestic-relations agreement and itself vulnerable to an unconscionability challenge.</w:t>
      </w:r>
    </w:p>
    <w:p>
      <w:pPr>
        <w:pStyle w:val="BodyText"/>
      </w:pPr>
      <w:r>
        <w:rPr>
          <w:b/>
          <w:bCs/>
        </w:rPr>
        <w:t xml:space="preserve">Recommendation.</w:t>
      </w:r>
      <w:r>
        <w:t xml:space="preserve"> </w:t>
      </w:r>
      <w:r>
        <w:t xml:space="preserve">Delete §14.2 entirely. Retain mutual-written-consent-only (the Original Draft’s §14.1). This should be non-negotiable.</w:t>
      </w:r>
    </w:p>
    <w:bookmarkEnd w:id="35"/>
    <w:bookmarkStart w:id="36" w:name="m.-venue-reject"/>
    <w:p>
      <w:pPr>
        <w:pStyle w:val="Heading3"/>
      </w:pPr>
      <w:r>
        <w:t xml:space="preserve">M. Venue —</w:t>
      </w:r>
      <w:r>
        <w:t xml:space="preserve"> </w:t>
      </w:r>
      <w:r>
        <w:rPr>
          <w:b/>
          <w:bCs/>
        </w:rPr>
        <w:t xml:space="preserve">REJECT</w:t>
      </w:r>
    </w:p>
    <w:p>
      <w:pPr>
        <w:pStyle w:val="FirstParagraph"/>
      </w:pPr>
      <w:r>
        <w:rPr>
          <w:b/>
          <w:bCs/>
        </w:rPr>
        <w:t xml:space="preserve">Original Draft §15.2.</w:t>
      </w:r>
      <w:r>
        <w:t xml:space="preserve"> </w:t>
      </w:r>
      <w:r>
        <w:t xml:space="preserve">Exclusive venue in the Circuit Court of Cook County.</w:t>
      </w:r>
    </w:p>
    <w:p>
      <w:pPr>
        <w:pStyle w:val="BodyText"/>
      </w:pPr>
      <w:r>
        <w:rPr>
          <w:b/>
          <w:bCs/>
        </w:rPr>
        <w:t xml:space="preserve">Redline §15.2 (TC-47, MC-12).</w:t>
      </w:r>
      <w:r>
        <w:t xml:space="preserve"> </w:t>
      </w:r>
      <w:r>
        <w:t xml:space="preserve">Exclusive venue in the Circuit Court of</w:t>
      </w:r>
      <w:r>
        <w:t xml:space="preserve"> </w:t>
      </w:r>
      <w:r>
        <w:rPr>
          <w:b/>
          <w:bCs/>
        </w:rPr>
        <w:t xml:space="preserve">DuPage County</w:t>
      </w:r>
      <w:r>
        <w:t xml:space="preserve">, citing Marcus’s office in Naperville and</w:t>
      </w:r>
      <w:r>
        <w:t xml:space="preserve"> </w:t>
      </w:r>
      <w:r>
        <w:t xml:space="preserve">“</w:t>
      </w:r>
      <w:r>
        <w:t xml:space="preserve">scheduling efficiency.</w:t>
      </w:r>
      <w:r>
        <w:t xml:space="preserve">”</w:t>
      </w:r>
    </w:p>
    <w:p>
      <w:pPr>
        <w:pStyle w:val="BodyText"/>
      </w:pPr>
      <w:r>
        <w:rPr>
          <w:b/>
          <w:bCs/>
        </w:rPr>
        <w:t xml:space="preserve">Impact.</w:t>
      </w:r>
      <w:r>
        <w:t xml:space="preserve"> </w:t>
      </w:r>
      <w:r>
        <w:t xml:space="preserve">The marital residence (Winnetka) is in Cook County; the property-tax records confirm Cook County jurisdiction. Diane, the children, and our firm are in Cook County. DuPage is convenient for Marcus’s commute, not for the family or for Diane. This contradicts Objective 5(e).</w:t>
      </w:r>
    </w:p>
    <w:p>
      <w:pPr>
        <w:pStyle w:val="BodyText"/>
      </w:pPr>
      <w:r>
        <w:rPr>
          <w:b/>
          <w:bCs/>
        </w:rPr>
        <w:t xml:space="preserve">Recommendation.</w:t>
      </w:r>
      <w:r>
        <w:t xml:space="preserve"> </w:t>
      </w:r>
      <w:r>
        <w:t xml:space="preserve">Restore Cook County venue.</w:t>
      </w:r>
    </w:p>
    <w:bookmarkEnd w:id="36"/>
    <w:bookmarkStart w:id="37" w:name="n.-sunset-clause-reject-the-shortening"/>
    <w:p>
      <w:pPr>
        <w:pStyle w:val="Heading3"/>
      </w:pPr>
      <w:r>
        <w:t xml:space="preserve">N. Sunset Clause —</w:t>
      </w:r>
      <w:r>
        <w:t xml:space="preserve"> </w:t>
      </w:r>
      <w:r>
        <w:rPr>
          <w:b/>
          <w:bCs/>
        </w:rPr>
        <w:t xml:space="preserve">REJECT the shortening</w:t>
      </w:r>
    </w:p>
    <w:p>
      <w:pPr>
        <w:pStyle w:val="FirstParagraph"/>
      </w:pPr>
      <w:r>
        <w:rPr>
          <w:b/>
          <w:bCs/>
        </w:rPr>
        <w:t xml:space="preserve">Original Draft §15.4.</w:t>
      </w:r>
      <w:r>
        <w:t xml:space="preserve"> </w:t>
      </w:r>
      <w:r>
        <w:t xml:space="preserve">15-year term (to ≈June 2040), renewable in 5-year increments.</w:t>
      </w:r>
    </w:p>
    <w:p>
      <w:pPr>
        <w:pStyle w:val="BodyText"/>
      </w:pPr>
      <w:r>
        <w:rPr>
          <w:b/>
          <w:bCs/>
        </w:rPr>
        <w:t xml:space="preserve">Redline §15.5.</w:t>
      </w:r>
      <w:r>
        <w:t xml:space="preserve"> </w:t>
      </w:r>
      <w:r>
        <w:t xml:space="preserve">7-year term (to ≈June 2032).</w:t>
      </w:r>
    </w:p>
    <w:p>
      <w:pPr>
        <w:pStyle w:val="BodyText"/>
      </w:pPr>
      <w:r>
        <w:rPr>
          <w:b/>
          <w:bCs/>
        </w:rPr>
        <w:t xml:space="preserve">Impact.</w:t>
      </w:r>
      <w:r>
        <w:t xml:space="preserve"> </w:t>
      </w:r>
      <w:r>
        <w:t xml:space="preserve">Diane wanted the agreement to run at least until Julian turns 18 (≈2033–2034) and preferably through ≈2040 (Objective 3). A 7-year sunset (≈2032) expires before Julian reaches majority. Mr. Baxter frames the shorter term as encouraging periodic refresh; in substance it shortens the protective window Diane sought.</w:t>
      </w:r>
    </w:p>
    <w:p>
      <w:pPr>
        <w:pStyle w:val="BodyText"/>
      </w:pPr>
      <w:r>
        <w:rPr>
          <w:b/>
          <w:bCs/>
        </w:rPr>
        <w:t xml:space="preserve">Strategic note.</w:t>
      </w:r>
      <w:r>
        <w:t xml:space="preserve"> </w:t>
      </w:r>
      <w:r>
        <w:t xml:space="preserve">Because the Redline as a whole tilts toward Marcus, a shorter sunset would, perversely, revert Diane to default Illinois equitable distribution sooner (where her tracing claim and the default transmutation rules might be more favorable). But Diane’s stated preference is a longer term for the children’s stability, and the maintenance caps (which favor Diane) would also expire. The cleanest position is to negotiate favorable terms</w:t>
      </w:r>
      <w:r>
        <w:t xml:space="preserve"> </w:t>
      </w:r>
      <w:r>
        <w:rPr>
          <w:i/>
          <w:iCs/>
        </w:rPr>
        <w:t xml:space="preserve">and</w:t>
      </w:r>
      <w:r>
        <w:t xml:space="preserve"> </w:t>
      </w:r>
      <w:r>
        <w:t xml:space="preserve">a longer sunset.</w:t>
      </w:r>
    </w:p>
    <w:p>
      <w:pPr>
        <w:pStyle w:val="BodyText"/>
      </w:pPr>
      <w:r>
        <w:rPr>
          <w:b/>
          <w:bCs/>
        </w:rPr>
        <w:t xml:space="preserve">Recommendation.</w:t>
      </w:r>
      <w:r>
        <w:t xml:space="preserve"> </w:t>
      </w:r>
      <w:r>
        <w:t xml:space="preserve">Restore at least a term running until Julian turns 18, and push for the original 15-year term with renewal.</w:t>
      </w:r>
    </w:p>
    <w:bookmarkEnd w:id="37"/>
    <w:bookmarkStart w:id="38" w:name="X5e472f4ab399fcc2e0407912afa7126e6fab481"/>
    <w:p>
      <w:pPr>
        <w:pStyle w:val="Heading3"/>
      </w:pPr>
      <w:r>
        <w:t xml:space="preserve">O. Structural, Execution, and Miscellaneous Provisions</w:t>
      </w:r>
    </w:p>
    <w:p>
      <w:pPr>
        <w:pStyle w:val="FirstParagraph"/>
      </w:pPr>
      <w:r>
        <w:rPr>
          <w:b/>
          <w:bCs/>
        </w:rPr>
        <w:t xml:space="preserve">Accept (favorable/neutral):</w:t>
      </w:r>
    </w:p>
    <w:p>
      <w:pPr>
        <w:pStyle w:val="Compact"/>
        <w:numPr>
          <w:ilvl w:val="0"/>
          <w:numId w:val="1007"/>
        </w:numPr>
      </w:pPr>
      <w:r>
        <w:rPr>
          <w:b/>
          <w:bCs/>
        </w:rPr>
        <w:t xml:space="preserve">Severability (§15.3):</w:t>
      </w:r>
      <w:r>
        <w:t xml:space="preserve"> </w:t>
      </w:r>
      <w:r>
        <w:t xml:space="preserve">New; standard and protective. Accept.</w:t>
      </w:r>
    </w:p>
    <w:p>
      <w:pPr>
        <w:pStyle w:val="Compact"/>
        <w:numPr>
          <w:ilvl w:val="0"/>
          <w:numId w:val="1007"/>
        </w:numPr>
      </w:pPr>
      <w:r>
        <w:rPr>
          <w:b/>
          <w:bCs/>
        </w:rPr>
        <w:t xml:space="preserve">Notarization block and witness signature lines (Art. XVI):</w:t>
      </w:r>
      <w:r>
        <w:t xml:space="preserve"> </w:t>
      </w:r>
      <w:r>
        <w:t xml:space="preserve">New; strengthens execution formalities under 750 ILCS 5/502. Accept.</w:t>
      </w:r>
    </w:p>
    <w:p>
      <w:pPr>
        <w:pStyle w:val="Compact"/>
        <w:numPr>
          <w:ilvl w:val="0"/>
          <w:numId w:val="1007"/>
        </w:numPr>
      </w:pPr>
      <w:r>
        <w:rPr>
          <w:b/>
          <w:bCs/>
        </w:rPr>
        <w:t xml:space="preserve">60-day review-period representation (§3.1(b)):</w:t>
      </w:r>
      <w:r>
        <w:t xml:space="preserve"> </w:t>
      </w:r>
      <w:r>
        <w:t xml:space="preserve">New; supports procedural fairness. Accept.</w:t>
      </w:r>
    </w:p>
    <w:p>
      <w:pPr>
        <w:pStyle w:val="Compact"/>
        <w:numPr>
          <w:ilvl w:val="0"/>
          <w:numId w:val="1007"/>
        </w:numPr>
      </w:pPr>
      <w:r>
        <w:rPr>
          <w:b/>
          <w:bCs/>
        </w:rPr>
        <w:t xml:space="preserve">Governing-law conflict clause (§15.1):</w:t>
      </w:r>
      <w:r>
        <w:t xml:space="preserve"> </w:t>
      </w:r>
      <w:r>
        <w:t xml:space="preserve">“</w:t>
      </w:r>
      <w:r>
        <w:t xml:space="preserve">Mandatory provisions of applicable Illinois law shall control</w:t>
      </w:r>
      <w:r>
        <w:t xml:space="preserve">”</w:t>
      </w:r>
      <w:r>
        <w:t xml:space="preserve"> </w:t>
      </w:r>
      <w:r>
        <w:t xml:space="preserve">— protective. Accept.</w:t>
      </w:r>
    </w:p>
    <w:p>
      <w:pPr>
        <w:pStyle w:val="Compact"/>
        <w:numPr>
          <w:ilvl w:val="0"/>
          <w:numId w:val="1007"/>
        </w:numPr>
      </w:pPr>
      <w:r>
        <w:rPr>
          <w:b/>
          <w:bCs/>
        </w:rPr>
        <w:t xml:space="preserve">Counsel acknowledgment blocks (Art. XVI):</w:t>
      </w:r>
      <w:r>
        <w:t xml:space="preserve"> </w:t>
      </w:r>
      <w:r>
        <w:t xml:space="preserve">Accept.</w:t>
      </w:r>
    </w:p>
    <w:p>
      <w:pPr>
        <w:pStyle w:val="Compact"/>
        <w:numPr>
          <w:ilvl w:val="0"/>
          <w:numId w:val="1007"/>
        </w:numPr>
      </w:pPr>
      <w:r>
        <w:rPr>
          <w:b/>
          <w:bCs/>
        </w:rPr>
        <w:t xml:space="preserve">RSU notice/documentation duties (§7.1) and net-after-tax RSU tax treatment (§7.2):</w:t>
      </w:r>
      <w:r>
        <w:t xml:space="preserve"> </w:t>
      </w:r>
      <w:r>
        <w:t xml:space="preserve">Accept.</w:t>
      </w:r>
    </w:p>
    <w:p>
      <w:pPr>
        <w:pStyle w:val="Compact"/>
        <w:numPr>
          <w:ilvl w:val="0"/>
          <w:numId w:val="1007"/>
        </w:numPr>
      </w:pPr>
      <w:r>
        <w:rPr>
          <w:b/>
          <w:bCs/>
        </w:rPr>
        <w:t xml:space="preserve">Retirement pre-Effective-Date balances as separate property (§8.1–8.2):</w:t>
      </w:r>
      <w:r>
        <w:t xml:space="preserve"> </w:t>
      </w:r>
      <w:r>
        <w:t xml:space="preserve">Consistent with the Original Draft. Accept (verify the 403(b)/pension split figures — see Part VI).</w:t>
      </w:r>
    </w:p>
    <w:p>
      <w:pPr>
        <w:pStyle w:val="FirstParagraph"/>
      </w:pPr>
      <w:r>
        <w:rPr>
          <w:b/>
          <w:bCs/>
        </w:rPr>
        <w:t xml:space="preserve">Restore (dropped without replacement):</w:t>
      </w:r>
    </w:p>
    <w:p>
      <w:pPr>
        <w:pStyle w:val="Compact"/>
        <w:numPr>
          <w:ilvl w:val="0"/>
          <w:numId w:val="1008"/>
        </w:numPr>
      </w:pPr>
      <w:r>
        <w:rPr>
          <w:b/>
          <w:bCs/>
        </w:rPr>
        <w:t xml:space="preserve">“</w:t>
      </w:r>
      <w:r>
        <w:rPr>
          <w:b/>
          <w:bCs/>
        </w:rPr>
        <w:t xml:space="preserve">No Pending Proceedings</w:t>
      </w:r>
      <w:r>
        <w:rPr>
          <w:b/>
          <w:bCs/>
        </w:rPr>
        <w:t xml:space="preserve">”</w:t>
      </w:r>
      <w:r>
        <w:rPr>
          <w:b/>
          <w:bCs/>
        </w:rPr>
        <w:t xml:space="preserve"> </w:t>
      </w:r>
      <w:r>
        <w:rPr>
          <w:b/>
          <w:bCs/>
        </w:rPr>
        <w:t xml:space="preserve">representation (orig. §15.10):</w:t>
      </w:r>
      <w:r>
        <w:t xml:space="preserve"> </w:t>
      </w:r>
      <w:r>
        <w:t xml:space="preserve">Important for enforceability; not clearly present in the Redline. Restore.</w:t>
      </w:r>
    </w:p>
    <w:p>
      <w:pPr>
        <w:pStyle w:val="Compact"/>
        <w:numPr>
          <w:ilvl w:val="0"/>
          <w:numId w:val="1008"/>
        </w:numPr>
      </w:pPr>
      <w:r>
        <w:rPr>
          <w:b/>
          <w:bCs/>
        </w:rPr>
        <w:t xml:space="preserve">Voluntary Execution and Fairness / fiduciary-duty acknowledgment (orig. §15.9):</w:t>
      </w:r>
      <w:r>
        <w:t xml:space="preserve"> </w:t>
      </w:r>
      <w:r>
        <w:t xml:space="preserve">The acknowledgment of the spousal fiduciary relationship and good-faith dealing supports enforceability under 750 ILCS 5/502. The Redline’s Article III covers voluntariness but omits the fiduciary-duty acknowledgment. Restore.</w:t>
      </w:r>
    </w:p>
    <w:p>
      <w:pPr>
        <w:pStyle w:val="Compact"/>
        <w:numPr>
          <w:ilvl w:val="0"/>
          <w:numId w:val="1008"/>
        </w:numPr>
      </w:pPr>
      <w:r>
        <w:rPr>
          <w:b/>
          <w:bCs/>
        </w:rPr>
        <w:t xml:space="preserve">Waiver (orig. §15.6) and Headings (orig. §15.7):</w:t>
      </w:r>
      <w:r>
        <w:t xml:space="preserve"> </w:t>
      </w:r>
      <w:r>
        <w:t xml:space="preserve">Standard; restore for completeness.</w:t>
      </w:r>
    </w:p>
    <w:p>
      <w:pPr>
        <w:pStyle w:val="Compact"/>
        <w:numPr>
          <w:ilvl w:val="0"/>
          <w:numId w:val="1008"/>
        </w:numPr>
      </w:pPr>
      <w:r>
        <w:rPr>
          <w:b/>
          <w:bCs/>
        </w:rPr>
        <w:t xml:space="preserve">Maintenance termination events (orig. §10.4: death, remarriage, cohabitation):</w:t>
      </w:r>
      <w:r>
        <w:t xml:space="preserve"> </w:t>
      </w:r>
      <w:r>
        <w:t xml:space="preserve">Largely redundant with statute (750 ILCS 5/510), but express inclusion avoids dispute. Consider restoring.</w:t>
      </w:r>
    </w:p>
    <w:p>
      <w:pPr>
        <w:pStyle w:val="FirstParagraph"/>
      </w:pPr>
      <w:r>
        <w:rPr>
          <w:b/>
          <w:bCs/>
        </w:rPr>
        <w:t xml:space="preserve">Note on the marriage-preservation recital (§1.3, TC-04, MC-01):</w:t>
      </w:r>
      <w:r>
        <w:t xml:space="preserve"> </w:t>
      </w:r>
      <w:r>
        <w:t xml:space="preserve">Non-operative and harmless. Accept.</w:t>
      </w:r>
    </w:p>
    <w:p>
      <w:r>
        <w:pict>
          <v:rect style="width:0;height:1.5pt" o:hralign="center" o:hrstd="t" o:hr="t"/>
        </w:pict>
      </w:r>
    </w:p>
    <w:bookmarkEnd w:id="38"/>
    <w:bookmarkEnd w:id="39"/>
    <w:bookmarkStart w:id="40" w:name="X4dcea4b4c6a9140662e36e96ba9522ce5ec9c26"/>
    <w:p>
      <w:pPr>
        <w:pStyle w:val="Heading2"/>
      </w:pPr>
      <w:r>
        <w:t xml:space="preserve">VI. Factual Discrepancies and Reconciliation Items</w:t>
      </w:r>
    </w:p>
    <w:p>
      <w:pPr>
        <w:pStyle w:val="FirstParagraph"/>
      </w:pPr>
      <w:r>
        <w:t xml:space="preserve">The Redline contains numerous factual statements that do not match the CPA-prepared financial-disclosure summary (the authoritative contemporaneous record) or the other supporting documents. Several appear to be inherited from our Original Draft; others are newly introduced by Mr. Baxter.</w:t>
      </w:r>
      <w:r>
        <w:t xml:space="preserve"> </w:t>
      </w:r>
      <w:r>
        <w:rPr>
          <w:b/>
          <w:bCs/>
        </w:rPr>
        <w:t xml:space="preserve">All must be reconciled against source documents before execution</w:t>
      </w:r>
      <w:r>
        <w:t xml:space="preserve">, because errors in account identification, dates, and values can generate disputes and undermine the agreement’s reliability.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Original Draft</w:t>
            </w:r>
          </w:p>
        </w:tc>
        <w:tc>
          <w:tcPr/>
          <w:p>
            <w:pPr>
              <w:pStyle w:val="Compact"/>
              <w:jc w:val="left"/>
            </w:pPr>
            <w:r>
              <w:t xml:space="preserve">Redline</w:t>
            </w:r>
          </w:p>
        </w:tc>
        <w:tc>
          <w:tcPr/>
          <w:p>
            <w:pPr>
              <w:pStyle w:val="Compact"/>
              <w:jc w:val="left"/>
            </w:pPr>
            <w:r>
              <w:t xml:space="preserve">Financial Disclosure / Supporting Docs</w:t>
            </w:r>
          </w:p>
        </w:tc>
        <w:tc>
          <w:tcPr/>
          <w:p>
            <w:pPr>
              <w:pStyle w:val="Compact"/>
              <w:jc w:val="left"/>
            </w:pPr>
            <w:r>
              <w:t xml:space="preserve">Action</w:t>
            </w:r>
          </w:p>
        </w:tc>
      </w:tr>
      <w:tr>
        <w:tc>
          <w:tcPr/>
          <w:p>
            <w:pPr>
              <w:pStyle w:val="Compact"/>
              <w:jc w:val="left"/>
            </w:pPr>
            <w:r>
              <w:t xml:space="preserve">Mother’s name</w:t>
            </w:r>
          </w:p>
        </w:tc>
        <w:tc>
          <w:tcPr/>
          <w:p>
            <w:pPr>
              <w:pStyle w:val="Compact"/>
              <w:jc w:val="left"/>
            </w:pPr>
            <w:r>
              <w:t xml:space="preserve">“</w:t>
            </w:r>
            <w:r>
              <w:t xml:space="preserve">Constane Thornton</w:t>
            </w:r>
            <w:r>
              <w:t xml:space="preserve">”</w:t>
            </w:r>
            <w:r>
              <w:t xml:space="preserve"> </w:t>
            </w:r>
            <w:r>
              <w:t xml:space="preserve">(typo)</w:t>
            </w:r>
          </w:p>
        </w:tc>
        <w:tc>
          <w:tcPr/>
          <w:p>
            <w:pPr>
              <w:pStyle w:val="Compact"/>
              <w:jc w:val="left"/>
            </w:pPr>
            <w:r>
              <w:t xml:space="preserve">“</w:t>
            </w:r>
            <w:r>
              <w:t xml:space="preserve">Constance Thornton (née Albrecht)</w:t>
            </w:r>
            <w:r>
              <w:t xml:space="preserve">”</w:t>
            </w:r>
          </w:p>
        </w:tc>
        <w:tc>
          <w:tcPr/>
          <w:p>
            <w:pPr>
              <w:pStyle w:val="Compact"/>
              <w:jc w:val="left"/>
            </w:pPr>
            <w:r>
              <w:t xml:space="preserve">“</w:t>
            </w:r>
            <w:r>
              <w:t xml:space="preserve">Constance Thornton</w:t>
            </w:r>
            <w:r>
              <w:t xml:space="preserve">”</w:t>
            </w:r>
            <w:r>
              <w:t xml:space="preserve"> </w:t>
            </w:r>
            <w:r>
              <w:t xml:space="preserve">(intake; disclosure)</w:t>
            </w:r>
          </w:p>
        </w:tc>
        <w:tc>
          <w:tcPr/>
          <w:p>
            <w:pPr>
              <w:pStyle w:val="Compact"/>
              <w:jc w:val="left"/>
            </w:pPr>
            <w:r>
              <w:t xml:space="preserve">Accept</w:t>
            </w:r>
            <w:r>
              <w:t xml:space="preserve"> </w:t>
            </w:r>
            <w:r>
              <w:t xml:space="preserve">“</w:t>
            </w:r>
            <w:r>
              <w:t xml:space="preserve">Constance</w:t>
            </w:r>
            <w:r>
              <w:t xml:space="preserve">”</w:t>
            </w:r>
            <w:r>
              <w:t xml:space="preserve">; verify maiden name</w:t>
            </w:r>
            <w:r>
              <w:t xml:space="preserve"> </w:t>
            </w:r>
            <w:r>
              <w:t xml:space="preserve">“</w:t>
            </w:r>
            <w:r>
              <w:t xml:space="preserve">Albrecht</w:t>
            </w:r>
            <w:r>
              <w:t xml:space="preserve">”</w:t>
            </w:r>
            <w:r>
              <w:t xml:space="preserve"> </w:t>
            </w:r>
            <w:r>
              <w:t xml:space="preserve">(not in our records)</w:t>
            </w:r>
          </w:p>
        </w:tc>
      </w:tr>
      <w:tr>
        <w:tc>
          <w:tcPr/>
          <w:p>
            <w:pPr>
              <w:pStyle w:val="Compact"/>
              <w:jc w:val="left"/>
            </w:pPr>
            <w:r>
              <w:t xml:space="preserve">Mother’s date of death</w:t>
            </w:r>
          </w:p>
        </w:tc>
        <w:tc>
          <w:tcPr/>
          <w:p>
            <w:pPr>
              <w:pStyle w:val="Compact"/>
              <w:jc w:val="left"/>
            </w:pPr>
            <w:r>
              <w:t xml:space="preserve">Aug. 12, 2024</w:t>
            </w:r>
          </w:p>
        </w:tc>
        <w:tc>
          <w:tcPr/>
          <w:p>
            <w:pPr>
              <w:pStyle w:val="Compact"/>
              <w:jc w:val="left"/>
            </w:pPr>
            <w:r>
              <w:t xml:space="preserve">Sept. 3, 2024</w:t>
            </w:r>
          </w:p>
        </w:tc>
        <w:tc>
          <w:tcPr/>
          <w:p>
            <w:pPr>
              <w:pStyle w:val="Compact"/>
              <w:jc w:val="left"/>
            </w:pPr>
            <w:r>
              <w:t xml:space="preserve">“</w:t>
            </w:r>
            <w:r>
              <w:t xml:space="preserve">October 2024</w:t>
            </w:r>
            <w:r>
              <w:t xml:space="preserve">”</w:t>
            </w:r>
            <w:r>
              <w:t xml:space="preserve"> </w:t>
            </w:r>
            <w:r>
              <w:t xml:space="preserve">(intake memo; disclosure H-7/H-8/H-9)</w:t>
            </w:r>
          </w:p>
        </w:tc>
        <w:tc>
          <w:tcPr/>
          <w:p>
            <w:pPr>
              <w:pStyle w:val="Compact"/>
              <w:jc w:val="left"/>
            </w:pPr>
            <w:r>
              <w:rPr>
                <w:b/>
                <w:bCs/>
              </w:rPr>
              <w:t xml:space="preserve">All three conflict.</w:t>
            </w:r>
            <w:r>
              <w:t xml:space="preserve"> </w:t>
            </w:r>
            <w:r>
              <w:t xml:space="preserve">Obtain death certificate; correct all drafts</w:t>
            </w:r>
          </w:p>
        </w:tc>
      </w:tr>
      <w:tr>
        <w:tc>
          <w:tcPr/>
          <w:p>
            <w:pPr>
              <w:pStyle w:val="Compact"/>
              <w:jc w:val="left"/>
            </w:pPr>
            <w:r>
              <w:t xml:space="preserve">Elena’s birth date</w:t>
            </w:r>
          </w:p>
        </w:tc>
        <w:tc>
          <w:tcPr/>
          <w:p>
            <w:pPr>
              <w:pStyle w:val="Compact"/>
              <w:jc w:val="left"/>
            </w:pPr>
            <w:r>
              <w:t xml:space="preserve">Oct. 3, 2012</w:t>
            </w:r>
          </w:p>
        </w:tc>
        <w:tc>
          <w:tcPr/>
          <w:p>
            <w:pPr>
              <w:pStyle w:val="Compact"/>
              <w:jc w:val="left"/>
            </w:pPr>
            <w:r>
              <w:t xml:space="preserve">Aug. 22, 2012</w:t>
            </w:r>
          </w:p>
        </w:tc>
        <w:tc>
          <w:tcPr/>
          <w:p>
            <w:pPr>
              <w:pStyle w:val="Compact"/>
              <w:jc w:val="left"/>
            </w:pPr>
            <w:r>
              <w:t xml:space="preserve">Age 12 as of 11/5/2024 (intake)</w:t>
            </w:r>
          </w:p>
        </w:tc>
        <w:tc>
          <w:tcPr/>
          <w:p>
            <w:pPr>
              <w:pStyle w:val="Compact"/>
              <w:jc w:val="left"/>
            </w:pPr>
            <w:r>
              <w:t xml:space="preserve">Obtain birth certificate; reconcile</w:t>
            </w:r>
          </w:p>
        </w:tc>
      </w:tr>
      <w:tr>
        <w:tc>
          <w:tcPr/>
          <w:p>
            <w:pPr>
              <w:pStyle w:val="Compact"/>
              <w:jc w:val="left"/>
            </w:pPr>
            <w:r>
              <w:t xml:space="preserve">Julian’s birth date</w:t>
            </w:r>
          </w:p>
        </w:tc>
        <w:tc>
          <w:tcPr/>
          <w:p>
            <w:pPr>
              <w:pStyle w:val="Compact"/>
              <w:jc w:val="left"/>
            </w:pPr>
            <w:r>
              <w:t xml:space="preserve">Mar. 22, 2016</w:t>
            </w:r>
          </w:p>
        </w:tc>
        <w:tc>
          <w:tcPr/>
          <w:p>
            <w:pPr>
              <w:pStyle w:val="Compact"/>
              <w:jc w:val="left"/>
            </w:pPr>
            <w:r>
              <w:t xml:space="preserve">Nov. 9, 2015</w:t>
            </w:r>
          </w:p>
        </w:tc>
        <w:tc>
          <w:tcPr/>
          <w:p>
            <w:pPr>
              <w:pStyle w:val="Compact"/>
              <w:jc w:val="left"/>
            </w:pPr>
            <w:r>
              <w:t xml:space="preserve">Age 9 as of 11/5/2024 (intake)</w:t>
            </w:r>
          </w:p>
        </w:tc>
        <w:tc>
          <w:tcPr/>
          <w:p>
            <w:pPr>
              <w:pStyle w:val="Compact"/>
              <w:jc w:val="left"/>
            </w:pPr>
            <w:r>
              <w:t xml:space="preserve">Obtain birth certificate. Note: a 2016 date makes Julian 8, not 9, as of Nov. 2024 — the Redline’s 2015 date is more consistent with the stated age, but verify</w:t>
            </w:r>
          </w:p>
        </w:tc>
      </w:tr>
      <w:tr>
        <w:tc>
          <w:tcPr/>
          <w:p>
            <w:pPr>
              <w:pStyle w:val="Compact"/>
              <w:jc w:val="left"/>
            </w:pPr>
            <w:r>
              <w:t xml:space="preserve">Inheritance brokerage institution</w:t>
            </w:r>
          </w:p>
        </w:tc>
        <w:tc>
          <w:tcPr/>
          <w:p>
            <w:pPr>
              <w:pStyle w:val="Compact"/>
              <w:jc w:val="left"/>
            </w:pPr>
            <w:r>
              <w:t xml:space="preserve">“</w:t>
            </w:r>
            <w:r>
              <w:t xml:space="preserve">Hartleigh Investments</w:t>
            </w:r>
            <w:r>
              <w:t xml:space="preserve">”</w:t>
            </w:r>
          </w:p>
        </w:tc>
        <w:tc>
          <w:tcPr/>
          <w:p>
            <w:pPr>
              <w:pStyle w:val="Compact"/>
              <w:jc w:val="left"/>
            </w:pPr>
            <w:r>
              <w:t xml:space="preserve">“</w:t>
            </w:r>
            <w:r>
              <w:t xml:space="preserve">Tidewater Securities (acct. -7724)</w:t>
            </w:r>
            <w:r>
              <w:t xml:space="preserve">”</w:t>
            </w:r>
          </w:p>
        </w:tc>
        <w:tc>
          <w:tcPr/>
          <w:p>
            <w:pPr>
              <w:pStyle w:val="Compact"/>
              <w:jc w:val="left"/>
            </w:pPr>
            <w:r>
              <w:t xml:space="preserve">“Northbridge Wealth Advisors (acct. *8837)” (disclosure H-8)</w:t>
            </w:r>
          </w:p>
        </w:tc>
        <w:tc>
          <w:tcPr/>
          <w:p>
            <w:pPr>
              <w:pStyle w:val="Compact"/>
              <w:jc w:val="left"/>
            </w:pPr>
            <w:r>
              <w:rPr>
                <w:b/>
                <w:bCs/>
              </w:rPr>
              <w:t xml:space="preserve">Three different names.</w:t>
            </w:r>
            <w:r>
              <w:t xml:space="preserve"> </w:t>
            </w:r>
            <w:r>
              <w:t xml:space="preserve">Reconcile to disclosure; correct both drafts</w:t>
            </w:r>
          </w:p>
        </w:tc>
      </w:tr>
      <w:tr>
        <w:tc>
          <w:tcPr/>
          <w:p>
            <w:pPr>
              <w:pStyle w:val="Compact"/>
              <w:jc w:val="left"/>
            </w:pPr>
            <w:r>
              <w:t xml:space="preserve">Husband 401(k) administrator</w:t>
            </w:r>
          </w:p>
        </w:tc>
        <w:tc>
          <w:tcPr/>
          <w:p>
            <w:pPr>
              <w:pStyle w:val="Compact"/>
              <w:jc w:val="left"/>
            </w:pPr>
            <w:r>
              <w:t xml:space="preserve">(Grayfield)</w:t>
            </w:r>
          </w:p>
        </w:tc>
        <w:tc>
          <w:tcPr/>
          <w:p>
            <w:pPr>
              <w:pStyle w:val="Compact"/>
              <w:jc w:val="left"/>
            </w:pPr>
            <w:r>
              <w:t xml:space="preserve">“</w:t>
            </w:r>
            <w:r>
              <w:t xml:space="preserve">Hartleigh Investments</w:t>
            </w:r>
            <w:r>
              <w:t xml:space="preserve">”</w:t>
            </w:r>
          </w:p>
        </w:tc>
        <w:tc>
          <w:tcPr/>
          <w:p>
            <w:pPr>
              <w:pStyle w:val="Compact"/>
              <w:jc w:val="left"/>
            </w:pPr>
            <w:r>
              <w:t xml:space="preserve">“Northbridge Wealth Advisors (acct. *5518)” (disclosure H-3)</w:t>
            </w:r>
          </w:p>
        </w:tc>
        <w:tc>
          <w:tcPr/>
          <w:p>
            <w:pPr>
              <w:pStyle w:val="Compact"/>
              <w:jc w:val="left"/>
            </w:pPr>
            <w:r>
              <w:t xml:space="preserve">Reconcile to disclosure</w:t>
            </w:r>
          </w:p>
        </w:tc>
      </w:tr>
      <w:tr>
        <w:tc>
          <w:tcPr/>
          <w:p>
            <w:pPr>
              <w:pStyle w:val="Compact"/>
              <w:jc w:val="left"/>
            </w:pPr>
            <w:r>
              <w:t xml:space="preserve">Wife 403(b) administrator</w:t>
            </w:r>
          </w:p>
        </w:tc>
        <w:tc>
          <w:tcPr/>
          <w:p>
            <w:pPr>
              <w:pStyle w:val="Compact"/>
              <w:jc w:val="left"/>
            </w:pPr>
            <w:r>
              <w:t xml:space="preserve">(Lakeshore)</w:t>
            </w:r>
          </w:p>
        </w:tc>
        <w:tc>
          <w:tcPr/>
          <w:p>
            <w:pPr>
              <w:pStyle w:val="Compact"/>
              <w:jc w:val="left"/>
            </w:pPr>
            <w:r>
              <w:t xml:space="preserve">“</w:t>
            </w:r>
            <w:r>
              <w:t xml:space="preserve">TIAA-CREF</w:t>
            </w:r>
            <w:r>
              <w:t xml:space="preserve">”</w:t>
            </w:r>
          </w:p>
        </w:tc>
        <w:tc>
          <w:tcPr/>
          <w:p>
            <w:pPr>
              <w:pStyle w:val="Compact"/>
              <w:jc w:val="left"/>
            </w:pPr>
            <w:r>
              <w:t xml:space="preserve">“Northbridge Wealth Advisors (acct. *7842)” (disclosure W-2)</w:t>
            </w:r>
          </w:p>
        </w:tc>
        <w:tc>
          <w:tcPr/>
          <w:p>
            <w:pPr>
              <w:pStyle w:val="Compact"/>
              <w:jc w:val="left"/>
            </w:pPr>
            <w:r>
              <w:t xml:space="preserve">Reconcile to disclosure</w:t>
            </w:r>
          </w:p>
        </w:tc>
      </w:tr>
      <w:tr>
        <w:tc>
          <w:tcPr/>
          <w:p>
            <w:pPr>
              <w:pStyle w:val="Compact"/>
              <w:jc w:val="left"/>
            </w:pPr>
            <w:r>
              <w:t xml:space="preserve">Joint investment account number</w:t>
            </w:r>
          </w:p>
        </w:tc>
        <w:tc>
          <w:tcPr/>
          <w:p>
            <w:pPr>
              <w:pStyle w:val="Compact"/>
              <w:jc w:val="left"/>
            </w:pPr>
            <w:r>
              <w:t xml:space="preserve">(none)</w:t>
            </w:r>
          </w:p>
        </w:tc>
        <w:tc>
          <w:tcPr/>
          <w:p>
            <w:pPr>
              <w:pStyle w:val="Compact"/>
              <w:jc w:val="left"/>
            </w:pPr>
            <w:r>
              <w:t xml:space="preserve">“</w:t>
            </w:r>
            <w:r>
              <w:t xml:space="preserve">-3961</w:t>
            </w:r>
            <w:r>
              <w:t xml:space="preserve">”</w:t>
            </w:r>
          </w:p>
        </w:tc>
        <w:tc>
          <w:tcPr/>
          <w:p>
            <w:pPr>
              <w:pStyle w:val="Compact"/>
              <w:jc w:val="left"/>
            </w:pPr>
            <w:r>
              <w:t xml:space="preserve">“*3291” (disclosure W-5/J-2)</w:t>
            </w:r>
          </w:p>
        </w:tc>
        <w:tc>
          <w:tcPr/>
          <w:p>
            <w:pPr>
              <w:pStyle w:val="Compact"/>
              <w:jc w:val="left"/>
            </w:pPr>
            <w:r>
              <w:t xml:space="preserve">Reconcile to disclosure</w:t>
            </w:r>
          </w:p>
        </w:tc>
      </w:tr>
      <w:tr>
        <w:tc>
          <w:tcPr/>
          <w:p>
            <w:pPr>
              <w:pStyle w:val="Compact"/>
              <w:jc w:val="left"/>
            </w:pPr>
            <w:r>
              <w:t xml:space="preserve">Joint savings/checking institutions</w:t>
            </w:r>
          </w:p>
        </w:tc>
        <w:tc>
          <w:tcPr/>
          <w:p>
            <w:pPr>
              <w:pStyle w:val="Compact"/>
              <w:jc w:val="left"/>
            </w:pPr>
            <w:r>
              <w:t xml:space="preserve">(none)</w:t>
            </w:r>
          </w:p>
        </w:tc>
        <w:tc>
          <w:tcPr/>
          <w:p>
            <w:pPr>
              <w:pStyle w:val="Compact"/>
              <w:jc w:val="left"/>
            </w:pPr>
            <w:r>
              <w:t xml:space="preserve">“</w:t>
            </w:r>
            <w:r>
              <w:t xml:space="preserve">First Saxonbrook Bank and Hollcroft Fiduciary</w:t>
            </w:r>
            <w:r>
              <w:t xml:space="preserve">”</w:t>
            </w:r>
          </w:p>
        </w:tc>
        <w:tc>
          <w:tcPr/>
          <w:p>
            <w:pPr>
              <w:pStyle w:val="Compact"/>
              <w:jc w:val="left"/>
            </w:pPr>
            <w:r>
              <w:t xml:space="preserve">“</w:t>
            </w:r>
            <w:r>
              <w:t xml:space="preserve">First Saxonbrook Bank</w:t>
            </w:r>
            <w:r>
              <w:t xml:space="preserve">”</w:t>
            </w:r>
            <w:r>
              <w:t xml:space="preserve"> </w:t>
            </w:r>
            <w:r>
              <w:t xml:space="preserve">only (checking</w:t>
            </w:r>
            <w:r>
              <w:t xml:space="preserve"> </w:t>
            </w:r>
            <w:r>
              <w:rPr>
                <w:i/>
                <w:iCs/>
              </w:rPr>
              <w:t xml:space="preserve">4410; savings</w:t>
            </w:r>
            <w:r>
              <w:rPr>
                <w:i/>
                <w:iCs/>
              </w:rPr>
              <w:t xml:space="preserve"> </w:t>
            </w:r>
            <w:r>
              <w:t xml:space="preserve">4417)</w:t>
            </w:r>
          </w:p>
        </w:tc>
        <w:tc>
          <w:tcPr/>
          <w:p>
            <w:pPr>
              <w:pStyle w:val="Compact"/>
              <w:jc w:val="left"/>
            </w:pPr>
            <w:r>
              <w:t xml:space="preserve">“</w:t>
            </w:r>
            <w:r>
              <w:t xml:space="preserve">Hollcroft Fiduciary</w:t>
            </w:r>
            <w:r>
              <w:t xml:space="preserve">”</w:t>
            </w:r>
            <w:r>
              <w:t xml:space="preserve"> </w:t>
            </w:r>
            <w:r>
              <w:t xml:space="preserve">appears erroneous — Hollcroft is the credit-card issuer (disclosure H-10). Correct</w:t>
            </w:r>
          </w:p>
        </w:tc>
      </w:tr>
      <w:tr>
        <w:tc>
          <w:tcPr/>
          <w:p>
            <w:pPr>
              <w:pStyle w:val="Compact"/>
              <w:jc w:val="left"/>
            </w:pPr>
            <w:r>
              <w:t xml:space="preserve">Door County property appraiser</w:t>
            </w:r>
          </w:p>
        </w:tc>
        <w:tc>
          <w:tcPr/>
          <w:p>
            <w:pPr>
              <w:pStyle w:val="Compact"/>
              <w:jc w:val="left"/>
            </w:pPr>
            <w:r>
              <w:t xml:space="preserve">(none)</w:t>
            </w:r>
          </w:p>
        </w:tc>
        <w:tc>
          <w:tcPr/>
          <w:p>
            <w:pPr>
              <w:pStyle w:val="Compact"/>
              <w:jc w:val="left"/>
            </w:pPr>
            <w:r>
              <w:t xml:space="preserve">“</w:t>
            </w:r>
            <w:r>
              <w:t xml:space="preserve">Midwest Appraisal Associates (Oct. 15, 2024)</w:t>
            </w:r>
            <w:r>
              <w:t xml:space="preserve">”</w:t>
            </w:r>
          </w:p>
        </w:tc>
        <w:tc>
          <w:tcPr/>
          <w:p>
            <w:pPr>
              <w:pStyle w:val="Compact"/>
              <w:jc w:val="left"/>
            </w:pPr>
            <w:r>
              <w:t xml:space="preserve">“</w:t>
            </w:r>
            <w:r>
              <w:t xml:space="preserve">Pendleton Appraisal Group</w:t>
            </w:r>
            <w:r>
              <w:t xml:space="preserve">”</w:t>
            </w:r>
            <w:r>
              <w:t xml:space="preserve"> </w:t>
            </w:r>
            <w:r>
              <w:t xml:space="preserve">(disclosure H-7)</w:t>
            </w:r>
          </w:p>
        </w:tc>
        <w:tc>
          <w:tcPr/>
          <w:p>
            <w:pPr>
              <w:pStyle w:val="Compact"/>
              <w:jc w:val="left"/>
            </w:pPr>
            <w:r>
              <w:t xml:space="preserve">Reconcile. (Pendleton appraised the marital residence per all docs; the Door County appraiser is unclear)</w:t>
            </w:r>
          </w:p>
        </w:tc>
      </w:tr>
      <w:tr>
        <w:tc>
          <w:tcPr/>
          <w:p>
            <w:pPr>
              <w:pStyle w:val="Compact"/>
              <w:jc w:val="left"/>
            </w:pPr>
            <w:r>
              <w:t xml:space="preserve">Wife 403(b) value</w:t>
            </w:r>
          </w:p>
        </w:tc>
        <w:tc>
          <w:tcPr/>
          <w:p>
            <w:pPr>
              <w:pStyle w:val="Compact"/>
              <w:jc w:val="left"/>
            </w:pPr>
            <w:r>
              <w:t xml:space="preserve">$2,340,000 (combined)</w:t>
            </w:r>
          </w:p>
        </w:tc>
        <w:tc>
          <w:tcPr/>
          <w:p>
            <w:pPr>
              <w:pStyle w:val="Compact"/>
              <w:jc w:val="left"/>
            </w:pPr>
            <w:r>
              <w:t xml:space="preserve">$1,440,000 (403(b)) + $900,000 (pension)</w:t>
            </w:r>
          </w:p>
        </w:tc>
        <w:tc>
          <w:tcPr/>
          <w:p>
            <w:pPr>
              <w:pStyle w:val="Compact"/>
              <w:jc w:val="left"/>
            </w:pPr>
            <w:r>
              <w:t xml:space="preserve">$1,415,000 (403(b)) + $925,000 (pension) (disclosure W-2/W-3)</w:t>
            </w:r>
          </w:p>
        </w:tc>
        <w:tc>
          <w:tcPr/>
          <w:p>
            <w:pPr>
              <w:pStyle w:val="Compact"/>
              <w:jc w:val="left"/>
            </w:pPr>
            <w:r>
              <w:t xml:space="preserve">Minor split differences; reconcile to statements</w:t>
            </w:r>
          </w:p>
        </w:tc>
      </w:tr>
      <w:tr>
        <w:tc>
          <w:tcPr/>
          <w:p>
            <w:pPr>
              <w:pStyle w:val="Compact"/>
              <w:jc w:val="left"/>
            </w:pPr>
            <w:r>
              <w:t xml:space="preserve">Wife credit-card balance</w:t>
            </w:r>
          </w:p>
        </w:tc>
        <w:tc>
          <w:tcPr/>
          <w:p>
            <w:pPr>
              <w:pStyle w:val="Compact"/>
              <w:jc w:val="left"/>
            </w:pPr>
            <w:r>
              <w:t xml:space="preserve">(none)</w:t>
            </w:r>
          </w:p>
        </w:tc>
        <w:tc>
          <w:tcPr/>
          <w:p>
            <w:pPr>
              <w:pStyle w:val="Compact"/>
              <w:jc w:val="left"/>
            </w:pPr>
            <w:r>
              <w:t xml:space="preserve">$4,200</w:t>
            </w:r>
          </w:p>
        </w:tc>
        <w:tc>
          <w:tcPr/>
          <w:p>
            <w:pPr>
              <w:pStyle w:val="Compact"/>
              <w:jc w:val="left"/>
            </w:pPr>
            <w:r>
              <w:t xml:space="preserve">$3,200 (disclosure W-9)</w:t>
            </w:r>
          </w:p>
        </w:tc>
        <w:tc>
          <w:tcPr/>
          <w:p>
            <w:pPr>
              <w:pStyle w:val="Compact"/>
              <w:jc w:val="left"/>
            </w:pPr>
            <w:r>
              <w:t xml:space="preserve">Reconcile</w:t>
            </w:r>
          </w:p>
        </w:tc>
      </w:tr>
      <w:tr>
        <w:tc>
          <w:tcPr/>
          <w:p>
            <w:pPr>
              <w:pStyle w:val="Compact"/>
              <w:jc w:val="left"/>
            </w:pPr>
            <w:r>
              <w:t xml:space="preserve">Wife’s hospital address</w:t>
            </w:r>
          </w:p>
        </w:tc>
        <w:tc>
          <w:tcPr/>
          <w:p>
            <w:pPr>
              <w:pStyle w:val="Compact"/>
              <w:jc w:val="left"/>
            </w:pPr>
            <w:r>
              <w:t xml:space="preserve">“</w:t>
            </w:r>
            <w:r>
              <w:t xml:space="preserve">suburban Chicago</w:t>
            </w:r>
            <w:r>
              <w:t xml:space="preserve">”</w:t>
            </w:r>
          </w:p>
        </w:tc>
        <w:tc>
          <w:tcPr/>
          <w:p>
            <w:pPr>
              <w:pStyle w:val="Compact"/>
              <w:jc w:val="left"/>
            </w:pPr>
            <w:r>
              <w:t xml:space="preserve">“</w:t>
            </w:r>
            <w:r>
              <w:t xml:space="preserve">680 North Lake Shore Drive, Chicago, IL 60611</w:t>
            </w:r>
            <w:r>
              <w:t xml:space="preserve">”</w:t>
            </w:r>
          </w:p>
        </w:tc>
        <w:tc>
          <w:tcPr/>
          <w:p>
            <w:pPr>
              <w:pStyle w:val="Compact"/>
              <w:jc w:val="left"/>
            </w:pPr>
            <w:r>
              <w:t xml:space="preserve">Not specified</w:t>
            </w:r>
          </w:p>
        </w:tc>
        <w:tc>
          <w:tcPr/>
          <w:p>
            <w:pPr>
              <w:pStyle w:val="Compact"/>
              <w:jc w:val="left"/>
            </w:pPr>
            <w:r>
              <w:t xml:space="preserve">Verify</w:t>
            </w:r>
          </w:p>
        </w:tc>
      </w:tr>
      <w:tr>
        <w:tc>
          <w:tcPr/>
          <w:p>
            <w:pPr>
              <w:pStyle w:val="Compact"/>
              <w:jc w:val="left"/>
            </w:pPr>
            <w:r>
              <w:t xml:space="preserve">Wife’s practice start</w:t>
            </w:r>
          </w:p>
        </w:tc>
        <w:tc>
          <w:tcPr/>
          <w:p>
            <w:pPr>
              <w:pStyle w:val="Compact"/>
              <w:jc w:val="left"/>
            </w:pPr>
            <w:r>
              <w:t xml:space="preserve">“</w:t>
            </w:r>
            <w:r>
              <w:t xml:space="preserve">since fellowship</w:t>
            </w:r>
            <w:r>
              <w:t xml:space="preserve">”</w:t>
            </w:r>
          </w:p>
        </w:tc>
        <w:tc>
          <w:tcPr/>
          <w:p>
            <w:pPr>
              <w:pStyle w:val="Compact"/>
              <w:jc w:val="left"/>
            </w:pPr>
            <w:r>
              <w:t xml:space="preserve">“</w:t>
            </w:r>
            <w:r>
              <w:t xml:space="preserve">since 2011</w:t>
            </w:r>
            <w:r>
              <w:t xml:space="preserve">”</w:t>
            </w:r>
          </w:p>
        </w:tc>
        <w:tc>
          <w:tcPr/>
          <w:p>
            <w:pPr>
              <w:pStyle w:val="Compact"/>
              <w:jc w:val="left"/>
            </w:pPr>
            <w:r>
              <w:t xml:space="preserve">“</w:t>
            </w:r>
            <w:r>
              <w:t xml:space="preserve">over fifteen years</w:t>
            </w:r>
            <w:r>
              <w:t xml:space="preserve">”</w:t>
            </w:r>
            <w:r>
              <w:t xml:space="preserve"> </w:t>
            </w:r>
            <w:r>
              <w:t xml:space="preserve">(intake) ≈ 2009; practice founded ≈2012 (Strand report)</w:t>
            </w:r>
          </w:p>
        </w:tc>
        <w:tc>
          <w:tcPr/>
          <w:p>
            <w:pPr>
              <w:pStyle w:val="Compact"/>
              <w:jc w:val="left"/>
            </w:pPr>
            <w:r>
              <w:t xml:space="preserve">Verify; minor</w:t>
            </w:r>
          </w:p>
        </w:tc>
      </w:tr>
      <w:tr>
        <w:tc>
          <w:tcPr/>
          <w:p>
            <w:pPr>
              <w:pStyle w:val="Compact"/>
              <w:jc w:val="left"/>
            </w:pPr>
            <w:r>
              <w:t xml:space="preserve">Practice interest acquired</w:t>
            </w:r>
          </w:p>
        </w:tc>
        <w:tc>
          <w:tcPr/>
          <w:p>
            <w:pPr>
              <w:pStyle w:val="Compact"/>
              <w:jc w:val="left"/>
            </w:pPr>
            <w:r>
              <w:t xml:space="preserve">“</w:t>
            </w:r>
            <w:r>
              <w:t xml:space="preserve">during the marriage</w:t>
            </w:r>
            <w:r>
              <w:t xml:space="preserve">”</w:t>
            </w:r>
          </w:p>
        </w:tc>
        <w:tc>
          <w:tcPr/>
          <w:p>
            <w:pPr>
              <w:pStyle w:val="Compact"/>
              <w:jc w:val="left"/>
            </w:pPr>
            <w:r>
              <w:t xml:space="preserve">(not specified)</w:t>
            </w:r>
          </w:p>
        </w:tc>
        <w:tc>
          <w:tcPr/>
          <w:p>
            <w:pPr>
              <w:pStyle w:val="Compact"/>
              <w:jc w:val="left"/>
            </w:pPr>
            <w:r>
              <w:t xml:space="preserve">2016 (disclosure W-4)</w:t>
            </w:r>
          </w:p>
        </w:tc>
        <w:tc>
          <w:tcPr/>
          <w:p>
            <w:pPr>
              <w:pStyle w:val="Compact"/>
              <w:jc w:val="left"/>
            </w:pPr>
            <w:r>
              <w:t xml:space="preserve">Confirm 2016; consistent with</w:t>
            </w:r>
            <w:r>
              <w:t xml:space="preserve"> </w:t>
            </w:r>
            <w:r>
              <w:t xml:space="preserve">“</w:t>
            </w:r>
            <w:r>
              <w:t xml:space="preserve">during marriage</w:t>
            </w:r>
            <w:r>
              <w:t xml:space="preserve">”</w:t>
            </w:r>
          </w:p>
        </w:tc>
      </w:tr>
    </w:tbl>
    <w:p>
      <w:pPr>
        <w:pStyle w:val="BodyText"/>
      </w:pPr>
      <w:r>
        <w:rPr>
          <w:b/>
          <w:bCs/>
        </w:rPr>
        <w:t xml:space="preserve">Two items deserve emphasis.</w:t>
      </w:r>
      <w:r>
        <w:t xml:space="preserve"> </w:t>
      </w:r>
      <w:r>
        <w:t xml:space="preserve">First, the</w:t>
      </w:r>
      <w:r>
        <w:t xml:space="preserve"> </w:t>
      </w:r>
      <w:r>
        <w:rPr>
          <w:b/>
          <w:bCs/>
        </w:rPr>
        <w:t xml:space="preserve">date of death</w:t>
      </w:r>
      <w:r>
        <w:t xml:space="preserve"> </w:t>
      </w:r>
      <w:r>
        <w:t xml:space="preserve">of Constance Thornton is inconsistent across all three documents (our draft says August 12; the Redline says September 3; the intake memo and the CPA disclosure both say October 2024). The date of death is material: it fixes the date-of-death valuation of the brokerage account and the separate-property characterization of the inheritance. We should obtain the death certificate and correct every draft. Second, the</w:t>
      </w:r>
      <w:r>
        <w:t xml:space="preserve"> </w:t>
      </w:r>
      <w:r>
        <w:rPr>
          <w:b/>
          <w:bCs/>
        </w:rPr>
        <w:t xml:space="preserve">inheritance brokerage institution</w:t>
      </w:r>
      <w:r>
        <w:t xml:space="preserve"> </w:t>
      </w:r>
      <w:r>
        <w:t xml:space="preserve">is named three different ways (Hartleigh / Tidewater / Northbridge) with three different account numbers. The CPA disclosure (Northbridge Wealth Advisors, acct. *8837) is the most reliable record; both the Original Draft and the Redline should be corrected to match the verified statements.</w:t>
      </w:r>
    </w:p>
    <w:p>
      <w:r>
        <w:pict>
          <v:rect style="width:0;height:1.5pt" o:hralign="center" o:hrstd="t" o:hr="t"/>
        </w:pict>
      </w:r>
    </w:p>
    <w:bookmarkEnd w:id="40"/>
    <w:bookmarkStart w:id="41" w:name="vii.-dollar-impact-and-quantification"/>
    <w:p>
      <w:pPr>
        <w:pStyle w:val="Heading2"/>
      </w:pPr>
      <w:r>
        <w:t xml:space="preserve">VII. Dollar Impact and Quantification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Direction</w:t>
            </w:r>
          </w:p>
        </w:tc>
        <w:tc>
          <w:tcPr/>
          <w:p>
            <w:pPr>
              <w:pStyle w:val="Compact"/>
              <w:jc w:val="left"/>
            </w:pPr>
            <w:r>
              <w:t xml:space="preserve">Estimated impact on Diane</w:t>
            </w:r>
          </w:p>
        </w:tc>
      </w:tr>
      <w:tr>
        <w:tc>
          <w:tcPr/>
          <w:p>
            <w:pPr>
              <w:pStyle w:val="Compact"/>
              <w:jc w:val="left"/>
            </w:pPr>
            <w:r>
              <w:t xml:space="preserve">Deletion of $1.2M reimbursement (§5.2)</w:t>
            </w:r>
          </w:p>
        </w:tc>
        <w:tc>
          <w:tcPr/>
          <w:p>
            <w:pPr>
              <w:pStyle w:val="Compact"/>
              <w:jc w:val="left"/>
            </w:pPr>
            <w:r>
              <w:t xml:space="preserve">Against Diane</w:t>
            </w:r>
          </w:p>
        </w:tc>
        <w:tc>
          <w:tcPr/>
          <w:p>
            <w:pPr>
              <w:pStyle w:val="Compact"/>
              <w:jc w:val="left"/>
            </w:pPr>
            <w:r>
              <w:rPr>
                <w:b/>
                <w:bCs/>
              </w:rPr>
              <w:t xml:space="preserve">≈ $600,000</w:t>
            </w:r>
            <w:r>
              <w:t xml:space="preserve"> </w:t>
            </w:r>
            <w:r>
              <w:t xml:space="preserve">(certain, on dissolution)</w:t>
            </w:r>
          </w:p>
        </w:tc>
      </w:tr>
      <w:tr>
        <w:tc>
          <w:tcPr/>
          <w:p>
            <w:pPr>
              <w:pStyle w:val="Compact"/>
              <w:jc w:val="left"/>
            </w:pPr>
            <w:r>
              <w:t xml:space="preserve">Transmutation reversal (§4.3)</w:t>
            </w:r>
          </w:p>
        </w:tc>
        <w:tc>
          <w:tcPr/>
          <w:p>
            <w:pPr>
              <w:pStyle w:val="Compact"/>
              <w:jc w:val="left"/>
            </w:pPr>
            <w:r>
              <w:t xml:space="preserve">Against Diane</w:t>
            </w:r>
          </w:p>
        </w:tc>
        <w:tc>
          <w:tcPr/>
          <w:p>
            <w:pPr>
              <w:pStyle w:val="Compact"/>
              <w:jc w:val="left"/>
            </w:pPr>
            <w:r>
              <w:t xml:space="preserve">Unquantified; potentially large exposure on $3.8M inheritance if deployed for household</w:t>
            </w:r>
          </w:p>
        </w:tc>
      </w:tr>
      <w:tr>
        <w:tc>
          <w:tcPr/>
          <w:p>
            <w:pPr>
              <w:pStyle w:val="Compact"/>
              <w:jc w:val="left"/>
            </w:pPr>
            <w:r>
              <w:t xml:space="preserve">“</w:t>
            </w:r>
            <w:r>
              <w:t xml:space="preserve">Earned Income</w:t>
            </w:r>
            <w:r>
              <w:t xml:space="preserve">”</w:t>
            </w:r>
            <w:r>
              <w:t xml:space="preserve"> </w:t>
            </w:r>
            <w:r>
              <w:t xml:space="preserve">applied to Marital Property (§2.1(d), §5.1)</w:t>
            </w:r>
          </w:p>
        </w:tc>
        <w:tc>
          <w:tcPr/>
          <w:p>
            <w:pPr>
              <w:pStyle w:val="Compact"/>
              <w:jc w:val="left"/>
            </w:pPr>
            <w:r>
              <w:t xml:space="preserve">Against Diane</w:t>
            </w:r>
          </w:p>
        </w:tc>
        <w:tc>
          <w:tcPr/>
          <w:p>
            <w:pPr>
              <w:pStyle w:val="Compact"/>
              <w:jc w:val="left"/>
            </w:pPr>
            <w:r>
              <w:t xml:space="preserve">Potentially significant (excludes bonuses/equity from marital estate); contradicts client objective</w:t>
            </w:r>
          </w:p>
        </w:tc>
      </w:tr>
      <w:tr>
        <w:tc>
          <w:tcPr/>
          <w:p>
            <w:pPr>
              <w:pStyle w:val="Compact"/>
              <w:jc w:val="left"/>
            </w:pPr>
            <w:r>
              <w:t xml:space="preserve">Coverture fraction on RSUs (§7.1)</w:t>
            </w:r>
          </w:p>
        </w:tc>
        <w:tc>
          <w:tcPr/>
          <w:p>
            <w:pPr>
              <w:pStyle w:val="Compact"/>
              <w:jc w:val="left"/>
            </w:pPr>
            <w:r>
              <w:t xml:space="preserve">Against Diane</w:t>
            </w:r>
          </w:p>
        </w:tc>
        <w:tc>
          <w:tcPr/>
          <w:p>
            <w:pPr>
              <w:pStyle w:val="Compact"/>
              <w:jc w:val="left"/>
            </w:pPr>
            <w:r>
              <w:t xml:space="preserve">≈ $20,000–$50,000 (modest; timing-dependent)</w:t>
            </w:r>
          </w:p>
        </w:tc>
      </w:tr>
      <w:tr>
        <w:tc>
          <w:tcPr/>
          <w:p>
            <w:pPr>
              <w:pStyle w:val="Compact"/>
              <w:jc w:val="left"/>
            </w:pPr>
            <w:r>
              <w:t xml:space="preserve">$5,000 de minimis on debt indemnity (§11.2)</w:t>
            </w:r>
          </w:p>
        </w:tc>
        <w:tc>
          <w:tcPr/>
          <w:p>
            <w:pPr>
              <w:pStyle w:val="Compact"/>
              <w:jc w:val="left"/>
            </w:pPr>
            <w:r>
              <w:t xml:space="preserve">Against Diane</w:t>
            </w:r>
          </w:p>
        </w:tc>
        <w:tc>
          <w:tcPr/>
          <w:p>
            <w:pPr>
              <w:pStyle w:val="Compact"/>
              <w:jc w:val="left"/>
            </w:pPr>
            <w:r>
              <w:t xml:space="preserve">Small direct $ impact; removes protection</w:t>
            </w:r>
          </w:p>
        </w:tc>
      </w:tr>
      <w:tr>
        <w:tc>
          <w:tcPr/>
          <w:p>
            <w:pPr>
              <w:pStyle w:val="Compact"/>
              <w:jc w:val="left"/>
            </w:pPr>
            <w:r>
              <w:t xml:space="preserve">Disclosure/voidability weakening (§12.2)</w:t>
            </w:r>
          </w:p>
        </w:tc>
        <w:tc>
          <w:tcPr/>
          <w:p>
            <w:pPr>
              <w:pStyle w:val="Compact"/>
              <w:jc w:val="left"/>
            </w:pPr>
            <w:r>
              <w:t xml:space="preserve">Against Diane</w:t>
            </w:r>
          </w:p>
        </w:tc>
        <w:tc>
          <w:tcPr/>
          <w:p>
            <w:pPr>
              <w:pStyle w:val="Compact"/>
              <w:jc w:val="left"/>
            </w:pPr>
            <w:r>
              <w:t xml:space="preserve">Not directly quantifiable; high risk value given Marcus’s concealment history</w:t>
            </w:r>
          </w:p>
        </w:tc>
      </w:tr>
      <w:tr>
        <w:tc>
          <w:tcPr/>
          <w:p>
            <w:pPr>
              <w:pStyle w:val="Compact"/>
              <w:jc w:val="left"/>
            </w:pPr>
            <w:r>
              <w:t xml:space="preserve">Active/passive practice appreciation (§6.1)</w:t>
            </w:r>
          </w:p>
        </w:tc>
        <w:tc>
          <w:tcPr/>
          <w:p>
            <w:pPr>
              <w:pStyle w:val="Compact"/>
              <w:jc w:val="left"/>
            </w:pPr>
            <w:r>
              <w:rPr>
                <w:b/>
                <w:bCs/>
              </w:rPr>
              <w:t xml:space="preserve">For Diane</w:t>
            </w:r>
          </w:p>
        </w:tc>
        <w:tc>
          <w:tcPr/>
          <w:p>
            <w:pPr>
              <w:pStyle w:val="Compact"/>
              <w:jc w:val="left"/>
            </w:pPr>
            <w:r>
              <w:t xml:space="preserve">Reduces Marcus’s share of appreciation from 50% of all to ≈20% of appreciation (per Strand 60/40)</w:t>
            </w:r>
          </w:p>
        </w:tc>
      </w:tr>
      <w:tr>
        <w:tc>
          <w:tcPr/>
          <w:p>
            <w:pPr>
              <w:pStyle w:val="Compact"/>
              <w:jc w:val="left"/>
            </w:pPr>
            <w:r>
              <w:t xml:space="preserve">Maintenance framework (§10.2–10.4)</w:t>
            </w:r>
          </w:p>
        </w:tc>
        <w:tc>
          <w:tcPr/>
          <w:p>
            <w:pPr>
              <w:pStyle w:val="Compact"/>
              <w:jc w:val="left"/>
            </w:pPr>
            <w:r>
              <w:rPr>
                <w:b/>
                <w:bCs/>
              </w:rPr>
              <w:t xml:space="preserve">For Diane</w:t>
            </w:r>
          </w:p>
        </w:tc>
        <w:tc>
          <w:tcPr/>
          <w:p>
            <w:pPr>
              <w:pStyle w:val="Compact"/>
              <w:jc w:val="left"/>
            </w:pPr>
            <w:r>
              <w:t xml:space="preserve">Potentially ≈ $400,000+ saved (if dissolution occurs while Marcus &gt; $200k income); contingent</w:t>
            </w:r>
          </w:p>
        </w:tc>
      </w:tr>
      <w:tr>
        <w:tc>
          <w:tcPr/>
          <w:p>
            <w:pPr>
              <w:pStyle w:val="Compact"/>
              <w:jc w:val="left"/>
            </w:pPr>
            <w:r>
              <w:t xml:space="preserve">Attorney’s fees waiver (§13.2)</w:t>
            </w:r>
          </w:p>
        </w:tc>
        <w:tc>
          <w:tcPr/>
          <w:p>
            <w:pPr>
              <w:pStyle w:val="Compact"/>
              <w:jc w:val="left"/>
            </w:pPr>
            <w:r>
              <w:t xml:space="preserve">Against Diane</w:t>
            </w:r>
          </w:p>
        </w:tc>
        <w:tc>
          <w:tcPr/>
          <w:p>
            <w:pPr>
              <w:pStyle w:val="Compact"/>
              <w:jc w:val="left"/>
            </w:pPr>
            <w:r>
              <w:t xml:space="preserve">Removes fee recovery on enforcement</w:t>
            </w:r>
          </w:p>
        </w:tc>
      </w:tr>
      <w:tr>
        <w:tc>
          <w:tcPr/>
          <w:p>
            <w:pPr>
              <w:pStyle w:val="Compact"/>
              <w:jc w:val="left"/>
            </w:pPr>
            <w:r>
              <w:t xml:space="preserve">Venue / sunset / unilateral modification</w:t>
            </w:r>
          </w:p>
        </w:tc>
        <w:tc>
          <w:tcPr/>
          <w:p>
            <w:pPr>
              <w:pStyle w:val="Compact"/>
              <w:jc w:val="left"/>
            </w:pPr>
            <w:r>
              <w:t xml:space="preserve">Against Diane</w:t>
            </w:r>
          </w:p>
        </w:tc>
        <w:tc>
          <w:tcPr/>
          <w:p>
            <w:pPr>
              <w:pStyle w:val="Compact"/>
              <w:jc w:val="left"/>
            </w:pPr>
            <w:r>
              <w:t xml:space="preserve">Procedural; affects convenience, term length, and stability</w:t>
            </w:r>
          </w:p>
        </w:tc>
      </w:tr>
    </w:tbl>
    <w:p>
      <w:pPr>
        <w:pStyle w:val="BodyText"/>
      </w:pPr>
      <w:r>
        <w:rPr>
          <w:b/>
          <w:bCs/>
        </w:rPr>
        <w:t xml:space="preserve">Net.</w:t>
      </w:r>
      <w:r>
        <w:t xml:space="preserve"> </w:t>
      </w:r>
      <w:r>
        <w:t xml:space="preserve">The certain, quantifiable property loss to Diane (the $600,000 reimbursement deletion) substantially exceeds the contingent maintenance savings, and the transmutation and</w:t>
      </w:r>
      <w:r>
        <w:t xml:space="preserve"> </w:t>
      </w:r>
      <w:r>
        <w:t xml:space="preserve">“</w:t>
      </w:r>
      <w:r>
        <w:t xml:space="preserve">Earned Income</w:t>
      </w:r>
      <w:r>
        <w:t xml:space="preserve">”</w:t>
      </w:r>
      <w:r>
        <w:t xml:space="preserve"> </w:t>
      </w:r>
      <w:r>
        <w:t xml:space="preserve">changes create additional open-ended exposure. The favorable items (active/passive appreciation; maintenance) are real but either smaller in expected value or contingent, and the maintenance savings are fragile (the $200,000 threshold sits just below Marcus’s $215,000 base salary). The Redline is, on balance, a significant net loss for Diane relative to the Original Draft.</w:t>
      </w:r>
    </w:p>
    <w:p>
      <w:r>
        <w:pict>
          <v:rect style="width:0;height:1.5pt" o:hralign="center" o:hrstd="t" o:hr="t"/>
        </w:pict>
      </w:r>
    </w:p>
    <w:bookmarkEnd w:id="41"/>
    <w:bookmarkStart w:id="47" w:name="X62ff9c0b250e2b5a1d4122930c3d232817468c8"/>
    <w:p>
      <w:pPr>
        <w:pStyle w:val="Heading2"/>
      </w:pPr>
      <w:r>
        <w:t xml:space="preserve">VIII. Negotiation Strategy and Recommendations</w:t>
      </w:r>
    </w:p>
    <w:p>
      <w:pPr>
        <w:pStyle w:val="FirstParagraph"/>
      </w:pPr>
      <w:r>
        <w:t xml:space="preserve">I recommend a</w:t>
      </w:r>
      <w:r>
        <w:t xml:space="preserve"> </w:t>
      </w:r>
      <w:r>
        <w:rPr>
          <w:b/>
          <w:bCs/>
        </w:rPr>
        <w:t xml:space="preserve">tiered</w:t>
      </w:r>
      <w:r>
        <w:t xml:space="preserve"> </w:t>
      </w:r>
      <w:r>
        <w:t xml:space="preserve">approach, communicated to Mr. Baxter in writing before January 27 so that the conference opens with a clear agenda.</w:t>
      </w:r>
    </w:p>
    <w:bookmarkStart w:id="42" w:name="X346914dbf5ac4a3f3594c476ef0bc12f2c8bee6"/>
    <w:p>
      <w:pPr>
        <w:pStyle w:val="Heading3"/>
      </w:pPr>
      <w:r>
        <w:t xml:space="preserve">Tier 1 — Non-negotiable (restore as a condition of execution)</w:t>
      </w:r>
    </w:p>
    <w:p>
      <w:pPr>
        <w:pStyle w:val="Compact"/>
        <w:numPr>
          <w:ilvl w:val="0"/>
          <w:numId w:val="1009"/>
        </w:numPr>
      </w:pPr>
      <w:r>
        <w:rPr>
          <w:b/>
          <w:bCs/>
        </w:rPr>
        <w:t xml:space="preserve">Restore the $1.2M premarital-savings reimbursement right</w:t>
      </w:r>
      <w:r>
        <w:t xml:space="preserve"> </w:t>
      </w:r>
      <w:r>
        <w:t xml:space="preserve">(§5.2). Rebut the</w:t>
      </w:r>
      <w:r>
        <w:t xml:space="preserve"> </w:t>
      </w:r>
      <w:r>
        <w:t xml:space="preserve">“</w:t>
      </w:r>
      <w:r>
        <w:t xml:space="preserve">duplicative</w:t>
      </w:r>
      <w:r>
        <w:t xml:space="preserve">”</w:t>
      </w:r>
      <w:r>
        <w:t xml:space="preserve"> </w:t>
      </w:r>
      <w:r>
        <w:t xml:space="preserve">characterization expressly.</w:t>
      </w:r>
    </w:p>
    <w:p>
      <w:pPr>
        <w:pStyle w:val="Compact"/>
        <w:numPr>
          <w:ilvl w:val="0"/>
          <w:numId w:val="1009"/>
        </w:numPr>
      </w:pPr>
      <w:r>
        <w:rPr>
          <w:b/>
          <w:bCs/>
        </w:rPr>
        <w:t xml:space="preserve">Restore robust disclosure and voidability:</w:t>
      </w:r>
      <w:r>
        <w:t xml:space="preserve"> </w:t>
      </w:r>
      <w:r>
        <w:t xml:space="preserve">“</w:t>
      </w:r>
      <w:r>
        <w:t xml:space="preserve">full, fair, and complete</w:t>
      </w:r>
      <w:r>
        <w:t xml:space="preserve">”</w:t>
      </w:r>
      <w:r>
        <w:t xml:space="preserve"> </w:t>
      </w:r>
      <w:r>
        <w:t xml:space="preserve">disclosure; material-omission voidability (no intent, no $100,000 floor, no clear-and-convincing burden, no two-year limit); restore the ongoing disclosure duty (§3.4) and future-debt reporting (§11.3).</w:t>
      </w:r>
    </w:p>
    <w:p>
      <w:pPr>
        <w:pStyle w:val="Compact"/>
        <w:numPr>
          <w:ilvl w:val="0"/>
          <w:numId w:val="1009"/>
        </w:numPr>
      </w:pPr>
      <w:r>
        <w:rPr>
          <w:b/>
          <w:bCs/>
        </w:rPr>
        <w:t xml:space="preserve">Remove the $5,000 de minimis</w:t>
      </w:r>
      <w:r>
        <w:t xml:space="preserve"> </w:t>
      </w:r>
      <w:r>
        <w:t xml:space="preserve">on the Identified Debt indemnification; restore</w:t>
      </w:r>
      <w:r>
        <w:t xml:space="preserve"> </w:t>
      </w:r>
      <w:r>
        <w:t xml:space="preserve">“</w:t>
      </w:r>
      <w:r>
        <w:t xml:space="preserve">without limitation.</w:t>
      </w:r>
      <w:r>
        <w:t xml:space="preserve">”</w:t>
      </w:r>
    </w:p>
    <w:p>
      <w:pPr>
        <w:pStyle w:val="Compact"/>
        <w:numPr>
          <w:ilvl w:val="0"/>
          <w:numId w:val="1009"/>
        </w:numPr>
      </w:pPr>
      <w:r>
        <w:rPr>
          <w:b/>
          <w:bCs/>
        </w:rPr>
        <w:t xml:space="preserve">Delete the unilateral modification mechanism</w:t>
      </w:r>
      <w:r>
        <w:t xml:space="preserve"> </w:t>
      </w:r>
      <w:r>
        <w:t xml:space="preserve">(§14.2); retain mutual written consent only.</w:t>
      </w:r>
    </w:p>
    <w:p>
      <w:pPr>
        <w:pStyle w:val="Compact"/>
        <w:numPr>
          <w:ilvl w:val="0"/>
          <w:numId w:val="1009"/>
        </w:numPr>
      </w:pPr>
      <w:r>
        <w:rPr>
          <w:b/>
          <w:bCs/>
        </w:rPr>
        <w:t xml:space="preserve">Restore express inclusion of bonuses, equity, and RSUs as Marital Property</w:t>
      </w:r>
      <w:r>
        <w:t xml:space="preserve">; confine any</w:t>
      </w:r>
      <w:r>
        <w:t xml:space="preserve"> </w:t>
      </w:r>
      <w:r>
        <w:t xml:space="preserve">“</w:t>
      </w:r>
      <w:r>
        <w:t xml:space="preserve">Earned Income</w:t>
      </w:r>
      <w:r>
        <w:t xml:space="preserve">”</w:t>
      </w:r>
      <w:r>
        <w:t xml:space="preserve"> </w:t>
      </w:r>
      <w:r>
        <w:t xml:space="preserve">term to the maintenance calculation only; restore the marital-effort/marital-funds appreciation language.</w:t>
      </w:r>
    </w:p>
    <w:bookmarkEnd w:id="42"/>
    <w:bookmarkStart w:id="43" w:name="tier-2-high-priority-strong-pushback"/>
    <w:p>
      <w:pPr>
        <w:pStyle w:val="Heading3"/>
      </w:pPr>
      <w:r>
        <w:t xml:space="preserve">Tier 2 — High priority (strong pushback)</w:t>
      </w:r>
    </w:p>
    <w:p>
      <w:pPr>
        <w:pStyle w:val="Compact"/>
        <w:numPr>
          <w:ilvl w:val="0"/>
          <w:numId w:val="1010"/>
        </w:numPr>
      </w:pPr>
      <w:r>
        <w:rPr>
          <w:b/>
          <w:bCs/>
        </w:rPr>
        <w:t xml:space="preserve">Renegotiate commingling/transmutation:</w:t>
      </w:r>
      <w:r>
        <w:t xml:space="preserve"> </w:t>
      </w:r>
      <w:r>
        <w:t xml:space="preserve">retain a reimbursement right for the contributing party</w:t>
      </w:r>
      <w:r>
        <w:t xml:space="preserve"> </w:t>
      </w:r>
      <w:r>
        <w:rPr>
          <w:i/>
          <w:iCs/>
        </w:rPr>
        <w:t xml:space="preserve">but</w:t>
      </w:r>
      <w:r>
        <w:t xml:space="preserve"> </w:t>
      </w:r>
      <w:r>
        <w:t xml:space="preserve">preserve a rebuttable presumption of transmutation (or a marital-equity interest) for substantial separate-property expenditures for joint benefit; narrow §4.2’s disposal right.</w:t>
      </w:r>
    </w:p>
    <w:p>
      <w:pPr>
        <w:pStyle w:val="Compact"/>
        <w:numPr>
          <w:ilvl w:val="0"/>
          <w:numId w:val="1010"/>
        </w:numPr>
      </w:pPr>
      <w:r>
        <w:rPr>
          <w:b/>
          <w:bCs/>
        </w:rPr>
        <w:t xml:space="preserve">Restore prevailing-party attorney’s fees</w:t>
      </w:r>
      <w:r>
        <w:t xml:space="preserve"> </w:t>
      </w:r>
      <w:r>
        <w:t xml:space="preserve">(§13.2).</w:t>
      </w:r>
    </w:p>
    <w:p>
      <w:pPr>
        <w:pStyle w:val="Compact"/>
        <w:numPr>
          <w:ilvl w:val="0"/>
          <w:numId w:val="1010"/>
        </w:numPr>
      </w:pPr>
      <w:r>
        <w:rPr>
          <w:b/>
          <w:bCs/>
        </w:rPr>
        <w:t xml:space="preserve">Restore Cook County venue</w:t>
      </w:r>
      <w:r>
        <w:t xml:space="preserve"> </w:t>
      </w:r>
      <w:r>
        <w:t xml:space="preserve">(§15.2).</w:t>
      </w:r>
    </w:p>
    <w:p>
      <w:pPr>
        <w:pStyle w:val="Compact"/>
        <w:numPr>
          <w:ilvl w:val="0"/>
          <w:numId w:val="1010"/>
        </w:numPr>
      </w:pPr>
      <w:r>
        <w:rPr>
          <w:b/>
          <w:bCs/>
        </w:rPr>
        <w:t xml:space="preserve">Restore a longer sunset</w:t>
      </w:r>
      <w:r>
        <w:t xml:space="preserve"> </w:t>
      </w:r>
      <w:r>
        <w:t xml:space="preserve">— at minimum through Julian’s 18th birthday; push for the original 15-year term (§15.5).</w:t>
      </w:r>
    </w:p>
    <w:p>
      <w:pPr>
        <w:pStyle w:val="Compact"/>
        <w:numPr>
          <w:ilvl w:val="0"/>
          <w:numId w:val="1010"/>
        </w:numPr>
      </w:pPr>
      <w:r>
        <w:rPr>
          <w:b/>
          <w:bCs/>
        </w:rPr>
        <w:t xml:space="preserve">Restore the</w:t>
      </w:r>
      <w:r>
        <w:rPr>
          <w:b/>
          <w:bCs/>
        </w:rPr>
        <w:t xml:space="preserve"> </w:t>
      </w:r>
      <w:r>
        <w:rPr>
          <w:b/>
          <w:bCs/>
        </w:rPr>
        <w:t xml:space="preserve">“</w:t>
      </w:r>
      <w:r>
        <w:rPr>
          <w:b/>
          <w:bCs/>
        </w:rPr>
        <w:t xml:space="preserve">No Pending Proceedings</w:t>
      </w:r>
      <w:r>
        <w:rPr>
          <w:b/>
          <w:bCs/>
        </w:rPr>
        <w:t xml:space="preserve">”</w:t>
      </w:r>
      <w:r>
        <w:rPr>
          <w:b/>
          <w:bCs/>
        </w:rPr>
        <w:t xml:space="preserve"> </w:t>
      </w:r>
      <w:r>
        <w:rPr>
          <w:b/>
          <w:bCs/>
        </w:rPr>
        <w:t xml:space="preserve">and fiduciary-duty/fairness representations</w:t>
      </w:r>
      <w:r>
        <w:t xml:space="preserve"> </w:t>
      </w:r>
      <w:r>
        <w:t xml:space="preserve">and standard miscellaneous provisions (Part V.O).</w:t>
      </w:r>
    </w:p>
    <w:bookmarkEnd w:id="43"/>
    <w:bookmarkStart w:id="44" w:name="tier-3-acceptable-available-for-trade"/>
    <w:p>
      <w:pPr>
        <w:pStyle w:val="Heading3"/>
      </w:pPr>
      <w:r>
        <w:t xml:space="preserve">Tier 3 — Acceptable / available for trade</w:t>
      </w:r>
    </w:p>
    <w:p>
      <w:pPr>
        <w:pStyle w:val="Compact"/>
        <w:numPr>
          <w:ilvl w:val="0"/>
          <w:numId w:val="1011"/>
        </w:numPr>
      </w:pPr>
      <w:r>
        <w:rPr>
          <w:b/>
          <w:bCs/>
        </w:rPr>
        <w:t xml:space="preserve">Active/passive appreciation for the practice interest</w:t>
      </w:r>
      <w:r>
        <w:t xml:space="preserve"> </w:t>
      </w:r>
      <w:r>
        <w:t xml:space="preserve">(§6.1) — accept, with streamlined valuation mechanics (rebuttable 60/40 default per Strand; locked baseline).</w:t>
      </w:r>
    </w:p>
    <w:p>
      <w:pPr>
        <w:pStyle w:val="Compact"/>
        <w:numPr>
          <w:ilvl w:val="0"/>
          <w:numId w:val="1011"/>
        </w:numPr>
      </w:pPr>
      <w:r>
        <w:rPr>
          <w:b/>
          <w:bCs/>
        </w:rPr>
        <w:t xml:space="preserve">Coverture fraction for RSUs</w:t>
      </w:r>
      <w:r>
        <w:t xml:space="preserve"> </w:t>
      </w:r>
      <w:r>
        <w:t xml:space="preserve">(§7.1) — acceptable; hold 50/50 as a fallback trade if needed.</w:t>
      </w:r>
    </w:p>
    <w:p>
      <w:pPr>
        <w:pStyle w:val="Compact"/>
        <w:numPr>
          <w:ilvl w:val="0"/>
          <w:numId w:val="1011"/>
        </w:numPr>
      </w:pPr>
      <w:r>
        <w:rPr>
          <w:b/>
          <w:bCs/>
        </w:rPr>
        <w:t xml:space="preserve">Maintenance framework</w:t>
      </w:r>
      <w:r>
        <w:t xml:space="preserve"> </w:t>
      </w:r>
      <w:r>
        <w:t xml:space="preserve">(§10.2–10.4) — accept as net-favorable; ensure</w:t>
      </w:r>
      <w:r>
        <w:t xml:space="preserve"> </w:t>
      </w:r>
      <w:r>
        <w:t xml:space="preserve">“</w:t>
      </w:r>
      <w:r>
        <w:t xml:space="preserve">Earned Income</w:t>
      </w:r>
      <w:r>
        <w:t xml:space="preserve">”</w:t>
      </w:r>
      <w:r>
        <w:t xml:space="preserve"> </w:t>
      </w:r>
      <w:r>
        <w:t xml:space="preserve">stays confined to Article X.</w:t>
      </w:r>
    </w:p>
    <w:p>
      <w:pPr>
        <w:pStyle w:val="Compact"/>
        <w:numPr>
          <w:ilvl w:val="0"/>
          <w:numId w:val="1011"/>
        </w:numPr>
      </w:pPr>
      <w:r>
        <w:rPr>
          <w:b/>
          <w:bCs/>
        </w:rPr>
        <w:t xml:space="preserve">Marital-residence buyout structure</w:t>
      </w:r>
      <w:r>
        <w:t xml:space="preserve"> </w:t>
      </w:r>
      <w:r>
        <w:t xml:space="preserve">(§9.2) — accept; negotiate 60-day exercise and 24-month payment.</w:t>
      </w:r>
    </w:p>
    <w:p>
      <w:pPr>
        <w:pStyle w:val="Compact"/>
        <w:numPr>
          <w:ilvl w:val="0"/>
          <w:numId w:val="1011"/>
        </w:numPr>
      </w:pPr>
      <w:r>
        <w:rPr>
          <w:b/>
          <w:bCs/>
        </w:rPr>
        <w:t xml:space="preserve">Severability, notarization/witnesses, 60-day review representation, governing-law conflict clause, counsel acknowledgments, RSU notice duties</w:t>
      </w:r>
      <w:r>
        <w:t xml:space="preserve"> </w:t>
      </w:r>
      <w:r>
        <w:t xml:space="preserve">— accept.</w:t>
      </w:r>
    </w:p>
    <w:bookmarkEnd w:id="44"/>
    <w:bookmarkStart w:id="45" w:name="X8aa4e6cfd1b7c85200cc74421e26d90accfe98f"/>
    <w:p>
      <w:pPr>
        <w:pStyle w:val="Heading3"/>
      </w:pPr>
      <w:r>
        <w:t xml:space="preserve">Tier 4 — Factual corrections (required regardless of substantive terms)</w:t>
      </w:r>
    </w:p>
    <w:p>
      <w:pPr>
        <w:pStyle w:val="Compact"/>
        <w:numPr>
          <w:ilvl w:val="0"/>
          <w:numId w:val="1012"/>
        </w:numPr>
      </w:pPr>
      <w:r>
        <w:rPr>
          <w:b/>
          <w:bCs/>
        </w:rPr>
        <w:t xml:space="preserve">Reconcile all account institutions, account numbers, appraiser identities, dates, and balances</w:t>
      </w:r>
      <w:r>
        <w:t xml:space="preserve"> </w:t>
      </w:r>
      <w:r>
        <w:t xml:space="preserve">against the financial-disclosure summary and source documents (death certificate; birth certificates; account statements). Correct the Redline’s errors (Tidewater Securities; acct. -7724; acct. -3961; Midwest Appraisal Associates; Hollcroft Fiduciary; $4,200; etc.) and our Original Draft’s errors (Hartleigh Investments;</w:t>
      </w:r>
      <w:r>
        <w:t xml:space="preserve"> </w:t>
      </w:r>
      <w:r>
        <w:t xml:space="preserve">“</w:t>
      </w:r>
      <w:r>
        <w:t xml:space="preserve">Constane</w:t>
      </w:r>
      <w:r>
        <w:t xml:space="preserve">”</w:t>
      </w:r>
      <w:r>
        <w:t xml:space="preserve">; the date of death).</w:t>
      </w:r>
    </w:p>
    <w:bookmarkEnd w:id="45"/>
    <w:bookmarkStart w:id="46" w:name="posture-and-tactics-for-january-27"/>
    <w:p>
      <w:pPr>
        <w:pStyle w:val="Heading3"/>
      </w:pPr>
      <w:r>
        <w:t xml:space="preserve">Posture and tactics for January 27</w:t>
      </w:r>
    </w:p>
    <w:p>
      <w:pPr>
        <w:pStyle w:val="Compact"/>
        <w:numPr>
          <w:ilvl w:val="0"/>
          <w:numId w:val="1013"/>
        </w:numPr>
      </w:pPr>
      <w:r>
        <w:rPr>
          <w:b/>
          <w:bCs/>
        </w:rPr>
        <w:t xml:space="preserve">Lead with the reimbursement right and the disclosure provisions.</w:t>
      </w:r>
      <w:r>
        <w:t xml:space="preserve"> </w:t>
      </w:r>
      <w:r>
        <w:t xml:space="preserve">These are Diane’s #1 and #2 objectives and the changes most at odds with the email’s</w:t>
      </w:r>
      <w:r>
        <w:t xml:space="preserve"> </w:t>
      </w:r>
      <w:r>
        <w:t xml:space="preserve">“</w:t>
      </w:r>
      <w:r>
        <w:t xml:space="preserve">modest</w:t>
      </w:r>
      <w:r>
        <w:t xml:space="preserve">”</w:t>
      </w:r>
      <w:r>
        <w:t xml:space="preserve"> </w:t>
      </w:r>
      <w:r>
        <w:t xml:space="preserve">framing. Establishing these first sets the tone that we have read the Redline carefully.</w:t>
      </w:r>
    </w:p>
    <w:p>
      <w:pPr>
        <w:pStyle w:val="Compact"/>
        <w:numPr>
          <w:ilvl w:val="0"/>
          <w:numId w:val="1013"/>
        </w:numPr>
      </w:pPr>
      <w:r>
        <w:rPr>
          <w:b/>
          <w:bCs/>
        </w:rPr>
        <w:t xml:space="preserve">Expose the</w:t>
      </w:r>
      <w:r>
        <w:rPr>
          <w:b/>
          <w:bCs/>
        </w:rPr>
        <w:t xml:space="preserve"> </w:t>
      </w:r>
      <w:r>
        <w:rPr>
          <w:b/>
          <w:bCs/>
        </w:rPr>
        <w:t xml:space="preserve">“</w:t>
      </w:r>
      <w:r>
        <w:rPr>
          <w:b/>
          <w:bCs/>
        </w:rPr>
        <w:t xml:space="preserve">Earned Income</w:t>
      </w:r>
      <w:r>
        <w:rPr>
          <w:b/>
          <w:bCs/>
        </w:rPr>
        <w:t xml:space="preserve">”</w:t>
      </w:r>
      <w:r>
        <w:rPr>
          <w:b/>
          <w:bCs/>
        </w:rPr>
        <w:t xml:space="preserve"> </w:t>
      </w:r>
      <w:r>
        <w:rPr>
          <w:b/>
          <w:bCs/>
        </w:rPr>
        <w:t xml:space="preserve">hidden term.</w:t>
      </w:r>
      <w:r>
        <w:t xml:space="preserve"> </w:t>
      </w:r>
      <w:r>
        <w:t xml:space="preserve">Mr. Baxter’s MC-02 presents it as a</w:t>
      </w:r>
      <w:r>
        <w:t xml:space="preserve"> </w:t>
      </w:r>
      <w:r>
        <w:t xml:space="preserve">“</w:t>
      </w:r>
      <w:r>
        <w:t xml:space="preserve">standard</w:t>
      </w:r>
      <w:r>
        <w:t xml:space="preserve">”</w:t>
      </w:r>
      <w:r>
        <w:t xml:space="preserve"> </w:t>
      </w:r>
      <w:r>
        <w:t xml:space="preserve">definition for</w:t>
      </w:r>
      <w:r>
        <w:t xml:space="preserve"> </w:t>
      </w:r>
      <w:r>
        <w:t xml:space="preserve">“</w:t>
      </w:r>
      <w:r>
        <w:t xml:space="preserve">calculating contribution obligations.</w:t>
      </w:r>
      <w:r>
        <w:t xml:space="preserve">”</w:t>
      </w:r>
      <w:r>
        <w:t xml:space="preserve"> </w:t>
      </w:r>
      <w:r>
        <w:t xml:space="preserve">We should show, on the record, that it is cross-referenced into the Marital Property definition and could exclude bonuses and equity from the marital estate — contrary to the disclosure classification and Diane’s express instruction. This is the kind of</w:t>
      </w:r>
      <w:r>
        <w:t xml:space="preserve"> </w:t>
      </w:r>
      <w:r>
        <w:t xml:space="preserve">“</w:t>
      </w:r>
      <w:r>
        <w:t xml:space="preserve">embedded term</w:t>
      </w:r>
      <w:r>
        <w:t xml:space="preserve">”</w:t>
      </w:r>
      <w:r>
        <w:t xml:space="preserve"> </w:t>
      </w:r>
      <w:r>
        <w:t xml:space="preserve">Diane asked us to catch.</w:t>
      </w:r>
    </w:p>
    <w:p>
      <w:pPr>
        <w:pStyle w:val="Compact"/>
        <w:numPr>
          <w:ilvl w:val="0"/>
          <w:numId w:val="1013"/>
        </w:numPr>
      </w:pPr>
      <w:r>
        <w:rPr>
          <w:b/>
          <w:bCs/>
        </w:rPr>
        <w:t xml:space="preserve">Rebut the misleading margin comments.</w:t>
      </w:r>
      <w:r>
        <w:t xml:space="preserve"> </w:t>
      </w:r>
      <w:r>
        <w:t xml:space="preserve">MC-05 (</w:t>
      </w:r>
      <w:r>
        <w:t xml:space="preserve">“</w:t>
      </w:r>
      <w:r>
        <w:t xml:space="preserve">duplicative</w:t>
      </w:r>
      <w:r>
        <w:t xml:space="preserve">”</w:t>
      </w:r>
      <w:r>
        <w:t xml:space="preserve">), MC-09 (</w:t>
      </w:r>
      <w:r>
        <w:t xml:space="preserve">“</w:t>
      </w:r>
      <w:r>
        <w:t xml:space="preserve">benefits both parties equally</w:t>
      </w:r>
      <w:r>
        <w:t xml:space="preserve">”</w:t>
      </w:r>
      <w:r>
        <w:t xml:space="preserve">), and MC-02 (</w:t>
      </w:r>
      <w:r>
        <w:t xml:space="preserve">“</w:t>
      </w:r>
      <w:r>
        <w:t xml:space="preserve">standard usage</w:t>
      </w:r>
      <w:r>
        <w:t xml:space="preserve">”</w:t>
      </w:r>
      <w:r>
        <w:t xml:space="preserve">) each mischaracterize the effect. A measured, written rebuttal protects the record and signals that minimizing cover language will not go unchallenged.</w:t>
      </w:r>
    </w:p>
    <w:p>
      <w:pPr>
        <w:pStyle w:val="Compact"/>
        <w:numPr>
          <w:ilvl w:val="0"/>
          <w:numId w:val="1013"/>
        </w:numPr>
      </w:pPr>
      <w:r>
        <w:rPr>
          <w:b/>
          <w:bCs/>
        </w:rPr>
        <w:t xml:space="preserve">Offer a genuine trade.</w:t>
      </w:r>
      <w:r>
        <w:t xml:space="preserve"> </w:t>
      </w:r>
      <w:r>
        <w:t xml:space="preserve">We can accept the active/passive appreciation framework, the maintenance framework, severability, and the execution formalities — all of which Mr. Baxter can represent to his client as accepted — in exchange for restoration of the Tier 1 items. This demonstrates good faith and gives Marcus tangible</w:t>
      </w:r>
      <w:r>
        <w:t xml:space="preserve"> </w:t>
      </w:r>
      <w:r>
        <w:t xml:space="preserve">“</w:t>
      </w:r>
      <w:r>
        <w:t xml:space="preserve">wins</w:t>
      </w:r>
      <w:r>
        <w:t xml:space="preserve">”</w:t>
      </w:r>
      <w:r>
        <w:t xml:space="preserve"> </w:t>
      </w:r>
      <w:r>
        <w:t xml:space="preserve">while we secure the protections that matter.</w:t>
      </w:r>
    </w:p>
    <w:p>
      <w:pPr>
        <w:pStyle w:val="Compact"/>
        <w:numPr>
          <w:ilvl w:val="0"/>
          <w:numId w:val="1013"/>
        </w:numPr>
      </w:pPr>
      <w:r>
        <w:rPr>
          <w:b/>
          <w:bCs/>
        </w:rPr>
        <w:t xml:space="preserve">Do not be rushed by the</w:t>
      </w:r>
      <w:r>
        <w:rPr>
          <w:b/>
          <w:bCs/>
        </w:rPr>
        <w:t xml:space="preserve"> </w:t>
      </w:r>
      <w:r>
        <w:rPr>
          <w:b/>
          <w:bCs/>
        </w:rPr>
        <w:t xml:space="preserve">“</w:t>
      </w:r>
      <w:r>
        <w:rPr>
          <w:b/>
          <w:bCs/>
        </w:rPr>
        <w:t xml:space="preserve">short list</w:t>
      </w:r>
      <w:r>
        <w:rPr>
          <w:b/>
          <w:bCs/>
        </w:rPr>
        <w:t xml:space="preserve">”</w:t>
      </w:r>
      <w:r>
        <w:rPr>
          <w:b/>
          <w:bCs/>
        </w:rPr>
        <w:t xml:space="preserve"> </w:t>
      </w:r>
      <w:r>
        <w:rPr>
          <w:b/>
          <w:bCs/>
        </w:rPr>
        <w:t xml:space="preserve">framing.</w:t>
      </w:r>
      <w:r>
        <w:t xml:space="preserve"> </w:t>
      </w:r>
      <w:r>
        <w:t xml:space="preserve">Mr. Baxter’s email invites us to arrive with a short list; our list is longer because the Redline is longer in substance than in presentation. We should say so directly.</w:t>
      </w:r>
    </w:p>
    <w:p>
      <w:pPr>
        <w:pStyle w:val="Compact"/>
        <w:numPr>
          <w:ilvl w:val="0"/>
          <w:numId w:val="1013"/>
        </w:numPr>
      </w:pPr>
      <w:r>
        <w:rPr>
          <w:b/>
          <w:bCs/>
        </w:rPr>
        <w:t xml:space="preserve">Keep the four-way conference focused.</w:t>
      </w:r>
      <w:r>
        <w:t xml:space="preserve"> </w:t>
      </w:r>
      <w:r>
        <w:t xml:space="preserve">Aim to close Tier 1 and as much of Tier 2 as possible on the 27th; reserve Tier 3 mechanics and Tier 4 factual reconciliation for a follow-up exchange. Target execution in the first quarter of 2025 as planned, but not at the cost of Diane’s core objectives.</w:t>
      </w:r>
    </w:p>
    <w:p>
      <w:r>
        <w:pict>
          <v:rect style="width:0;height:1.5pt" o:hralign="center" o:hrstd="t" o:hr="t"/>
        </w:pict>
      </w:r>
    </w:p>
    <w:bookmarkEnd w:id="46"/>
    <w:bookmarkEnd w:id="47"/>
    <w:bookmarkStart w:id="48" w:name="X0e878d31b391c8a79233fb2b2f1e43ff5f8c87b"/>
    <w:p>
      <w:pPr>
        <w:pStyle w:val="Heading2"/>
      </w:pPr>
      <w:r>
        <w:t xml:space="preserve">IX. Enforceability Considerations (750 ILCS 5/502)</w:t>
      </w:r>
    </w:p>
    <w:p>
      <w:pPr>
        <w:pStyle w:val="Compact"/>
        <w:numPr>
          <w:ilvl w:val="0"/>
          <w:numId w:val="1014"/>
        </w:numPr>
      </w:pPr>
      <w:r>
        <w:rPr>
          <w:b/>
          <w:bCs/>
        </w:rPr>
        <w:t xml:space="preserve">Procedural fairness.</w:t>
      </w:r>
      <w:r>
        <w:t xml:space="preserve"> </w:t>
      </w:r>
      <w:r>
        <w:t xml:space="preserve">The Redline’s additions (severability, notarization/witnesses, 60-day review representation, counsel acknowledgments) improve the procedural-fairness profile and we should keep them. Independent counsel for both parties is documented.</w:t>
      </w:r>
    </w:p>
    <w:p>
      <w:pPr>
        <w:pStyle w:val="Compact"/>
        <w:numPr>
          <w:ilvl w:val="0"/>
          <w:numId w:val="1014"/>
        </w:numPr>
      </w:pPr>
      <w:r>
        <w:rPr>
          <w:b/>
          <w:bCs/>
        </w:rPr>
        <w:t xml:space="preserve">Substantive fairness.</w:t>
      </w:r>
      <w:r>
        <w:t xml:space="preserve"> </w:t>
      </w:r>
      <w:r>
        <w:t xml:space="preserve">Several Redline provisions — the reimbursement deletion, the transmutation reversal, the</w:t>
      </w:r>
      <w:r>
        <w:t xml:space="preserve"> </w:t>
      </w:r>
      <w:r>
        <w:t xml:space="preserve">“</w:t>
      </w:r>
      <w:r>
        <w:t xml:space="preserve">Earned Income</w:t>
      </w:r>
      <w:r>
        <w:t xml:space="preserve">”</w:t>
      </w:r>
      <w:r>
        <w:t xml:space="preserve"> </w:t>
      </w:r>
      <w:r>
        <w:t xml:space="preserve">narrowing, the weakened disclosure remedies — tilt the economics toward Marcus and could, if accepted, support a later challenge by Diane on overreaching/unconscionability grounds. We want an agreement that is</w:t>
      </w:r>
      <w:r>
        <w:t xml:space="preserve"> </w:t>
      </w:r>
      <w:r>
        <w:rPr>
          <w:i/>
          <w:iCs/>
        </w:rPr>
        <w:t xml:space="preserve">both</w:t>
      </w:r>
      <w:r>
        <w:t xml:space="preserve"> </w:t>
      </w:r>
      <w:r>
        <w:t xml:space="preserve">enforceable</w:t>
      </w:r>
      <w:r>
        <w:t xml:space="preserve"> </w:t>
      </w:r>
      <w:r>
        <w:rPr>
          <w:i/>
          <w:iCs/>
        </w:rPr>
        <w:t xml:space="preserve">and</w:t>
      </w:r>
      <w:r>
        <w:t xml:space="preserve"> </w:t>
      </w:r>
      <w:r>
        <w:t xml:space="preserve">fair to Diane, not one we would have to attack later. Restoring the Tier 1 items is the best way to ensure the agreement withstands scrutiny while protecting Diane.</w:t>
      </w:r>
    </w:p>
    <w:p>
      <w:pPr>
        <w:pStyle w:val="Compact"/>
        <w:numPr>
          <w:ilvl w:val="0"/>
          <w:numId w:val="1014"/>
        </w:numPr>
      </w:pPr>
      <w:r>
        <w:rPr>
          <w:b/>
          <w:bCs/>
        </w:rPr>
        <w:t xml:space="preserve">The unilateral modification mechanism (§14.2)</w:t>
      </w:r>
      <w:r>
        <w:t xml:space="preserve"> </w:t>
      </w:r>
      <w:r>
        <w:t xml:space="preserve">is itself vulnerable to challenge as unconscionable and should be removed on enforceability grounds as well as policy grounds.</w:t>
      </w:r>
    </w:p>
    <w:p>
      <w:pPr>
        <w:pStyle w:val="Compact"/>
        <w:numPr>
          <w:ilvl w:val="0"/>
          <w:numId w:val="1014"/>
        </w:numPr>
      </w:pPr>
      <w:r>
        <w:rPr>
          <w:b/>
          <w:bCs/>
        </w:rPr>
        <w:t xml:space="preserve">The active/passive and maintenance changes</w:t>
      </w:r>
      <w:r>
        <w:t xml:space="preserve"> </w:t>
      </w:r>
      <w:r>
        <w:t xml:space="preserve">improve the fairness profile (from Diane’s perspective) and thus the agreement’s overall enforceability — another reason to accept them.</w:t>
      </w:r>
    </w:p>
    <w:p>
      <w:pPr>
        <w:pStyle w:val="Compact"/>
        <w:numPr>
          <w:ilvl w:val="0"/>
          <w:numId w:val="1014"/>
        </w:numPr>
      </w:pPr>
      <w:r>
        <w:rPr>
          <w:b/>
          <w:bCs/>
        </w:rPr>
        <w:t xml:space="preserve">Disclosure.</w:t>
      </w:r>
      <w:r>
        <w:t xml:space="preserve"> </w:t>
      </w:r>
      <w:r>
        <w:t xml:space="preserve">Full and fair disclosure is a prerequisite to enforceability. The</w:t>
      </w:r>
      <w:r>
        <w:t xml:space="preserve"> </w:t>
      </w:r>
      <w:r>
        <w:t xml:space="preserve">“</w:t>
      </w:r>
      <w:r>
        <w:t xml:space="preserve">substantially complete</w:t>
      </w:r>
      <w:r>
        <w:t xml:space="preserve">”</w:t>
      </w:r>
      <w:r>
        <w:t xml:space="preserve"> </w:t>
      </w:r>
      <w:r>
        <w:t xml:space="preserve">language and the heightened voidability standard are not only contrary to Diane’s objectives but also weaken the disclosure foundation on which enforceability rests. Restoring robust disclosure protections serves both client objectives and enforceability.</w:t>
      </w:r>
    </w:p>
    <w:p>
      <w:r>
        <w:pict>
          <v:rect style="width:0;height:1.5pt" o:hralign="center" o:hrstd="t" o:hr="t"/>
        </w:pict>
      </w:r>
    </w:p>
    <w:bookmarkEnd w:id="48"/>
    <w:bookmarkStart w:id="49" w:name="x.-recommended-next-steps"/>
    <w:p>
      <w:pPr>
        <w:pStyle w:val="Heading2"/>
      </w:pPr>
      <w:r>
        <w:t xml:space="preserve">X. Recommended Next Steps</w:t>
      </w:r>
    </w:p>
    <w:p>
      <w:pPr>
        <w:pStyle w:val="Compact"/>
        <w:numPr>
          <w:ilvl w:val="0"/>
          <w:numId w:val="1015"/>
        </w:numPr>
      </w:pPr>
      <w:r>
        <w:rPr>
          <w:b/>
          <w:bCs/>
        </w:rPr>
        <w:t xml:space="preserve">Circulate this memorandum</w:t>
      </w:r>
      <w:r>
        <w:t xml:space="preserve"> </w:t>
      </w:r>
      <w:r>
        <w:t xml:space="preserve">to Catherine Odom for review and approval of the negotiation posture.</w:t>
      </w:r>
    </w:p>
    <w:p>
      <w:pPr>
        <w:pStyle w:val="Compact"/>
        <w:numPr>
          <w:ilvl w:val="0"/>
          <w:numId w:val="1015"/>
        </w:numPr>
      </w:pPr>
      <w:r>
        <w:rPr>
          <w:b/>
          <w:bCs/>
        </w:rPr>
        <w:t xml:space="preserve">Obtain source documents</w:t>
      </w:r>
      <w:r>
        <w:t xml:space="preserve"> </w:t>
      </w:r>
      <w:r>
        <w:t xml:space="preserve">for factual reconciliation: Constance Thornton’s death certificate; Elena’s and Julian’s birth certificates; current statements for the inheritance brokerage, the 401(k), the 403(b), the joint investment account, and the joint checking/savings accounts; and the Door County property appraisal.</w:t>
      </w:r>
    </w:p>
    <w:p>
      <w:pPr>
        <w:pStyle w:val="Compact"/>
        <w:numPr>
          <w:ilvl w:val="0"/>
          <w:numId w:val="1015"/>
        </w:numPr>
      </w:pPr>
      <w:r>
        <w:rPr>
          <w:b/>
          <w:bCs/>
        </w:rPr>
        <w:t xml:space="preserve">Prepare a written response to Mr. Baxter</w:t>
      </w:r>
      <w:r>
        <w:t xml:space="preserve"> </w:t>
      </w:r>
      <w:r>
        <w:t xml:space="preserve">(with Catherine’s approval) before January 27, setting out the Tier 1 rejections, the Tier 2 pushback, the Tier 3 acceptances, and the Tier 4 reconciliation list. The response should politely but clearly note the gap between the cover email’s characterization and the Redline’s substance.</w:t>
      </w:r>
    </w:p>
    <w:p>
      <w:pPr>
        <w:pStyle w:val="Compact"/>
        <w:numPr>
          <w:ilvl w:val="0"/>
          <w:numId w:val="1015"/>
        </w:numPr>
      </w:pPr>
      <w:r>
        <w:rPr>
          <w:b/>
          <w:bCs/>
        </w:rPr>
        <w:t xml:space="preserve">Prepare a redline-of-the-redline</w:t>
      </w:r>
      <w:r>
        <w:t xml:space="preserve"> </w:t>
      </w:r>
      <w:r>
        <w:t xml:space="preserve">restoring the Tier 1 and Tier 2 provisions on our accepted base of the Redline’s structure, so the four-way conference can proceed from a single working document.</w:t>
      </w:r>
    </w:p>
    <w:p>
      <w:pPr>
        <w:pStyle w:val="Compact"/>
        <w:numPr>
          <w:ilvl w:val="0"/>
          <w:numId w:val="1015"/>
        </w:numPr>
      </w:pPr>
      <w:r>
        <w:rPr>
          <w:b/>
          <w:bCs/>
        </w:rPr>
        <w:t xml:space="preserve">Confirm the January 27 agenda</w:t>
      </w:r>
      <w:r>
        <w:t xml:space="preserve"> </w:t>
      </w:r>
      <w:r>
        <w:t xml:space="preserve">with Hargrove Baxter, with the reimbursement right, disclosure/voidability, the</w:t>
      </w:r>
      <w:r>
        <w:t xml:space="preserve"> </w:t>
      </w:r>
      <w:r>
        <w:t xml:space="preserve">“</w:t>
      </w:r>
      <w:r>
        <w:t xml:space="preserve">Earned Income</w:t>
      </w:r>
      <w:r>
        <w:t xml:space="preserve">”</w:t>
      </w:r>
      <w:r>
        <w:t xml:space="preserve"> </w:t>
      </w:r>
      <w:r>
        <w:t xml:space="preserve">definition, transmutation, and the unilateral modification mechanism as the lead items.</w:t>
      </w:r>
    </w:p>
    <w:p>
      <w:pPr>
        <w:pStyle w:val="Compact"/>
        <w:numPr>
          <w:ilvl w:val="0"/>
          <w:numId w:val="1015"/>
        </w:numPr>
      </w:pPr>
      <w:r>
        <w:rPr>
          <w:b/>
          <w:bCs/>
        </w:rPr>
        <w:t xml:space="preserve">Report to Diane</w:t>
      </w:r>
      <w:r>
        <w:t xml:space="preserve"> </w:t>
      </w:r>
      <w:r>
        <w:t xml:space="preserve">with a concise summary of the Redline’s effect on her objectives and the recommended posture, and obtain her confirmation that the $1.2M reimbursement right and the disclosure protections remain non-negotiable.</w:t>
      </w:r>
    </w:p>
    <w:p>
      <w:r>
        <w:pict>
          <v:rect style="width:0;height:1.5pt" o:hralign="center" o:hrstd="t" o:hr="t"/>
        </w:pict>
      </w:r>
    </w:p>
    <w:bookmarkEnd w:id="49"/>
    <w:bookmarkStart w:id="50" w:name="Xf06856eafaffd97e0783644bf3744b2df6c7a7c"/>
    <w:p>
      <w:pPr>
        <w:pStyle w:val="Heading2"/>
      </w:pPr>
      <w:r>
        <w:t xml:space="preserve">Appendix — Change Log (Redline markers and margin comments)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Marker</w:t>
            </w:r>
          </w:p>
        </w:tc>
        <w:tc>
          <w:tcPr/>
          <w:p>
            <w:pPr>
              <w:pStyle w:val="Compact"/>
              <w:jc w:val="left"/>
            </w:pPr>
            <w:r>
              <w:t xml:space="preserve">Location</w:t>
            </w:r>
          </w:p>
        </w:tc>
        <w:tc>
          <w:tcPr/>
          <w:p>
            <w:pPr>
              <w:pStyle w:val="Compact"/>
              <w:jc w:val="left"/>
            </w:pPr>
            <w:r>
              <w:t xml:space="preserve">Subject</w:t>
            </w:r>
          </w:p>
        </w:tc>
        <w:tc>
          <w:tcPr/>
          <w:p>
            <w:pPr>
              <w:pStyle w:val="Compact"/>
              <w:jc w:val="left"/>
            </w:pPr>
            <w:r>
              <w:t xml:space="preserve">Our position</w:t>
            </w:r>
          </w:p>
        </w:tc>
      </w:tr>
      <w:tr>
        <w:tc>
          <w:tcPr/>
          <w:p>
            <w:pPr>
              <w:pStyle w:val="Compact"/>
              <w:jc w:val="left"/>
            </w:pPr>
            <w:r>
              <w:t xml:space="preserve">TC-01</w:t>
            </w:r>
          </w:p>
        </w:tc>
        <w:tc>
          <w:tcPr/>
          <w:p>
            <w:pPr>
              <w:pStyle w:val="Compact"/>
              <w:jc w:val="left"/>
            </w:pPr>
            <w:r>
              <w:t xml:space="preserve">Header</w:t>
            </w:r>
          </w:p>
        </w:tc>
        <w:tc>
          <w:tcPr/>
          <w:p>
            <w:pPr>
              <w:pStyle w:val="Compact"/>
              <w:jc w:val="left"/>
            </w:pPr>
            <w:r>
              <w:t xml:space="preserve">“</w:t>
            </w:r>
            <w:r>
              <w:t xml:space="preserve">REVISED DRAFT</w:t>
            </w:r>
            <w:r>
              <w:t xml:space="preserve">”</w:t>
            </w:r>
            <w:r>
              <w:t xml:space="preserve"> </w:t>
            </w:r>
            <w:r>
              <w:t xml:space="preserve">label</w:t>
            </w:r>
          </w:p>
        </w:tc>
        <w:tc>
          <w:tcPr/>
          <w:p>
            <w:pPr>
              <w:pStyle w:val="Compact"/>
              <w:jc w:val="left"/>
            </w:pPr>
            <w:r>
              <w:t xml:space="preserve">Note</w:t>
            </w:r>
          </w:p>
        </w:tc>
      </w:tr>
      <w:tr>
        <w:tc>
          <w:tcPr/>
          <w:p>
            <w:pPr>
              <w:pStyle w:val="Compact"/>
              <w:jc w:val="left"/>
            </w:pPr>
            <w:r>
              <w:t xml:space="preserve">TC-02</w:t>
            </w:r>
          </w:p>
        </w:tc>
        <w:tc>
          <w:tcPr/>
          <w:p>
            <w:pPr>
              <w:pStyle w:val="Compact"/>
              <w:jc w:val="left"/>
            </w:pPr>
            <w:r>
              <w:t xml:space="preserve">§1.1</w:t>
            </w:r>
          </w:p>
        </w:tc>
        <w:tc>
          <w:tcPr/>
          <w:p>
            <w:pPr>
              <w:pStyle w:val="Compact"/>
              <w:jc w:val="left"/>
            </w:pPr>
            <w:r>
              <w:t xml:space="preserve">“</w:t>
            </w:r>
            <w:r>
              <w:t xml:space="preserve">Constane</w:t>
            </w:r>
            <w:r>
              <w:t xml:space="preserve">”</w:t>
            </w:r>
            <w:r>
              <w:t xml:space="preserve"> </w:t>
            </w:r>
            <w:r>
              <w:t xml:space="preserve">→</w:t>
            </w:r>
            <w:r>
              <w:t xml:space="preserve"> </w:t>
            </w:r>
            <w:r>
              <w:t xml:space="preserve">“</w:t>
            </w:r>
            <w:r>
              <w:t xml:space="preserve">Constance</w:t>
            </w:r>
            <w:r>
              <w:t xml:space="preserve">”</w:t>
            </w:r>
          </w:p>
        </w:tc>
        <w:tc>
          <w:tcPr/>
          <w:p>
            <w:pPr>
              <w:pStyle w:val="Compact"/>
              <w:jc w:val="left"/>
            </w:pPr>
            <w:r>
              <w:t xml:space="preserve">Accept (verify maiden name)</w:t>
            </w:r>
          </w:p>
        </w:tc>
      </w:tr>
      <w:tr>
        <w:tc>
          <w:tcPr/>
          <w:p>
            <w:pPr>
              <w:pStyle w:val="Compact"/>
              <w:jc w:val="left"/>
            </w:pPr>
            <w:r>
              <w:t xml:space="preserve">TC-03</w:t>
            </w:r>
          </w:p>
        </w:tc>
        <w:tc>
          <w:tcPr/>
          <w:p>
            <w:pPr>
              <w:pStyle w:val="Compact"/>
              <w:jc w:val="left"/>
            </w:pPr>
            <w:r>
              <w:t xml:space="preserve">§1.2</w:t>
            </w:r>
          </w:p>
        </w:tc>
        <w:tc>
          <w:tcPr/>
          <w:p>
            <w:pPr>
              <w:pStyle w:val="Compact"/>
              <w:jc w:val="left"/>
            </w:pPr>
            <w:r>
              <w:t xml:space="preserve">Children’s-rights recital wording</w:t>
            </w:r>
          </w:p>
        </w:tc>
        <w:tc>
          <w:tcPr/>
          <w:p>
            <w:pPr>
              <w:pStyle w:val="Compact"/>
              <w:jc w:val="left"/>
            </w:pPr>
            <w:r>
              <w:t xml:space="preserve">Accept</w:t>
            </w:r>
          </w:p>
        </w:tc>
      </w:tr>
      <w:tr>
        <w:tc>
          <w:tcPr/>
          <w:p>
            <w:pPr>
              <w:pStyle w:val="Compact"/>
              <w:jc w:val="left"/>
            </w:pPr>
            <w:r>
              <w:t xml:space="preserve">TC-04 / MC-01</w:t>
            </w:r>
          </w:p>
        </w:tc>
        <w:tc>
          <w:tcPr/>
          <w:p>
            <w:pPr>
              <w:pStyle w:val="Compact"/>
              <w:jc w:val="left"/>
            </w:pPr>
            <w:r>
              <w:t xml:space="preserve">§1.3</w:t>
            </w:r>
          </w:p>
        </w:tc>
        <w:tc>
          <w:tcPr/>
          <w:p>
            <w:pPr>
              <w:pStyle w:val="Compact"/>
              <w:jc w:val="left"/>
            </w:pPr>
            <w:r>
              <w:t xml:space="preserve">Marriage-preservation recital</w:t>
            </w:r>
          </w:p>
        </w:tc>
        <w:tc>
          <w:tcPr/>
          <w:p>
            <w:pPr>
              <w:pStyle w:val="Compact"/>
              <w:jc w:val="left"/>
            </w:pPr>
            <w:r>
              <w:t xml:space="preserve">Accept (non-operative)</w:t>
            </w:r>
          </w:p>
        </w:tc>
      </w:tr>
      <w:tr>
        <w:tc>
          <w:tcPr/>
          <w:p>
            <w:pPr>
              <w:pStyle w:val="Compact"/>
              <w:jc w:val="left"/>
            </w:pPr>
            <w:r>
              <w:t xml:space="preserve">TC-05</w:t>
            </w:r>
          </w:p>
        </w:tc>
        <w:tc>
          <w:tcPr/>
          <w:p>
            <w:pPr>
              <w:pStyle w:val="Compact"/>
              <w:jc w:val="left"/>
            </w:pPr>
            <w:r>
              <w:t xml:space="preserve">§1.4</w:t>
            </w:r>
          </w:p>
        </w:tc>
        <w:tc>
          <w:tcPr/>
          <w:p>
            <w:pPr>
              <w:pStyle w:val="Compact"/>
              <w:jc w:val="left"/>
            </w:pPr>
            <w:r>
              <w:t xml:space="preserve">Counsel address</w:t>
            </w:r>
          </w:p>
        </w:tc>
        <w:tc>
          <w:tcPr/>
          <w:p>
            <w:pPr>
              <w:pStyle w:val="Compact"/>
              <w:jc w:val="left"/>
            </w:pPr>
            <w:r>
              <w:t xml:space="preserve">Accept</w:t>
            </w:r>
          </w:p>
        </w:tc>
      </w:tr>
      <w:tr>
        <w:tc>
          <w:tcPr/>
          <w:p>
            <w:pPr>
              <w:pStyle w:val="Compact"/>
              <w:jc w:val="left"/>
            </w:pPr>
            <w:r>
              <w:t xml:space="preserve">TC-06</w:t>
            </w:r>
          </w:p>
        </w:tc>
        <w:tc>
          <w:tcPr/>
          <w:p>
            <w:pPr>
              <w:pStyle w:val="Compact"/>
              <w:jc w:val="left"/>
            </w:pPr>
            <w:r>
              <w:t xml:space="preserve">§1.5</w:t>
            </w:r>
          </w:p>
        </w:tc>
        <w:tc>
          <w:tcPr/>
          <w:p>
            <w:pPr>
              <w:pStyle w:val="Compact"/>
              <w:jc w:val="left"/>
            </w:pPr>
            <w:r>
              <w:t xml:space="preserve">“</w:t>
            </w:r>
            <w:r>
              <w:t xml:space="preserve">substantially full</w:t>
            </w:r>
            <w:r>
              <w:t xml:space="preserve">”</w:t>
            </w:r>
            <w:r>
              <w:t xml:space="preserve"> </w:t>
            </w:r>
            <w:r>
              <w:t xml:space="preserve">disclosure</w:t>
            </w:r>
          </w:p>
        </w:tc>
        <w:tc>
          <w:tcPr/>
          <w:p>
            <w:pPr>
              <w:pStyle w:val="Compact"/>
              <w:jc w:val="left"/>
            </w:pPr>
            <w:r>
              <w:rPr>
                <w:b/>
                <w:bCs/>
              </w:rPr>
              <w:t xml:space="preserve">Reject</w:t>
            </w:r>
            <w:r>
              <w:t xml:space="preserve"> </w:t>
            </w:r>
            <w:r>
              <w:t xml:space="preserve">— restore</w:t>
            </w:r>
            <w:r>
              <w:t xml:space="preserve"> </w:t>
            </w:r>
            <w:r>
              <w:t xml:space="preserve">“</w:t>
            </w:r>
            <w:r>
              <w:t xml:space="preserve">full and complete</w:t>
            </w:r>
            <w:r>
              <w:t xml:space="preserve">”</w:t>
            </w:r>
          </w:p>
        </w:tc>
      </w:tr>
      <w:tr>
        <w:tc>
          <w:tcPr/>
          <w:p>
            <w:pPr>
              <w:pStyle w:val="Compact"/>
              <w:jc w:val="left"/>
            </w:pPr>
            <w:r>
              <w:t xml:space="preserve">TC-07</w:t>
            </w:r>
          </w:p>
        </w:tc>
        <w:tc>
          <w:tcPr/>
          <w:p>
            <w:pPr>
              <w:pStyle w:val="Compact"/>
              <w:jc w:val="left"/>
            </w:pPr>
            <w:r>
              <w:t xml:space="preserve">§2.1(a)</w:t>
            </w:r>
          </w:p>
        </w:tc>
        <w:tc>
          <w:tcPr/>
          <w:p>
            <w:pPr>
              <w:pStyle w:val="Compact"/>
              <w:jc w:val="left"/>
            </w:pPr>
            <w:r>
              <w:t xml:space="preserve">“</w:t>
            </w:r>
            <w:r>
              <w:t xml:space="preserve">Agreement</w:t>
            </w:r>
            <w:r>
              <w:t xml:space="preserve">”</w:t>
            </w:r>
            <w:r>
              <w:t xml:space="preserve"> </w:t>
            </w:r>
            <w:r>
              <w:t xml:space="preserve">definition</w:t>
            </w:r>
          </w:p>
        </w:tc>
        <w:tc>
          <w:tcPr/>
          <w:p>
            <w:pPr>
              <w:pStyle w:val="Compact"/>
              <w:jc w:val="left"/>
            </w:pPr>
            <w:r>
              <w:t xml:space="preserve">Accept</w:t>
            </w:r>
          </w:p>
        </w:tc>
      </w:tr>
      <w:tr>
        <w:tc>
          <w:tcPr/>
          <w:p>
            <w:pPr>
              <w:pStyle w:val="Compact"/>
              <w:jc w:val="left"/>
            </w:pPr>
            <w:r>
              <w:t xml:space="preserve">TC-08</w:t>
            </w:r>
          </w:p>
        </w:tc>
        <w:tc>
          <w:tcPr/>
          <w:p>
            <w:pPr>
              <w:pStyle w:val="Compact"/>
              <w:jc w:val="left"/>
            </w:pPr>
            <w:r>
              <w:t xml:space="preserve">§2.1(b)</w:t>
            </w:r>
          </w:p>
        </w:tc>
        <w:tc>
          <w:tcPr/>
          <w:p>
            <w:pPr>
              <w:pStyle w:val="Compact"/>
              <w:jc w:val="left"/>
            </w:pPr>
            <w:r>
              <w:t xml:space="preserve">Marital Property via</w:t>
            </w:r>
            <w:r>
              <w:t xml:space="preserve"> </w:t>
            </w:r>
            <w:r>
              <w:t xml:space="preserve">“</w:t>
            </w:r>
            <w:r>
              <w:t xml:space="preserve">Earned Income</w:t>
            </w:r>
            <w:r>
              <w:t xml:space="preserve">”</w:t>
            </w:r>
          </w:p>
        </w:tc>
        <w:tc>
          <w:tcPr/>
          <w:p>
            <w:pPr>
              <w:pStyle w:val="Compact"/>
              <w:jc w:val="left"/>
            </w:pPr>
            <w:r>
              <w:rPr>
                <w:b/>
                <w:bCs/>
              </w:rPr>
              <w:t xml:space="preserve">Reject</w:t>
            </w:r>
          </w:p>
        </w:tc>
      </w:tr>
      <w:tr>
        <w:tc>
          <w:tcPr/>
          <w:p>
            <w:pPr>
              <w:pStyle w:val="Compact"/>
              <w:jc w:val="left"/>
            </w:pPr>
            <w:r>
              <w:t xml:space="preserve">TC-09</w:t>
            </w:r>
          </w:p>
        </w:tc>
        <w:tc>
          <w:tcPr/>
          <w:p>
            <w:pPr>
              <w:pStyle w:val="Compact"/>
              <w:jc w:val="left"/>
            </w:pPr>
            <w:r>
              <w:t xml:space="preserve">§2.1(c)</w:t>
            </w:r>
          </w:p>
        </w:tc>
        <w:tc>
          <w:tcPr/>
          <w:p>
            <w:pPr>
              <w:pStyle w:val="Compact"/>
              <w:jc w:val="left"/>
            </w:pPr>
            <w:r>
              <w:t xml:space="preserve">Separate Property definition</w:t>
            </w:r>
          </w:p>
        </w:tc>
        <w:tc>
          <w:tcPr/>
          <w:p>
            <w:pPr>
              <w:pStyle w:val="Compact"/>
              <w:jc w:val="left"/>
            </w:pPr>
            <w:r>
              <w:t xml:space="preserve">Negotiate (marital appreciation)</w:t>
            </w:r>
          </w:p>
        </w:tc>
      </w:tr>
      <w:tr>
        <w:tc>
          <w:tcPr/>
          <w:p>
            <w:pPr>
              <w:pStyle w:val="Compact"/>
              <w:jc w:val="left"/>
            </w:pPr>
            <w:r>
              <w:t xml:space="preserve">TC-10 / MC-02</w:t>
            </w:r>
          </w:p>
        </w:tc>
        <w:tc>
          <w:tcPr/>
          <w:p>
            <w:pPr>
              <w:pStyle w:val="Compact"/>
              <w:jc w:val="left"/>
            </w:pPr>
            <w:r>
              <w:t xml:space="preserve">§2.1(d)</w:t>
            </w:r>
          </w:p>
        </w:tc>
        <w:tc>
          <w:tcPr/>
          <w:p>
            <w:pPr>
              <w:pStyle w:val="Compact"/>
              <w:jc w:val="left"/>
            </w:pPr>
            <w:r>
              <w:t xml:space="preserve">“</w:t>
            </w:r>
            <w:r>
              <w:t xml:space="preserve">Earned Income</w:t>
            </w:r>
            <w:r>
              <w:t xml:space="preserve">”</w:t>
            </w:r>
            <w:r>
              <w:t xml:space="preserve"> </w:t>
            </w:r>
            <w:r>
              <w:t xml:space="preserve">excludes bonus/equity</w:t>
            </w:r>
          </w:p>
        </w:tc>
        <w:tc>
          <w:tcPr/>
          <w:p>
            <w:pPr>
              <w:pStyle w:val="Compact"/>
              <w:jc w:val="left"/>
            </w:pPr>
            <w:r>
              <w:rPr>
                <w:b/>
                <w:bCs/>
              </w:rPr>
              <w:t xml:space="preserve">Reject</w:t>
            </w:r>
            <w:r>
              <w:t xml:space="preserve"> </w:t>
            </w:r>
            <w:r>
              <w:t xml:space="preserve">for property; confine to maintenance</w:t>
            </w:r>
          </w:p>
        </w:tc>
      </w:tr>
      <w:tr>
        <w:tc>
          <w:tcPr/>
          <w:p>
            <w:pPr>
              <w:pStyle w:val="Compact"/>
              <w:jc w:val="left"/>
            </w:pPr>
            <w:r>
              <w:t xml:space="preserve">TC-11</w:t>
            </w:r>
          </w:p>
        </w:tc>
        <w:tc>
          <w:tcPr/>
          <w:p>
            <w:pPr>
              <w:pStyle w:val="Compact"/>
              <w:jc w:val="left"/>
            </w:pPr>
            <w:r>
              <w:t xml:space="preserve">§2.1(e)</w:t>
            </w:r>
          </w:p>
        </w:tc>
        <w:tc>
          <w:tcPr/>
          <w:p>
            <w:pPr>
              <w:pStyle w:val="Compact"/>
              <w:jc w:val="left"/>
            </w:pPr>
            <w:r>
              <w:t xml:space="preserve">“</w:t>
            </w:r>
            <w:r>
              <w:t xml:space="preserve">Dissolution</w:t>
            </w:r>
            <w:r>
              <w:t xml:space="preserve">”</w:t>
            </w:r>
            <w:r>
              <w:t xml:space="preserve"> </w:t>
            </w:r>
            <w:r>
              <w:t xml:space="preserve">definition</w:t>
            </w:r>
          </w:p>
        </w:tc>
        <w:tc>
          <w:tcPr/>
          <w:p>
            <w:pPr>
              <w:pStyle w:val="Compact"/>
              <w:jc w:val="left"/>
            </w:pPr>
            <w:r>
              <w:t xml:space="preserve">Accept</w:t>
            </w:r>
          </w:p>
        </w:tc>
      </w:tr>
      <w:tr>
        <w:tc>
          <w:tcPr/>
          <w:p>
            <w:pPr>
              <w:pStyle w:val="Compact"/>
              <w:jc w:val="left"/>
            </w:pPr>
            <w:r>
              <w:t xml:space="preserve">TC-12</w:t>
            </w:r>
          </w:p>
        </w:tc>
        <w:tc>
          <w:tcPr/>
          <w:p>
            <w:pPr>
              <w:pStyle w:val="Compact"/>
              <w:jc w:val="left"/>
            </w:pPr>
            <w:r>
              <w:t xml:space="preserve">§2.1(f)</w:t>
            </w:r>
          </w:p>
        </w:tc>
        <w:tc>
          <w:tcPr/>
          <w:p>
            <w:pPr>
              <w:pStyle w:val="Compact"/>
              <w:jc w:val="left"/>
            </w:pPr>
            <w:r>
              <w:t xml:space="preserve">“</w:t>
            </w:r>
            <w:r>
              <w:t xml:space="preserve">Effective Date</w:t>
            </w:r>
            <w:r>
              <w:t xml:space="preserve">”</w:t>
            </w:r>
            <w:r>
              <w:t xml:space="preserve"> </w:t>
            </w:r>
            <w:r>
              <w:t xml:space="preserve">definition</w:t>
            </w:r>
          </w:p>
        </w:tc>
        <w:tc>
          <w:tcPr/>
          <w:p>
            <w:pPr>
              <w:pStyle w:val="Compact"/>
              <w:jc w:val="left"/>
            </w:pPr>
            <w:r>
              <w:t xml:space="preserve">Accept</w:t>
            </w:r>
          </w:p>
        </w:tc>
      </w:tr>
      <w:tr>
        <w:tc>
          <w:tcPr/>
          <w:p>
            <w:pPr>
              <w:pStyle w:val="Compact"/>
              <w:jc w:val="left"/>
            </w:pPr>
            <w:r>
              <w:t xml:space="preserve">TC-13</w:t>
            </w:r>
          </w:p>
        </w:tc>
        <w:tc>
          <w:tcPr/>
          <w:p>
            <w:pPr>
              <w:pStyle w:val="Compact"/>
              <w:jc w:val="left"/>
            </w:pPr>
            <w:r>
              <w:t xml:space="preserve">§2.1(g)</w:t>
            </w:r>
          </w:p>
        </w:tc>
        <w:tc>
          <w:tcPr/>
          <w:p>
            <w:pPr>
              <w:pStyle w:val="Compact"/>
              <w:jc w:val="left"/>
            </w:pPr>
            <w:r>
              <w:t xml:space="preserve">“</w:t>
            </w:r>
            <w:r>
              <w:t xml:space="preserve">Net Worth</w:t>
            </w:r>
            <w:r>
              <w:t xml:space="preserve">”</w:t>
            </w:r>
            <w:r>
              <w:t xml:space="preserve"> </w:t>
            </w:r>
            <w:r>
              <w:t xml:space="preserve">definition</w:t>
            </w:r>
          </w:p>
        </w:tc>
        <w:tc>
          <w:tcPr/>
          <w:p>
            <w:pPr>
              <w:pStyle w:val="Compact"/>
              <w:jc w:val="left"/>
            </w:pPr>
            <w:r>
              <w:t xml:space="preserve">Note (confirm usage)</w:t>
            </w:r>
          </w:p>
        </w:tc>
      </w:tr>
      <w:tr>
        <w:tc>
          <w:tcPr/>
          <w:p>
            <w:pPr>
              <w:pStyle w:val="Compact"/>
              <w:jc w:val="left"/>
            </w:pPr>
            <w:r>
              <w:t xml:space="preserve">TC-14</w:t>
            </w:r>
          </w:p>
        </w:tc>
        <w:tc>
          <w:tcPr/>
          <w:p>
            <w:pPr>
              <w:pStyle w:val="Compact"/>
              <w:jc w:val="left"/>
            </w:pPr>
            <w:r>
              <w:t xml:space="preserve">§2.1(h)</w:t>
            </w:r>
          </w:p>
        </w:tc>
        <w:tc>
          <w:tcPr/>
          <w:p>
            <w:pPr>
              <w:pStyle w:val="Compact"/>
              <w:jc w:val="left"/>
            </w:pPr>
            <w:r>
              <w:t xml:space="preserve">“</w:t>
            </w:r>
            <w:r>
              <w:t xml:space="preserve">Children</w:t>
            </w:r>
            <w:r>
              <w:t xml:space="preserve">”</w:t>
            </w:r>
            <w:r>
              <w:t xml:space="preserve"> </w:t>
            </w:r>
            <w:r>
              <w:t xml:space="preserve">definition</w:t>
            </w:r>
          </w:p>
        </w:tc>
        <w:tc>
          <w:tcPr/>
          <w:p>
            <w:pPr>
              <w:pStyle w:val="Compact"/>
              <w:jc w:val="left"/>
            </w:pPr>
            <w:r>
              <w:t xml:space="preserve">Accept (verify birth dates)</w:t>
            </w:r>
          </w:p>
        </w:tc>
      </w:tr>
      <w:tr>
        <w:tc>
          <w:tcPr/>
          <w:p>
            <w:pPr>
              <w:pStyle w:val="Compact"/>
              <w:jc w:val="left"/>
            </w:pPr>
            <w:r>
              <w:t xml:space="preserve">TC-15</w:t>
            </w:r>
          </w:p>
        </w:tc>
        <w:tc>
          <w:tcPr/>
          <w:p>
            <w:pPr>
              <w:pStyle w:val="Compact"/>
              <w:jc w:val="left"/>
            </w:pPr>
            <w:r>
              <w:t xml:space="preserve">§3.1(d)</w:t>
            </w:r>
          </w:p>
        </w:tc>
        <w:tc>
          <w:tcPr/>
          <w:p>
            <w:pPr>
              <w:pStyle w:val="Compact"/>
              <w:jc w:val="left"/>
            </w:pPr>
            <w:r>
              <w:t xml:space="preserve">“</w:t>
            </w:r>
            <w:r>
              <w:t xml:space="preserve">generally satisfied</w:t>
            </w:r>
            <w:r>
              <w:t xml:space="preserve">”</w:t>
            </w:r>
          </w:p>
        </w:tc>
        <w:tc>
          <w:tcPr/>
          <w:p>
            <w:pPr>
              <w:pStyle w:val="Compact"/>
              <w:jc w:val="left"/>
            </w:pPr>
            <w:r>
              <w:rPr>
                <w:b/>
                <w:bCs/>
              </w:rPr>
              <w:t xml:space="preserve">Reject</w:t>
            </w:r>
            <w:r>
              <w:t xml:space="preserve"> </w:t>
            </w:r>
            <w:r>
              <w:t xml:space="preserve">— restore</w:t>
            </w:r>
            <w:r>
              <w:t xml:space="preserve"> </w:t>
            </w:r>
            <w:r>
              <w:t xml:space="preserve">“</w:t>
            </w:r>
            <w:r>
              <w:t xml:space="preserve">satisfied</w:t>
            </w:r>
            <w:r>
              <w:t xml:space="preserve">”</w:t>
            </w:r>
          </w:p>
        </w:tc>
      </w:tr>
      <w:tr>
        <w:tc>
          <w:tcPr/>
          <w:p>
            <w:pPr>
              <w:pStyle w:val="Compact"/>
              <w:jc w:val="left"/>
            </w:pPr>
            <w:r>
              <w:t xml:space="preserve">TC-16</w:t>
            </w:r>
          </w:p>
        </w:tc>
        <w:tc>
          <w:tcPr/>
          <w:p>
            <w:pPr>
              <w:pStyle w:val="Compact"/>
              <w:jc w:val="left"/>
            </w:pPr>
            <w:r>
              <w:t xml:space="preserve">§4.1</w:t>
            </w:r>
          </w:p>
        </w:tc>
        <w:tc>
          <w:tcPr/>
          <w:p>
            <w:pPr>
              <w:pStyle w:val="Compact"/>
              <w:jc w:val="left"/>
            </w:pPr>
            <w:r>
              <w:t xml:space="preserve">Premarital savings</w:t>
            </w:r>
            <w:r>
              <w:t xml:space="preserve"> </w:t>
            </w:r>
            <w:r>
              <w:t xml:space="preserve">“</w:t>
            </w:r>
            <w:r>
              <w:t xml:space="preserve">treated as Marital</w:t>
            </w:r>
            <w:r>
              <w:t xml:space="preserve">”</w:t>
            </w:r>
          </w:p>
        </w:tc>
        <w:tc>
          <w:tcPr/>
          <w:p>
            <w:pPr>
              <w:pStyle w:val="Compact"/>
              <w:jc w:val="left"/>
            </w:pPr>
            <w:r>
              <w:rPr>
                <w:b/>
                <w:bCs/>
              </w:rPr>
              <w:t xml:space="preserve">Reject</w:t>
            </w:r>
            <w:r>
              <w:t xml:space="preserve"> </w:t>
            </w:r>
            <w:r>
              <w:t xml:space="preserve">— restore reimbursement</w:t>
            </w:r>
          </w:p>
        </w:tc>
      </w:tr>
      <w:tr>
        <w:tc>
          <w:tcPr/>
          <w:p>
            <w:pPr>
              <w:pStyle w:val="Compact"/>
              <w:jc w:val="left"/>
            </w:pPr>
            <w:r>
              <w:t xml:space="preserve">TC-17</w:t>
            </w:r>
          </w:p>
        </w:tc>
        <w:tc>
          <w:tcPr/>
          <w:p>
            <w:pPr>
              <w:pStyle w:val="Compact"/>
              <w:jc w:val="left"/>
            </w:pPr>
            <w:r>
              <w:t xml:space="preserve">§4.2</w:t>
            </w:r>
          </w:p>
        </w:tc>
        <w:tc>
          <w:tcPr/>
          <w:p>
            <w:pPr>
              <w:pStyle w:val="Compact"/>
              <w:jc w:val="left"/>
            </w:pPr>
            <w:r>
              <w:t xml:space="preserve">Husband’s broad disposal right</w:t>
            </w:r>
          </w:p>
        </w:tc>
        <w:tc>
          <w:tcPr/>
          <w:p>
            <w:pPr>
              <w:pStyle w:val="Compact"/>
              <w:jc w:val="left"/>
            </w:pPr>
            <w:r>
              <w:t xml:space="preserve">Negotiate/narrow</w:t>
            </w:r>
          </w:p>
        </w:tc>
      </w:tr>
      <w:tr>
        <w:tc>
          <w:tcPr/>
          <w:p>
            <w:pPr>
              <w:pStyle w:val="Compact"/>
              <w:jc w:val="left"/>
            </w:pPr>
            <w:r>
              <w:t xml:space="preserve">TC-18 / MC-03</w:t>
            </w:r>
          </w:p>
        </w:tc>
        <w:tc>
          <w:tcPr/>
          <w:p>
            <w:pPr>
              <w:pStyle w:val="Compact"/>
              <w:jc w:val="left"/>
            </w:pPr>
            <w:r>
              <w:t xml:space="preserve">§4.3(b)</w:t>
            </w:r>
          </w:p>
        </w:tc>
        <w:tc>
          <w:tcPr/>
          <w:p>
            <w:pPr>
              <w:pStyle w:val="Compact"/>
              <w:jc w:val="left"/>
            </w:pPr>
            <w:r>
              <w:t xml:space="preserve">Weakened commingling</w:t>
            </w:r>
          </w:p>
        </w:tc>
        <w:tc>
          <w:tcPr/>
          <w:p>
            <w:pPr>
              <w:pStyle w:val="Compact"/>
              <w:jc w:val="left"/>
            </w:pPr>
            <w:r>
              <w:rPr>
                <w:b/>
                <w:bCs/>
              </w:rPr>
              <w:t xml:space="preserve">Reject/renegotiate</w:t>
            </w:r>
          </w:p>
        </w:tc>
      </w:tr>
      <w:tr>
        <w:tc>
          <w:tcPr/>
          <w:p>
            <w:pPr>
              <w:pStyle w:val="Compact"/>
              <w:jc w:val="left"/>
            </w:pPr>
            <w:r>
              <w:t xml:space="preserve">TC-19 / MC-04</w:t>
            </w:r>
          </w:p>
        </w:tc>
        <w:tc>
          <w:tcPr/>
          <w:p>
            <w:pPr>
              <w:pStyle w:val="Compact"/>
              <w:jc w:val="left"/>
            </w:pPr>
            <w:r>
              <w:t xml:space="preserve">§4.3(c)</w:t>
            </w:r>
          </w:p>
        </w:tc>
        <w:tc>
          <w:tcPr/>
          <w:p>
            <w:pPr>
              <w:pStyle w:val="Compact"/>
              <w:jc w:val="left"/>
            </w:pPr>
            <w:r>
              <w:t xml:space="preserve">Transmutation reversal</w:t>
            </w:r>
          </w:p>
        </w:tc>
        <w:tc>
          <w:tcPr/>
          <w:p>
            <w:pPr>
              <w:pStyle w:val="Compact"/>
              <w:jc w:val="left"/>
            </w:pPr>
            <w:r>
              <w:rPr>
                <w:b/>
                <w:bCs/>
              </w:rPr>
              <w:t xml:space="preserve">Reject/renegotiate</w:t>
            </w:r>
          </w:p>
        </w:tc>
      </w:tr>
      <w:tr>
        <w:tc>
          <w:tcPr/>
          <w:p>
            <w:pPr>
              <w:pStyle w:val="Compact"/>
              <w:jc w:val="left"/>
            </w:pPr>
            <w:r>
              <w:t xml:space="preserve">TC-20</w:t>
            </w:r>
          </w:p>
        </w:tc>
        <w:tc>
          <w:tcPr/>
          <w:p>
            <w:pPr>
              <w:pStyle w:val="Compact"/>
              <w:jc w:val="left"/>
            </w:pPr>
            <w:r>
              <w:t xml:space="preserve">§5.1(d)</w:t>
            </w:r>
          </w:p>
        </w:tc>
        <w:tc>
          <w:tcPr/>
          <w:p>
            <w:pPr>
              <w:pStyle w:val="Compact"/>
              <w:jc w:val="left"/>
            </w:pPr>
            <w:r>
              <w:t xml:space="preserve">JIA listed as marital</w:t>
            </w:r>
          </w:p>
        </w:tc>
        <w:tc>
          <w:tcPr/>
          <w:p>
            <w:pPr>
              <w:pStyle w:val="Compact"/>
              <w:jc w:val="left"/>
            </w:pPr>
            <w:r>
              <w:t xml:space="preserve">Accept (subject to reimbursement)</w:t>
            </w:r>
          </w:p>
        </w:tc>
      </w:tr>
      <w:tr>
        <w:tc>
          <w:tcPr/>
          <w:p>
            <w:pPr>
              <w:pStyle w:val="Compact"/>
              <w:jc w:val="left"/>
            </w:pPr>
            <w:r>
              <w:t xml:space="preserve">TC-21</w:t>
            </w:r>
          </w:p>
        </w:tc>
        <w:tc>
          <w:tcPr/>
          <w:p>
            <w:pPr>
              <w:pStyle w:val="Compact"/>
              <w:jc w:val="left"/>
            </w:pPr>
            <w:r>
              <w:t xml:space="preserve">§5.1</w:t>
            </w:r>
          </w:p>
        </w:tc>
        <w:tc>
          <w:tcPr/>
          <w:p>
            <w:pPr>
              <w:pStyle w:val="Compact"/>
              <w:jc w:val="left"/>
            </w:pPr>
            <w:r>
              <w:t xml:space="preserve">Marital Property from</w:t>
            </w:r>
            <w:r>
              <w:t xml:space="preserve"> </w:t>
            </w:r>
            <w:r>
              <w:t xml:space="preserve">“</w:t>
            </w:r>
            <w:r>
              <w:t xml:space="preserve">Earned Income</w:t>
            </w:r>
            <w:r>
              <w:t xml:space="preserve">”</w:t>
            </w:r>
          </w:p>
        </w:tc>
        <w:tc>
          <w:tcPr/>
          <w:p>
            <w:pPr>
              <w:pStyle w:val="Compact"/>
              <w:jc w:val="left"/>
            </w:pPr>
            <w:r>
              <w:rPr>
                <w:b/>
                <w:bCs/>
              </w:rPr>
              <w:t xml:space="preserve">Reject</w:t>
            </w:r>
          </w:p>
        </w:tc>
      </w:tr>
      <w:tr>
        <w:tc>
          <w:tcPr/>
          <w:p>
            <w:pPr>
              <w:pStyle w:val="Compact"/>
              <w:jc w:val="left"/>
            </w:pPr>
            <w:r>
              <w:t xml:space="preserve">TC-22 / MC-05</w:t>
            </w:r>
          </w:p>
        </w:tc>
        <w:tc>
          <w:tcPr/>
          <w:p>
            <w:pPr>
              <w:pStyle w:val="Compact"/>
              <w:jc w:val="left"/>
            </w:pPr>
            <w:r>
              <w:t xml:space="preserve">§5.2</w:t>
            </w:r>
          </w:p>
        </w:tc>
        <w:tc>
          <w:tcPr/>
          <w:p>
            <w:pPr>
              <w:pStyle w:val="Compact"/>
              <w:jc w:val="left"/>
            </w:pPr>
            <w:r>
              <w:rPr>
                <w:b/>
                <w:bCs/>
              </w:rPr>
              <w:t xml:space="preserve">Reimbursement right deleted</w:t>
            </w:r>
          </w:p>
        </w:tc>
        <w:tc>
          <w:tcPr/>
          <w:p>
            <w:pPr>
              <w:pStyle w:val="Compact"/>
              <w:jc w:val="left"/>
            </w:pPr>
            <w:r>
              <w:rPr>
                <w:b/>
                <w:bCs/>
              </w:rPr>
              <w:t xml:space="preserve">Reject (non-negotiable)</w:t>
            </w:r>
          </w:p>
        </w:tc>
      </w:tr>
      <w:tr>
        <w:tc>
          <w:tcPr/>
          <w:p>
            <w:pPr>
              <w:pStyle w:val="Compact"/>
              <w:jc w:val="left"/>
            </w:pPr>
            <w:r>
              <w:t xml:space="preserve">TC-23</w:t>
            </w:r>
          </w:p>
        </w:tc>
        <w:tc>
          <w:tcPr/>
          <w:p>
            <w:pPr>
              <w:pStyle w:val="Compact"/>
              <w:jc w:val="left"/>
            </w:pPr>
            <w:r>
              <w:t xml:space="preserve">§5.2</w:t>
            </w:r>
          </w:p>
        </w:tc>
        <w:tc>
          <w:tcPr/>
          <w:p>
            <w:pPr>
              <w:pStyle w:val="Compact"/>
              <w:jc w:val="left"/>
            </w:pPr>
            <w:r>
              <w:t xml:space="preserve">Renumbering</w:t>
            </w:r>
          </w:p>
        </w:tc>
        <w:tc>
          <w:tcPr/>
          <w:p>
            <w:pPr>
              <w:pStyle w:val="Compact"/>
              <w:jc w:val="left"/>
            </w:pPr>
            <w:r>
              <w:t xml:space="preserve">Note</w:t>
            </w:r>
          </w:p>
        </w:tc>
      </w:tr>
      <w:tr>
        <w:tc>
          <w:tcPr/>
          <w:p>
            <w:pPr>
              <w:pStyle w:val="Compact"/>
              <w:jc w:val="left"/>
            </w:pPr>
            <w:r>
              <w:t xml:space="preserve">TC-24</w:t>
            </w:r>
          </w:p>
        </w:tc>
        <w:tc>
          <w:tcPr/>
          <w:p>
            <w:pPr>
              <w:pStyle w:val="Compact"/>
              <w:jc w:val="left"/>
            </w:pPr>
            <w:r>
              <w:t xml:space="preserve">§5.2</w:t>
            </w:r>
          </w:p>
        </w:tc>
        <w:tc>
          <w:tcPr/>
          <w:p>
            <w:pPr>
              <w:pStyle w:val="Compact"/>
              <w:jc w:val="left"/>
            </w:pPr>
            <w:r>
              <w:t xml:space="preserve">Equitable division w/ 50/50 presumption</w:t>
            </w:r>
          </w:p>
        </w:tc>
        <w:tc>
          <w:tcPr/>
          <w:p>
            <w:pPr>
              <w:pStyle w:val="Compact"/>
              <w:jc w:val="left"/>
            </w:pPr>
            <w:r>
              <w:t xml:space="preserve">Accept</w:t>
            </w:r>
          </w:p>
        </w:tc>
      </w:tr>
      <w:tr>
        <w:tc>
          <w:tcPr/>
          <w:p>
            <w:pPr>
              <w:pStyle w:val="Compact"/>
              <w:jc w:val="left"/>
            </w:pPr>
            <w:r>
              <w:t xml:space="preserve">TC-25 / MC-06</w:t>
            </w:r>
          </w:p>
        </w:tc>
        <w:tc>
          <w:tcPr/>
          <w:p>
            <w:pPr>
              <w:pStyle w:val="Compact"/>
              <w:jc w:val="left"/>
            </w:pPr>
            <w:r>
              <w:t xml:space="preserve">§6.1</w:t>
            </w:r>
          </w:p>
        </w:tc>
        <w:tc>
          <w:tcPr/>
          <w:p>
            <w:pPr>
              <w:pStyle w:val="Compact"/>
              <w:jc w:val="left"/>
            </w:pPr>
            <w:r>
              <w:t xml:space="preserve">Active/passive appreciation</w:t>
            </w:r>
          </w:p>
        </w:tc>
        <w:tc>
          <w:tcPr/>
          <w:p>
            <w:pPr>
              <w:pStyle w:val="Compact"/>
              <w:jc w:val="left"/>
            </w:pPr>
            <w:r>
              <w:rPr>
                <w:b/>
                <w:bCs/>
              </w:rPr>
              <w:t xml:space="preserve">Accept</w:t>
            </w:r>
            <w:r>
              <w:t xml:space="preserve"> </w:t>
            </w:r>
            <w:r>
              <w:t xml:space="preserve">(with refinements)</w:t>
            </w:r>
          </w:p>
        </w:tc>
      </w:tr>
      <w:tr>
        <w:tc>
          <w:tcPr/>
          <w:p>
            <w:pPr>
              <w:pStyle w:val="Compact"/>
              <w:jc w:val="left"/>
            </w:pPr>
            <w:r>
              <w:t xml:space="preserve">TC-26</w:t>
            </w:r>
          </w:p>
        </w:tc>
        <w:tc>
          <w:tcPr/>
          <w:p>
            <w:pPr>
              <w:pStyle w:val="Compact"/>
              <w:jc w:val="left"/>
            </w:pPr>
            <w:r>
              <w:t xml:space="preserve">§6.2</w:t>
            </w:r>
          </w:p>
        </w:tc>
        <w:tc>
          <w:tcPr/>
          <w:p>
            <w:pPr>
              <w:pStyle w:val="Compact"/>
              <w:jc w:val="left"/>
            </w:pPr>
            <w:r>
              <w:t xml:space="preserve">Valuation methodology</w:t>
            </w:r>
          </w:p>
        </w:tc>
        <w:tc>
          <w:tcPr/>
          <w:p>
            <w:pPr>
              <w:pStyle w:val="Compact"/>
              <w:jc w:val="left"/>
            </w:pPr>
            <w:r>
              <w:t xml:space="preserve">Accept</w:t>
            </w:r>
          </w:p>
        </w:tc>
      </w:tr>
      <w:tr>
        <w:tc>
          <w:tcPr/>
          <w:p>
            <w:pPr>
              <w:pStyle w:val="Compact"/>
              <w:jc w:val="left"/>
            </w:pPr>
            <w:r>
              <w:t xml:space="preserve">TC-27 / MC-07</w:t>
            </w:r>
          </w:p>
        </w:tc>
        <w:tc>
          <w:tcPr/>
          <w:p>
            <w:pPr>
              <w:pStyle w:val="Compact"/>
              <w:jc w:val="left"/>
            </w:pPr>
            <w:r>
              <w:t xml:space="preserve">§7.1</w:t>
            </w:r>
          </w:p>
        </w:tc>
        <w:tc>
          <w:tcPr/>
          <w:p>
            <w:pPr>
              <w:pStyle w:val="Compact"/>
              <w:jc w:val="left"/>
            </w:pPr>
            <w:r>
              <w:t xml:space="preserve">Coverture fraction on RSUs</w:t>
            </w:r>
          </w:p>
        </w:tc>
        <w:tc>
          <w:tcPr/>
          <w:p>
            <w:pPr>
              <w:pStyle w:val="Compact"/>
              <w:jc w:val="left"/>
            </w:pPr>
            <w:r>
              <w:t xml:space="preserve">Negotiable/acceptable</w:t>
            </w:r>
          </w:p>
        </w:tc>
      </w:tr>
      <w:tr>
        <w:tc>
          <w:tcPr/>
          <w:p>
            <w:pPr>
              <w:pStyle w:val="Compact"/>
              <w:jc w:val="left"/>
            </w:pPr>
            <w:r>
              <w:t xml:space="preserve">TC-28</w:t>
            </w:r>
          </w:p>
        </w:tc>
        <w:tc>
          <w:tcPr/>
          <w:p>
            <w:pPr>
              <w:pStyle w:val="Compact"/>
              <w:jc w:val="left"/>
            </w:pPr>
            <w:r>
              <w:t xml:space="preserve">§7.2</w:t>
            </w:r>
          </w:p>
        </w:tc>
        <w:tc>
          <w:tcPr/>
          <w:p>
            <w:pPr>
              <w:pStyle w:val="Compact"/>
              <w:jc w:val="left"/>
            </w:pPr>
            <w:r>
              <w:t xml:space="preserve">RSU tax treatment (net after-tax)</w:t>
            </w:r>
          </w:p>
        </w:tc>
        <w:tc>
          <w:tcPr/>
          <w:p>
            <w:pPr>
              <w:pStyle w:val="Compact"/>
              <w:jc w:val="left"/>
            </w:pPr>
            <w:r>
              <w:t xml:space="preserve">Accept</w:t>
            </w:r>
          </w:p>
        </w:tc>
      </w:tr>
      <w:tr>
        <w:tc>
          <w:tcPr/>
          <w:p>
            <w:pPr>
              <w:pStyle w:val="Compact"/>
              <w:jc w:val="left"/>
            </w:pPr>
            <w:r>
              <w:t xml:space="preserve">TC-29</w:t>
            </w:r>
          </w:p>
        </w:tc>
        <w:tc>
          <w:tcPr/>
          <w:p>
            <w:pPr>
              <w:pStyle w:val="Compact"/>
              <w:jc w:val="left"/>
            </w:pPr>
            <w:r>
              <w:t xml:space="preserve">§8.1</w:t>
            </w:r>
          </w:p>
        </w:tc>
        <w:tc>
          <w:tcPr/>
          <w:p>
            <w:pPr>
              <w:pStyle w:val="Compact"/>
              <w:jc w:val="left"/>
            </w:pPr>
            <w:r>
              <w:t xml:space="preserve">Wife retirement pre-Effective Date = separate</w:t>
            </w:r>
          </w:p>
        </w:tc>
        <w:tc>
          <w:tcPr/>
          <w:p>
            <w:pPr>
              <w:pStyle w:val="Compact"/>
              <w:jc w:val="left"/>
            </w:pPr>
            <w:r>
              <w:t xml:space="preserve">Accept (verify figures)</w:t>
            </w:r>
          </w:p>
        </w:tc>
      </w:tr>
      <w:tr>
        <w:tc>
          <w:tcPr/>
          <w:p>
            <w:pPr>
              <w:pStyle w:val="Compact"/>
              <w:jc w:val="left"/>
            </w:pPr>
            <w:r>
              <w:t xml:space="preserve">TC-30</w:t>
            </w:r>
          </w:p>
        </w:tc>
        <w:tc>
          <w:tcPr/>
          <w:p>
            <w:pPr>
              <w:pStyle w:val="Compact"/>
              <w:jc w:val="left"/>
            </w:pPr>
            <w:r>
              <w:t xml:space="preserve">§8.2</w:t>
            </w:r>
          </w:p>
        </w:tc>
        <w:tc>
          <w:tcPr/>
          <w:p>
            <w:pPr>
              <w:pStyle w:val="Compact"/>
              <w:jc w:val="left"/>
            </w:pPr>
            <w:r>
              <w:t xml:space="preserve">Husband 401(k) pre-Effective Date = separate</w:t>
            </w:r>
          </w:p>
        </w:tc>
        <w:tc>
          <w:tcPr/>
          <w:p>
            <w:pPr>
              <w:pStyle w:val="Compact"/>
              <w:jc w:val="left"/>
            </w:pPr>
            <w:r>
              <w:t xml:space="preserve">Accept</w:t>
            </w:r>
          </w:p>
        </w:tc>
      </w:tr>
      <w:tr>
        <w:tc>
          <w:tcPr/>
          <w:p>
            <w:pPr>
              <w:pStyle w:val="Compact"/>
              <w:jc w:val="left"/>
            </w:pPr>
            <w:r>
              <w:t xml:space="preserve">TC-31</w:t>
            </w:r>
          </w:p>
        </w:tc>
        <w:tc>
          <w:tcPr/>
          <w:p>
            <w:pPr>
              <w:pStyle w:val="Compact"/>
              <w:jc w:val="left"/>
            </w:pPr>
            <w:r>
              <w:t xml:space="preserve">§8.3</w:t>
            </w:r>
          </w:p>
        </w:tc>
        <w:tc>
          <w:tcPr/>
          <w:p>
            <w:pPr>
              <w:pStyle w:val="Compact"/>
              <w:jc w:val="left"/>
            </w:pPr>
            <w:r>
              <w:t xml:space="preserve">QDRO provisions</w:t>
            </w:r>
          </w:p>
        </w:tc>
        <w:tc>
          <w:tcPr/>
          <w:p>
            <w:pPr>
              <w:pStyle w:val="Compact"/>
              <w:jc w:val="left"/>
            </w:pPr>
            <w:r>
              <w:t xml:space="preserve">Accept</w:t>
            </w:r>
          </w:p>
        </w:tc>
      </w:tr>
      <w:tr>
        <w:tc>
          <w:tcPr/>
          <w:p>
            <w:pPr>
              <w:pStyle w:val="Compact"/>
              <w:jc w:val="left"/>
            </w:pPr>
            <w:r>
              <w:t xml:space="preserve">TC-32</w:t>
            </w:r>
          </w:p>
        </w:tc>
        <w:tc>
          <w:tcPr/>
          <w:p>
            <w:pPr>
              <w:pStyle w:val="Compact"/>
              <w:jc w:val="left"/>
            </w:pPr>
            <w:r>
              <w:t xml:space="preserve">§9.1</w:t>
            </w:r>
          </w:p>
        </w:tc>
        <w:tc>
          <w:tcPr/>
          <w:p>
            <w:pPr>
              <w:pStyle w:val="Compact"/>
              <w:jc w:val="left"/>
            </w:pPr>
            <w:r>
              <w:t xml:space="preserve">Marital residence description</w:t>
            </w:r>
          </w:p>
        </w:tc>
        <w:tc>
          <w:tcPr/>
          <w:p>
            <w:pPr>
              <w:pStyle w:val="Compact"/>
              <w:jc w:val="left"/>
            </w:pPr>
            <w:r>
              <w:t xml:space="preserve">Accept (verify facts)</w:t>
            </w:r>
          </w:p>
        </w:tc>
      </w:tr>
      <w:tr>
        <w:tc>
          <w:tcPr/>
          <w:p>
            <w:pPr>
              <w:pStyle w:val="Compact"/>
              <w:jc w:val="left"/>
            </w:pPr>
            <w:r>
              <w:t xml:space="preserve">TC-33 / TC-34</w:t>
            </w:r>
          </w:p>
        </w:tc>
        <w:tc>
          <w:tcPr/>
          <w:p>
            <w:pPr>
              <w:pStyle w:val="Compact"/>
              <w:jc w:val="left"/>
            </w:pPr>
            <w:r>
              <w:t xml:space="preserve">§9.2</w:t>
            </w:r>
          </w:p>
        </w:tc>
        <w:tc>
          <w:tcPr/>
          <w:p>
            <w:pPr>
              <w:pStyle w:val="Compact"/>
              <w:jc w:val="left"/>
            </w:pPr>
            <w:r>
              <w:t xml:space="preserve">Buyout terms (18 mo., lien, 30-day)</w:t>
            </w:r>
          </w:p>
        </w:tc>
        <w:tc>
          <w:tcPr/>
          <w:p>
            <w:pPr>
              <w:pStyle w:val="Compact"/>
              <w:jc w:val="left"/>
            </w:pPr>
            <w:r>
              <w:t xml:space="preserve">Negotiate (60-day; 24-month)</w:t>
            </w:r>
          </w:p>
        </w:tc>
      </w:tr>
      <w:tr>
        <w:tc>
          <w:tcPr/>
          <w:p>
            <w:pPr>
              <w:pStyle w:val="Compact"/>
              <w:jc w:val="left"/>
            </w:pPr>
            <w:r>
              <w:t xml:space="preserve">TC-35</w:t>
            </w:r>
          </w:p>
        </w:tc>
        <w:tc>
          <w:tcPr/>
          <w:p>
            <w:pPr>
              <w:pStyle w:val="Compact"/>
              <w:jc w:val="left"/>
            </w:pPr>
            <w:r>
              <w:t xml:space="preserve">§10.1</w:t>
            </w:r>
          </w:p>
        </w:tc>
        <w:tc>
          <w:tcPr/>
          <w:p>
            <w:pPr>
              <w:pStyle w:val="Compact"/>
              <w:jc w:val="left"/>
            </w:pPr>
            <w:r>
              <w:t xml:space="preserve">Maintenance eligibility</w:t>
            </w:r>
          </w:p>
        </w:tc>
        <w:tc>
          <w:tcPr/>
          <w:p>
            <w:pPr>
              <w:pStyle w:val="Compact"/>
              <w:jc w:val="left"/>
            </w:pPr>
            <w:r>
              <w:t xml:space="preserve">Accept</w:t>
            </w:r>
          </w:p>
        </w:tc>
      </w:tr>
      <w:tr>
        <w:tc>
          <w:tcPr/>
          <w:p>
            <w:pPr>
              <w:pStyle w:val="Compact"/>
              <w:jc w:val="left"/>
            </w:pPr>
            <w:r>
              <w:t xml:space="preserve">TC-36 / MC-08</w:t>
            </w:r>
          </w:p>
        </w:tc>
        <w:tc>
          <w:tcPr/>
          <w:p>
            <w:pPr>
              <w:pStyle w:val="Compact"/>
              <w:jc w:val="left"/>
            </w:pPr>
            <w:r>
              <w:t xml:space="preserve">§10.2</w:t>
            </w:r>
          </w:p>
        </w:tc>
        <w:tc>
          <w:tcPr/>
          <w:p>
            <w:pPr>
              <w:pStyle w:val="Compact"/>
              <w:jc w:val="left"/>
            </w:pPr>
            <w:r>
              <w:t xml:space="preserve">3-year duration cap</w:t>
            </w:r>
          </w:p>
        </w:tc>
        <w:tc>
          <w:tcPr/>
          <w:p>
            <w:pPr>
              <w:pStyle w:val="Compact"/>
              <w:jc w:val="left"/>
            </w:pPr>
            <w:r>
              <w:t xml:space="preserve">Accept (favors Diane)</w:t>
            </w:r>
          </w:p>
        </w:tc>
      </w:tr>
      <w:tr>
        <w:tc>
          <w:tcPr/>
          <w:p>
            <w:pPr>
              <w:pStyle w:val="Compact"/>
              <w:jc w:val="left"/>
            </w:pPr>
            <w:r>
              <w:t xml:space="preserve">TC-37 / MC-09</w:t>
            </w:r>
          </w:p>
        </w:tc>
        <w:tc>
          <w:tcPr/>
          <w:p>
            <w:pPr>
              <w:pStyle w:val="Compact"/>
              <w:jc w:val="left"/>
            </w:pPr>
            <w:r>
              <w:t xml:space="preserve">§10.3</w:t>
            </w:r>
          </w:p>
        </w:tc>
        <w:tc>
          <w:tcPr/>
          <w:p>
            <w:pPr>
              <w:pStyle w:val="Compact"/>
              <w:jc w:val="left"/>
            </w:pPr>
            <w:r>
              <w:t xml:space="preserve">$200k automatic waiver</w:t>
            </w:r>
          </w:p>
        </w:tc>
        <w:tc>
          <w:tcPr/>
          <w:p>
            <w:pPr>
              <w:pStyle w:val="Compact"/>
              <w:jc w:val="left"/>
            </w:pPr>
            <w:r>
              <w:t xml:space="preserve">Accept (favors Diane); note fragility</w:t>
            </w:r>
          </w:p>
        </w:tc>
      </w:tr>
      <w:tr>
        <w:tc>
          <w:tcPr/>
          <w:p>
            <w:pPr>
              <w:pStyle w:val="Compact"/>
              <w:jc w:val="left"/>
            </w:pPr>
            <w:r>
              <w:t xml:space="preserve">TC-38</w:t>
            </w:r>
          </w:p>
        </w:tc>
        <w:tc>
          <w:tcPr/>
          <w:p>
            <w:pPr>
              <w:pStyle w:val="Compact"/>
              <w:jc w:val="left"/>
            </w:pPr>
            <w:r>
              <w:t xml:space="preserve">§10.4</w:t>
            </w:r>
          </w:p>
        </w:tc>
        <w:tc>
          <w:tcPr/>
          <w:p>
            <w:pPr>
              <w:pStyle w:val="Compact"/>
              <w:jc w:val="left"/>
            </w:pPr>
            <w:r>
              <w:t xml:space="preserve">Maintenance on</w:t>
            </w:r>
            <w:r>
              <w:t xml:space="preserve"> </w:t>
            </w:r>
            <w:r>
              <w:t xml:space="preserve">“</w:t>
            </w:r>
            <w:r>
              <w:t xml:space="preserve">Earned Income</w:t>
            </w:r>
            <w:r>
              <w:t xml:space="preserve">”</w:t>
            </w:r>
          </w:p>
        </w:tc>
        <w:tc>
          <w:tcPr/>
          <w:p>
            <w:pPr>
              <w:pStyle w:val="Compact"/>
              <w:jc w:val="left"/>
            </w:pPr>
            <w:r>
              <w:t xml:space="preserve">Accept for maintenance only</w:t>
            </w:r>
          </w:p>
        </w:tc>
      </w:tr>
      <w:tr>
        <w:tc>
          <w:tcPr/>
          <w:p>
            <w:pPr>
              <w:pStyle w:val="Compact"/>
              <w:jc w:val="left"/>
            </w:pPr>
            <w:r>
              <w:t xml:space="preserve">TC-39</w:t>
            </w:r>
          </w:p>
        </w:tc>
        <w:tc>
          <w:tcPr/>
          <w:p>
            <w:pPr>
              <w:pStyle w:val="Compact"/>
              <w:jc w:val="left"/>
            </w:pPr>
            <w:r>
              <w:t xml:space="preserve">§11.1</w:t>
            </w:r>
          </w:p>
        </w:tc>
        <w:tc>
          <w:tcPr/>
          <w:p>
            <w:pPr>
              <w:pStyle w:val="Compact"/>
              <w:jc w:val="left"/>
            </w:pPr>
            <w:r>
              <w:t xml:space="preserve">General debt principle</w:t>
            </w:r>
          </w:p>
        </w:tc>
        <w:tc>
          <w:tcPr/>
          <w:p>
            <w:pPr>
              <w:pStyle w:val="Compact"/>
              <w:jc w:val="left"/>
            </w:pPr>
            <w:r>
              <w:t xml:space="preserve">Accept</w:t>
            </w:r>
          </w:p>
        </w:tc>
      </w:tr>
      <w:tr>
        <w:tc>
          <w:tcPr/>
          <w:p>
            <w:pPr>
              <w:pStyle w:val="Compact"/>
              <w:jc w:val="left"/>
            </w:pPr>
            <w:r>
              <w:t xml:space="preserve">TC-40 / MC-10</w:t>
            </w:r>
          </w:p>
        </w:tc>
        <w:tc>
          <w:tcPr/>
          <w:p>
            <w:pPr>
              <w:pStyle w:val="Compact"/>
              <w:jc w:val="left"/>
            </w:pPr>
            <w:r>
              <w:t xml:space="preserve">§11.2</w:t>
            </w:r>
          </w:p>
        </w:tc>
        <w:tc>
          <w:tcPr/>
          <w:p>
            <w:pPr>
              <w:pStyle w:val="Compact"/>
              <w:jc w:val="left"/>
            </w:pPr>
            <w:r>
              <w:t xml:space="preserve">$5,000 de minimis on indemnity</w:t>
            </w:r>
          </w:p>
        </w:tc>
        <w:tc>
          <w:tcPr/>
          <w:p>
            <w:pPr>
              <w:pStyle w:val="Compact"/>
              <w:jc w:val="left"/>
            </w:pPr>
            <w:r>
              <w:rPr>
                <w:b/>
                <w:bCs/>
              </w:rPr>
              <w:t xml:space="preserve">Reject</w:t>
            </w:r>
          </w:p>
        </w:tc>
      </w:tr>
      <w:tr>
        <w:tc>
          <w:tcPr/>
          <w:p>
            <w:pPr>
              <w:pStyle w:val="Compact"/>
              <w:jc w:val="left"/>
            </w:pPr>
            <w:r>
              <w:t xml:space="preserve">TC-41</w:t>
            </w:r>
          </w:p>
        </w:tc>
        <w:tc>
          <w:tcPr/>
          <w:p>
            <w:pPr>
              <w:pStyle w:val="Compact"/>
              <w:jc w:val="left"/>
            </w:pPr>
            <w:r>
              <w:t xml:space="preserve">§12.1</w:t>
            </w:r>
          </w:p>
        </w:tc>
        <w:tc>
          <w:tcPr/>
          <w:p>
            <w:pPr>
              <w:pStyle w:val="Compact"/>
              <w:jc w:val="left"/>
            </w:pPr>
            <w:r>
              <w:t xml:space="preserve">“</w:t>
            </w:r>
            <w:r>
              <w:t xml:space="preserve">substantially complete</w:t>
            </w:r>
            <w:r>
              <w:t xml:space="preserve">”</w:t>
            </w:r>
          </w:p>
        </w:tc>
        <w:tc>
          <w:tcPr/>
          <w:p>
            <w:pPr>
              <w:pStyle w:val="Compact"/>
              <w:jc w:val="left"/>
            </w:pPr>
            <w:r>
              <w:rPr>
                <w:b/>
                <w:bCs/>
              </w:rPr>
              <w:t xml:space="preserve">Reject</w:t>
            </w:r>
            <w:r>
              <w:t xml:space="preserve"> </w:t>
            </w:r>
            <w:r>
              <w:t xml:space="preserve">— restore</w:t>
            </w:r>
            <w:r>
              <w:t xml:space="preserve"> </w:t>
            </w:r>
            <w:r>
              <w:t xml:space="preserve">“</w:t>
            </w:r>
            <w:r>
              <w:t xml:space="preserve">full and complete</w:t>
            </w:r>
            <w:r>
              <w:t xml:space="preserve">”</w:t>
            </w:r>
          </w:p>
        </w:tc>
      </w:tr>
      <w:tr>
        <w:tc>
          <w:tcPr/>
          <w:p>
            <w:pPr>
              <w:pStyle w:val="Compact"/>
              <w:jc w:val="left"/>
            </w:pPr>
            <w:r>
              <w:t xml:space="preserve">TC-42</w:t>
            </w:r>
          </w:p>
        </w:tc>
        <w:tc>
          <w:tcPr/>
          <w:p>
            <w:pPr>
              <w:pStyle w:val="Compact"/>
              <w:jc w:val="left"/>
            </w:pPr>
            <w:r>
              <w:t xml:space="preserve">§12.2</w:t>
            </w:r>
          </w:p>
        </w:tc>
        <w:tc>
          <w:tcPr/>
          <w:p>
            <w:pPr>
              <w:pStyle w:val="Compact"/>
              <w:jc w:val="left"/>
            </w:pPr>
            <w:r>
              <w:t xml:space="preserve">Heightened voidability</w:t>
            </w:r>
          </w:p>
        </w:tc>
        <w:tc>
          <w:tcPr/>
          <w:p>
            <w:pPr>
              <w:pStyle w:val="Compact"/>
              <w:jc w:val="left"/>
            </w:pPr>
            <w:r>
              <w:rPr>
                <w:b/>
                <w:bCs/>
              </w:rPr>
              <w:t xml:space="preserve">Reject</w:t>
            </w:r>
          </w:p>
        </w:tc>
      </w:tr>
      <w:tr>
        <w:tc>
          <w:tcPr/>
          <w:p>
            <w:pPr>
              <w:pStyle w:val="Compact"/>
              <w:jc w:val="left"/>
            </w:pPr>
            <w:r>
              <w:t xml:space="preserve">TC-43</w:t>
            </w:r>
          </w:p>
        </w:tc>
        <w:tc>
          <w:tcPr/>
          <w:p>
            <w:pPr>
              <w:pStyle w:val="Compact"/>
              <w:jc w:val="left"/>
            </w:pPr>
            <w:r>
              <w:t xml:space="preserve">§13.1</w:t>
            </w:r>
          </w:p>
        </w:tc>
        <w:tc>
          <w:tcPr/>
          <w:p>
            <w:pPr>
              <w:pStyle w:val="Compact"/>
              <w:jc w:val="left"/>
            </w:pPr>
            <w:r>
              <w:t xml:space="preserve">Enforcement</w:t>
            </w:r>
          </w:p>
        </w:tc>
        <w:tc>
          <w:tcPr/>
          <w:p>
            <w:pPr>
              <w:pStyle w:val="Compact"/>
              <w:jc w:val="left"/>
            </w:pPr>
            <w:r>
              <w:t xml:space="preserve">Accept</w:t>
            </w:r>
          </w:p>
        </w:tc>
      </w:tr>
      <w:tr>
        <w:tc>
          <w:tcPr/>
          <w:p>
            <w:pPr>
              <w:pStyle w:val="Compact"/>
              <w:jc w:val="left"/>
            </w:pPr>
            <w:r>
              <w:t xml:space="preserve">TC-44 / MC-11</w:t>
            </w:r>
          </w:p>
        </w:tc>
        <w:tc>
          <w:tcPr/>
          <w:p>
            <w:pPr>
              <w:pStyle w:val="Compact"/>
              <w:jc w:val="left"/>
            </w:pPr>
            <w:r>
              <w:t xml:space="preserve">§13.2</w:t>
            </w:r>
          </w:p>
        </w:tc>
        <w:tc>
          <w:tcPr/>
          <w:p>
            <w:pPr>
              <w:pStyle w:val="Compact"/>
              <w:jc w:val="left"/>
            </w:pPr>
            <w:r>
              <w:t xml:space="preserve">Mutual fee waiver</w:t>
            </w:r>
          </w:p>
        </w:tc>
        <w:tc>
          <w:tcPr/>
          <w:p>
            <w:pPr>
              <w:pStyle w:val="Compact"/>
              <w:jc w:val="left"/>
            </w:pPr>
            <w:r>
              <w:rPr>
                <w:b/>
                <w:bCs/>
              </w:rPr>
              <w:t xml:space="preserve">Reject</w:t>
            </w:r>
            <w:r>
              <w:t xml:space="preserve"> </w:t>
            </w:r>
            <w:r>
              <w:t xml:space="preserve">— restore prevailing party</w:t>
            </w:r>
          </w:p>
        </w:tc>
      </w:tr>
      <w:tr>
        <w:tc>
          <w:tcPr/>
          <w:p>
            <w:pPr>
              <w:pStyle w:val="Compact"/>
              <w:jc w:val="left"/>
            </w:pPr>
            <w:r>
              <w:t xml:space="preserve">TC-45</w:t>
            </w:r>
          </w:p>
        </w:tc>
        <w:tc>
          <w:tcPr/>
          <w:p>
            <w:pPr>
              <w:pStyle w:val="Compact"/>
              <w:jc w:val="left"/>
            </w:pPr>
            <w:r>
              <w:t xml:space="preserve">§14.1</w:t>
            </w:r>
          </w:p>
        </w:tc>
        <w:tc>
          <w:tcPr/>
          <w:p>
            <w:pPr>
              <w:pStyle w:val="Compact"/>
              <w:jc w:val="left"/>
            </w:pPr>
            <w:r>
              <w:t xml:space="preserve">Modification per Article XIV</w:t>
            </w:r>
          </w:p>
        </w:tc>
        <w:tc>
          <w:tcPr/>
          <w:p>
            <w:pPr>
              <w:pStyle w:val="Compact"/>
              <w:jc w:val="left"/>
            </w:pPr>
            <w:r>
              <w:t xml:space="preserve">Accept</w:t>
            </w:r>
          </w:p>
        </w:tc>
      </w:tr>
      <w:tr>
        <w:tc>
          <w:tcPr/>
          <w:p>
            <w:pPr>
              <w:pStyle w:val="Compact"/>
              <w:jc w:val="left"/>
            </w:pPr>
            <w:r>
              <w:t xml:space="preserve">TC-46</w:t>
            </w:r>
          </w:p>
        </w:tc>
        <w:tc>
          <w:tcPr/>
          <w:p>
            <w:pPr>
              <w:pStyle w:val="Compact"/>
              <w:jc w:val="left"/>
            </w:pPr>
            <w:r>
              <w:t xml:space="preserve">§14.2</w:t>
            </w:r>
          </w:p>
        </w:tc>
        <w:tc>
          <w:tcPr/>
          <w:p>
            <w:pPr>
              <w:pStyle w:val="Compact"/>
              <w:jc w:val="left"/>
            </w:pPr>
            <w:r>
              <w:rPr>
                <w:b/>
                <w:bCs/>
              </w:rPr>
              <w:t xml:space="preserve">Unilateral 90-day modification</w:t>
            </w:r>
          </w:p>
        </w:tc>
        <w:tc>
          <w:tcPr/>
          <w:p>
            <w:pPr>
              <w:pStyle w:val="Compact"/>
              <w:jc w:val="left"/>
            </w:pPr>
            <w:r>
              <w:rPr>
                <w:b/>
                <w:bCs/>
              </w:rPr>
              <w:t xml:space="preserve">Reject (non-negotiable)</w:t>
            </w:r>
          </w:p>
        </w:tc>
      </w:tr>
      <w:tr>
        <w:tc>
          <w:tcPr/>
          <w:p>
            <w:pPr>
              <w:pStyle w:val="Compact"/>
              <w:jc w:val="left"/>
            </w:pPr>
            <w:r>
              <w:t xml:space="preserve">TC-47 / MC-12</w:t>
            </w:r>
          </w:p>
        </w:tc>
        <w:tc>
          <w:tcPr/>
          <w:p>
            <w:pPr>
              <w:pStyle w:val="Compact"/>
              <w:jc w:val="left"/>
            </w:pPr>
            <w:r>
              <w:t xml:space="preserve">§15.2</w:t>
            </w:r>
          </w:p>
        </w:tc>
        <w:tc>
          <w:tcPr/>
          <w:p>
            <w:pPr>
              <w:pStyle w:val="Compact"/>
              <w:jc w:val="left"/>
            </w:pPr>
            <w:r>
              <w:t xml:space="preserve">DuPage venue</w:t>
            </w:r>
          </w:p>
        </w:tc>
        <w:tc>
          <w:tcPr/>
          <w:p>
            <w:pPr>
              <w:pStyle w:val="Compact"/>
              <w:jc w:val="left"/>
            </w:pPr>
            <w:r>
              <w:rPr>
                <w:b/>
                <w:bCs/>
              </w:rPr>
              <w:t xml:space="preserve">Reject</w:t>
            </w:r>
            <w:r>
              <w:t xml:space="preserve"> </w:t>
            </w:r>
            <w:r>
              <w:t xml:space="preserve">— restore Cook County</w:t>
            </w:r>
          </w:p>
        </w:tc>
      </w:tr>
    </w:tbl>
    <w:p>
      <w:pPr>
        <w:pStyle w:val="BodyText"/>
      </w:pPr>
      <w:r>
        <w:rPr>
          <w:i/>
          <w:iCs/>
        </w:rPr>
        <w:t xml:space="preserve">This memorandum is prepared for the internal use of Kessler, Odom &amp; Pratt LLP and is protected by the attorney-client privilege and the attorney work product doctrine. It should not be disclosed to any person outside the firm without prior authorization from the supervising partner.</w:t>
      </w:r>
    </w:p>
    <w:bookmarkEnd w:id="5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Odom &amp; Pratt LLP — Client Intake Memorandum — Veselka-Thornton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2026-06-23T05:54:56Z</dcterms:created>
  <dcterms:modified xsi:type="dcterms:W3CDTF">2026-06-23T05:54:56Z</dcterms:modified>
</cp:coreProperties>
</file>

<file path=docProps/custom.xml><?xml version="1.0" encoding="utf-8"?>
<Properties xmlns="http://schemas.openxmlformats.org/officeDocument/2006/custom-properties" xmlns:vt="http://schemas.openxmlformats.org/officeDocument/2006/docPropsVTypes"/>
</file>