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2" w:name="X81e55b44c0e0d56b1643971a9648e95cffc8ab0"/>
    <w:p>
      <w:pPr>
        <w:pStyle w:val="Heading1"/>
      </w:pPr>
      <w:r>
        <w:t xml:space="preserve">PRIVILEGED AND CONFIDENTIAL — ATTORNEY-CLIENT COMMUNICATION / ATTORNEY WORK PRODUCT</w:t>
      </w:r>
    </w:p>
    <w:bookmarkStart w:id="21" w:name="kessler-odom-pratt-llp"/>
    <w:p>
      <w:pPr>
        <w:pStyle w:val="Heading2"/>
      </w:pPr>
      <w:r>
        <w:t xml:space="preserve">KESSLER, ODOM &amp; PRATT LLP</w:t>
      </w:r>
    </w:p>
    <w:bookmarkStart w:id="20" w:name="Xe0a4b8db1d17655ae375f2ab375a384165adc7c"/>
    <w:p>
      <w:pPr>
        <w:pStyle w:val="Heading3"/>
      </w:pPr>
      <w:r>
        <w:t xml:space="preserve">210 South Wacker Drive, Suite 2400 — Chicago, Illinois 60606</w:t>
      </w:r>
    </w:p>
    <w:bookmarkEnd w:id="20"/>
    <w:bookmarkEnd w:id="21"/>
    <w:bookmarkEnd w:id="22"/>
    <w:bookmarkStart w:id="54" w:name="memorandum"/>
    <w:p>
      <w:pPr>
        <w:pStyle w:val="Heading1"/>
      </w:pPr>
      <w:r>
        <w:t xml:space="preserve">MEMORANDUM</w:t>
      </w:r>
    </w:p>
    <w:p>
      <w:pPr>
        <w:pStyle w:val="FirstParagraph"/>
      </w:pPr>
      <w:r>
        <w:rPr>
          <w:b/>
          <w:bCs/>
        </w:rPr>
        <w:t xml:space="preserve">TO:</w:t>
      </w:r>
      <w:r>
        <w:t xml:space="preserve"> </w:t>
      </w:r>
      <w:r>
        <w:t xml:space="preserve">Catherine Odom, Partner</w:t>
      </w:r>
    </w:p>
    <w:p>
      <w:pPr>
        <w:pStyle w:val="BodyText"/>
      </w:pPr>
      <w:r>
        <w:rPr>
          <w:b/>
          <w:bCs/>
        </w:rPr>
        <w:t xml:space="preserve">FROM:</w:t>
      </w:r>
      <w:r>
        <w:t xml:space="preserve"> </w:t>
      </w:r>
      <w:r>
        <w:t xml:space="preserve">Alejandro Reyes, Associate</w:t>
      </w:r>
    </w:p>
    <w:p>
      <w:pPr>
        <w:pStyle w:val="BodyText"/>
      </w:pPr>
      <w:r>
        <w:rPr>
          <w:b/>
          <w:bCs/>
        </w:rPr>
        <w:t xml:space="preserve">DATE:</w:t>
      </w:r>
      <w:r>
        <w:t xml:space="preserve"> </w:t>
      </w:r>
      <w:r>
        <w:t xml:space="preserve">January 9, 2025</w:t>
      </w:r>
    </w:p>
    <w:p>
      <w:pPr>
        <w:pStyle w:val="BodyText"/>
      </w:pPr>
      <w:r>
        <w:rPr>
          <w:b/>
          <w:bCs/>
        </w:rPr>
        <w:t xml:space="preserve">RE:</w:t>
      </w:r>
      <w:r>
        <w:t xml:space="preserve"> </w:t>
      </w:r>
      <w:r>
        <w:t xml:space="preserve">Review of Husband’s Counsel’s Redlined Postnuptial Agreement (Veselka-Thornton / Thornton) — Change Analysis and Negotiation Strategy in Advance of the January 27, 2025 Four-Way Conference</w:t>
      </w:r>
    </w:p>
    <w:p>
      <w:r>
        <w:pict>
          <v:rect style="width:0;height:1.5pt" o:hralign="center" o:hrstd="t" o:hr="t"/>
        </w:pict>
      </w:r>
    </w:p>
    <w:bookmarkStart w:id="23" w:name="i.-purpose-and-scope"/>
    <w:p>
      <w:pPr>
        <w:pStyle w:val="Heading2"/>
      </w:pPr>
      <w:r>
        <w:t xml:space="preserve">I. Purpose and Scope</w:t>
      </w:r>
    </w:p>
    <w:p>
      <w:pPr>
        <w:pStyle w:val="FirstParagraph"/>
      </w:pPr>
      <w:r>
        <w:t xml:space="preserve">This memorandum reviews the marked-up draft of the Postnuptial Agreement (the</w:t>
      </w:r>
      <w:r>
        <w:t xml:space="preserve"> </w:t>
      </w:r>
      <w:r>
        <w:t xml:space="preserve">“</w:t>
      </w:r>
      <w:r>
        <w:t xml:space="preserve">Agreement</w:t>
      </w:r>
      <w:r>
        <w:t xml:space="preserve">”</w:t>
      </w:r>
      <w:r>
        <w:t xml:space="preserve">) returned by Thomas Baxter of Hargrove Baxter LLP on January 6, 2025 (the</w:t>
      </w:r>
      <w:r>
        <w:t xml:space="preserve"> </w:t>
      </w:r>
      <w:r>
        <w:t xml:space="preserve">“</w:t>
      </w:r>
      <w:r>
        <w:t xml:space="preserve">Redline</w:t>
      </w:r>
      <w:r>
        <w:t xml:space="preserve">”</w:t>
      </w:r>
      <w:r>
        <w:t xml:space="preserve">), against (a) our original draft transmitted to opposing counsel on December 16, 2024 (the</w:t>
      </w:r>
      <w:r>
        <w:t xml:space="preserve"> </w:t>
      </w:r>
      <w:r>
        <w:t xml:space="preserve">“</w:t>
      </w:r>
      <w:r>
        <w:t xml:space="preserve">Original Draft</w:t>
      </w:r>
      <w:r>
        <w:t xml:space="preserve">”</w:t>
      </w:r>
      <w:r>
        <w:t xml:space="preserve">), (b) the client intake memorandum dated November 5, 2024, (c) the financial disclosure summary prepared by Linden &amp; Fosse CPA, (d) the summary valuation report of the client’s practice interest prepared by Strand Valuation Services dated November 30, 2024, and (e) the marital residence appraisal by Pendleton Appraisal Group dated November 15, 2024. The purpose is to (1) catalog every material change, (2) assess each change against the client’s stated objectives and governing Illinois law, and (3) recommend a negotiation strategy for the four-way conference scheduled for January 27, 2025.</w:t>
      </w:r>
    </w:p>
    <w:p>
      <w:pPr>
        <w:pStyle w:val="BodyText"/>
      </w:pPr>
      <w:r>
        <w:t xml:space="preserve">The client, Diane Veselka-Thornton (</w:t>
      </w:r>
      <w:r>
        <w:t xml:space="preserve">“</w:t>
      </w:r>
      <w:r>
        <w:t xml:space="preserve">Wife</w:t>
      </w:r>
      <w:r>
        <w:t xml:space="preserve">”</w:t>
      </w:r>
      <w:r>
        <w:t xml:space="preserve">), should be consulted on the strategic decision points identified in Sections V.G and V.I before we commit to positions at the conference. This memorandum is prepared for the internal use of the firm and is protected by the attorney-client privilege and the work product doctrine.</w:t>
      </w:r>
    </w:p>
    <w:bookmarkEnd w:id="23"/>
    <w:bookmarkStart w:id="24" w:name="ii.-executive-summary"/>
    <w:p>
      <w:pPr>
        <w:pStyle w:val="Heading2"/>
      </w:pPr>
      <w:r>
        <w:t xml:space="preserve">II. Executive Summary</w:t>
      </w:r>
    </w:p>
    <w:p>
      <w:pPr>
        <w:pStyle w:val="FirstParagraph"/>
      </w:pPr>
      <w:r>
        <w:rPr>
          <w:b/>
          <w:bCs/>
        </w:rPr>
        <w:t xml:space="preserve">Bottom line.</w:t>
      </w:r>
      <w:r>
        <w:t xml:space="preserve"> </w:t>
      </w:r>
      <w:r>
        <w:t xml:space="preserve">Opposing counsel’s transmittal email characterizes the Redline as containing</w:t>
      </w:r>
      <w:r>
        <w:t xml:space="preserve"> </w:t>
      </w:r>
      <w:r>
        <w:t xml:space="preserve">“</w:t>
      </w:r>
      <w:r>
        <w:t xml:space="preserve">modest clarifications and a few requests for balanced treatment</w:t>
      </w:r>
      <w:r>
        <w:t xml:space="preserve">”</w:t>
      </w:r>
      <w:r>
        <w:t xml:space="preserve"> </w:t>
      </w:r>
      <w:r>
        <w:t xml:space="preserve">and states that</w:t>
      </w:r>
      <w:r>
        <w:t xml:space="preserve"> </w:t>
      </w:r>
      <w:r>
        <w:t xml:space="preserve">“</w:t>
      </w:r>
      <w:r>
        <w:t xml:space="preserve">I don’t think you’ll find anything in here that moves us far from where we started.</w:t>
      </w:r>
      <w:r>
        <w:t xml:space="preserve">”</w:t>
      </w:r>
      <w:r>
        <w:t xml:space="preserve"> </w:t>
      </w:r>
      <w:r>
        <w:t xml:space="preserve">That characterization is not accurate. While the Redline does include several beneficial, market-standard additions (a severability clause, notarization and witness blocks, a marriage-preservation recital), it also contains a series of high-impact, adverse changes that strike directly at the client’s core, non-negotiable objectives — most of which were not disclosed in the transmittal email and are buried in margin comments framed as</w:t>
      </w:r>
      <w:r>
        <w:t xml:space="preserve"> </w:t>
      </w:r>
      <w:r>
        <w:t xml:space="preserve">“</w:t>
      </w:r>
      <w:r>
        <w:t xml:space="preserve">standard,</w:t>
      </w:r>
      <w:r>
        <w:t xml:space="preserve">”</w:t>
      </w:r>
      <w:r>
        <w:t xml:space="preserve"> </w:t>
      </w:r>
      <w:r>
        <w:t xml:space="preserve">“</w:t>
      </w:r>
      <w:r>
        <w:t xml:space="preserve">balanced,</w:t>
      </w:r>
      <w:r>
        <w:t xml:space="preserve">”</w:t>
      </w:r>
      <w:r>
        <w:t xml:space="preserve"> </w:t>
      </w:r>
      <w:r>
        <w:t xml:space="preserve">or</w:t>
      </w:r>
      <w:r>
        <w:t xml:space="preserve"> </w:t>
      </w:r>
      <w:r>
        <w:t xml:space="preserve">“</w:t>
      </w:r>
      <w:r>
        <w:t xml:space="preserve">clarifying.</w:t>
      </w:r>
      <w:r>
        <w:t xml:space="preserve">”</w:t>
      </w:r>
    </w:p>
    <w:p>
      <w:pPr>
        <w:pStyle w:val="BodyText"/>
      </w:pPr>
      <w:r>
        <w:rPr>
          <w:b/>
          <w:bCs/>
        </w:rPr>
        <w:t xml:space="preserve">The most critical adverse changes are:</w:t>
      </w:r>
    </w:p>
    <w:p>
      <w:pPr>
        <w:numPr>
          <w:ilvl w:val="0"/>
          <w:numId w:val="1001"/>
        </w:numPr>
      </w:pPr>
      <w:r>
        <w:rPr>
          <w:b/>
          <w:bCs/>
        </w:rPr>
        <w:t xml:space="preserve">Deletion of the $1,200,000 premarital-savings reimbursement right</w:t>
      </w:r>
      <w:r>
        <w:t xml:space="preserve"> </w:t>
      </w:r>
      <w:r>
        <w:t xml:space="preserve">(Redline §5.2; margin comment MC-05). This is the client’s single most important objective — she called it</w:t>
      </w:r>
      <w:r>
        <w:t xml:space="preserve"> </w:t>
      </w:r>
      <w:r>
        <w:t xml:space="preserve">“</w:t>
      </w:r>
      <w:r>
        <w:t xml:space="preserve">non-negotiable</w:t>
      </w:r>
      <w:r>
        <w:t xml:space="preserve">”</w:t>
      </w:r>
      <w:r>
        <w:t xml:space="preserve"> </w:t>
      </w:r>
      <w:r>
        <w:t xml:space="preserve">and</w:t>
      </w:r>
      <w:r>
        <w:t xml:space="preserve"> </w:t>
      </w:r>
      <w:r>
        <w:t xml:space="preserve">“</w:t>
      </w:r>
      <w:r>
        <w:t xml:space="preserve">the whole reason</w:t>
      </w:r>
      <w:r>
        <w:t xml:space="preserve">”</w:t>
      </w:r>
      <w:r>
        <w:t xml:space="preserve"> </w:t>
      </w:r>
      <w:r>
        <w:t xml:space="preserve">she is pursuing the agreement. The Redline deletes it outright and labels it</w:t>
      </w:r>
      <w:r>
        <w:t xml:space="preserve"> </w:t>
      </w:r>
      <w:r>
        <w:t xml:space="preserve">“</w:t>
      </w:r>
      <w:r>
        <w:t xml:space="preserve">duplicative,</w:t>
      </w:r>
      <w:r>
        <w:t xml:space="preserve">”</w:t>
      </w:r>
      <w:r>
        <w:t xml:space="preserve"> </w:t>
      </w:r>
      <w:r>
        <w:t xml:space="preserve">which it is not. The financial consequence is a</w:t>
      </w:r>
      <w:r>
        <w:t xml:space="preserve"> </w:t>
      </w:r>
      <w:r>
        <w:rPr>
          <w:b/>
          <w:bCs/>
        </w:rPr>
        <w:t xml:space="preserve">$600,000 transfer of value from Wife to Husband</w:t>
      </w:r>
      <w:r>
        <w:t xml:space="preserve">. This is a deal-breaker.</w:t>
      </w:r>
    </w:p>
    <w:p>
      <w:pPr>
        <w:numPr>
          <w:ilvl w:val="0"/>
          <w:numId w:val="1001"/>
        </w:numPr>
      </w:pPr>
      <w:r>
        <w:rPr>
          <w:b/>
          <w:bCs/>
        </w:rPr>
        <w:t xml:space="preserve">Gutting of the voidability-for-non-disclosure remedy</w:t>
      </w:r>
      <w:r>
        <w:t xml:space="preserve"> </w:t>
      </w:r>
      <w:r>
        <w:t xml:space="preserve">(Redline §12.2). The Original Draft made the Agreement voidable for any material omission, with no heightened evidentiary standard, no dollar threshold, and no intent requirement. The Redline requires</w:t>
      </w:r>
      <w:r>
        <w:t xml:space="preserve"> </w:t>
      </w:r>
      <w:r>
        <w:rPr>
          <w:b/>
          <w:bCs/>
        </w:rPr>
        <w:t xml:space="preserve">clear and convincing evidence of intentional concealment exceeding $100,000</w:t>
      </w:r>
      <w:r>
        <w:t xml:space="preserve">, with a two-year limitations period. This is precisely the</w:t>
      </w:r>
      <w:r>
        <w:t xml:space="preserve"> </w:t>
      </w:r>
      <w:r>
        <w:t xml:space="preserve">“</w:t>
      </w:r>
      <w:r>
        <w:t xml:space="preserve">heightened intentional-concealment standard</w:t>
      </w:r>
      <w:r>
        <w:t xml:space="preserve">”</w:t>
      </w:r>
      <w:r>
        <w:t xml:space="preserve"> </w:t>
      </w:r>
      <w:r>
        <w:t xml:space="preserve">and</w:t>
      </w:r>
      <w:r>
        <w:t xml:space="preserve"> </w:t>
      </w:r>
      <w:r>
        <w:t xml:space="preserve">“</w:t>
      </w:r>
      <w:r>
        <w:t xml:space="preserve">dollar-amount threshold</w:t>
      </w:r>
      <w:r>
        <w:t xml:space="preserve">”</w:t>
      </w:r>
      <w:r>
        <w:t xml:space="preserve"> </w:t>
      </w:r>
      <w:r>
        <w:t xml:space="preserve">we were specifically instructed to resist, and it directly contradicts the client’s statement that she wants to void the agreement if Husband hides</w:t>
      </w:r>
      <w:r>
        <w:t xml:space="preserve"> </w:t>
      </w:r>
      <w:r>
        <w:t xml:space="preserve">“</w:t>
      </w:r>
      <w:r>
        <w:t xml:space="preserve">$10,000 or $50,000.</w:t>
      </w:r>
      <w:r>
        <w:t xml:space="preserve">”</w:t>
      </w:r>
      <w:r>
        <w:t xml:space="preserve"> </w:t>
      </w:r>
      <w:r>
        <w:t xml:space="preserve">Deal-breaker.</w:t>
      </w:r>
    </w:p>
    <w:p>
      <w:pPr>
        <w:numPr>
          <w:ilvl w:val="0"/>
          <w:numId w:val="1001"/>
        </w:numPr>
      </w:pPr>
      <w:r>
        <w:rPr>
          <w:b/>
          <w:bCs/>
        </w:rPr>
        <w:t xml:space="preserve">Reversal of the commingling/transmutation provision</w:t>
      </w:r>
      <w:r>
        <w:t xml:space="preserve"> </w:t>
      </w:r>
      <w:r>
        <w:t xml:space="preserve">(Redline §4.3(c); MC-04). The Original Draft treated separate property used for household purposes as a gift to the marriage (rebuttable presumption of transmutation). The Redline reverses this: separate property so used</w:t>
      </w:r>
      <w:r>
        <w:t xml:space="preserve"> </w:t>
      </w:r>
      <w:r>
        <w:rPr>
          <w:b/>
          <w:bCs/>
        </w:rPr>
        <w:t xml:space="preserve">retains its separate character</w:t>
      </w:r>
      <w:r>
        <w:t xml:space="preserve">, with the contributing spouse retaining only a reimbursement claim. This primarily protects Husband’s $3.8 million inheritance and eviscerates the client’s expressed concern about Husband</w:t>
      </w:r>
      <w:r>
        <w:t xml:space="preserve"> </w:t>
      </w:r>
      <w:r>
        <w:t xml:space="preserve">“</w:t>
      </w:r>
      <w:r>
        <w:t xml:space="preserve">deploying</w:t>
      </w:r>
      <w:r>
        <w:t xml:space="preserve">”</w:t>
      </w:r>
      <w:r>
        <w:t xml:space="preserve"> </w:t>
      </w:r>
      <w:r>
        <w:t xml:space="preserve">inheritance funds for the mortgage, home improvements, or family expenses. Critical.</w:t>
      </w:r>
    </w:p>
    <w:p>
      <w:pPr>
        <w:numPr>
          <w:ilvl w:val="0"/>
          <w:numId w:val="1001"/>
        </w:numPr>
      </w:pPr>
      <w:r>
        <w:rPr>
          <w:b/>
          <w:bCs/>
        </w:rPr>
        <w:t xml:space="preserve">Narrowing of</w:t>
      </w:r>
      <w:r>
        <w:rPr>
          <w:b/>
          <w:bCs/>
        </w:rPr>
        <w:t xml:space="preserve"> </w:t>
      </w:r>
      <w:r>
        <w:rPr>
          <w:b/>
          <w:bCs/>
        </w:rPr>
        <w:t xml:space="preserve">“</w:t>
      </w:r>
      <w:r>
        <w:rPr>
          <w:b/>
          <w:bCs/>
        </w:rPr>
        <w:t xml:space="preserve">Marital Property</w:t>
      </w:r>
      <w:r>
        <w:rPr>
          <w:b/>
          <w:bCs/>
        </w:rPr>
        <w:t xml:space="preserve">”</w:t>
      </w:r>
      <w:r>
        <w:rPr>
          <w:b/>
          <w:bCs/>
        </w:rPr>
        <w:t xml:space="preserve"> </w:t>
      </w:r>
      <w:r>
        <w:rPr>
          <w:b/>
          <w:bCs/>
        </w:rPr>
        <w:t xml:space="preserve">through a new</w:t>
      </w:r>
      <w:r>
        <w:rPr>
          <w:b/>
          <w:bCs/>
        </w:rPr>
        <w:t xml:space="preserve"> </w:t>
      </w:r>
      <w:r>
        <w:rPr>
          <w:b/>
          <w:bCs/>
        </w:rPr>
        <w:t xml:space="preserve">“</w:t>
      </w:r>
      <w:r>
        <w:rPr>
          <w:b/>
          <w:bCs/>
        </w:rPr>
        <w:t xml:space="preserve">Earned Income</w:t>
      </w:r>
      <w:r>
        <w:rPr>
          <w:b/>
          <w:bCs/>
        </w:rPr>
        <w:t xml:space="preserve">”</w:t>
      </w:r>
      <w:r>
        <w:rPr>
          <w:b/>
          <w:bCs/>
        </w:rPr>
        <w:t xml:space="preserve"> </w:t>
      </w:r>
      <w:r>
        <w:rPr>
          <w:b/>
          <w:bCs/>
        </w:rPr>
        <w:t xml:space="preserve">definition</w:t>
      </w:r>
      <w:r>
        <w:t xml:space="preserve"> </w:t>
      </w:r>
      <w:r>
        <w:t xml:space="preserve">(Redline §2.1(b), (d); MC-02). The Redline defines Marital Property by reference to</w:t>
      </w:r>
      <w:r>
        <w:t xml:space="preserve"> </w:t>
      </w:r>
      <w:r>
        <w:t xml:space="preserve">“</w:t>
      </w:r>
      <w:r>
        <w:t xml:space="preserve">Earned Income,</w:t>
      </w:r>
      <w:r>
        <w:t xml:space="preserve">”</w:t>
      </w:r>
      <w:r>
        <w:t xml:space="preserve"> </w:t>
      </w:r>
      <w:r>
        <w:t xml:space="preserve">and defines Earned Income to</w:t>
      </w:r>
      <w:r>
        <w:t xml:space="preserve"> </w:t>
      </w:r>
      <w:r>
        <w:rPr>
          <w:b/>
          <w:bCs/>
        </w:rPr>
        <w:t xml:space="preserve">exclude discretionary bonuses, commissions, equity compensation, RSUs, stock options, and other variable compensation.</w:t>
      </w:r>
      <w:r>
        <w:t xml:space="preserve"> </w:t>
      </w:r>
      <w:r>
        <w:t xml:space="preserve">This contradicts the client’s objective that Husband’s bonus be</w:t>
      </w:r>
      <w:r>
        <w:t xml:space="preserve"> </w:t>
      </w:r>
      <w:r>
        <w:t xml:space="preserve">“</w:t>
      </w:r>
      <w:r>
        <w:t xml:space="preserve">treated as income for all purposes</w:t>
      </w:r>
      <w:r>
        <w:t xml:space="preserve">”</w:t>
      </w:r>
      <w:r>
        <w:t xml:space="preserve"> </w:t>
      </w:r>
      <w:r>
        <w:t xml:space="preserve">and undermines the RSU division. Critical.</w:t>
      </w:r>
    </w:p>
    <w:p>
      <w:pPr>
        <w:numPr>
          <w:ilvl w:val="0"/>
          <w:numId w:val="1001"/>
        </w:numPr>
      </w:pPr>
      <w:r>
        <w:rPr>
          <w:b/>
          <w:bCs/>
        </w:rPr>
        <w:t xml:space="preserve">A unilateral modification-by-notice mechanism</w:t>
      </w:r>
      <w:r>
        <w:t xml:space="preserve"> </w:t>
      </w:r>
      <w:r>
        <w:t xml:space="preserve">(Redline §14.2). Either party could modify the Agreement by written notice taking effect in 90 days unless the other objects. This is the</w:t>
      </w:r>
      <w:r>
        <w:t xml:space="preserve"> </w:t>
      </w:r>
      <w:r>
        <w:t xml:space="preserve">“</w:t>
      </w:r>
      <w:r>
        <w:t xml:space="preserve">one-sided change</w:t>
      </w:r>
      <w:r>
        <w:t xml:space="preserve">”</w:t>
      </w:r>
      <w:r>
        <w:t xml:space="preserve"> </w:t>
      </w:r>
      <w:r>
        <w:t xml:space="preserve">mechanism the client specifically wanted to prevent (Objective 5(f)), is almost certainly unenforceable under 750 ILCS 5/502 (which requires amendments signed by both parties), and must be rejected.</w:t>
      </w:r>
    </w:p>
    <w:p>
      <w:pPr>
        <w:numPr>
          <w:ilvl w:val="0"/>
          <w:numId w:val="1001"/>
        </w:numPr>
      </w:pPr>
      <w:r>
        <w:rPr>
          <w:b/>
          <w:bCs/>
        </w:rPr>
        <w:t xml:space="preserve">Replacement of the prevailing-party fee provision with a mutual fee waiver</w:t>
      </w:r>
      <w:r>
        <w:t xml:space="preserve"> </w:t>
      </w:r>
      <w:r>
        <w:t xml:space="preserve">(Redline §13.2; MC-11). The client wanted a prevailing-party provision to deter frivolous challenges (Objective 5(d)). The Redline eliminates it. High priority.</w:t>
      </w:r>
    </w:p>
    <w:p>
      <w:pPr>
        <w:numPr>
          <w:ilvl w:val="0"/>
          <w:numId w:val="1001"/>
        </w:numPr>
      </w:pPr>
      <w:r>
        <w:rPr>
          <w:b/>
          <w:bCs/>
        </w:rPr>
        <w:t xml:space="preserve">A $5,000 per-claim threshold on the Identified Debt indemnity</w:t>
      </w:r>
      <w:r>
        <w:t xml:space="preserve"> </w:t>
      </w:r>
      <w:r>
        <w:t xml:space="preserve">(Redline §11.2; MC-10). The client demanded</w:t>
      </w:r>
      <w:r>
        <w:t xml:space="preserve"> </w:t>
      </w:r>
      <w:r>
        <w:t xml:space="preserve">“</w:t>
      </w:r>
      <w:r>
        <w:t xml:space="preserve">complete indemnification, with no loopholes or materiality thresholds.</w:t>
      </w:r>
      <w:r>
        <w:t xml:space="preserve">”</w:t>
      </w:r>
      <w:r>
        <w:t xml:space="preserve"> </w:t>
      </w:r>
      <w:r>
        <w:t xml:space="preserve">The Redline adds exactly such a threshold. High priority.</w:t>
      </w:r>
    </w:p>
    <w:p>
      <w:pPr>
        <w:numPr>
          <w:ilvl w:val="0"/>
          <w:numId w:val="1001"/>
        </w:numPr>
      </w:pPr>
      <w:r>
        <w:rPr>
          <w:b/>
          <w:bCs/>
        </w:rPr>
        <w:t xml:space="preserve">Reduction of the sunset term from 15 years to 7 years</w:t>
      </w:r>
      <w:r>
        <w:t xml:space="preserve"> </w:t>
      </w:r>
      <w:r>
        <w:t xml:space="preserve">(Redline §15.5). The client wanted the Agreement to run at least until the younger child turns 18 (approximately 2033–2034) and preferably through 2040. A 7-year sunset (approximately 2032) expires before the youngest child reaches majority. High priority.</w:t>
      </w:r>
    </w:p>
    <w:p>
      <w:pPr>
        <w:numPr>
          <w:ilvl w:val="0"/>
          <w:numId w:val="1001"/>
        </w:numPr>
      </w:pPr>
      <w:r>
        <w:rPr>
          <w:b/>
          <w:bCs/>
        </w:rPr>
        <w:t xml:space="preserve">Change of venue from Cook County to DuPage County</w:t>
      </w:r>
      <w:r>
        <w:t xml:space="preserve"> </w:t>
      </w:r>
      <w:r>
        <w:t xml:space="preserve">(Redline §15.2; MC-12). The client wanted Cook County (Objective 5(e)); the marital residence, Wife, and our office are all in Cook County. Adverse.</w:t>
      </w:r>
    </w:p>
    <w:p>
      <w:pPr>
        <w:pStyle w:val="FirstParagraph"/>
      </w:pPr>
      <w:r>
        <w:rPr>
          <w:b/>
          <w:bCs/>
        </w:rPr>
        <w:t xml:space="preserve">Beneficial or acceptable changes</w:t>
      </w:r>
      <w:r>
        <w:t xml:space="preserve"> </w:t>
      </w:r>
      <w:r>
        <w:t xml:space="preserve">include the severability clause, the notarization and witness blocks, the correction of the</w:t>
      </w:r>
      <w:r>
        <w:t xml:space="preserve"> </w:t>
      </w:r>
      <w:r>
        <w:t xml:space="preserve">“</w:t>
      </w:r>
      <w:r>
        <w:t xml:space="preserve">Constane</w:t>
      </w:r>
      <w:r>
        <w:t xml:space="preserve">”</w:t>
      </w:r>
      <w:r>
        <w:t xml:space="preserve"> </w:t>
      </w:r>
      <w:r>
        <w:t xml:space="preserve">misspelling, the marriage-preservation recital, the classification of pre-Effective Date retirement balances as separate property, and — notably — a maintenance provision that, as drafted, would operate to</w:t>
      </w:r>
      <w:r>
        <w:t xml:space="preserve"> </w:t>
      </w:r>
      <w:r>
        <w:rPr>
          <w:b/>
          <w:bCs/>
        </w:rPr>
        <w:t xml:space="preserve">eliminate Husband’s maintenance entitlement entirely</w:t>
      </w:r>
      <w:r>
        <w:t xml:space="preserve"> </w:t>
      </w:r>
      <w:r>
        <w:t xml:space="preserve">(because Husband’s gross income of $305,000 exceeds the Redline’s $200,000 waiver threshold). That last item is favorable to Wife but carries enforceability risk and appears to be offered as a trade chip.</w:t>
      </w:r>
    </w:p>
    <w:p>
      <w:pPr>
        <w:pStyle w:val="BodyText"/>
      </w:pPr>
      <w:r>
        <w:rPr>
          <w:b/>
          <w:bCs/>
        </w:rPr>
        <w:t xml:space="preserve">Factual discrepancies.</w:t>
      </w:r>
      <w:r>
        <w:t xml:space="preserve"> </w:t>
      </w:r>
      <w:r>
        <w:t xml:space="preserve">The Redline also introduces or carries forward a number of factual inconsistencies — including the date of Constance Thornton’s death, the children’s birth dates, and several account custodians and account numbers that do not match the Linden &amp; Fosse financial disclosure — that must be reconciled against source records before execution.</w:t>
      </w:r>
    </w:p>
    <w:p>
      <w:pPr>
        <w:pStyle w:val="BodyText"/>
      </w:pPr>
      <w:r>
        <w:rPr>
          <w:b/>
          <w:bCs/>
        </w:rPr>
        <w:t xml:space="preserve">Recommendation.</w:t>
      </w:r>
      <w:r>
        <w:t xml:space="preserve"> </w:t>
      </w:r>
      <w:r>
        <w:t xml:space="preserve">Do not treat the Redline as a basis for execution. Prepare a counter-redline that (a) restores the client’s core protections in full, (b) accepts the genuinely beneficial additions, (c) reconciles all factual discrepancies, and (d) reserves the strategic decision points for client input. Use the January 27 conference to confront the deal-breakers directly and to test whether the</w:t>
      </w:r>
      <w:r>
        <w:t xml:space="preserve"> </w:t>
      </w:r>
      <w:r>
        <w:t xml:space="preserve">“</w:t>
      </w:r>
      <w:r>
        <w:t xml:space="preserve">balanced</w:t>
      </w:r>
      <w:r>
        <w:t xml:space="preserve">”</w:t>
      </w:r>
      <w:r>
        <w:t xml:space="preserve"> </w:t>
      </w:r>
      <w:r>
        <w:t xml:space="preserve">framing reflects a genuine willingness to compromise or a strategy of burying adverse terms.</w:t>
      </w:r>
    </w:p>
    <w:bookmarkEnd w:id="24"/>
    <w:bookmarkStart w:id="25" w:name="iii.-background-and-procedural-posture"/>
    <w:p>
      <w:pPr>
        <w:pStyle w:val="Heading2"/>
      </w:pPr>
      <w:r>
        <w:t xml:space="preserve">III. Background and Procedural Posture</w:t>
      </w:r>
    </w:p>
    <w:p>
      <w:pPr>
        <w:pStyle w:val="FirstParagraph"/>
      </w:pPr>
      <w:r>
        <w:t xml:space="preserve">The parties were married June 14, 2013, in Cook County, and have two minor children. Wife is a pediatric cardiologist at Lakeshore Children’s Hospital (W-2 income $487,000) and holds a 22% membership interest in Heartbeat Pediatric Partners LLC, valued at $1,650,000 as of November 30, 2024. Husband is Senior Vice President of Business Development at Grayfield Industries (base $215,000 plus a three-year-average bonus of $90,000; total approximately $305,000) and holds 12,000 unvested RSUs. The precipitating event for the Agreement was Husband’s concealment of approximately $68,000 in credit card debt, discovered mid-2024. In October 2024, Husband received a $3.8 million inheritance from his late mother. The parties wish to remain married but seek financial clarity.</w:t>
      </w:r>
    </w:p>
    <w:p>
      <w:pPr>
        <w:pStyle w:val="BodyText"/>
      </w:pPr>
      <w:r>
        <w:t xml:space="preserve">The client’s objectives, in her stated order of priority, are: (1) protect the $1,200,000 premarital-savings reimbursement right; (2) ensure full financial transparency, including a robust voidability remedy, ongoing disclosure, and sole assignment of the $68,000 debt to Husband with complete indemnification; (3) maintain stability for the children, including a first right to purchase the marital home and a term running at least until the younger child reaches majority; (4) preserve the practice interest as separate property with only post-agreement appreciation treated as marital, without burdensome valuation methodologies; and (5) ensure long-term enforceability, including independent counsel, prevailing-party fees, Cook County venue, and mutual-written-consent modification.</w:t>
      </w:r>
    </w:p>
    <w:p>
      <w:pPr>
        <w:pStyle w:val="BodyText"/>
      </w:pPr>
      <w:r>
        <w:t xml:space="preserve">We transmitted the Original Draft on December 16, 2024. Opposing counsel returned the Redline on January 6, 2025, with a four-way conference scheduled for January 27, 2025. The client previously cautioned us to</w:t>
      </w:r>
      <w:r>
        <w:t xml:space="preserve"> </w:t>
      </w:r>
      <w:r>
        <w:t xml:space="preserve">“</w:t>
      </w:r>
      <w:r>
        <w:t xml:space="preserve">scrutinize any counterproposals carefully for hidden or embedded terms that might undermine her core objectives.</w:t>
      </w:r>
      <w:r>
        <w:t xml:space="preserve">”</w:t>
      </w:r>
      <w:r>
        <w:t xml:space="preserve"> </w:t>
      </w:r>
      <w:r>
        <w:t xml:space="preserve">That caution was well-founded.</w:t>
      </w:r>
    </w:p>
    <w:bookmarkEnd w:id="25"/>
    <w:bookmarkStart w:id="26" w:name="X4f2061cecdfd93995de875dae2eaa51cc4add1d"/>
    <w:p>
      <w:pPr>
        <w:pStyle w:val="Heading2"/>
      </w:pPr>
      <w:r>
        <w:t xml:space="preserve">IV. Overview of the Redline and Opposing Counsel’s Framing</w:t>
      </w:r>
    </w:p>
    <w:p>
      <w:pPr>
        <w:pStyle w:val="FirstParagraph"/>
      </w:pPr>
      <w:r>
        <w:t xml:space="preserve">The Redline reorganizes the entire document. The Original Draft’s preamble and lettered Recitals (A–L) become Article I (Sections 1.1–1.6); the Original Draft’s Articles 1–15 become Articles II–XVI. The Redline carries 47 tracked-change markers (TC-01 through TC-47) and 12 margin comments (MC-01 through MC-12). The reorganization itself is not objectionable, but it makes line-by-line comparison more difficult and several substantive adverse changes are embedded within the restructured provisions.</w:t>
      </w:r>
    </w:p>
    <w:p>
      <w:pPr>
        <w:pStyle w:val="BodyText"/>
      </w:pPr>
      <w:r>
        <w:t xml:space="preserve">The transmittal email affirmatively discloses five categories of changes: (a) the severability provision; (b) the notarization/witness signature block; (c) the</w:t>
      </w:r>
      <w:r>
        <w:t xml:space="preserve"> </w:t>
      </w:r>
      <w:r>
        <w:t xml:space="preserve">“</w:t>
      </w:r>
      <w:r>
        <w:t xml:space="preserve">Constane</w:t>
      </w:r>
      <w:r>
        <w:t xml:space="preserve">”</w:t>
      </w:r>
      <w:r>
        <w:t xml:space="preserve"> </w:t>
      </w:r>
      <w:r>
        <w:t xml:space="preserve">→</w:t>
      </w:r>
      <w:r>
        <w:t xml:space="preserve"> </w:t>
      </w:r>
      <w:r>
        <w:t xml:space="preserve">“</w:t>
      </w:r>
      <w:r>
        <w:t xml:space="preserve">Constance</w:t>
      </w:r>
      <w:r>
        <w:t xml:space="preserve">”</w:t>
      </w:r>
      <w:r>
        <w:t xml:space="preserve"> </w:t>
      </w:r>
      <w:r>
        <w:t xml:space="preserve">misspelling correction; (d) the marriage-preservation recital; and (e) the duration adjustment (15 → 7 years) and the DuPage venue request. These disclosures are accurate as far as they go.</w:t>
      </w:r>
      <w:r>
        <w:t xml:space="preserve"> </w:t>
      </w:r>
      <w:r>
        <w:rPr>
          <w:b/>
          <w:bCs/>
        </w:rPr>
        <w:t xml:space="preserve">Notably absent from the email, however, are the most consequential changes</w:t>
      </w:r>
      <w:r>
        <w:t xml:space="preserve">: the deletion of the premarital-savings reimbursement, the evisceration of the voidability remedy, the reversal of the commingling/transmutation rule, the new Earned Income definition that narrows Marital Property, the coverture-fraction reduction of Wife’s RSU share, the unilateral modification mechanism, the fee waiver, and the $5,000 debt-indemnity threshold. The pattern — disclosing benign or minor changes while leaving the major adverse changes unannounced — is itself a significant data point for the negotiation.</w:t>
      </w:r>
    </w:p>
    <w:p>
      <w:pPr>
        <w:pStyle w:val="BodyText"/>
      </w:pPr>
      <w:r>
        <w:t xml:space="preserve">The margin comments repeatedly characterize adverse changes as</w:t>
      </w:r>
      <w:r>
        <w:t xml:space="preserve"> </w:t>
      </w:r>
      <w:r>
        <w:t xml:space="preserve">“</w:t>
      </w:r>
      <w:r>
        <w:t xml:space="preserve">standard,</w:t>
      </w:r>
      <w:r>
        <w:t xml:space="preserve">”</w:t>
      </w:r>
      <w:r>
        <w:t xml:space="preserve"> </w:t>
      </w:r>
      <w:r>
        <w:t xml:space="preserve">“</w:t>
      </w:r>
      <w:r>
        <w:t xml:space="preserve">balanced,</w:t>
      </w:r>
      <w:r>
        <w:t xml:space="preserve">”</w:t>
      </w:r>
      <w:r>
        <w:t xml:space="preserve"> </w:t>
      </w:r>
      <w:r>
        <w:t xml:space="preserve">or</w:t>
      </w:r>
      <w:r>
        <w:t xml:space="preserve"> </w:t>
      </w:r>
      <w:r>
        <w:t xml:space="preserve">“</w:t>
      </w:r>
      <w:r>
        <w:t xml:space="preserve">protective of both parties.</w:t>
      </w:r>
      <w:r>
        <w:t xml:space="preserve">”</w:t>
      </w:r>
      <w:r>
        <w:t xml:space="preserve"> </w:t>
      </w:r>
      <w:r>
        <w:t xml:space="preserve">As detailed below, several of those characterizations are misleading. We should not accept the comments’ framing at face value.</w:t>
      </w:r>
    </w:p>
    <w:bookmarkEnd w:id="26"/>
    <w:bookmarkStart w:id="43" w:name="v.-change-analysis"/>
    <w:p>
      <w:pPr>
        <w:pStyle w:val="Heading2"/>
      </w:pPr>
      <w:r>
        <w:t xml:space="preserve">V. Change Analysis</w:t>
      </w:r>
    </w:p>
    <w:p>
      <w:pPr>
        <w:pStyle w:val="FirstParagraph"/>
      </w:pPr>
      <w:r>
        <w:t xml:space="preserve">The following analysis is organized by topic and tracks the client’s objectives. Each item identifies the change, explains why it matters, and gives a recommendation and severity rating. A consolidated index of all tracked changes appears in the Appendix.</w:t>
      </w:r>
    </w:p>
    <w:bookmarkStart w:id="27" w:name="X02a6654d96b072374d46df2b15c9ae6ff80b99e"/>
    <w:p>
      <w:pPr>
        <w:pStyle w:val="Heading3"/>
      </w:pPr>
      <w:r>
        <w:t xml:space="preserve">A. Premarital-Savings Reimbursement Right (Client Objective 1) — CRITICAL</w:t>
      </w:r>
    </w:p>
    <w:p>
      <w:pPr>
        <w:pStyle w:val="FirstParagraph"/>
      </w:pPr>
      <w:r>
        <w:rPr>
          <w:b/>
          <w:bCs/>
        </w:rPr>
        <w:t xml:space="preserve">The change.</w:t>
      </w:r>
      <w:r>
        <w:t xml:space="preserve"> </w:t>
      </w:r>
      <w:r>
        <w:t xml:space="preserve">The Original Draft §5.2 granted Wife a</w:t>
      </w:r>
      <w:r>
        <w:t xml:space="preserve"> </w:t>
      </w:r>
      <w:r>
        <w:rPr>
          <w:b/>
          <w:bCs/>
        </w:rPr>
        <w:t xml:space="preserve">first-priority reimbursement claim of $1,200,000</w:t>
      </w:r>
      <w:r>
        <w:t xml:space="preserve"> </w:t>
      </w:r>
      <w:r>
        <w:t xml:space="preserve">from the Joint Investment Account (or, if insufficient, from Wife’s share of the marital estate), to be satisfied</w:t>
      </w:r>
      <w:r>
        <w:t xml:space="preserve"> </w:t>
      </w:r>
      <w:r>
        <w:rPr>
          <w:i/>
          <w:iCs/>
        </w:rPr>
        <w:t xml:space="preserve">before</w:t>
      </w:r>
      <w:r>
        <w:t xml:space="preserve"> </w:t>
      </w:r>
      <w:r>
        <w:t xml:space="preserve">equal division of the remaining balance. After reimbursement, the remaining $670,000 of marital appreciation would be split 50/50. The Redline</w:t>
      </w:r>
      <w:r>
        <w:t xml:space="preserve"> </w:t>
      </w:r>
      <w:r>
        <w:rPr>
          <w:b/>
          <w:bCs/>
        </w:rPr>
        <w:t xml:space="preserve">deletes §5.2 in its entirety</w:t>
      </w:r>
      <w:r>
        <w:t xml:space="preserve"> </w:t>
      </w:r>
      <w:r>
        <w:t xml:space="preserve">(TC-22) and renumbers the subsequent provisions. Margin comment MC-05 states the section was</w:t>
      </w:r>
      <w:r>
        <w:t xml:space="preserve"> </w:t>
      </w:r>
      <w:r>
        <w:t xml:space="preserve">“</w:t>
      </w:r>
      <w:r>
        <w:t xml:space="preserve">duplicative of Section 5.1 general property division provisions.</w:t>
      </w:r>
      <w:r>
        <w:t xml:space="preserve">”</w:t>
      </w:r>
    </w:p>
    <w:p>
      <w:pPr>
        <w:pStyle w:val="BodyText"/>
      </w:pPr>
      <w:r>
        <w:rPr>
          <w:b/>
          <w:bCs/>
        </w:rPr>
        <w:t xml:space="preserve">Why it matters.</w:t>
      </w:r>
      <w:r>
        <w:t xml:space="preserve"> </w:t>
      </w:r>
      <w:r>
        <w:t xml:space="preserve">The comment’s rationale is incorrect. Section 5.1 (now Redline §5.2) provides only for a</w:t>
      </w:r>
      <w:r>
        <w:t xml:space="preserve"> </w:t>
      </w:r>
      <w:r>
        <w:rPr>
          <w:i/>
          <w:iCs/>
        </w:rPr>
        <w:t xml:space="preserve">presumption of equal division</w:t>
      </w:r>
      <w:r>
        <w:t xml:space="preserve"> </w:t>
      </w:r>
      <w:r>
        <w:t xml:space="preserve">of marital property; it contains</w:t>
      </w:r>
      <w:r>
        <w:t xml:space="preserve"> </w:t>
      </w:r>
      <w:r>
        <w:rPr>
          <w:b/>
          <w:bCs/>
        </w:rPr>
        <w:t xml:space="preserve">no reimbursement mechanism and no first-dollar claim</w:t>
      </w:r>
      <w:r>
        <w:t xml:space="preserve">. Deleting §5.2 eliminates the client’s single most important protection. The Joint Investment Account ($1,870,000) consists of Wife’s $1,200,000 traceable premarital contribution plus $670,000 of marital appreciation. The financial consequences are: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Scenario</w:t>
            </w:r>
          </w:p>
        </w:tc>
        <w:tc>
          <w:tcPr/>
          <w:p>
            <w:pPr>
              <w:pStyle w:val="Compact"/>
              <w:jc w:val="left"/>
            </w:pPr>
            <w:r>
              <w:t xml:space="preserve">Wife’s recovery from Joint Account</w:t>
            </w:r>
          </w:p>
        </w:tc>
        <w:tc>
          <w:tcPr/>
          <w:p>
            <w:pPr>
              <w:pStyle w:val="Compact"/>
              <w:jc w:val="left"/>
            </w:pPr>
            <w:r>
              <w:t xml:space="preserve">Husband’s recovery</w:t>
            </w:r>
          </w:p>
        </w:tc>
      </w:tr>
      <w:tr>
        <w:tc>
          <w:tcPr/>
          <w:p>
            <w:pPr>
              <w:pStyle w:val="Compact"/>
              <w:jc w:val="left"/>
            </w:pPr>
            <w:r>
              <w:t xml:space="preserve">Original Draft §5.2</w:t>
            </w:r>
          </w:p>
        </w:tc>
        <w:tc>
          <w:tcPr/>
          <w:p>
            <w:pPr>
              <w:pStyle w:val="Compact"/>
              <w:jc w:val="left"/>
            </w:pPr>
            <w:r>
              <w:t xml:space="preserve">$1,200,000 (reimbursement) + $335,000 (50% of $670K) =</w:t>
            </w:r>
            <w:r>
              <w:t xml:space="preserve"> </w:t>
            </w:r>
            <w:r>
              <w:rPr>
                <w:b/>
                <w:bCs/>
              </w:rPr>
              <w:t xml:space="preserve">$1,535,000</w:t>
            </w:r>
          </w:p>
        </w:tc>
        <w:tc>
          <w:tcPr/>
          <w:p>
            <w:pPr>
              <w:pStyle w:val="Compact"/>
              <w:jc w:val="left"/>
            </w:pPr>
            <w:r>
              <w:t xml:space="preserve">$335,000</w:t>
            </w:r>
          </w:p>
        </w:tc>
      </w:tr>
      <w:tr>
        <w:tc>
          <w:tcPr/>
          <w:p>
            <w:pPr>
              <w:pStyle w:val="Compact"/>
              <w:jc w:val="left"/>
            </w:pPr>
            <w:r>
              <w:t xml:space="preserve">Redline (50/50 of whole)</w:t>
            </w:r>
          </w:p>
        </w:tc>
        <w:tc>
          <w:tcPr/>
          <w:p>
            <w:pPr>
              <w:pStyle w:val="Compact"/>
              <w:jc w:val="left"/>
            </w:pPr>
            <w:r>
              <w:rPr>
                <w:b/>
                <w:bCs/>
              </w:rPr>
              <w:t xml:space="preserve">$935,000</w:t>
            </w:r>
          </w:p>
        </w:tc>
        <w:tc>
          <w:tcPr/>
          <w:p>
            <w:pPr>
              <w:pStyle w:val="Compact"/>
              <w:jc w:val="left"/>
            </w:pPr>
            <w:r>
              <w:t xml:space="preserve">$935,000</w:t>
            </w:r>
          </w:p>
        </w:tc>
      </w:tr>
    </w:tbl>
    <w:p>
      <w:pPr>
        <w:pStyle w:val="BodyText"/>
      </w:pPr>
      <w:r>
        <w:t xml:space="preserve">The deletion therefore effects a</w:t>
      </w:r>
      <w:r>
        <w:t xml:space="preserve"> </w:t>
      </w:r>
      <w:r>
        <w:rPr>
          <w:b/>
          <w:bCs/>
        </w:rPr>
        <w:t xml:space="preserve">$600,000 transfer of value from Wife to Husband</w:t>
      </w:r>
      <w:r>
        <w:t xml:space="preserve">. The client described this reimbursement right as</w:t>
      </w:r>
      <w:r>
        <w:t xml:space="preserve"> </w:t>
      </w:r>
      <w:r>
        <w:t xml:space="preserve">“</w:t>
      </w:r>
      <w:r>
        <w:t xml:space="preserve">non-negotiable</w:t>
      </w:r>
      <w:r>
        <w:t xml:space="preserve">”</w:t>
      </w:r>
      <w:r>
        <w:t xml:space="preserve"> </w:t>
      </w:r>
      <w:r>
        <w:t xml:space="preserve">and</w:t>
      </w:r>
      <w:r>
        <w:t xml:space="preserve"> </w:t>
      </w:r>
      <w:r>
        <w:t xml:space="preserve">“</w:t>
      </w:r>
      <w:r>
        <w:t xml:space="preserve">the whole reason</w:t>
      </w:r>
      <w:r>
        <w:t xml:space="preserve">”</w:t>
      </w:r>
      <w:r>
        <w:t xml:space="preserve"> </w:t>
      </w:r>
      <w:r>
        <w:t xml:space="preserve">she is pursuing the Agreement. The Linden &amp; Fosse financial disclosure (Line W-5 / Line J-2) independently documents the tracing: Wife deposited $1,200,000 from her individual Northbridge account (ending -0184, closed 2014) into the joint account, with wire transfer confirmations on file. The tracing is well-supported.</w:t>
      </w:r>
    </w:p>
    <w:p>
      <w:pPr>
        <w:pStyle w:val="BodyText"/>
      </w:pPr>
      <w:r>
        <w:rPr>
          <w:b/>
          <w:bCs/>
        </w:rPr>
        <w:t xml:space="preserve">Recommendation.</w:t>
      </w:r>
      <w:r>
        <w:t xml:space="preserve"> </w:t>
      </w:r>
      <w:r>
        <w:t xml:space="preserve">Reject the deletion. Restore §5.2 in full, including the first-priority claim, the explicit tracing recital, and the order of satisfaction (reimbursement first, then 50/50 of the remainder). This is a deal-breaker; we should not proceed to execution without it.</w:t>
      </w:r>
    </w:p>
    <w:bookmarkEnd w:id="27"/>
    <w:bookmarkStart w:id="28" w:name="Xec021279322fc03d540f9e711f852568ff2d3d6"/>
    <w:p>
      <w:pPr>
        <w:pStyle w:val="Heading3"/>
      </w:pPr>
      <w:r>
        <w:t xml:space="preserve">B. Financial Disclosure and Voidability (Client Objective 2) — CRITICAL</w:t>
      </w:r>
    </w:p>
    <w:p>
      <w:pPr>
        <w:pStyle w:val="FirstParagraph"/>
      </w:pPr>
      <w:r>
        <w:t xml:space="preserve">The Redline weakens the disclosure regime in four coordinated ways.</w:t>
      </w:r>
    </w:p>
    <w:p>
      <w:pPr>
        <w:pStyle w:val="BodyText"/>
      </w:pPr>
      <w:r>
        <w:rPr>
          <w:b/>
          <w:bCs/>
        </w:rPr>
        <w:t xml:space="preserve">1. Weakened disclosure representations (TC-06, TC-15, TC-41).</w:t>
      </w:r>
      <w:r>
        <w:t xml:space="preserve"> </w:t>
      </w:r>
      <w:r>
        <w:t xml:space="preserve">The Original Draft represented</w:t>
      </w:r>
      <w:r>
        <w:t xml:space="preserve"> </w:t>
      </w:r>
      <w:r>
        <w:t xml:space="preserve">“</w:t>
      </w:r>
      <w:r>
        <w:t xml:space="preserve">full and complete disclosure</w:t>
      </w:r>
      <w:r>
        <w:t xml:space="preserve">”</w:t>
      </w:r>
      <w:r>
        <w:t xml:space="preserve"> </w:t>
      </w:r>
      <w:r>
        <w:t xml:space="preserve">(Recital L) and that each party was</w:t>
      </w:r>
      <w:r>
        <w:t xml:space="preserve"> </w:t>
      </w:r>
      <w:r>
        <w:t xml:space="preserve">“</w:t>
      </w:r>
      <w:r>
        <w:t xml:space="preserve">satisfied with the sufficiency of the disclosures</w:t>
      </w:r>
      <w:r>
        <w:t xml:space="preserve">”</w:t>
      </w:r>
      <w:r>
        <w:t xml:space="preserve"> </w:t>
      </w:r>
      <w:r>
        <w:t xml:space="preserve">(§3.2). The Redline changes these to</w:t>
      </w:r>
      <w:r>
        <w:t xml:space="preserve"> </w:t>
      </w:r>
      <w:r>
        <w:t xml:space="preserve">“</w:t>
      </w:r>
      <w:r>
        <w:t xml:space="preserve">substantially full financial disclosure</w:t>
      </w:r>
      <w:r>
        <w:t xml:space="preserve">”</w:t>
      </w:r>
      <w:r>
        <w:t xml:space="preserve"> </w:t>
      </w:r>
      <w:r>
        <w:t xml:space="preserve">(§1.5, TC-06),</w:t>
      </w:r>
      <w:r>
        <w:t xml:space="preserve"> </w:t>
      </w:r>
      <w:r>
        <w:t xml:space="preserve">“</w:t>
      </w:r>
      <w:r>
        <w:t xml:space="preserve">generally satisfied with such disclosure</w:t>
      </w:r>
      <w:r>
        <w:t xml:space="preserve">”</w:t>
      </w:r>
      <w:r>
        <w:t xml:space="preserve"> </w:t>
      </w:r>
      <w:r>
        <w:t xml:space="preserve">(§3.1(d), TC-15), and a</w:t>
      </w:r>
      <w:r>
        <w:t xml:space="preserve"> </w:t>
      </w:r>
      <w:r>
        <w:t xml:space="preserve">“</w:t>
      </w:r>
      <w:r>
        <w:t xml:space="preserve">substantially complete statement</w:t>
      </w:r>
      <w:r>
        <w:t xml:space="preserve">”</w:t>
      </w:r>
      <w:r>
        <w:t xml:space="preserve"> </w:t>
      </w:r>
      <w:r>
        <w:t xml:space="preserve">(§12.1, TC-41). The word</w:t>
      </w:r>
      <w:r>
        <w:t xml:space="preserve"> </w:t>
      </w:r>
      <w:r>
        <w:t xml:space="preserve">“</w:t>
      </w:r>
      <w:r>
        <w:t xml:space="preserve">substantially</w:t>
      </w:r>
      <w:r>
        <w:t xml:space="preserve">”</w:t>
      </w:r>
      <w:r>
        <w:t xml:space="preserve"> </w:t>
      </w:r>
      <w:r>
        <w:t xml:space="preserve">and</w:t>
      </w:r>
      <w:r>
        <w:t xml:space="preserve"> </w:t>
      </w:r>
      <w:r>
        <w:t xml:space="preserve">“</w:t>
      </w:r>
      <w:r>
        <w:t xml:space="preserve">generally</w:t>
      </w:r>
      <w:r>
        <w:t xml:space="preserve">”</w:t>
      </w:r>
      <w:r>
        <w:t xml:space="preserve"> </w:t>
      </w:r>
      <w:r>
        <w:t xml:space="preserve">materially weaken the representations and could be invoked against Wife to argue she accepted incomplete disclosure — particularly dangerous given Husband’s documented history of concealment.</w:t>
      </w:r>
    </w:p>
    <w:p>
      <w:pPr>
        <w:pStyle w:val="BodyText"/>
      </w:pPr>
      <w:r>
        <w:rPr>
          <w:b/>
          <w:bCs/>
        </w:rPr>
        <w:t xml:space="preserve">2. Evisceration of the voidability remedy (TC-42).</w:t>
      </w:r>
      <w:r>
        <w:t xml:space="preserve"> </w:t>
      </w:r>
      <w:r>
        <w:t xml:space="preserve">This is the most damaging single change to Objective 2.</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Feature</w:t>
            </w:r>
          </w:p>
        </w:tc>
        <w:tc>
          <w:tcPr/>
          <w:p>
            <w:pPr>
              <w:pStyle w:val="Compact"/>
              <w:jc w:val="left"/>
            </w:pPr>
            <w:r>
              <w:t xml:space="preserve">Original Draft §3.3 / §12.3</w:t>
            </w:r>
          </w:p>
        </w:tc>
        <w:tc>
          <w:tcPr/>
          <w:p>
            <w:pPr>
              <w:pStyle w:val="Compact"/>
              <w:jc w:val="left"/>
            </w:pPr>
            <w:r>
              <w:t xml:space="preserve">Redline §12.2</w:t>
            </w:r>
          </w:p>
        </w:tc>
      </w:tr>
      <w:tr>
        <w:tc>
          <w:tcPr/>
          <w:p>
            <w:pPr>
              <w:pStyle w:val="Compact"/>
              <w:jc w:val="left"/>
            </w:pPr>
            <w:r>
              <w:t xml:space="preserve">Trigger</w:t>
            </w:r>
          </w:p>
        </w:tc>
        <w:tc>
          <w:tcPr/>
          <w:p>
            <w:pPr>
              <w:pStyle w:val="Compact"/>
              <w:jc w:val="left"/>
            </w:pPr>
            <w:r>
              <w:t xml:space="preserve">Any</w:t>
            </w:r>
            <w:r>
              <w:t xml:space="preserve"> </w:t>
            </w:r>
            <w:r>
              <w:t xml:space="preserve">“</w:t>
            </w:r>
            <w:r>
              <w:t xml:space="preserve">material omission or misrepresentation</w:t>
            </w:r>
            <w:r>
              <w:t xml:space="preserve">”</w:t>
            </w:r>
          </w:p>
        </w:tc>
        <w:tc>
          <w:tcPr/>
          <w:p>
            <w:pPr>
              <w:pStyle w:val="Compact"/>
              <w:jc w:val="left"/>
            </w:pPr>
            <w:r>
              <w:t xml:space="preserve">Only</w:t>
            </w:r>
            <w:r>
              <w:t xml:space="preserve"> </w:t>
            </w:r>
            <w:r>
              <w:t xml:space="preserve">“</w:t>
            </w:r>
            <w:r>
              <w:t xml:space="preserve">intentionally concealed</w:t>
            </w:r>
            <w:r>
              <w:t xml:space="preserve">”</w:t>
            </w:r>
            <w:r>
              <w:t xml:space="preserve"> </w:t>
            </w:r>
            <w:r>
              <w:t xml:space="preserve">assets/income/liabilities</w:t>
            </w:r>
          </w:p>
        </w:tc>
      </w:tr>
      <w:tr>
        <w:tc>
          <w:tcPr/>
          <w:p>
            <w:pPr>
              <w:pStyle w:val="Compact"/>
              <w:jc w:val="left"/>
            </w:pPr>
            <w:r>
              <w:t xml:space="preserve">Evidentiary standard</w:t>
            </w:r>
          </w:p>
        </w:tc>
        <w:tc>
          <w:tcPr/>
          <w:p>
            <w:pPr>
              <w:pStyle w:val="Compact"/>
              <w:jc w:val="left"/>
            </w:pPr>
            <w:r>
              <w:t xml:space="preserve">None heightened</w:t>
            </w:r>
          </w:p>
        </w:tc>
        <w:tc>
          <w:tcPr/>
          <w:p>
            <w:pPr>
              <w:pStyle w:val="Compact"/>
              <w:jc w:val="left"/>
            </w:pPr>
            <w:r>
              <w:t xml:space="preserve">“</w:t>
            </w:r>
            <w:r>
              <w:t xml:space="preserve">Clear and convincing evidence</w:t>
            </w:r>
            <w:r>
              <w:t xml:space="preserve">”</w:t>
            </w:r>
          </w:p>
        </w:tc>
      </w:tr>
      <w:tr>
        <w:tc>
          <w:tcPr/>
          <w:p>
            <w:pPr>
              <w:pStyle w:val="Compact"/>
              <w:jc w:val="left"/>
            </w:pPr>
            <w:r>
              <w:t xml:space="preserve">Dollar threshold</w:t>
            </w:r>
          </w:p>
        </w:tc>
        <w:tc>
          <w:tcPr/>
          <w:p>
            <w:pPr>
              <w:pStyle w:val="Compact"/>
              <w:jc w:val="left"/>
            </w:pPr>
            <w:r>
              <w:t xml:space="preserve">None (</w:t>
            </w:r>
            <w:r>
              <w:t xml:space="preserve">“</w:t>
            </w:r>
            <w:r>
              <w:t xml:space="preserve">not subject to any… dollar threshold</w:t>
            </w:r>
            <w:r>
              <w:t xml:space="preserve">”</w:t>
            </w:r>
            <w:r>
              <w:t xml:space="preserve">)</w:t>
            </w:r>
          </w:p>
        </w:tc>
        <w:tc>
          <w:tcPr/>
          <w:p>
            <w:pPr>
              <w:pStyle w:val="Compact"/>
              <w:jc w:val="left"/>
            </w:pPr>
            <w:r>
              <w:t xml:space="preserve">Aggregate value</w:t>
            </w:r>
            <w:r>
              <w:t xml:space="preserve"> </w:t>
            </w:r>
            <w:r>
              <w:t xml:space="preserve">“</w:t>
            </w:r>
            <w:r>
              <w:t xml:space="preserve">exceeding $100,000</w:t>
            </w:r>
            <w:r>
              <w:t xml:space="preserve">”</w:t>
            </w:r>
          </w:p>
        </w:tc>
      </w:tr>
      <w:tr>
        <w:tc>
          <w:tcPr/>
          <w:p>
            <w:pPr>
              <w:pStyle w:val="Compact"/>
              <w:jc w:val="left"/>
            </w:pPr>
            <w:r>
              <w:t xml:space="preserve">Intent required</w:t>
            </w:r>
          </w:p>
        </w:tc>
        <w:tc>
          <w:tcPr/>
          <w:p>
            <w:pPr>
              <w:pStyle w:val="Compact"/>
              <w:jc w:val="left"/>
            </w:pPr>
            <w:r>
              <w:t xml:space="preserve">No (</w:t>
            </w:r>
            <w:r>
              <w:t xml:space="preserve">“</w:t>
            </w:r>
            <w:r>
              <w:t xml:space="preserve">not… requirement of intent</w:t>
            </w:r>
            <w:r>
              <w:t xml:space="preserve">”</w:t>
            </w:r>
            <w:r>
              <w:t xml:space="preserve">)</w:t>
            </w:r>
          </w:p>
        </w:tc>
        <w:tc>
          <w:tcPr/>
          <w:p>
            <w:pPr>
              <w:pStyle w:val="Compact"/>
              <w:jc w:val="left"/>
            </w:pPr>
            <w:r>
              <w:t xml:space="preserve">Yes (</w:t>
            </w:r>
            <w:r>
              <w:t xml:space="preserve">“</w:t>
            </w:r>
            <w:r>
              <w:t xml:space="preserve">intentionally concealed</w:t>
            </w:r>
            <w:r>
              <w:t xml:space="preserve">”</w:t>
            </w:r>
            <w:r>
              <w:t xml:space="preserve">)</w:t>
            </w:r>
          </w:p>
        </w:tc>
      </w:tr>
      <w:tr>
        <w:tc>
          <w:tcPr/>
          <w:p>
            <w:pPr>
              <w:pStyle w:val="Compact"/>
              <w:jc w:val="left"/>
            </w:pPr>
            <w:r>
              <w:t xml:space="preserve">Inadvertent errors</w:t>
            </w:r>
          </w:p>
        </w:tc>
        <w:tc>
          <w:tcPr/>
          <w:p>
            <w:pPr>
              <w:pStyle w:val="Compact"/>
              <w:jc w:val="left"/>
            </w:pPr>
            <w:r>
              <w:t xml:space="preserve">Could still be material</w:t>
            </w:r>
          </w:p>
        </w:tc>
        <w:tc>
          <w:tcPr/>
          <w:p>
            <w:pPr>
              <w:pStyle w:val="Compact"/>
              <w:jc w:val="left"/>
            </w:pPr>
            <w:r>
              <w:t xml:space="preserve">Expressly excluded</w:t>
            </w:r>
          </w:p>
        </w:tc>
      </w:tr>
      <w:tr>
        <w:tc>
          <w:tcPr/>
          <w:p>
            <w:pPr>
              <w:pStyle w:val="Compact"/>
              <w:jc w:val="left"/>
            </w:pPr>
            <w:r>
              <w:t xml:space="preserve">Limitations period</w:t>
            </w:r>
          </w:p>
        </w:tc>
        <w:tc>
          <w:tcPr/>
          <w:p>
            <w:pPr>
              <w:pStyle w:val="Compact"/>
              <w:jc w:val="left"/>
            </w:pPr>
            <w:r>
              <w:t xml:space="preserve">None stated</w:t>
            </w:r>
          </w:p>
        </w:tc>
        <w:tc>
          <w:tcPr/>
          <w:p>
            <w:pPr>
              <w:pStyle w:val="Compact"/>
              <w:jc w:val="left"/>
            </w:pPr>
            <w:r>
              <w:t xml:space="preserve">Two years from discovery</w:t>
            </w:r>
          </w:p>
        </w:tc>
      </w:tr>
    </w:tbl>
    <w:p>
      <w:pPr>
        <w:pStyle w:val="BodyText"/>
      </w:pPr>
      <w:r>
        <w:t xml:space="preserve">The Redline’s version is the precise combination we were instructed to resist. The intake memorandum (Section VI) states:</w:t>
      </w:r>
      <w:r>
        <w:t xml:space="preserve"> </w:t>
      </w:r>
      <w:r>
        <w:t xml:space="preserve">“</w:t>
      </w:r>
      <w:r>
        <w:t xml:space="preserve">We should resist any effort by opposing counsel to impose a heightened</w:t>
      </w:r>
      <w:r>
        <w:t xml:space="preserve"> </w:t>
      </w:r>
      <w:r>
        <w:t xml:space="preserve">‘</w:t>
      </w:r>
      <w:r>
        <w:t xml:space="preserve">intentional concealment</w:t>
      </w:r>
      <w:r>
        <w:t xml:space="preserve">’</w:t>
      </w:r>
      <w:r>
        <w:t xml:space="preserve"> </w:t>
      </w:r>
      <w:r>
        <w:t xml:space="preserve">standard or a dollar-amount threshold that would narrow the scope of the voidability remedy.</w:t>
      </w:r>
      <w:r>
        <w:t xml:space="preserve">”</w:t>
      </w:r>
      <w:r>
        <w:t xml:space="preserve"> </w:t>
      </w:r>
      <w:r>
        <w:t xml:space="preserve">The client stated:</w:t>
      </w:r>
      <w:r>
        <w:t xml:space="preserve"> </w:t>
      </w:r>
      <w:r>
        <w:t xml:space="preserve">“</w:t>
      </w:r>
      <w:r>
        <w:t xml:space="preserve">If Marcus is hiding a $10,000 account or a $50,000 account, I want to be able to void this agreement. I don’t want a provision that only kicks in if he hides a million dollars.</w:t>
      </w:r>
      <w:r>
        <w:t xml:space="preserve">”</w:t>
      </w:r>
      <w:r>
        <w:t xml:space="preserve"> </w:t>
      </w:r>
      <w:r>
        <w:t xml:space="preserve">The $100,000 threshold, the intent requirement, and the clear-and-convincing standard each independently contradict these instructions; together they would make the Agreement nearly impossible to challenge for non-disclosure — the very risk the client most fears.</w:t>
      </w:r>
    </w:p>
    <w:p>
      <w:pPr>
        <w:pStyle w:val="BodyText"/>
      </w:pPr>
      <w:r>
        <w:rPr>
          <w:b/>
          <w:bCs/>
        </w:rPr>
        <w:t xml:space="preserve">3. Elimination of the ongoing disclosure obligation.</w:t>
      </w:r>
      <w:r>
        <w:t xml:space="preserve"> </w:t>
      </w:r>
      <w:r>
        <w:t xml:space="preserve">The Original Draft §3.4 imposed a continuing duty to disclose material financial changes (new assets, new debts, income/employment changes, gifts/inheritances over $10,000) within 30 days. The client specifically requested</w:t>
      </w:r>
      <w:r>
        <w:t xml:space="preserve"> </w:t>
      </w:r>
      <w:r>
        <w:t xml:space="preserve">“</w:t>
      </w:r>
      <w:r>
        <w:t xml:space="preserve">ongoing annual disclosure obligations during the marriage</w:t>
      </w:r>
      <w:r>
        <w:t xml:space="preserve">”</w:t>
      </w:r>
      <w:r>
        <w:t xml:space="preserve"> </w:t>
      </w:r>
      <w:r>
        <w:t xml:space="preserve">(Objective 2(c)). The Redline contains</w:t>
      </w:r>
      <w:r>
        <w:t xml:space="preserve"> </w:t>
      </w:r>
      <w:r>
        <w:rPr>
          <w:b/>
          <w:bCs/>
        </w:rPr>
        <w:t xml:space="preserve">no ongoing disclosure provision at all.</w:t>
      </w:r>
      <w:r>
        <w:t xml:space="preserve"> </w:t>
      </w:r>
      <w:r>
        <w:t xml:space="preserve">This removes a key transparency protection.</w:t>
      </w:r>
    </w:p>
    <w:p>
      <w:pPr>
        <w:pStyle w:val="BodyText"/>
      </w:pPr>
      <w:r>
        <w:rPr>
          <w:b/>
          <w:bCs/>
        </w:rPr>
        <w:t xml:space="preserve">4. Elimination of the future-debt disclosure obligation.</w:t>
      </w:r>
      <w:r>
        <w:t xml:space="preserve"> </w:t>
      </w:r>
      <w:r>
        <w:t xml:space="preserve">The Original Draft §11.3 required disclosure of any new debt over $5,000 within 15 days, with failure constituting a material breach. The Redline’s Article XI omits this entirely.</w:t>
      </w:r>
    </w:p>
    <w:p>
      <w:pPr>
        <w:pStyle w:val="BodyText"/>
      </w:pPr>
      <w:r>
        <w:rPr>
          <w:b/>
          <w:bCs/>
        </w:rPr>
        <w:t xml:space="preserve">Recommendation.</w:t>
      </w:r>
      <w:r>
        <w:t xml:space="preserve"> </w:t>
      </w:r>
      <w:r>
        <w:t xml:space="preserve">Reject all four changes. Restore (a)</w:t>
      </w:r>
      <w:r>
        <w:t xml:space="preserve"> </w:t>
      </w:r>
      <w:r>
        <w:t xml:space="preserve">“</w:t>
      </w:r>
      <w:r>
        <w:t xml:space="preserve">full and complete</w:t>
      </w:r>
      <w:r>
        <w:t xml:space="preserve">”</w:t>
      </w:r>
      <w:r>
        <w:t xml:space="preserve"> </w:t>
      </w:r>
      <w:r>
        <w:t xml:space="preserve">disclosure language; (b) the Original Draft §3.3 voidability remedy — material omission standard, no heightened evidentiary burden, no dollar threshold, no intent requirement; (c) the ongoing disclosure obligation (§3.4); and (d) the future-debt disclosure obligation (§11.3). The voidability remedy is a deal-breaker.</w:t>
      </w:r>
    </w:p>
    <w:bookmarkEnd w:id="28"/>
    <w:bookmarkStart w:id="29" w:name="X3d80cf44f1c4fae7590ac74fae7337d9b56abfe"/>
    <w:p>
      <w:pPr>
        <w:pStyle w:val="Heading3"/>
      </w:pPr>
      <w:r>
        <w:t xml:space="preserve">C. Identified Debt Allocation (Client Objective 2) — HIGH</w:t>
      </w:r>
    </w:p>
    <w:p>
      <w:pPr>
        <w:pStyle w:val="FirstParagraph"/>
      </w:pPr>
      <w:r>
        <w:rPr>
          <w:b/>
          <w:bCs/>
        </w:rPr>
        <w:t xml:space="preserve">The change.</w:t>
      </w:r>
      <w:r>
        <w:t xml:space="preserve"> </w:t>
      </w:r>
      <w:r>
        <w:t xml:space="preserve">The Original Draft §11.1 assigned the $68,000 Identified Debt solely to Husband with indemnity</w:t>
      </w:r>
      <w:r>
        <w:t xml:space="preserve"> </w:t>
      </w:r>
      <w:r>
        <w:t xml:space="preserve">“</w:t>
      </w:r>
      <w:r>
        <w:t xml:space="preserve">without limitation as to the amount or nature of individual claims</w:t>
      </w:r>
      <w:r>
        <w:t xml:space="preserve">”</w:t>
      </w:r>
      <w:r>
        <w:t xml:space="preserve"> </w:t>
      </w:r>
      <w:r>
        <w:t xml:space="preserve">and</w:t>
      </w:r>
      <w:r>
        <w:t xml:space="preserve"> </w:t>
      </w:r>
      <w:r>
        <w:t xml:space="preserve">“</w:t>
      </w:r>
      <w:r>
        <w:t xml:space="preserve">without limitation,</w:t>
      </w:r>
      <w:r>
        <w:t xml:space="preserve">”</w:t>
      </w:r>
      <w:r>
        <w:t xml:space="preserve"> </w:t>
      </w:r>
      <w:r>
        <w:t xml:space="preserve">and Wife</w:t>
      </w:r>
      <w:r>
        <w:t xml:space="preserve"> </w:t>
      </w:r>
      <w:r>
        <w:t xml:space="preserve">“</w:t>
      </w:r>
      <w:r>
        <w:t xml:space="preserve">shall have no obligation to contribute.</w:t>
      </w:r>
      <w:r>
        <w:t xml:space="preserve">”</w:t>
      </w:r>
      <w:r>
        <w:t xml:space="preserve"> </w:t>
      </w:r>
      <w:r>
        <w:t xml:space="preserve">The Redline §11.2 (TC-40, MC-10) adds: Husband’s indemnity applies only to claims that</w:t>
      </w:r>
      <w:r>
        <w:t xml:space="preserve"> </w:t>
      </w:r>
      <w:r>
        <w:t xml:space="preserve">“</w:t>
      </w:r>
      <w:r>
        <w:t xml:space="preserve">are material and exceed Five Thousand Dollars ($5,000) individually,</w:t>
      </w:r>
      <w:r>
        <w:t xml:space="preserve">”</w:t>
      </w:r>
      <w:r>
        <w:t xml:space="preserve"> </w:t>
      </w:r>
      <w:r>
        <w:t xml:space="preserve">and</w:t>
      </w:r>
      <w:r>
        <w:t xml:space="preserve"> </w:t>
      </w:r>
      <w:r>
        <w:t xml:space="preserve">“</w:t>
      </w:r>
      <w:r>
        <w:t xml:space="preserve">shall not extend to claims… that individually assert amounts less than $5,000.</w:t>
      </w:r>
      <w:r>
        <w:t xml:space="preserve">”</w:t>
      </w:r>
      <w:r>
        <w:t xml:space="preserve"> </w:t>
      </w:r>
      <w:r>
        <w:t xml:space="preserve">MC-10 calls this a</w:t>
      </w:r>
      <w:r>
        <w:t xml:space="preserve"> </w:t>
      </w:r>
      <w:r>
        <w:t xml:space="preserve">“</w:t>
      </w:r>
      <w:r>
        <w:t xml:space="preserve">de minimis threshold… standard commercial practice.</w:t>
      </w:r>
      <w:r>
        <w:t xml:space="preserve">”</w:t>
      </w:r>
    </w:p>
    <w:p>
      <w:pPr>
        <w:pStyle w:val="BodyText"/>
      </w:pPr>
      <w:r>
        <w:rPr>
          <w:b/>
          <w:bCs/>
        </w:rPr>
        <w:t xml:space="preserve">Why it matters.</w:t>
      </w:r>
      <w:r>
        <w:t xml:space="preserve"> </w:t>
      </w:r>
      <w:r>
        <w:t xml:space="preserve">The client demanded</w:t>
      </w:r>
      <w:r>
        <w:t xml:space="preserve"> </w:t>
      </w:r>
      <w:r>
        <w:t xml:space="preserve">“</w:t>
      </w:r>
      <w:r>
        <w:t xml:space="preserve">complete indemnification, with no loopholes or materiality thresholds</w:t>
      </w:r>
      <w:r>
        <w:t xml:space="preserve">”</w:t>
      </w:r>
      <w:r>
        <w:t xml:space="preserve"> </w:t>
      </w:r>
      <w:r>
        <w:t xml:space="preserve">(Objective 2). Credit-card collection activity frequently arrives as a series of smaller charges, dunning notices, and collection calls; a per-claim $5,000 floor could leave Wife exposed to a stream of sub-threshold collection actions that individually never trigger the indemnity. The Redline also provides that if Husband fails to satisfy the debt within 24 months, Wife</w:t>
      </w:r>
      <w:r>
        <w:t xml:space="preserve"> </w:t>
      </w:r>
      <w:r>
        <w:t xml:space="preserve">“</w:t>
      </w:r>
      <w:r>
        <w:t xml:space="preserve">may… satisfy any outstanding balance and seek reimbursement… subject to the limitations set forth in this Section</w:t>
      </w:r>
      <w:r>
        <w:t xml:space="preserve">”</w:t>
      </w:r>
      <w:r>
        <w:t xml:space="preserve"> </w:t>
      </w:r>
      <w:r>
        <w:t xml:space="preserve">— i.e., subject to the same $5,000 threshold, which could impair her reimbursement right.</w:t>
      </w:r>
    </w:p>
    <w:p>
      <w:pPr>
        <w:pStyle w:val="BodyText"/>
      </w:pPr>
      <w:r>
        <w:rPr>
          <w:b/>
          <w:bCs/>
        </w:rPr>
        <w:t xml:space="preserve">Beneficial elements to retain.</w:t>
      </w:r>
      <w:r>
        <w:t xml:space="preserve"> </w:t>
      </w:r>
      <w:r>
        <w:t xml:space="preserve">The Redline adds a 24-month satisfaction deadline and quarterly written statements reflecting the outstanding balance. These are useful monitoring mechanisms and we should keep them.</w:t>
      </w:r>
    </w:p>
    <w:p>
      <w:pPr>
        <w:pStyle w:val="BodyText"/>
      </w:pPr>
      <w:r>
        <w:rPr>
          <w:b/>
          <w:bCs/>
        </w:rPr>
        <w:t xml:space="preserve">Recommendation.</w:t>
      </w:r>
      <w:r>
        <w:t xml:space="preserve"> </w:t>
      </w:r>
      <w:r>
        <w:t xml:space="preserve">Reject the $5,000 threshold. Restore the Original Draft’s</w:t>
      </w:r>
      <w:r>
        <w:t xml:space="preserve"> </w:t>
      </w:r>
      <w:r>
        <w:t xml:space="preserve">“</w:t>
      </w:r>
      <w:r>
        <w:t xml:space="preserve">without limitation</w:t>
      </w:r>
      <w:r>
        <w:t xml:space="preserve">”</w:t>
      </w:r>
      <w:r>
        <w:t xml:space="preserve"> </w:t>
      </w:r>
      <w:r>
        <w:t xml:space="preserve">indemnity. Retain the 24-month deadline and quarterly-statement requirement as monitoring enhancements.</w:t>
      </w:r>
    </w:p>
    <w:bookmarkEnd w:id="29"/>
    <w:bookmarkStart w:id="30" w:name="X7e5f333ee571a0b4d3fec8e7eb91289c1e9c205"/>
    <w:p>
      <w:pPr>
        <w:pStyle w:val="Heading3"/>
      </w:pPr>
      <w:r>
        <w:t xml:space="preserve">D. Commingling and Transmutation of Separate Property — CRITICAL</w:t>
      </w:r>
    </w:p>
    <w:p>
      <w:pPr>
        <w:pStyle w:val="FirstParagraph"/>
      </w:pPr>
      <w:r>
        <w:rPr>
          <w:b/>
          <w:bCs/>
        </w:rPr>
        <w:t xml:space="preserve">The change.</w:t>
      </w:r>
      <w:r>
        <w:t xml:space="preserve"> </w:t>
      </w:r>
      <w:r>
        <w:t xml:space="preserve">The Original Draft §4.3(b) provided that separate property used for the joint benefit of the marital household (mortgage payments, home improvements, family expenses, tuition, vacations)</w:t>
      </w:r>
      <w:r>
        <w:t xml:space="preserve"> </w:t>
      </w:r>
      <w:r>
        <w:t xml:space="preserve">“</w:t>
      </w:r>
      <w:r>
        <w:t xml:space="preserve">shall be deemed a gift to the marriage and shall be treated as Marital Property,</w:t>
      </w:r>
      <w:r>
        <w:t xml:space="preserve">”</w:t>
      </w:r>
      <w:r>
        <w:t xml:space="preserve"> </w:t>
      </w:r>
      <w:r>
        <w:t xml:space="preserve">with a</w:t>
      </w:r>
      <w:r>
        <w:t xml:space="preserve"> </w:t>
      </w:r>
      <w:r>
        <w:t xml:space="preserve">“</w:t>
      </w:r>
      <w:r>
        <w:t xml:space="preserve">rebuttable presumption of transmutation,</w:t>
      </w:r>
      <w:r>
        <w:t xml:space="preserve">”</w:t>
      </w:r>
      <w:r>
        <w:t xml:space="preserve"> </w:t>
      </w:r>
      <w:r>
        <w:t xml:space="preserve">expressly applying to</w:t>
      </w:r>
      <w:r>
        <w:t xml:space="preserve"> </w:t>
      </w:r>
      <w:r>
        <w:t xml:space="preserve">“</w:t>
      </w:r>
      <w:r>
        <w:t xml:space="preserve">both Husband’s Inheritance and to any other Separate Property.</w:t>
      </w:r>
      <w:r>
        <w:t xml:space="preserve">”</w:t>
      </w:r>
      <w:r>
        <w:t xml:space="preserve"> </w:t>
      </w:r>
      <w:r>
        <w:t xml:space="preserve">The Redline §4.3(c) (TC-19, MC-04)</w:t>
      </w:r>
      <w:r>
        <w:t xml:space="preserve"> </w:t>
      </w:r>
      <w:r>
        <w:rPr>
          <w:b/>
          <w:bCs/>
        </w:rPr>
        <w:t xml:space="preserve">reverses this</w:t>
      </w:r>
      <w:r>
        <w:t xml:space="preserve">: separate property so used</w:t>
      </w:r>
      <w:r>
        <w:t xml:space="preserve"> </w:t>
      </w:r>
      <w:r>
        <w:t xml:space="preserve">“</w:t>
      </w:r>
      <w:r>
        <w:t xml:space="preserve">shall not be deemed commingled solely by reason of such use,</w:t>
      </w:r>
      <w:r>
        <w:t xml:space="preserve">”</w:t>
      </w:r>
      <w:r>
        <w:t xml:space="preserve"> </w:t>
      </w:r>
      <w:r>
        <w:t xml:space="preserve">the contributing spouse</w:t>
      </w:r>
      <w:r>
        <w:t xml:space="preserve"> </w:t>
      </w:r>
      <w:r>
        <w:t xml:space="preserve">“</w:t>
      </w:r>
      <w:r>
        <w:t xml:space="preserve">shall retain a claim for reimbursement,</w:t>
      </w:r>
      <w:r>
        <w:t xml:space="preserve">”</w:t>
      </w:r>
      <w:r>
        <w:t xml:space="preserve"> </w:t>
      </w:r>
      <w:r>
        <w:t xml:space="preserve">and</w:t>
      </w:r>
      <w:r>
        <w:t xml:space="preserve"> </w:t>
      </w:r>
      <w:r>
        <w:t xml:space="preserve">“</w:t>
      </w:r>
      <w:r>
        <w:t xml:space="preserve">such property [shall retain] its classification as Separate Property.</w:t>
      </w:r>
      <w:r>
        <w:t xml:space="preserve">”</w:t>
      </w:r>
      <w:r>
        <w:t xml:space="preserve"> </w:t>
      </w:r>
      <w:r>
        <w:t xml:space="preserve">MC-04 frames this as protecting</w:t>
      </w:r>
      <w:r>
        <w:t xml:space="preserve"> </w:t>
      </w:r>
      <w:r>
        <w:t xml:space="preserve">“</w:t>
      </w:r>
      <w:r>
        <w:t xml:space="preserve">both parties’ separate property from inadvertent commingling through ordinary family expenditures.</w:t>
      </w:r>
      <w:r>
        <w:t xml:space="preserve">”</w:t>
      </w:r>
    </w:p>
    <w:p>
      <w:pPr>
        <w:pStyle w:val="BodyText"/>
      </w:pPr>
      <w:r>
        <w:rPr>
          <w:b/>
          <w:bCs/>
        </w:rPr>
        <w:t xml:space="preserve">Why it matters.</w:t>
      </w:r>
      <w:r>
        <w:t xml:space="preserve"> </w:t>
      </w:r>
      <w:r>
        <w:t xml:space="preserve">The framing is misleading. In practice, this provision overwhelmingly protects</w:t>
      </w:r>
      <w:r>
        <w:t xml:space="preserve"> </w:t>
      </w:r>
      <w:r>
        <w:rPr>
          <w:b/>
          <w:bCs/>
        </w:rPr>
        <w:t xml:space="preserve">Husband’s $3.8 million inheritance</w:t>
      </w:r>
      <w:r>
        <w:t xml:space="preserve">, which is the only substantial separate-property pool likely to be deployed for household purposes. The client expressly raised this concern (intake memorandum Section II.H): she is</w:t>
      </w:r>
      <w:r>
        <w:t xml:space="preserve"> </w:t>
      </w:r>
      <w:r>
        <w:t xml:space="preserve">“</w:t>
      </w:r>
      <w:r>
        <w:t xml:space="preserve">concerned about how Mr. Thornton may deploy these funds during the marriage — for example, paying down the mortgage, funding home improvements, or paying family expenses — and whether such use could affect property classification.</w:t>
      </w:r>
      <w:r>
        <w:t xml:space="preserve">”</w:t>
      </w:r>
      <w:r>
        <w:t xml:space="preserve"> </w:t>
      </w:r>
      <w:r>
        <w:t xml:space="preserve">The Original Draft addressed that concern by treating such deployment as a gift to the marriage (transmutation), giving Wife a share. The Redline instead preserves the separate character of the deployed funds</w:t>
      </w:r>
      <w:r>
        <w:t xml:space="preserve"> </w:t>
      </w:r>
      <w:r>
        <w:rPr>
          <w:i/>
          <w:iCs/>
        </w:rPr>
        <w:t xml:space="preserve">and</w:t>
      </w:r>
      <w:r>
        <w:t xml:space="preserve"> </w:t>
      </w:r>
      <w:r>
        <w:t xml:space="preserve">gives Husband a reimbursement claim against the marital estate — doubly protective of Husband. If Husband were to deploy, for example, $500,000 of inheritance toward the mortgage or home improvements, the Original Draft would convert that to marital property (Wife shares); the Redline keeps it Husband’s separate property and lets him recoup it.</w:t>
      </w:r>
    </w:p>
    <w:p>
      <w:pPr>
        <w:pStyle w:val="BodyText"/>
      </w:pPr>
      <w:r>
        <w:t xml:space="preserve">A related softening appears at §4.3(b) (TC-18, MC-03), which changes the commingling consequence from mandatory (</w:t>
      </w:r>
      <w:r>
        <w:t xml:space="preserve">“</w:t>
      </w:r>
      <w:r>
        <w:t xml:space="preserve">shall be treated as Marital Property</w:t>
      </w:r>
      <w:r>
        <w:t xml:space="preserve">”</w:t>
      </w:r>
      <w:r>
        <w:t xml:space="preserve">) to discretionary (</w:t>
      </w:r>
      <w:r>
        <w:t xml:space="preserve">“</w:t>
      </w:r>
      <w:r>
        <w:t xml:space="preserve">may, depending on the circumstances, result in reclassification</w:t>
      </w:r>
      <w:r>
        <w:t xml:space="preserve">”</w:t>
      </w:r>
      <w:r>
        <w:t xml:space="preserve">). And §4.2 adds that Husband may</w:t>
      </w:r>
      <w:r>
        <w:t xml:space="preserve"> </w:t>
      </w:r>
      <w:r>
        <w:t xml:space="preserve">“</w:t>
      </w:r>
      <w:r>
        <w:t xml:space="preserve">manage, control, sell, transfer, encumber, or otherwise dispose of his Separate Property without the consent or joinder of Wife</w:t>
      </w:r>
      <w:r>
        <w:t xml:space="preserve">”</w:t>
      </w:r>
      <w:r>
        <w:t xml:space="preserve"> </w:t>
      </w:r>
      <w:r>
        <w:t xml:space="preserve">— broad disposition rights over the inheritance.</w:t>
      </w:r>
    </w:p>
    <w:p>
      <w:pPr>
        <w:pStyle w:val="BodyText"/>
      </w:pPr>
      <w:r>
        <w:rPr>
          <w:b/>
          <w:bCs/>
        </w:rPr>
        <w:t xml:space="preserve">Recommendation.</w:t>
      </w:r>
      <w:r>
        <w:t xml:space="preserve"> </w:t>
      </w:r>
      <w:r>
        <w:t xml:space="preserve">Reject the reversal. Restore the Original Draft §4.3(b) transmutation/gift-to-marriage rule with the rebuttable presumption, expressly applicable to Husband’s Inheritance. Reject the §4.3(b) softening and restore mandatory commingling consequences. The broad disposition right in §4.2 is acceptable as to Husband’s</w:t>
      </w:r>
      <w:r>
        <w:t xml:space="preserve"> </w:t>
      </w:r>
      <w:r>
        <w:rPr>
          <w:i/>
          <w:iCs/>
        </w:rPr>
        <w:t xml:space="preserve">retained</w:t>
      </w:r>
      <w:r>
        <w:t xml:space="preserve"> </w:t>
      </w:r>
      <w:r>
        <w:t xml:space="preserve">separate property but must be coupled with the transmutation rule so that deployment for household purposes carries the agreed consequences.</w:t>
      </w:r>
    </w:p>
    <w:bookmarkEnd w:id="30"/>
    <w:bookmarkStart w:id="31" w:name="X267fd682849c337fe1a20ea784cc0ee4186e9ad"/>
    <w:p>
      <w:pPr>
        <w:pStyle w:val="Heading3"/>
      </w:pPr>
      <w:r>
        <w:t xml:space="preserve">E. Definition of Marital Property and</w:t>
      </w:r>
      <w:r>
        <w:t xml:space="preserve"> </w:t>
      </w:r>
      <w:r>
        <w:t xml:space="preserve">“</w:t>
      </w:r>
      <w:r>
        <w:t xml:space="preserve">Earned Income</w:t>
      </w:r>
      <w:r>
        <w:t xml:space="preserve">”</w:t>
      </w:r>
      <w:r>
        <w:t xml:space="preserve"> </w:t>
      </w:r>
      <w:r>
        <w:t xml:space="preserve">— CRITICAL</w:t>
      </w:r>
    </w:p>
    <w:p>
      <w:pPr>
        <w:pStyle w:val="FirstParagraph"/>
      </w:pPr>
      <w:r>
        <w:rPr>
          <w:b/>
          <w:bCs/>
        </w:rPr>
        <w:t xml:space="preserve">The change.</w:t>
      </w:r>
      <w:r>
        <w:t xml:space="preserve"> </w:t>
      </w:r>
      <w:r>
        <w:t xml:space="preserve">The Original Draft §2.1(g) defined Marital Property broadly to include</w:t>
      </w:r>
      <w:r>
        <w:t xml:space="preserve"> </w:t>
      </w:r>
      <w:r>
        <w:t xml:space="preserve">“</w:t>
      </w:r>
      <w:r>
        <w:t xml:space="preserve">all property acquired by either or both Parties during the marriage, including… income, earnings, bonuses… equity compensation (including restricted stock units, stock options…), appreciation on Separate Property attributable to marital efforts… and any other property that would be classified as marital property under 750 ILCS 5/503.</w:t>
      </w:r>
      <w:r>
        <w:t xml:space="preserve">”</w:t>
      </w:r>
      <w:r>
        <w:t xml:space="preserve"> </w:t>
      </w:r>
      <w:r>
        <w:t xml:space="preserve">The Redline §2.1(b) (TC-08) narrows this to property acquired</w:t>
      </w:r>
      <w:r>
        <w:t xml:space="preserve"> </w:t>
      </w:r>
      <w:r>
        <w:t xml:space="preserve">“</w:t>
      </w:r>
      <w:r>
        <w:t xml:space="preserve">from Earned Income or joint efforts.</w:t>
      </w:r>
      <w:r>
        <w:t xml:space="preserve">”</w:t>
      </w:r>
      <w:r>
        <w:t xml:space="preserve"> </w:t>
      </w:r>
      <w:r>
        <w:t xml:space="preserve">The Redline then adds a new defined term,</w:t>
      </w:r>
      <w:r>
        <w:t xml:space="preserve"> </w:t>
      </w:r>
      <w:r>
        <w:t xml:space="preserve">“</w:t>
      </w:r>
      <w:r>
        <w:t xml:space="preserve">Earned Income</w:t>
      </w:r>
      <w:r>
        <w:t xml:space="preserve">”</w:t>
      </w:r>
      <w:r>
        <w:t xml:space="preserve"> </w:t>
      </w:r>
      <w:r>
        <w:t xml:space="preserve">(§2.1(d), TC-10, MC-02), which</w:t>
      </w:r>
      <w:r>
        <w:t xml:space="preserve"> </w:t>
      </w:r>
      <w:r>
        <w:rPr>
          <w:b/>
          <w:bCs/>
        </w:rPr>
        <w:t xml:space="preserve">excludes</w:t>
      </w:r>
      <w:r>
        <w:t xml:space="preserve"> </w:t>
      </w:r>
      <w:r>
        <w:t xml:space="preserve">“</w:t>
      </w:r>
      <w:r>
        <w:t xml:space="preserve">discretionary bonuses, commissions, equity compensation, performance incentives, restricted stock or restricted stock units, stock options, or other forms of variable or contingent compensation.</w:t>
      </w:r>
      <w:r>
        <w:t xml:space="preserve">”</w:t>
      </w:r>
      <w:r>
        <w:t xml:space="preserve"> </w:t>
      </w:r>
      <w:r>
        <w:t xml:space="preserve">MC-02 calls the new definition</w:t>
      </w:r>
      <w:r>
        <w:t xml:space="preserve"> </w:t>
      </w:r>
      <w:r>
        <w:t xml:space="preserve">“</w:t>
      </w:r>
      <w:r>
        <w:t xml:space="preserve">standard usage</w:t>
      </w:r>
      <w:r>
        <w:t xml:space="preserve">”</w:t>
      </w:r>
      <w:r>
        <w:t xml:space="preserve"> </w:t>
      </w:r>
      <w:r>
        <w:t xml:space="preserve">added</w:t>
      </w:r>
      <w:r>
        <w:t xml:space="preserve"> </w:t>
      </w:r>
      <w:r>
        <w:t xml:space="preserve">“</w:t>
      </w:r>
      <w:r>
        <w:t xml:space="preserve">for clarity.</w:t>
      </w:r>
      <w:r>
        <w:t xml:space="preserve">”</w:t>
      </w:r>
    </w:p>
    <w:p>
      <w:pPr>
        <w:pStyle w:val="BodyText"/>
      </w:pPr>
      <w:r>
        <w:rPr>
          <w:b/>
          <w:bCs/>
        </w:rPr>
        <w:t xml:space="preserve">Why it matters.</w:t>
      </w:r>
      <w:r>
        <w:t xml:space="preserve"> </w:t>
      </w:r>
      <w:r>
        <w:t xml:space="preserve">This is not a clarification; it is a substantive narrowing of what constitutes Marital Property. By excluding bonuses, RSUs, and equity compensation from</w:t>
      </w:r>
      <w:r>
        <w:t xml:space="preserve"> </w:t>
      </w:r>
      <w:r>
        <w:t xml:space="preserve">“</w:t>
      </w:r>
      <w:r>
        <w:t xml:space="preserve">Earned Income,</w:t>
      </w:r>
      <w:r>
        <w:t xml:space="preserve">”</w:t>
      </w:r>
      <w:r>
        <w:t xml:space="preserve"> </w:t>
      </w:r>
      <w:r>
        <w:t xml:space="preserve">and defining Marital Property by reference to Earned Income, the Redline threatens to remove Husband’s $90,000 average annual bonus and his RSU value from the marital estate at the definitional level. This directly contradicts the client’s instruction that Husband’s bonus be</w:t>
      </w:r>
      <w:r>
        <w:t xml:space="preserve"> </w:t>
      </w:r>
      <w:r>
        <w:t xml:space="preserve">“</w:t>
      </w:r>
      <w:r>
        <w:t xml:space="preserve">treated as income for all purposes in the agreement</w:t>
      </w:r>
      <w:r>
        <w:t xml:space="preserve">”</w:t>
      </w:r>
      <w:r>
        <w:t xml:space="preserve"> </w:t>
      </w:r>
      <w:r>
        <w:t xml:space="preserve">(intake memorandum Section III.A) and her expectation that the RSUs be equally divided (Section III.F). The narrowing also ripples into the maintenance calculation (see Section V.I below). The Original Draft’s</w:t>
      </w:r>
      <w:r>
        <w:t xml:space="preserve"> </w:t>
      </w:r>
      <w:r>
        <w:t xml:space="preserve">“</w:t>
      </w:r>
      <w:r>
        <w:t xml:space="preserve">Gross Income</w:t>
      </w:r>
      <w:r>
        <w:t xml:space="preserve">”</w:t>
      </w:r>
      <w:r>
        <w:t xml:space="preserve"> </w:t>
      </w:r>
      <w:r>
        <w:t xml:space="preserve">definition (§2.1(d)), which expressly included all forms of compensation, is deleted.</w:t>
      </w:r>
    </w:p>
    <w:p>
      <w:pPr>
        <w:pStyle w:val="BodyText"/>
      </w:pPr>
      <w:r>
        <w:rPr>
          <w:b/>
          <w:bCs/>
        </w:rPr>
        <w:t xml:space="preserve">Recommendation.</w:t>
      </w:r>
      <w:r>
        <w:t xml:space="preserve"> </w:t>
      </w:r>
      <w:r>
        <w:t xml:space="preserve">Reject the Earned Income definition as the measure of Marital Property. Restore the Original Draft’s broad Marital Property definition and the Gross Income definition. If opposing counsel wants a defined term for base compensation for some limited purpose, that can be discussed, but Marital Property must not be narrowed to exclude bonuses and equity compensation.</w:t>
      </w:r>
    </w:p>
    <w:bookmarkEnd w:id="31"/>
    <w:bookmarkStart w:id="32" w:name="X3a4aa027c46e9acd379d244e3bfc93b5876f5ce"/>
    <w:p>
      <w:pPr>
        <w:pStyle w:val="Heading3"/>
      </w:pPr>
      <w:r>
        <w:t xml:space="preserve">F. Husband’s RSUs — Classification and Division — HIGH</w:t>
      </w:r>
    </w:p>
    <w:p>
      <w:pPr>
        <w:pStyle w:val="FirstParagraph"/>
      </w:pPr>
      <w:r>
        <w:rPr>
          <w:b/>
          <w:bCs/>
        </w:rPr>
        <w:t xml:space="preserve">The change.</w:t>
      </w:r>
      <w:r>
        <w:t xml:space="preserve"> </w:t>
      </w:r>
      <w:r>
        <w:t xml:space="preserve">The Original Draft §7.1–§7.2 classified the 12,000 RSUs as</w:t>
      </w:r>
      <w:r>
        <w:t xml:space="preserve"> </w:t>
      </w:r>
      <w:r>
        <w:t xml:space="preserve">“</w:t>
      </w:r>
      <w:r>
        <w:t xml:space="preserve">entirely marital in character</w:t>
      </w:r>
      <w:r>
        <w:t xml:space="preserve">”</w:t>
      </w:r>
      <w:r>
        <w:t xml:space="preserve"> </w:t>
      </w:r>
      <w:r>
        <w:t xml:space="preserve">(grant date January 1, 2024, within the marriage; full vesting period within the marriage) and divided them 50/50 (Wife receiving the equivalent of 6,000 shares / $228,000 at the current $38 price), including unvested RSUs in the event of Dissolution. The Redline §7.1 (TC-27, MC-07) replaces this with a</w:t>
      </w:r>
      <w:r>
        <w:t xml:space="preserve"> </w:t>
      </w:r>
      <w:r>
        <w:rPr>
          <w:b/>
          <w:bCs/>
        </w:rPr>
        <w:t xml:space="preserve">coverture fraction</w:t>
      </w:r>
      <w:r>
        <w:t xml:space="preserve">: Wife receives 50% of a fraction whose numerator is</w:t>
      </w:r>
      <w:r>
        <w:t xml:space="preserve"> </w:t>
      </w:r>
      <w:r>
        <w:t xml:space="preserve">“</w:t>
      </w:r>
      <w:r>
        <w:t xml:space="preserve">the number of months of marriage from the commencement of the Relevant Service Period through the date of Dissolution (or date of vesting, whichever is earlier)</w:t>
      </w:r>
      <w:r>
        <w:t xml:space="preserve">”</w:t>
      </w:r>
      <w:r>
        <w:t xml:space="preserve"> </w:t>
      </w:r>
      <w:r>
        <w:t xml:space="preserve">and whose denominator is</w:t>
      </w:r>
      <w:r>
        <w:t xml:space="preserve"> </w:t>
      </w:r>
      <w:r>
        <w:t xml:space="preserve">“</w:t>
      </w:r>
      <w:r>
        <w:t xml:space="preserve">the total number of months in the Relevant Service Period.</w:t>
      </w:r>
      <w:r>
        <w:t xml:space="preserve">”</w:t>
      </w:r>
      <w:r>
        <w:t xml:space="preserve"> </w:t>
      </w:r>
      <w:r>
        <w:t xml:space="preserve">Critically, the</w:t>
      </w:r>
      <w:r>
        <w:t xml:space="preserve"> </w:t>
      </w:r>
      <w:r>
        <w:t xml:space="preserve">“</w:t>
      </w:r>
      <w:r>
        <w:t xml:space="preserve">Relevant Service Period</w:t>
      </w:r>
      <w:r>
        <w:t xml:space="preserve">”</w:t>
      </w:r>
      <w:r>
        <w:t xml:space="preserve"> </w:t>
      </w:r>
      <w:r>
        <w:t xml:space="preserve">is defined to begin on</w:t>
      </w:r>
      <w:r>
        <w:t xml:space="preserve"> </w:t>
      </w:r>
      <w:r>
        <w:rPr>
          <w:b/>
          <w:bCs/>
        </w:rPr>
        <w:t xml:space="preserve">Husband’s date of hire (March 15, 2018)</w:t>
      </w:r>
      <w:r>
        <w:t xml:space="preserve"> </w:t>
      </w:r>
      <w:r>
        <w:t xml:space="preserve">— not the RSU grant date — and to run through the final vesting date (January 1, 2027). MC-07 calls this the</w:t>
      </w:r>
      <w:r>
        <w:t xml:space="preserve"> </w:t>
      </w:r>
      <w:r>
        <w:t xml:space="preserve">“</w:t>
      </w:r>
      <w:r>
        <w:t xml:space="preserve">standard coverture fraction methodology… more equitable than a blanket 50/50 split.</w:t>
      </w:r>
      <w:r>
        <w:t xml:space="preserve">”</w:t>
      </w:r>
    </w:p>
    <w:p>
      <w:pPr>
        <w:pStyle w:val="BodyText"/>
      </w:pPr>
      <w:r>
        <w:rPr>
          <w:b/>
          <w:bCs/>
        </w:rPr>
        <w:t xml:space="preserve">Why it matters.</w:t>
      </w:r>
      <w:r>
        <w:t xml:space="preserve"> </w:t>
      </w:r>
      <w:r>
        <w:t xml:space="preserve">The characterization is misleading. Because the marriage (June 2013) predates Husband’s hire date, the entire Relevant Service Period is within the marriage, so a properly constructed coverture fraction should yield 1.0 (100% marital) and a 50/50 result — matching the Original Draft. The Redline’s formula instead uses a</w:t>
      </w:r>
      <w:r>
        <w:t xml:space="preserve"> </w:t>
      </w:r>
      <w:r>
        <w:rPr>
          <w:b/>
          <w:bCs/>
        </w:rPr>
        <w:t xml:space="preserve">fixed denominator</w:t>
      </w:r>
      <w:r>
        <w:t xml:space="preserve"> </w:t>
      </w:r>
      <w:r>
        <w:t xml:space="preserve">(the full hire-to-final-vesting period, approximately 106 months) while capping the</w:t>
      </w:r>
      <w:r>
        <w:t xml:space="preserve"> </w:t>
      </w:r>
      <w:r>
        <w:rPr>
          <w:b/>
          <w:bCs/>
        </w:rPr>
        <w:t xml:space="preserve">numerator at each tranche’s vesting date</w:t>
      </w:r>
      <w:r>
        <w:t xml:space="preserve">, which mechanically reduces Wife’s share of the earlier-vesting tranches: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Tranche (vesting date)</w:t>
            </w:r>
          </w:p>
        </w:tc>
        <w:tc>
          <w:tcPr/>
          <w:p>
            <w:pPr>
              <w:pStyle w:val="Compact"/>
              <w:jc w:val="left"/>
            </w:pPr>
            <w:r>
              <w:t xml:space="preserve">Numerator (months from 3/2018)</w:t>
            </w:r>
          </w:p>
        </w:tc>
        <w:tc>
          <w:tcPr/>
          <w:p>
            <w:pPr>
              <w:pStyle w:val="Compact"/>
              <w:jc w:val="left"/>
            </w:pPr>
            <w:r>
              <w:t xml:space="preserve">Denominator</w:t>
            </w:r>
          </w:p>
        </w:tc>
        <w:tc>
          <w:tcPr/>
          <w:p>
            <w:pPr>
              <w:pStyle w:val="Compact"/>
              <w:jc w:val="left"/>
            </w:pPr>
            <w:r>
              <w:t xml:space="preserve">Coverture</w:t>
            </w:r>
          </w:p>
        </w:tc>
        <w:tc>
          <w:tcPr/>
          <w:p>
            <w:pPr>
              <w:pStyle w:val="Compact"/>
              <w:jc w:val="left"/>
            </w:pPr>
            <w:r>
              <w:t xml:space="preserve">Wife’s shares (50% × coverture × 4,000)</w:t>
            </w:r>
          </w:p>
        </w:tc>
      </w:tr>
      <w:tr>
        <w:tc>
          <w:tcPr/>
          <w:p>
            <w:pPr>
              <w:pStyle w:val="Compact"/>
              <w:jc w:val="left"/>
            </w:pPr>
            <w:r>
              <w:t xml:space="preserve">4,000 shares — 1/1/2025</w:t>
            </w:r>
          </w:p>
        </w:tc>
        <w:tc>
          <w:tcPr/>
          <w:p>
            <w:pPr>
              <w:pStyle w:val="Compact"/>
              <w:jc w:val="left"/>
            </w:pPr>
            <w:r>
              <w:t xml:space="preserve">~82</w:t>
            </w:r>
          </w:p>
        </w:tc>
        <w:tc>
          <w:tcPr/>
          <w:p>
            <w:pPr>
              <w:pStyle w:val="Compact"/>
              <w:jc w:val="left"/>
            </w:pPr>
            <w:r>
              <w:t xml:space="preserve">~106</w:t>
            </w:r>
          </w:p>
        </w:tc>
        <w:tc>
          <w:tcPr/>
          <w:p>
            <w:pPr>
              <w:pStyle w:val="Compact"/>
              <w:jc w:val="left"/>
            </w:pPr>
            <w:r>
              <w:t xml:space="preserve">0.774</w:t>
            </w:r>
          </w:p>
        </w:tc>
        <w:tc>
          <w:tcPr/>
          <w:p>
            <w:pPr>
              <w:pStyle w:val="Compact"/>
              <w:jc w:val="left"/>
            </w:pPr>
            <w:r>
              <w:t xml:space="preserve">1,548</w:t>
            </w:r>
          </w:p>
        </w:tc>
      </w:tr>
      <w:tr>
        <w:tc>
          <w:tcPr/>
          <w:p>
            <w:pPr>
              <w:pStyle w:val="Compact"/>
              <w:jc w:val="left"/>
            </w:pPr>
            <w:r>
              <w:t xml:space="preserve">4,000 shares — 1/1/2026</w:t>
            </w:r>
          </w:p>
        </w:tc>
        <w:tc>
          <w:tcPr/>
          <w:p>
            <w:pPr>
              <w:pStyle w:val="Compact"/>
              <w:jc w:val="left"/>
            </w:pPr>
            <w:r>
              <w:t xml:space="preserve">~94</w:t>
            </w:r>
          </w:p>
        </w:tc>
        <w:tc>
          <w:tcPr/>
          <w:p>
            <w:pPr>
              <w:pStyle w:val="Compact"/>
              <w:jc w:val="left"/>
            </w:pPr>
            <w:r>
              <w:t xml:space="preserve">~106</w:t>
            </w:r>
          </w:p>
        </w:tc>
        <w:tc>
          <w:tcPr/>
          <w:p>
            <w:pPr>
              <w:pStyle w:val="Compact"/>
              <w:jc w:val="left"/>
            </w:pPr>
            <w:r>
              <w:t xml:space="preserve">0.887</w:t>
            </w:r>
          </w:p>
        </w:tc>
        <w:tc>
          <w:tcPr/>
          <w:p>
            <w:pPr>
              <w:pStyle w:val="Compact"/>
              <w:jc w:val="left"/>
            </w:pPr>
            <w:r>
              <w:t xml:space="preserve">1,774</w:t>
            </w:r>
          </w:p>
        </w:tc>
      </w:tr>
      <w:tr>
        <w:tc>
          <w:tcPr/>
          <w:p>
            <w:pPr>
              <w:pStyle w:val="Compact"/>
              <w:jc w:val="left"/>
            </w:pPr>
            <w:r>
              <w:t xml:space="preserve">4,000 shares — 1/1/2027</w:t>
            </w:r>
          </w:p>
        </w:tc>
        <w:tc>
          <w:tcPr/>
          <w:p>
            <w:pPr>
              <w:pStyle w:val="Compact"/>
              <w:jc w:val="left"/>
            </w:pPr>
            <w:r>
              <w:t xml:space="preserve">~106</w:t>
            </w:r>
          </w:p>
        </w:tc>
        <w:tc>
          <w:tcPr/>
          <w:p>
            <w:pPr>
              <w:pStyle w:val="Compact"/>
              <w:jc w:val="left"/>
            </w:pPr>
            <w:r>
              <w:t xml:space="preserve">~106</w:t>
            </w:r>
          </w:p>
        </w:tc>
        <w:tc>
          <w:tcPr/>
          <w:p>
            <w:pPr>
              <w:pStyle w:val="Compact"/>
              <w:jc w:val="left"/>
            </w:pPr>
            <w:r>
              <w:t xml:space="preserve">1.000</w:t>
            </w:r>
          </w:p>
        </w:tc>
        <w:tc>
          <w:tcPr/>
          <w:p>
            <w:pPr>
              <w:pStyle w:val="Compact"/>
              <w:jc w:val="left"/>
            </w:pPr>
            <w:r>
              <w:t xml:space="preserve">2,000</w:t>
            </w:r>
          </w:p>
        </w:tc>
      </w:tr>
      <w:tr>
        <w:tc>
          <w:tcPr/>
          <w:p>
            <w:pPr>
              <w:pStyle w:val="Compact"/>
              <w:jc w:val="left"/>
            </w:pPr>
            <w:r>
              <w:rPr>
                <w:b/>
                <w:bCs/>
              </w:rPr>
              <w:t xml:space="preserve">Total</w:t>
            </w:r>
          </w:p>
        </w:tc>
        <w:tc>
          <w:tcPr/>
          <w:p>
            <w:pPr>
              <w:pStyle w:val="Compact"/>
            </w:pPr>
          </w:p>
        </w:tc>
        <w:tc>
          <w:tcPr/>
          <w:p>
            <w:pPr>
              <w:pStyle w:val="Compact"/>
            </w:pPr>
          </w:p>
        </w:tc>
        <w:tc>
          <w:tcPr/>
          <w:p>
            <w:pPr>
              <w:pStyle w:val="Compact"/>
            </w:pPr>
          </w:p>
        </w:tc>
        <w:tc>
          <w:tcPr/>
          <w:p>
            <w:pPr>
              <w:pStyle w:val="Compact"/>
              <w:jc w:val="left"/>
            </w:pPr>
            <w:r>
              <w:rPr>
                <w:b/>
                <w:bCs/>
              </w:rPr>
              <w:t xml:space="preserve">~5,322</w:t>
            </w:r>
          </w:p>
        </w:tc>
      </w:tr>
    </w:tbl>
    <w:p>
      <w:pPr>
        <w:pStyle w:val="BodyText"/>
      </w:pPr>
      <w:r>
        <w:t xml:space="preserve">Even in the best case (Dissolution after all vesting), Wife receives approximately</w:t>
      </w:r>
      <w:r>
        <w:t xml:space="preserve"> </w:t>
      </w:r>
      <w:r>
        <w:rPr>
          <w:b/>
          <w:bCs/>
        </w:rPr>
        <w:t xml:space="preserve">5,322 shares (~$202,236 at $38)</w:t>
      </w:r>
      <w:r>
        <w:t xml:space="preserve"> </w:t>
      </w:r>
      <w:r>
        <w:t xml:space="preserve">versus</w:t>
      </w:r>
      <w:r>
        <w:t xml:space="preserve"> </w:t>
      </w:r>
      <w:r>
        <w:rPr>
          <w:b/>
          <w:bCs/>
        </w:rPr>
        <w:t xml:space="preserve">6,000 shares ($228,000)</w:t>
      </w:r>
      <w:r>
        <w:t xml:space="preserve"> </w:t>
      </w:r>
      <w:r>
        <w:t xml:space="preserve">under the Original Draft — a loss of roughly</w:t>
      </w:r>
      <w:r>
        <w:t xml:space="preserve"> </w:t>
      </w:r>
      <w:r>
        <w:rPr>
          <w:b/>
          <w:bCs/>
        </w:rPr>
        <w:t xml:space="preserve">678 shares (~$25,764)</w:t>
      </w:r>
      <w:r>
        <w:t xml:space="preserve">. If Dissolution occurs before vesting completes, the loss is larger. The use of the hire date rather than the grant date as the start of the Relevant Service Period is the engine of this dilution.</w:t>
      </w:r>
    </w:p>
    <w:p>
      <w:pPr>
        <w:pStyle w:val="BodyText"/>
      </w:pPr>
      <w:r>
        <w:rPr>
          <w:b/>
          <w:bCs/>
        </w:rPr>
        <w:t xml:space="preserve">Recommendation.</w:t>
      </w:r>
      <w:r>
        <w:t xml:space="preserve"> </w:t>
      </w:r>
      <w:r>
        <w:t xml:space="preserve">Reject the coverture construction. Restore the Original Draft’s 50/50 division of all RSUs (vested and unvested). If opposing counsel insists on a coverture fraction, the Relevant Service Period must be defined as the</w:t>
      </w:r>
      <w:r>
        <w:t xml:space="preserve"> </w:t>
      </w:r>
      <w:r>
        <w:rPr>
          <w:b/>
          <w:bCs/>
        </w:rPr>
        <w:t xml:space="preserve">grant-to-vesting period for each tranche</w:t>
      </w:r>
      <w:r>
        <w:t xml:space="preserve"> </w:t>
      </w:r>
      <w:r>
        <w:t xml:space="preserve">(January 1, 2024 to the applicable vesting date), which — because the entire period falls within the marriage — yields a coverture fraction of 1.0 and replicates the 50/50 result. The hire-date denominator is not acceptable.</w:t>
      </w:r>
    </w:p>
    <w:bookmarkEnd w:id="32"/>
    <w:bookmarkStart w:id="33" w:name="Xd8dd6b261ac83700052b68e4c10a18f8106e5ce"/>
    <w:p>
      <w:pPr>
        <w:pStyle w:val="Heading3"/>
      </w:pPr>
      <w:r>
        <w:t xml:space="preserve">G. Wife’s Practice Interest (Client Objective 4) — STRATEGIC DECISION (REQUIRES CLIENT INPUT)</w:t>
      </w:r>
    </w:p>
    <w:p>
      <w:pPr>
        <w:pStyle w:val="FirstParagraph"/>
      </w:pPr>
      <w:r>
        <w:rPr>
          <w:b/>
          <w:bCs/>
        </w:rPr>
        <w:t xml:space="preserve">The change.</w:t>
      </w:r>
      <w:r>
        <w:t xml:space="preserve"> </w:t>
      </w:r>
      <w:r>
        <w:t xml:space="preserve">The Original Draft §6.1(b) classified</w:t>
      </w:r>
      <w:r>
        <w:t xml:space="preserve"> </w:t>
      </w:r>
      <w:r>
        <w:rPr>
          <w:b/>
          <w:bCs/>
        </w:rPr>
        <w:t xml:space="preserve">all</w:t>
      </w:r>
      <w:r>
        <w:t xml:space="preserve"> </w:t>
      </w:r>
      <w:r>
        <w:t xml:space="preserve">appreciation in the Practice Interest above the $1,650,000 baseline as Marital Property, divided 50/50,</w:t>
      </w:r>
      <w:r>
        <w:t xml:space="preserve"> </w:t>
      </w:r>
      <w:r>
        <w:t xml:space="preserve">“</w:t>
      </w:r>
      <w:r>
        <w:t xml:space="preserve">regardless of the source or cause of such appreciation.</w:t>
      </w:r>
      <w:r>
        <w:t xml:space="preserve">”</w:t>
      </w:r>
      <w:r>
        <w:t xml:space="preserve"> </w:t>
      </w:r>
      <w:r>
        <w:t xml:space="preserve">The Redline §6.1 (TC-25, MC-06) classifies appreciation as marital</w:t>
      </w:r>
      <w:r>
        <w:t xml:space="preserve"> </w:t>
      </w:r>
      <w:r>
        <w:rPr>
          <w:b/>
          <w:bCs/>
        </w:rPr>
        <w:t xml:space="preserve">only to the extent directly attributable to Wife’s active personal efforts</w:t>
      </w:r>
      <w:r>
        <w:t xml:space="preserve">; appreciation from</w:t>
      </w:r>
      <w:r>
        <w:t xml:space="preserve"> </w:t>
      </w:r>
      <w:r>
        <w:t xml:space="preserve">“</w:t>
      </w:r>
      <w:r>
        <w:t xml:space="preserve">market forces, changes in insurance reimbursement rates, regulatory changes, passive investment returns, or other factors not directly resulting from Wife’s active personal efforts</w:t>
      </w:r>
      <w:r>
        <w:t xml:space="preserve">”</w:t>
      </w:r>
      <w:r>
        <w:t xml:space="preserve"> </w:t>
      </w:r>
      <w:r>
        <w:t xml:space="preserve">remains Wife’s separate property. MC-06 calls this the</w:t>
      </w:r>
      <w:r>
        <w:t xml:space="preserve"> </w:t>
      </w:r>
      <w:r>
        <w:t xml:space="preserve">“</w:t>
      </w:r>
      <w:r>
        <w:t xml:space="preserve">standard active/passive appreciation distinction recognized in Illinois case law</w:t>
      </w:r>
      <w:r>
        <w:t xml:space="preserve">”</w:t>
      </w:r>
      <w:r>
        <w:t xml:space="preserve"> </w:t>
      </w:r>
      <w:r>
        <w:t xml:space="preserve">that</w:t>
      </w:r>
      <w:r>
        <w:t xml:space="preserve"> </w:t>
      </w:r>
      <w:r>
        <w:t xml:space="preserve">“</w:t>
      </w:r>
      <w:r>
        <w:t xml:space="preserve">protects Wife’s separate property interest from overreaching marital claims.</w:t>
      </w:r>
      <w:r>
        <w:t xml:space="preserve">”</w:t>
      </w:r>
    </w:p>
    <w:p>
      <w:pPr>
        <w:pStyle w:val="BodyText"/>
      </w:pPr>
      <w:r>
        <w:rPr>
          <w:b/>
          <w:bCs/>
        </w:rPr>
        <w:t xml:space="preserve">Why it matters — this is a genuine trade-off, not a clear adverse change.</w:t>
      </w:r>
      <w:r>
        <w:t xml:space="preserve"> </w:t>
      </w:r>
      <w:r>
        <w:t xml:space="preserve">The Strand Valuation Report (Section 9) performed an active/passive attribution analysis and concluded that</w:t>
      </w:r>
      <w:r>
        <w:t xml:space="preserve"> </w:t>
      </w:r>
      <w:r>
        <w:rPr>
          <w:b/>
          <w:bCs/>
        </w:rPr>
        <w:t xml:space="preserve">approximately 60% of the Practice’s revenue growth</w:t>
      </w:r>
      <w:r>
        <w:t xml:space="preserve"> </w:t>
      </w:r>
      <w:r>
        <w:t xml:space="preserve">over 2019–2024 is attributable to</w:t>
      </w:r>
      <w:r>
        <w:t xml:space="preserve"> </w:t>
      </w:r>
      <w:r>
        <w:rPr>
          <w:b/>
          <w:bCs/>
        </w:rPr>
        <w:t xml:space="preserve">passive, market-driven factors</w:t>
      </w:r>
      <w:r>
        <w:t xml:space="preserve"> </w:t>
      </w:r>
      <w:r>
        <w:t xml:space="preserve">(insurance reimbursement rate increases ~35%; demographic expansion ~25%), with only ~40% attributable to active factors (physician recruitment ~25%; operational improvements ~15%). The Report’s Application Note states that</w:t>
      </w:r>
      <w:r>
        <w:t xml:space="preserve"> </w:t>
      </w:r>
      <w:r>
        <w:t xml:space="preserve">“</w:t>
      </w:r>
      <w:r>
        <w:t xml:space="preserve">a significant majority of any appreciation… approximately 60%… would likely be attributable to passive, market-driven factors.</w:t>
      </w:r>
      <w:r>
        <w:t xml:space="preserve">”</w:t>
      </w:r>
      <w:r>
        <w:t xml:space="preserve"> </w:t>
      </w:r>
      <w:r>
        <w:t xml:space="preserve">On these findings, the Redline’s active/passive test could be</w:t>
      </w:r>
      <w:r>
        <w:t xml:space="preserve"> </w:t>
      </w:r>
      <w:r>
        <w:rPr>
          <w:b/>
          <w:bCs/>
        </w:rPr>
        <w:t xml:space="preserve">financially favorable to Wife</w:t>
      </w:r>
      <w:r>
        <w:t xml:space="preserve">, preserving roughly 60% of future appreciation as her separate property rather than splitting 100% of it.</w:t>
      </w:r>
    </w:p>
    <w:p>
      <w:pPr>
        <w:pStyle w:val="BodyText"/>
      </w:pPr>
      <w:r>
        <w:rPr>
          <w:b/>
          <w:bCs/>
        </w:rPr>
        <w:t xml:space="preserve">However</w:t>
      </w:r>
      <w:r>
        <w:t xml:space="preserve">, the active/passive approach introduces exactly the burden the client wanted to avoid. The client’s Objective 4 states she</w:t>
      </w:r>
      <w:r>
        <w:t xml:space="preserve"> </w:t>
      </w:r>
      <w:r>
        <w:t xml:space="preserve">“</w:t>
      </w:r>
      <w:r>
        <w:t xml:space="preserve">does not want the agreement to impose burdensome valuation methodologies that could make it expensive or contentious to determine the marital component of any future appreciation.</w:t>
      </w:r>
      <w:r>
        <w:t xml:space="preserve">”</w:t>
      </w:r>
      <w:r>
        <w:t xml:space="preserve"> </w:t>
      </w:r>
      <w:r>
        <w:t xml:space="preserve">The Redline requires a</w:t>
      </w:r>
      <w:r>
        <w:t xml:space="preserve"> </w:t>
      </w:r>
      <w:r>
        <w:t xml:space="preserve">“</w:t>
      </w:r>
      <w:r>
        <w:t xml:space="preserve">qualified forensic valuation expert</w:t>
      </w:r>
      <w:r>
        <w:t xml:space="preserve">”</w:t>
      </w:r>
      <w:r>
        <w:t xml:space="preserve"> </w:t>
      </w:r>
      <w:r>
        <w:t xml:space="preserve">to apportion active vs. passive appreciation at Dissolution — a costly, fact-intensive, and litigable exercise. The Strand Report itself cautions (Section 9,</w:t>
      </w:r>
      <w:r>
        <w:t xml:space="preserve"> </w:t>
      </w:r>
      <w:r>
        <w:t xml:space="preserve">“</w:t>
      </w:r>
      <w:r>
        <w:t xml:space="preserve">Important Caveat</w:t>
      </w:r>
      <w:r>
        <w:t xml:space="preserve">”</w:t>
      </w:r>
      <w:r>
        <w:t xml:space="preserve">) that the 60/40 figure reflects</w:t>
      </w:r>
      <w:r>
        <w:t xml:space="preserve"> </w:t>
      </w:r>
      <w:r>
        <w:rPr>
          <w:i/>
          <w:iCs/>
        </w:rPr>
        <w:t xml:space="preserve">revenue growth</w:t>
      </w:r>
      <w:r>
        <w:t xml:space="preserve">, not</w:t>
      </w:r>
      <w:r>
        <w:t xml:space="preserve"> </w:t>
      </w:r>
      <w:r>
        <w:rPr>
          <w:i/>
          <w:iCs/>
        </w:rPr>
        <w:t xml:space="preserve">total practice value</w:t>
      </w:r>
      <w:r>
        <w:t xml:space="preserve">, and that a full allocation of total goodwill between personal and enterprise components</w:t>
      </w:r>
      <w:r>
        <w:t xml:space="preserve"> </w:t>
      </w:r>
      <w:r>
        <w:t xml:space="preserve">“</w:t>
      </w:r>
      <w:r>
        <w:t xml:space="preserve">was beyond the scope of this engagement.</w:t>
      </w:r>
      <w:r>
        <w:t xml:space="preserve">”</w:t>
      </w:r>
      <w:r>
        <w:t xml:space="preserve"> </w:t>
      </w:r>
      <w:r>
        <w:t xml:space="preserve">The active/passive split is therefore not cleanly established even by the existing valuation, and a future expert could reach a different result.</w:t>
      </w:r>
    </w:p>
    <w:p>
      <w:pPr>
        <w:pStyle w:val="BodyText"/>
      </w:pPr>
      <w:r>
        <w:rPr>
          <w:b/>
          <w:bCs/>
        </w:rPr>
        <w:t xml:space="preserve">The choice for the client:</w:t>
      </w:r>
    </w:p>
    <w:p>
      <w:pPr>
        <w:pStyle w:val="Compact"/>
        <w:numPr>
          <w:ilvl w:val="0"/>
          <w:numId w:val="1002"/>
        </w:numPr>
      </w:pPr>
      <w:r>
        <w:rPr>
          <w:b/>
          <w:bCs/>
        </w:rPr>
        <w:t xml:space="preserve">Option 1 (Original Draft):</w:t>
      </w:r>
      <w:r>
        <w:t xml:space="preserve"> </w:t>
      </w:r>
      <w:r>
        <w:t xml:space="preserve">All post-agreement appreciation is marital, split 50/50. Simple, certain, no valuation dispute — but Wife concedes 100% of appreciation (including the ~60% that the Strand Report attributes to passive factors).</w:t>
      </w:r>
    </w:p>
    <w:p>
      <w:pPr>
        <w:pStyle w:val="Compact"/>
        <w:numPr>
          <w:ilvl w:val="0"/>
          <w:numId w:val="1002"/>
        </w:numPr>
      </w:pPr>
      <w:r>
        <w:rPr>
          <w:b/>
          <w:bCs/>
        </w:rPr>
        <w:t xml:space="preserve">Option 2 (Redline):</w:t>
      </w:r>
      <w:r>
        <w:t xml:space="preserve"> </w:t>
      </w:r>
      <w:r>
        <w:t xml:space="preserve">Only active appreciation is marital. Wife likely keeps ~60% of appreciation as separate property — but at the cost of a forensic valuation at Dissolution, with expense and litigation risk on the active/passive allocation.</w:t>
      </w:r>
    </w:p>
    <w:p>
      <w:pPr>
        <w:pStyle w:val="Compact"/>
        <w:numPr>
          <w:ilvl w:val="0"/>
          <w:numId w:val="1002"/>
        </w:numPr>
      </w:pPr>
      <w:r>
        <w:rPr>
          <w:b/>
          <w:bCs/>
        </w:rPr>
        <w:t xml:space="preserve">Option 3 (hybrid, if we negotiate):</w:t>
      </w:r>
      <w:r>
        <w:t xml:space="preserve"> </w:t>
      </w:r>
      <w:r>
        <w:t xml:space="preserve">A fixed or formulaic split that captures much of the passive benefit without a full re-valuation — for example, a rebuttable presumption that 60% of appreciation is passive (Wife’s separate property) and 40% is marital, anchored to the Strand Report, with the presumption rebuttable only by clear and convincing evidence. This would protect Wife financially while largely avoiding the burdensome valuation the client dislikes.</w:t>
      </w:r>
    </w:p>
    <w:p>
      <w:pPr>
        <w:pStyle w:val="FirstParagraph"/>
      </w:pPr>
      <w:r>
        <w:rPr>
          <w:b/>
          <w:bCs/>
        </w:rPr>
        <w:t xml:space="preserve">Recommendation.</w:t>
      </w:r>
      <w:r>
        <w:t xml:space="preserve"> </w:t>
      </w:r>
      <w:r>
        <w:t xml:space="preserve">Present Options 1–3 to the client for a decision before the conference. My preliminary recommendation is</w:t>
      </w:r>
      <w:r>
        <w:t xml:space="preserve"> </w:t>
      </w:r>
      <w:r>
        <w:rPr>
          <w:b/>
          <w:bCs/>
        </w:rPr>
        <w:t xml:space="preserve">Option 3</w:t>
      </w:r>
      <w:r>
        <w:t xml:space="preserve"> </w:t>
      </w:r>
      <w:r>
        <w:t xml:space="preserve">if the client is willing to accept some valuation mechanism, or</w:t>
      </w:r>
      <w:r>
        <w:t xml:space="preserve"> </w:t>
      </w:r>
      <w:r>
        <w:rPr>
          <w:b/>
          <w:bCs/>
        </w:rPr>
        <w:t xml:space="preserve">Option 1</w:t>
      </w:r>
      <w:r>
        <w:t xml:space="preserve"> </w:t>
      </w:r>
      <w:r>
        <w:t xml:space="preserve">if the client prioritizes simplicity and certainty as she originally stated. We should not accept Option 2 as drafted without addressing the valuation-cost concern. Note also that the Redline §6.2 (TC-26) removes the Original Draft’s 30-day deadline and court-appointment fallback for selecting a valuation firm, creating a potential deadlock; any valuation provision should restore a dispute-resolution mechanism.</w:t>
      </w:r>
    </w:p>
    <w:bookmarkEnd w:id="33"/>
    <w:bookmarkStart w:id="34" w:name="X27c4cf1f7c34114279c2e99136c9059b59e4e87"/>
    <w:p>
      <w:pPr>
        <w:pStyle w:val="Heading3"/>
      </w:pPr>
      <w:r>
        <w:t xml:space="preserve">H. Marital Residence and Children’s Stability (Client Objective 3) — HIGH</w:t>
      </w:r>
    </w:p>
    <w:p>
      <w:pPr>
        <w:pStyle w:val="FirstParagraph"/>
      </w:pPr>
      <w:r>
        <w:rPr>
          <w:b/>
          <w:bCs/>
        </w:rPr>
        <w:t xml:space="preserve">The change.</w:t>
      </w:r>
      <w:r>
        <w:t xml:space="preserve"> </w:t>
      </w:r>
      <w:r>
        <w:t xml:space="preserve">The Original Draft §9.2 gave Wife a right of first refusal to purchase Husband’s equity in the marital home, with</w:t>
      </w:r>
      <w:r>
        <w:t xml:space="preserve"> </w:t>
      </w:r>
      <w:r>
        <w:rPr>
          <w:b/>
          <w:bCs/>
        </w:rPr>
        <w:t xml:space="preserve">60 days</w:t>
      </w:r>
      <w:r>
        <w:t xml:space="preserve"> </w:t>
      </w:r>
      <w:r>
        <w:t xml:space="preserve">from entry of the dissolution judgment to exercise and</w:t>
      </w:r>
      <w:r>
        <w:t xml:space="preserve"> </w:t>
      </w:r>
      <w:r>
        <w:rPr>
          <w:b/>
          <w:bCs/>
        </w:rPr>
        <w:t xml:space="preserve">24 months</w:t>
      </w:r>
      <w:r>
        <w:t xml:space="preserve"> </w:t>
      </w:r>
      <w:r>
        <w:t xml:space="preserve">to pay, and a three-appraiser dispute mechanism if the parties could not agree on an appraiser. The Redline §9.2 (TC-33, TC-34) compresses the exercise window to</w:t>
      </w:r>
      <w:r>
        <w:t xml:space="preserve"> </w:t>
      </w:r>
      <w:r>
        <w:rPr>
          <w:b/>
          <w:bCs/>
        </w:rPr>
        <w:t xml:space="preserve">30 days</w:t>
      </w:r>
      <w:r>
        <w:t xml:space="preserve"> </w:t>
      </w:r>
      <w:r>
        <w:t xml:space="preserve">from receipt of the appraisal, compresses the payment period to</w:t>
      </w:r>
      <w:r>
        <w:t xml:space="preserve"> </w:t>
      </w:r>
      <w:r>
        <w:rPr>
          <w:b/>
          <w:bCs/>
        </w:rPr>
        <w:t xml:space="preserve">18 months</w:t>
      </w:r>
      <w:r>
        <w:t xml:space="preserve">, adds a lien securing the buyout, and — significantly —</w:t>
      </w:r>
      <w:r>
        <w:t xml:space="preserve"> </w:t>
      </w:r>
      <w:r>
        <w:rPr>
          <w:b/>
          <w:bCs/>
        </w:rPr>
        <w:t xml:space="preserve">adds a matching right of purchase for Husband</w:t>
      </w:r>
      <w:r>
        <w:t xml:space="preserve"> </w:t>
      </w:r>
      <w:r>
        <w:t xml:space="preserve">on the same terms if Wife does not exercise.</w:t>
      </w:r>
    </w:p>
    <w:p>
      <w:pPr>
        <w:pStyle w:val="BodyText"/>
      </w:pPr>
      <w:r>
        <w:rPr>
          <w:b/>
          <w:bCs/>
        </w:rPr>
        <w:t xml:space="preserve">Why it matters.</w:t>
      </w:r>
      <w:r>
        <w:t xml:space="preserve"> </w:t>
      </w:r>
      <w:r>
        <w:t xml:space="preserve">The client’s Objective 3 is to preserve the children’s stability by giving Wife a first right to purchase the home so the children can remain in their school district. The 30-day exercise window (from receipt of appraisal) is short for arranging refinancing of a high-value property; the 18-month payment period is tighter than the Original Draft’s 24 months; and the addition of Husband’s matching right means that if Wife cannot exercise within 30 days,</w:t>
      </w:r>
      <w:r>
        <w:t xml:space="preserve"> </w:t>
      </w:r>
      <w:r>
        <w:rPr>
          <w:b/>
          <w:bCs/>
        </w:rPr>
        <w:t xml:space="preserve">Husband could purchase the home and Wife would have to relocate</w:t>
      </w:r>
      <w:r>
        <w:t xml:space="preserve"> </w:t>
      </w:r>
      <w:r>
        <w:t xml:space="preserve">— defeating the children’s-stability objective. The Redline also omits the three-appraiser dispute mechanism, leaving no clear process if the parties cannot agree on an appraiser.</w:t>
      </w:r>
    </w:p>
    <w:p>
      <w:pPr>
        <w:pStyle w:val="BodyText"/>
      </w:pPr>
      <w:r>
        <w:rPr>
          <w:b/>
          <w:bCs/>
        </w:rPr>
        <w:t xml:space="preserve">Recommendation.</w:t>
      </w:r>
      <w:r>
        <w:t xml:space="preserve"> </w:t>
      </w:r>
      <w:r>
        <w:t xml:space="preserve">Restore the 60-day exercise window and 24-month payment period (or negotiate no less than 45 days / 21 months). Reject or tightly condition Husband’s matching right — at minimum, Wife’s right should be primary and Husband’s right should arise only if Wife expressly declines in writing, not merely if she misses a compressed deadline. Restore an appraisal dispute-resolution mechanism. The lien securing the buyout is acceptable.</w:t>
      </w:r>
    </w:p>
    <w:bookmarkEnd w:id="34"/>
    <w:bookmarkStart w:id="35" w:name="X49357a952ed88debe4e4cc8af35ccdbd6f4bee3"/>
    <w:p>
      <w:pPr>
        <w:pStyle w:val="Heading3"/>
      </w:pPr>
      <w:r>
        <w:t xml:space="preserve">I. Spousal Maintenance — STRATEGIC (FAVORABLE TO WIFE, WITH ENFORCEABILITY RISK)</w:t>
      </w:r>
    </w:p>
    <w:p>
      <w:pPr>
        <w:pStyle w:val="FirstParagraph"/>
      </w:pPr>
      <w:r>
        <w:t xml:space="preserve">The Redline makes three maintenance changes, all of which</w:t>
      </w:r>
      <w:r>
        <w:t xml:space="preserve"> </w:t>
      </w:r>
      <w:r>
        <w:rPr>
          <w:b/>
          <w:bCs/>
        </w:rPr>
        <w:t xml:space="preserve">favor Wife (the higher-earning, payor spouse)</w:t>
      </w:r>
      <w:r>
        <w:t xml:space="preserve">, but with caveats.</w:t>
      </w:r>
    </w:p>
    <w:p>
      <w:pPr>
        <w:pStyle w:val="BodyText"/>
      </w:pPr>
      <w:r>
        <w:rPr>
          <w:b/>
          <w:bCs/>
        </w:rPr>
        <w:t xml:space="preserve">1. Duration cap reduced from 5 years to 3 years (TC-36, MC-08).</w:t>
      </w:r>
      <w:r>
        <w:t xml:space="preserve"> </w:t>
      </w:r>
      <w:r>
        <w:t xml:space="preserve">The Original Draft capped maintenance at 5 years; the Redline caps it at 3 years. This benefits Wife. MC-08 calls 5 years</w:t>
      </w:r>
      <w:r>
        <w:t xml:space="preserve"> </w:t>
      </w:r>
      <w:r>
        <w:t xml:space="preserve">“</w:t>
      </w:r>
      <w:r>
        <w:t xml:space="preserve">excessive.</w:t>
      </w:r>
      <w:r>
        <w:t xml:space="preserve">”</w:t>
      </w:r>
      <w:r>
        <w:t xml:space="preserve"> </w:t>
      </w:r>
      <w:r>
        <w:t xml:space="preserve">A 3-year cap on an 11+ year marriage is aggressive and could be vulnerable to a challenge that it is substantively short, but it is favorable to our client.</w:t>
      </w:r>
    </w:p>
    <w:p>
      <w:pPr>
        <w:pStyle w:val="BodyText"/>
      </w:pPr>
      <w:r>
        <w:rPr>
          <w:b/>
          <w:bCs/>
        </w:rPr>
        <w:t xml:space="preserve">2. Automatic waiver provision (TC-37, MC-09).</w:t>
      </w:r>
      <w:r>
        <w:t xml:space="preserve"> </w:t>
      </w:r>
      <w:r>
        <w:t xml:space="preserve">The Redline adds §10.3: the right to seek or receive maintenance is</w:t>
      </w:r>
      <w:r>
        <w:t xml:space="preserve"> </w:t>
      </w:r>
      <w:r>
        <w:t xml:space="preserve">“</w:t>
      </w:r>
      <w:r>
        <w:t xml:space="preserve">automatically and irrevocably waived</w:t>
      </w:r>
      <w:r>
        <w:t xml:space="preserve">”</w:t>
      </w:r>
      <w:r>
        <w:t xml:space="preserve"> </w:t>
      </w:r>
      <w:r>
        <w:t xml:space="preserve">if the spouse who would otherwise be eligible has gross annual income exceeding $200,000. Because Husband is the only spouse who could be a maintenance recipient, and Husband’s gross income ($215,000 base + $90,000 bonus = $305,000) exceeds $200,000,</w:t>
      </w:r>
      <w:r>
        <w:t xml:space="preserve"> </w:t>
      </w:r>
      <w:r>
        <w:rPr>
          <w:b/>
          <w:bCs/>
        </w:rPr>
        <w:t xml:space="preserve">this provision would eliminate Husband’s maintenance entitlement entirely.</w:t>
      </w:r>
      <w:r>
        <w:t xml:space="preserve"> </w:t>
      </w:r>
      <w:r>
        <w:t xml:space="preserve">MC-09 calls it</w:t>
      </w:r>
      <w:r>
        <w:t xml:space="preserve"> </w:t>
      </w:r>
      <w:r>
        <w:t xml:space="preserve">“</w:t>
      </w:r>
      <w:r>
        <w:t xml:space="preserve">balanced</w:t>
      </w:r>
      <w:r>
        <w:t xml:space="preserve">”</w:t>
      </w:r>
      <w:r>
        <w:t xml:space="preserve"> </w:t>
      </w:r>
      <w:r>
        <w:t xml:space="preserve">and says it</w:t>
      </w:r>
      <w:r>
        <w:t xml:space="preserve"> </w:t>
      </w:r>
      <w:r>
        <w:t xml:space="preserve">“</w:t>
      </w:r>
      <w:r>
        <w:t xml:space="preserve">benefits both parties equally.</w:t>
      </w:r>
      <w:r>
        <w:t xml:space="preserve">”</w:t>
      </w:r>
      <w:r>
        <w:t xml:space="preserve"> </w:t>
      </w:r>
      <w:r>
        <w:t xml:space="preserve">In operation it is one-sided in Wife’s favor.</w:t>
      </w:r>
    </w:p>
    <w:p>
      <w:pPr>
        <w:pStyle w:val="BodyText"/>
      </w:pPr>
      <w:r>
        <w:t xml:space="preserve">This is favorable to Wife, but two cautions: (a) an</w:t>
      </w:r>
      <w:r>
        <w:t xml:space="preserve"> </w:t>
      </w:r>
      <w:r>
        <w:t xml:space="preserve">“</w:t>
      </w:r>
      <w:r>
        <w:t xml:space="preserve">automatic and irrevocable</w:t>
      </w:r>
      <w:r>
        <w:t xml:space="preserve">”</w:t>
      </w:r>
      <w:r>
        <w:t xml:space="preserve"> </w:t>
      </w:r>
      <w:r>
        <w:t xml:space="preserve">waiver at a $200,000 threshold — below even Husband’s base salary — is aggressive and could invite an unconscionability challenge; if a court struck it down, maintenance would fall back to the 3-year cap (still favorable, but not a total elimination); and (b) opposing counsel may be offering this as a</w:t>
      </w:r>
      <w:r>
        <w:t xml:space="preserve"> </w:t>
      </w:r>
      <w:r>
        <w:rPr>
          <w:b/>
          <w:bCs/>
        </w:rPr>
        <w:t xml:space="preserve">trade chip</w:t>
      </w:r>
      <w:r>
        <w:t xml:space="preserve"> </w:t>
      </w:r>
      <w:r>
        <w:t xml:space="preserve">— a concession that costs Husband little (maintenance was always uncertain given his earning capacity) in exchange for the much larger wins elsewhere in the Redline. We should accept the benefit but not allow it to purchase concessions on the deal-breakers, and we should be prepared for Husband to withdraw it.</w:t>
      </w:r>
    </w:p>
    <w:p>
      <w:pPr>
        <w:pStyle w:val="BodyText"/>
      </w:pPr>
      <w:r>
        <w:rPr>
          <w:b/>
          <w:bCs/>
        </w:rPr>
        <w:t xml:space="preserve">3. Maintenance calculation based on</w:t>
      </w:r>
      <w:r>
        <w:rPr>
          <w:b/>
          <w:bCs/>
        </w:rPr>
        <w:t xml:space="preserve"> </w:t>
      </w:r>
      <w:r>
        <w:rPr>
          <w:b/>
          <w:bCs/>
        </w:rPr>
        <w:t xml:space="preserve">“</w:t>
      </w:r>
      <w:r>
        <w:rPr>
          <w:b/>
          <w:bCs/>
        </w:rPr>
        <w:t xml:space="preserve">Earned Income</w:t>
      </w:r>
      <w:r>
        <w:rPr>
          <w:b/>
          <w:bCs/>
        </w:rPr>
        <w:t xml:space="preserve">”</w:t>
      </w:r>
      <w:r>
        <w:rPr>
          <w:b/>
          <w:bCs/>
        </w:rPr>
        <w:t xml:space="preserve"> </w:t>
      </w:r>
      <w:r>
        <w:rPr>
          <w:b/>
          <w:bCs/>
        </w:rPr>
        <w:t xml:space="preserve">rather than</w:t>
      </w:r>
      <w:r>
        <w:rPr>
          <w:b/>
          <w:bCs/>
        </w:rPr>
        <w:t xml:space="preserve"> </w:t>
      </w:r>
      <w:r>
        <w:rPr>
          <w:b/>
          <w:bCs/>
        </w:rPr>
        <w:t xml:space="preserve">“</w:t>
      </w:r>
      <w:r>
        <w:rPr>
          <w:b/>
          <w:bCs/>
        </w:rPr>
        <w:t xml:space="preserve">Gross Income</w:t>
      </w:r>
      <w:r>
        <w:rPr>
          <w:b/>
          <w:bCs/>
        </w:rPr>
        <w:t xml:space="preserve">”</w:t>
      </w:r>
      <w:r>
        <w:rPr>
          <w:b/>
          <w:bCs/>
        </w:rPr>
        <w:t xml:space="preserve"> </w:t>
      </w:r>
      <w:r>
        <w:rPr>
          <w:b/>
          <w:bCs/>
        </w:rPr>
        <w:t xml:space="preserve">(TC-38).</w:t>
      </w:r>
      <w:r>
        <w:t xml:space="preserve"> </w:t>
      </w:r>
      <w:r>
        <w:t xml:space="preserve">The Original Draft §10.3 calculated maintenance using Gross Income (all-inclusive). The Redline §10.4 uses Earned Income (excluding bonuses, RSUs, equity). This contradicts the client’s objective that the bonus be treated as income for all purposes. The effect on the maintenance amount is ambiguous (excluding Husband’s bonus lowers the 20% offset, potentially raising maintenance; excluding Wife’s practice distributions, if they are not</w:t>
      </w:r>
      <w:r>
        <w:t xml:space="preserve"> </w:t>
      </w:r>
      <w:r>
        <w:t xml:space="preserve">“</w:t>
      </w:r>
      <w:r>
        <w:t xml:space="preserve">regular draws,</w:t>
      </w:r>
      <w:r>
        <w:t xml:space="preserve">”</w:t>
      </w:r>
      <w:r>
        <w:t xml:space="preserve"> </w:t>
      </w:r>
      <w:r>
        <w:t xml:space="preserve">could lower it). Because the waiver provision likely renders maintenance moot, this is secondary — but the internal inconsistency is notable: the Redline uses a</w:t>
      </w:r>
      <w:r>
        <w:t xml:space="preserve"> </w:t>
      </w:r>
      <w:r>
        <w:rPr>
          <w:b/>
          <w:bCs/>
        </w:rPr>
        <w:t xml:space="preserve">broad</w:t>
      </w:r>
      <w:r>
        <w:t xml:space="preserve"> </w:t>
      </w:r>
      <w:r>
        <w:t xml:space="preserve">income definition (</w:t>
      </w:r>
      <w:r>
        <w:t xml:space="preserve">“</w:t>
      </w:r>
      <w:r>
        <w:t xml:space="preserve">from all sources, including… investment income, and distributions</w:t>
      </w:r>
      <w:r>
        <w:t xml:space="preserve">”</w:t>
      </w:r>
      <w:r>
        <w:t xml:space="preserve">) for the waiver trigger, but a</w:t>
      </w:r>
      <w:r>
        <w:t xml:space="preserve"> </w:t>
      </w:r>
      <w:r>
        <w:rPr>
          <w:b/>
          <w:bCs/>
        </w:rPr>
        <w:t xml:space="preserve">narrow</w:t>
      </w:r>
      <w:r>
        <w:t xml:space="preserve"> </w:t>
      </w:r>
      <w:r>
        <w:t xml:space="preserve">one (Earned Income) for the calculation. That inconsistency suggests the provision was not carefully drafted.</w:t>
      </w:r>
    </w:p>
    <w:p>
      <w:pPr>
        <w:pStyle w:val="BodyText"/>
      </w:pPr>
      <w:r>
        <w:rPr>
          <w:b/>
          <w:bCs/>
        </w:rPr>
        <w:t xml:space="preserve">Recommendation.</w:t>
      </w:r>
      <w:r>
        <w:t xml:space="preserve"> </w:t>
      </w:r>
      <w:r>
        <w:t xml:space="preserve">Accept the 3-year cap and the waiver in principle as favorable to Wife, subject to (a) confirming the client is comfortable with the optics/aggressiveness, and (b) restoring Gross Income (or a clearly all-inclusive measure) for the maintenance calculation to align with the client’s objective and remove the internal inconsistency. Do not trade away core protections for these maintenance concessions.</w:t>
      </w:r>
    </w:p>
    <w:bookmarkEnd w:id="35"/>
    <w:bookmarkStart w:id="36" w:name="Xb443d3663daf7f7dd6dbd7ae2a4ff38d7623578"/>
    <w:p>
      <w:pPr>
        <w:pStyle w:val="Heading3"/>
      </w:pPr>
      <w:r>
        <w:t xml:space="preserve">J. Sunset / Duration (Client Objective 3) — HIGH</w:t>
      </w:r>
    </w:p>
    <w:p>
      <w:pPr>
        <w:pStyle w:val="FirstParagraph"/>
      </w:pPr>
      <w:r>
        <w:rPr>
          <w:b/>
          <w:bCs/>
        </w:rPr>
        <w:t xml:space="preserve">The change.</w:t>
      </w:r>
      <w:r>
        <w:t xml:space="preserve"> </w:t>
      </w:r>
      <w:r>
        <w:t xml:space="preserve">The Original Draft §15.4 set a 15-year sunset (June 14, 2040) with a mutual 5-year renewal option. The Redline §15.5 sets a</w:t>
      </w:r>
      <w:r>
        <w:t xml:space="preserve"> </w:t>
      </w:r>
      <w:r>
        <w:rPr>
          <w:b/>
          <w:bCs/>
        </w:rPr>
        <w:t xml:space="preserve">7-year sunset</w:t>
      </w:r>
      <w:r>
        <w:t xml:space="preserve"> </w:t>
      </w:r>
      <w:r>
        <w:t xml:space="preserve">(approximately June 2032) and</w:t>
      </w:r>
      <w:r>
        <w:t xml:space="preserve"> </w:t>
      </w:r>
      <w:r>
        <w:rPr>
          <w:b/>
          <w:bCs/>
        </w:rPr>
        <w:t xml:space="preserve">removes the renewal mechanism.</w:t>
      </w:r>
      <w:r>
        <w:t xml:space="preserve"> </w:t>
      </w:r>
      <w:r>
        <w:t xml:space="preserve">This change was disclosed in the transmittal email.</w:t>
      </w:r>
    </w:p>
    <w:p>
      <w:pPr>
        <w:pStyle w:val="BodyText"/>
      </w:pPr>
      <w:r>
        <w:rPr>
          <w:b/>
          <w:bCs/>
        </w:rPr>
        <w:t xml:space="preserve">Why it matters.</w:t>
      </w:r>
      <w:r>
        <w:t xml:space="preserve"> </w:t>
      </w:r>
      <w:r>
        <w:t xml:space="preserve">The client wanted the Agreement to run</w:t>
      </w:r>
      <w:r>
        <w:t xml:space="preserve"> </w:t>
      </w:r>
      <w:r>
        <w:t xml:space="preserve">“</w:t>
      </w:r>
      <w:r>
        <w:t xml:space="preserve">at least until Julian turns 18 (approximately 2034) and preferably longer,</w:t>
      </w:r>
      <w:r>
        <w:t xml:space="preserve">”</w:t>
      </w:r>
      <w:r>
        <w:t xml:space="preserve"> </w:t>
      </w:r>
      <w:r>
        <w:t xml:space="preserve">and suggested a 15-year term through approximately 2040 with a renewal option (Objective 3). A 7-year sunset (approximately 2032)</w:t>
      </w:r>
      <w:r>
        <w:t xml:space="preserve"> </w:t>
      </w:r>
      <w:r>
        <w:rPr>
          <w:b/>
          <w:bCs/>
        </w:rPr>
        <w:t xml:space="preserve">expires before the younger child reaches majority</w:t>
      </w:r>
      <w:r>
        <w:t xml:space="preserve"> </w:t>
      </w:r>
      <w:r>
        <w:t xml:space="preserve">(approximately 2033–2034, depending on the verified birth date — see Section VI). The Agreement would cease to govern the parties’ financial affairs during the children’s remaining minority, defeating a central purpose. The removal of the renewal option eliminates the client’s preferred flexibility.</w:t>
      </w:r>
    </w:p>
    <w:p>
      <w:pPr>
        <w:pStyle w:val="BodyText"/>
      </w:pPr>
      <w:r>
        <w:rPr>
          <w:b/>
          <w:bCs/>
        </w:rPr>
        <w:t xml:space="preserve">Recommendation.</w:t>
      </w:r>
      <w:r>
        <w:t xml:space="preserve"> </w:t>
      </w:r>
      <w:r>
        <w:t xml:space="preserve">Reject the 7-year sunset. Restore the 15-year term (through approximately 2040) with the mutual 5-year renewal option. This was a disclosed change, so opposing counsel has flagged it as a priority; we should hold firm and treat it as a high-priority restoration.</w:t>
      </w:r>
    </w:p>
    <w:bookmarkEnd w:id="36"/>
    <w:bookmarkStart w:id="37" w:name="X60e87b3c81c7aef01bae983737c8134f5d2516f"/>
    <w:p>
      <w:pPr>
        <w:pStyle w:val="Heading3"/>
      </w:pPr>
      <w:r>
        <w:t xml:space="preserve">K. Modification and Amendment (Client Objective 5(f)) — CRITICAL</w:t>
      </w:r>
    </w:p>
    <w:p>
      <w:pPr>
        <w:pStyle w:val="FirstParagraph"/>
      </w:pPr>
      <w:r>
        <w:rPr>
          <w:b/>
          <w:bCs/>
        </w:rPr>
        <w:t xml:space="preserve">The change.</w:t>
      </w:r>
      <w:r>
        <w:t xml:space="preserve"> </w:t>
      </w:r>
      <w:r>
        <w:t xml:space="preserve">The Original Draft §14.1 required that any modification, amendment, supplement, or waiver be made</w:t>
      </w:r>
      <w:r>
        <w:t xml:space="preserve"> </w:t>
      </w:r>
      <w:r>
        <w:rPr>
          <w:b/>
          <w:bCs/>
        </w:rPr>
        <w:t xml:space="preserve">only by a written instrument executed by both Parties</w:t>
      </w:r>
      <w:r>
        <w:t xml:space="preserve"> </w:t>
      </w:r>
      <w:r>
        <w:t xml:space="preserve">with the same formality as the Agreement, expressly prohibiting oral and unilateral modifications. The Redline §14.1 (TC-45) is reduced to a bare statement that the Agreement</w:t>
      </w:r>
      <w:r>
        <w:t xml:space="preserve"> </w:t>
      </w:r>
      <w:r>
        <w:t xml:space="preserve">“</w:t>
      </w:r>
      <w:r>
        <w:t xml:space="preserve">may not be modified… except as provided in this Article XIV,</w:t>
      </w:r>
      <w:r>
        <w:t xml:space="preserve">”</w:t>
      </w:r>
      <w:r>
        <w:t xml:space="preserve"> </w:t>
      </w:r>
      <w:r>
        <w:t xml:space="preserve">and then adds §14.2 (TC-46):</w:t>
      </w:r>
      <w:r>
        <w:t xml:space="preserve"> </w:t>
      </w:r>
      <w:r>
        <w:rPr>
          <w:b/>
          <w:bCs/>
        </w:rPr>
        <w:t xml:space="preserve">either party may propose a modification by written notice, and the modification</w:t>
      </w:r>
      <w:r>
        <w:rPr>
          <w:b/>
          <w:bCs/>
        </w:rPr>
        <w:t xml:space="preserve"> </w:t>
      </w:r>
      <w:r>
        <w:rPr>
          <w:b/>
          <w:bCs/>
        </w:rPr>
        <w:t xml:space="preserve">“</w:t>
      </w:r>
      <w:r>
        <w:rPr>
          <w:b/>
          <w:bCs/>
        </w:rPr>
        <w:t xml:space="preserve">shall become effective ninety (90) days after delivery… unless the other Party delivers a written objection.</w:t>
      </w:r>
      <w:r>
        <w:rPr>
          <w:b/>
          <w:bCs/>
        </w:rPr>
        <w:t xml:space="preserve">”</w:t>
      </w:r>
      <w:r>
        <w:t xml:space="preserve"> </w:t>
      </w:r>
      <w:r>
        <w:t xml:space="preserve">If a timely objection is made, the parties</w:t>
      </w:r>
      <w:r>
        <w:t xml:space="preserve"> </w:t>
      </w:r>
      <w:r>
        <w:t xml:space="preserve">“</w:t>
      </w:r>
      <w:r>
        <w:t xml:space="preserve">shall negotiate… in good faith</w:t>
      </w:r>
      <w:r>
        <w:t xml:space="preserve">”</w:t>
      </w:r>
      <w:r>
        <w:t xml:space="preserve"> </w:t>
      </w:r>
      <w:r>
        <w:t xml:space="preserve">— with no mechanism if negotiation fails.</w:t>
      </w:r>
    </w:p>
    <w:p>
      <w:pPr>
        <w:pStyle w:val="BodyText"/>
      </w:pPr>
      <w:r>
        <w:rPr>
          <w:b/>
          <w:bCs/>
        </w:rPr>
        <w:t xml:space="preserve">Why it matters.</w:t>
      </w:r>
      <w:r>
        <w:t xml:space="preserve"> </w:t>
      </w:r>
      <w:r>
        <w:t xml:space="preserve">This is precisely the</w:t>
      </w:r>
      <w:r>
        <w:t xml:space="preserve"> </w:t>
      </w:r>
      <w:r>
        <w:t xml:space="preserve">“</w:t>
      </w:r>
      <w:r>
        <w:t xml:space="preserve">one-sided change</w:t>
      </w:r>
      <w:r>
        <w:t xml:space="preserve">”</w:t>
      </w:r>
      <w:r>
        <w:t xml:space="preserve"> </w:t>
      </w:r>
      <w:r>
        <w:t xml:space="preserve">mechanism the client wanted to prevent (Objective 5(f):</w:t>
      </w:r>
      <w:r>
        <w:t xml:space="preserve"> </w:t>
      </w:r>
      <w:r>
        <w:t xml:space="preserve">“</w:t>
      </w:r>
      <w:r>
        <w:t xml:space="preserve">a requirement that any modifications be made only by mutual written consent, to prevent one-sided changes</w:t>
      </w:r>
      <w:r>
        <w:t xml:space="preserve">”</w:t>
      </w:r>
      <w:r>
        <w:t xml:space="preserve">). The Redline would allow Husband to propose, for example, a modification weakening the disclosure or debt provisions, and it would take effect automatically in 90 days unless Wife objects in writing — shifting the burden to Wife to police every proposal. Beyond the policy objection, the provision is</w:t>
      </w:r>
      <w:r>
        <w:t xml:space="preserve"> </w:t>
      </w:r>
      <w:r>
        <w:rPr>
          <w:b/>
          <w:bCs/>
        </w:rPr>
        <w:t xml:space="preserve">almost certainly unenforceable</w:t>
      </w:r>
      <w:r>
        <w:t xml:space="preserve">: 750 ILCS 5/502 requires that postnuptial agreements and their amendments be in writing and executed by both parties. A unilateral modification-by-notice mechanism cannot satisfy that requirement. Its inclusion is a red flag regarding opposing counsel’s approach.</w:t>
      </w:r>
    </w:p>
    <w:p>
      <w:pPr>
        <w:pStyle w:val="BodyText"/>
      </w:pPr>
      <w:r>
        <w:rPr>
          <w:b/>
          <w:bCs/>
        </w:rPr>
        <w:t xml:space="preserve">Recommendation.</w:t>
      </w:r>
      <w:r>
        <w:t xml:space="preserve"> </w:t>
      </w:r>
      <w:r>
        <w:t xml:space="preserve">Reject §14.2 in its entirety. Restore the Original Draft §14.1 mutual-written-consent requirement with the same formality, the express prohibition on oral and unilateral modifications, and the voiding of any purported unilateral modification.</w:t>
      </w:r>
    </w:p>
    <w:bookmarkEnd w:id="37"/>
    <w:bookmarkStart w:id="38" w:name="X0b74c1b81c0a00b34cb505961dfd5cfec33fe44"/>
    <w:p>
      <w:pPr>
        <w:pStyle w:val="Heading3"/>
      </w:pPr>
      <w:r>
        <w:t xml:space="preserve">L. Enforcement and Attorney’s Fees (Client Objective 5(d)) — HIGH</w:t>
      </w:r>
    </w:p>
    <w:p>
      <w:pPr>
        <w:pStyle w:val="FirstParagraph"/>
      </w:pPr>
      <w:r>
        <w:rPr>
          <w:b/>
          <w:bCs/>
        </w:rPr>
        <w:t xml:space="preserve">The change.</w:t>
      </w:r>
      <w:r>
        <w:t xml:space="preserve"> </w:t>
      </w:r>
      <w:r>
        <w:t xml:space="preserve">The Original Draft §13.2 provided that the</w:t>
      </w:r>
      <w:r>
        <w:t xml:space="preserve"> </w:t>
      </w:r>
      <w:r>
        <w:rPr>
          <w:b/>
          <w:bCs/>
        </w:rPr>
        <w:t xml:space="preserve">prevailing party</w:t>
      </w:r>
      <w:r>
        <w:t xml:space="preserve"> </w:t>
      </w:r>
      <w:r>
        <w:t xml:space="preserve">in any enforcement or interpretation action recovers reasonable attorney’s fees, costs, expert fees, and litigation expenses. The Redline §13.2 (TC-44, MC-11) replaces this with a</w:t>
      </w:r>
      <w:r>
        <w:t xml:space="preserve"> </w:t>
      </w:r>
      <w:r>
        <w:rPr>
          <w:b/>
          <w:bCs/>
        </w:rPr>
        <w:t xml:space="preserve">mutual waiver</w:t>
      </w:r>
      <w:r>
        <w:t xml:space="preserve">:</w:t>
      </w:r>
      <w:r>
        <w:t xml:space="preserve"> </w:t>
      </w:r>
      <w:r>
        <w:t xml:space="preserve">“</w:t>
      </w:r>
      <w:r>
        <w:t xml:space="preserve">each Party shall bear their own attorney’s fees and costs, regardless of outcome.</w:t>
      </w:r>
      <w:r>
        <w:t xml:space="preserve">”</w:t>
      </w:r>
      <w:r>
        <w:t xml:space="preserve"> </w:t>
      </w:r>
      <w:r>
        <w:t xml:space="preserve">MC-11 calls this</w:t>
      </w:r>
      <w:r>
        <w:t xml:space="preserve"> </w:t>
      </w:r>
      <w:r>
        <w:t xml:space="preserve">“</w:t>
      </w:r>
      <w:r>
        <w:t xml:space="preserve">balanced.</w:t>
      </w:r>
      <w:r>
        <w:t xml:space="preserve">”</w:t>
      </w:r>
    </w:p>
    <w:p>
      <w:pPr>
        <w:pStyle w:val="BodyText"/>
      </w:pPr>
      <w:r>
        <w:rPr>
          <w:b/>
          <w:bCs/>
        </w:rPr>
        <w:t xml:space="preserve">Why it matters.</w:t>
      </w:r>
      <w:r>
        <w:t xml:space="preserve"> </w:t>
      </w:r>
      <w:r>
        <w:t xml:space="preserve">The client wanted a prevailing-party provision specifically</w:t>
      </w:r>
      <w:r>
        <w:t xml:space="preserve"> </w:t>
      </w:r>
      <w:r>
        <w:t xml:space="preserve">“</w:t>
      </w:r>
      <w:r>
        <w:t xml:space="preserve">to deter frivolous challenges</w:t>
      </w:r>
      <w:r>
        <w:t xml:space="preserve">”</w:t>
      </w:r>
      <w:r>
        <w:t xml:space="preserve"> </w:t>
      </w:r>
      <w:r>
        <w:t xml:space="preserve">(Objective 5(d)). The mutual waiver removes that deterrent. More concretely, if Husband breaches (e.g., fails to pay the Identified Debt, or if concealed assets later surface), Wife would bear her own fees to enforce — reducing her practical ability and incentive to enforce the Agreement, particularly the disclosure and debt provisions that are central to her objectives. The</w:t>
      </w:r>
      <w:r>
        <w:t xml:space="preserve"> </w:t>
      </w:r>
      <w:r>
        <w:t xml:space="preserve">“</w:t>
      </w:r>
      <w:r>
        <w:t xml:space="preserve">balanced</w:t>
      </w:r>
      <w:r>
        <w:t xml:space="preserve">”</w:t>
      </w:r>
      <w:r>
        <w:t xml:space="preserve"> </w:t>
      </w:r>
      <w:r>
        <w:t xml:space="preserve">framing obscures that the provision most protects the party most likely to be the subject of an enforcement action.</w:t>
      </w:r>
    </w:p>
    <w:p>
      <w:pPr>
        <w:pStyle w:val="BodyText"/>
      </w:pPr>
      <w:r>
        <w:rPr>
          <w:b/>
          <w:bCs/>
        </w:rPr>
        <w:t xml:space="preserve">Recommendation.</w:t>
      </w:r>
      <w:r>
        <w:t xml:space="preserve"> </w:t>
      </w:r>
      <w:r>
        <w:t xml:space="preserve">Reject the mutual waiver. Restore the prevailing-party provision. This is a high-priority restoration tied directly to the client’s enforceability objective.</w:t>
      </w:r>
    </w:p>
    <w:bookmarkEnd w:id="38"/>
    <w:bookmarkStart w:id="39" w:name="Xb4076865b532021619bf5925b2bc387eb182964"/>
    <w:p>
      <w:pPr>
        <w:pStyle w:val="Heading3"/>
      </w:pPr>
      <w:r>
        <w:t xml:space="preserve">M. Venue and Forum (Client Objective 5(e)) — HIGH</w:t>
      </w:r>
    </w:p>
    <w:p>
      <w:pPr>
        <w:pStyle w:val="FirstParagraph"/>
      </w:pPr>
      <w:r>
        <w:rPr>
          <w:b/>
          <w:bCs/>
        </w:rPr>
        <w:t xml:space="preserve">The change.</w:t>
      </w:r>
      <w:r>
        <w:t xml:space="preserve"> </w:t>
      </w:r>
      <w:r>
        <w:t xml:space="preserve">The Original Draft §15.2 set exclusive venue in the</w:t>
      </w:r>
      <w:r>
        <w:t xml:space="preserve"> </w:t>
      </w:r>
      <w:r>
        <w:rPr>
          <w:b/>
          <w:bCs/>
        </w:rPr>
        <w:t xml:space="preserve">Circuit Court of Cook County, Illinois.</w:t>
      </w:r>
      <w:r>
        <w:t xml:space="preserve"> </w:t>
      </w:r>
      <w:r>
        <w:t xml:space="preserve">The Redline §15.2 (TC-47, MC-12) changes venue to the</w:t>
      </w:r>
      <w:r>
        <w:t xml:space="preserve"> </w:t>
      </w:r>
      <w:r>
        <w:rPr>
          <w:b/>
          <w:bCs/>
        </w:rPr>
        <w:t xml:space="preserve">Circuit Court of DuPage County.</w:t>
      </w:r>
      <w:r>
        <w:t xml:space="preserve"> </w:t>
      </w:r>
      <w:r>
        <w:t xml:space="preserve">MC-12 cites</w:t>
      </w:r>
      <w:r>
        <w:t xml:space="preserve"> </w:t>
      </w:r>
      <w:r>
        <w:t xml:space="preserve">“</w:t>
      </w:r>
      <w:r>
        <w:t xml:space="preserve">scheduling efficiency</w:t>
      </w:r>
      <w:r>
        <w:t xml:space="preserve">”</w:t>
      </w:r>
      <w:r>
        <w:t xml:space="preserve"> </w:t>
      </w:r>
      <w:r>
        <w:t xml:space="preserve">and Husband’s employment in Naperville. This change was disclosed in the transmittal email.</w:t>
      </w:r>
    </w:p>
    <w:p>
      <w:pPr>
        <w:pStyle w:val="BodyText"/>
      </w:pPr>
      <w:r>
        <w:rPr>
          <w:b/>
          <w:bCs/>
        </w:rPr>
        <w:t xml:space="preserve">Why it matters.</w:t>
      </w:r>
      <w:r>
        <w:t xml:space="preserve"> </w:t>
      </w:r>
      <w:r>
        <w:t xml:space="preserve">The client wanted Cook County (Objective 5(e)) because the family resides in Winnetka (Cook County), Wife and our office are in Cook County, and it is the most convenient forum. The marital residence is in Cook County. DuPage County is less convenient for Wife and for our office; Husband’s office in Naperville is a comparatively weak convenience justification. The Redline also removes the Original Draft’s §15.10 (No Pending Proceedings) representation, which had referenced Cook County.</w:t>
      </w:r>
    </w:p>
    <w:p>
      <w:pPr>
        <w:pStyle w:val="BodyText"/>
      </w:pPr>
      <w:r>
        <w:rPr>
          <w:b/>
          <w:bCs/>
        </w:rPr>
        <w:t xml:space="preserve">Recommendation.</w:t>
      </w:r>
      <w:r>
        <w:t xml:space="preserve"> </w:t>
      </w:r>
      <w:r>
        <w:t xml:space="preserve">Reject the DuPage venue. Restore Cook County. The convenience factors favor Cook County overwhelmingly. This is a disclosed priority for opposing counsel, so we should be prepared to discuss it, but the client’s residence, counsel, and the marital residence all support Cook County.</w:t>
      </w:r>
    </w:p>
    <w:bookmarkEnd w:id="39"/>
    <w:bookmarkStart w:id="40" w:name="X1a996b6d35cf716d3b9ca1225af6dc8baffe4fb"/>
    <w:p>
      <w:pPr>
        <w:pStyle w:val="Heading3"/>
      </w:pPr>
      <w:r>
        <w:t xml:space="preserve">N. Enforceability and Procedural-Fairness Provisions — MEDIUM</w:t>
      </w:r>
    </w:p>
    <w:p>
      <w:pPr>
        <w:pStyle w:val="FirstParagraph"/>
      </w:pPr>
      <w:r>
        <w:t xml:space="preserve">Several Original Draft provisions that support the enforceability and procedural-fairness record of a postnuptial agreement (which receives heightened scrutiny under 750 ILCS 5/502 due to the inter-spousal fiduciary duty) are weakened or omitted in the Redline:</w:t>
      </w:r>
    </w:p>
    <w:p>
      <w:pPr>
        <w:pStyle w:val="Compact"/>
        <w:numPr>
          <w:ilvl w:val="0"/>
          <w:numId w:val="1003"/>
        </w:numPr>
      </w:pPr>
      <w:r>
        <w:rPr>
          <w:b/>
          <w:bCs/>
        </w:rPr>
        <w:t xml:space="preserve">Fiduciary-duty acknowledgment removed.</w:t>
      </w:r>
      <w:r>
        <w:t xml:space="preserve"> </w:t>
      </w:r>
      <w:r>
        <w:t xml:space="preserve">The Original Draft §15.9 expressly acknowledged</w:t>
      </w:r>
      <w:r>
        <w:t xml:space="preserve"> </w:t>
      </w:r>
      <w:r>
        <w:t xml:space="preserve">“</w:t>
      </w:r>
      <w:r>
        <w:t xml:space="preserve">the fiduciary relationship that exists between spouses under Illinois law</w:t>
      </w:r>
      <w:r>
        <w:t xml:space="preserve">”</w:t>
      </w:r>
      <w:r>
        <w:t xml:space="preserve"> </w:t>
      </w:r>
      <w:r>
        <w:t xml:space="preserve">and represented that the parties</w:t>
      </w:r>
      <w:r>
        <w:t xml:space="preserve"> </w:t>
      </w:r>
      <w:r>
        <w:t xml:space="preserve">“</w:t>
      </w:r>
      <w:r>
        <w:t xml:space="preserve">dealt with each other in the utmost good faith and candor.</w:t>
      </w:r>
      <w:r>
        <w:t xml:space="preserve">”</w:t>
      </w:r>
      <w:r>
        <w:t xml:space="preserve"> </w:t>
      </w:r>
      <w:r>
        <w:t xml:space="preserve">The Redline’s Article III covers voluntariness and no-duress (§§3.1–3.2) but</w:t>
      </w:r>
      <w:r>
        <w:t xml:space="preserve"> </w:t>
      </w:r>
      <w:r>
        <w:rPr>
          <w:b/>
          <w:bCs/>
        </w:rPr>
        <w:t xml:space="preserve">omits the fiduciary-duty acknowledgment.</w:t>
      </w:r>
      <w:r>
        <w:t xml:space="preserve"> </w:t>
      </w:r>
      <w:r>
        <w:t xml:space="preserve">Given heightened scrutiny, this acknowledgment is valuable evidence of procedural fairness and should be restored.</w:t>
      </w:r>
    </w:p>
    <w:p>
      <w:pPr>
        <w:pStyle w:val="Compact"/>
        <w:numPr>
          <w:ilvl w:val="0"/>
          <w:numId w:val="1003"/>
        </w:numPr>
      </w:pPr>
      <w:r>
        <w:rPr>
          <w:b/>
          <w:bCs/>
        </w:rPr>
        <w:t xml:space="preserve">No Pending Proceedings representation removed.</w:t>
      </w:r>
      <w:r>
        <w:t xml:space="preserve"> </w:t>
      </w:r>
      <w:r>
        <w:t xml:space="preserve">The Original Draft §15.10 represented that no dissolution action was pending. The Redline omits this. Its removal loses an enforceability-supporting representation; restore it.</w:t>
      </w:r>
    </w:p>
    <w:p>
      <w:pPr>
        <w:pStyle w:val="Compact"/>
        <w:numPr>
          <w:ilvl w:val="0"/>
          <w:numId w:val="1003"/>
        </w:numPr>
      </w:pPr>
      <w:r>
        <w:rPr>
          <w:b/>
          <w:bCs/>
        </w:rPr>
        <w:t xml:space="preserve">Waiver and Counterparts provisions removed.</w:t>
      </w:r>
      <w:r>
        <w:t xml:space="preserve"> </w:t>
      </w:r>
      <w:r>
        <w:t xml:space="preserve">The Original Draft §§15.5–15.6 (counterparts; no-waiver-by-non-enforcement) are omitted. These are standard and useful (counterparts facilitates execution); restore them.</w:t>
      </w:r>
    </w:p>
    <w:p>
      <w:pPr>
        <w:pStyle w:val="Compact"/>
        <w:numPr>
          <w:ilvl w:val="0"/>
          <w:numId w:val="1003"/>
        </w:numPr>
      </w:pPr>
      <w:r>
        <w:rPr>
          <w:b/>
          <w:bCs/>
        </w:rPr>
        <w:t xml:space="preserve">Inaccurate negotiation-period recital.</w:t>
      </w:r>
      <w:r>
        <w:t xml:space="preserve"> </w:t>
      </w:r>
      <w:r>
        <w:t xml:space="preserve">The Redline §1.3 recites that the parties</w:t>
      </w:r>
      <w:r>
        <w:t xml:space="preserve"> </w:t>
      </w:r>
      <w:r>
        <w:t xml:space="preserve">“</w:t>
      </w:r>
      <w:r>
        <w:t xml:space="preserve">negotiated the terms… over the course of approximately four (4) months, beginning in August 2024.</w:t>
      </w:r>
      <w:r>
        <w:t xml:space="preserve">”</w:t>
      </w:r>
      <w:r>
        <w:t xml:space="preserve"> </w:t>
      </w:r>
      <w:r>
        <w:t xml:space="preserve">The precipitating debt discovery was mid-2024, the client first met with us November 5, 2024, and the Original Draft was transmitted December 16, 2024. Negotiation with opposing counsel began after December 16. The</w:t>
      </w:r>
      <w:r>
        <w:t xml:space="preserve"> </w:t>
      </w:r>
      <w:r>
        <w:t xml:space="preserve">“</w:t>
      </w:r>
      <w:r>
        <w:t xml:space="preserve">four months beginning August 2024</w:t>
      </w:r>
      <w:r>
        <w:t xml:space="preserve">”</w:t>
      </w:r>
      <w:r>
        <w:t xml:space="preserve"> </w:t>
      </w:r>
      <w:r>
        <w:t xml:space="preserve">recital is not accurate and could undermine the</w:t>
      </w:r>
      <w:r>
        <w:t xml:space="preserve"> </w:t>
      </w:r>
      <w:r>
        <w:t xml:space="preserve">“</w:t>
      </w:r>
      <w:r>
        <w:t xml:space="preserve">adequate time for review</w:t>
      </w:r>
      <w:r>
        <w:t xml:space="preserve">”</w:t>
      </w:r>
      <w:r>
        <w:t xml:space="preserve"> </w:t>
      </w:r>
      <w:r>
        <w:t xml:space="preserve">representation (Redline §3.1(b) recites</w:t>
      </w:r>
      <w:r>
        <w:t xml:space="preserve"> </w:t>
      </w:r>
      <w:r>
        <w:t xml:space="preserve">“</w:t>
      </w:r>
      <w:r>
        <w:t xml:space="preserve">not less than sixty (60) days</w:t>
      </w:r>
      <w:r>
        <w:t xml:space="preserve">”</w:t>
      </w:r>
      <w:r>
        <w:t xml:space="preserve">). Correct the recital to reflect the actual timeline.</w:t>
      </w:r>
    </w:p>
    <w:p>
      <w:pPr>
        <w:pStyle w:val="Compact"/>
        <w:numPr>
          <w:ilvl w:val="0"/>
          <w:numId w:val="1003"/>
        </w:numPr>
      </w:pPr>
      <w:r>
        <w:rPr>
          <w:b/>
          <w:bCs/>
        </w:rPr>
        <w:t xml:space="preserve">Sixty-day review representation.</w:t>
      </w:r>
      <w:r>
        <w:t xml:space="preserve"> </w:t>
      </w:r>
      <w:r>
        <w:t xml:space="preserve">Redline §3.1(b) represents each party had</w:t>
      </w:r>
      <w:r>
        <w:t xml:space="preserve"> </w:t>
      </w:r>
      <w:r>
        <w:t xml:space="preserve">“</w:t>
      </w:r>
      <w:r>
        <w:t xml:space="preserve">not less than sixty (60) days</w:t>
      </w:r>
      <w:r>
        <w:t xml:space="preserve">”</w:t>
      </w:r>
      <w:r>
        <w:t xml:space="preserve"> </w:t>
      </w:r>
      <w:r>
        <w:t xml:space="preserve">to review. If execution occurs shortly after the January 27 conference, Husband’s review period (from December 16) would be approximately 50–60 days. Ensure the execution timing supports this representation or adjust it.</w:t>
      </w:r>
    </w:p>
    <w:p>
      <w:pPr>
        <w:pStyle w:val="FirstParagraph"/>
      </w:pPr>
      <w:r>
        <w:rPr>
          <w:b/>
          <w:bCs/>
        </w:rPr>
        <w:t xml:space="preserve">Recommendation.</w:t>
      </w:r>
      <w:r>
        <w:t xml:space="preserve"> </w:t>
      </w:r>
      <w:r>
        <w:t xml:space="preserve">Restore the fiduciary-duty acknowledgment, the No Pending Proceedings representation, the counterparts and waiver provisions, and correct the negotiation-period recital. These collectively strengthen the procedural-fairness record on which enforceability depends.</w:t>
      </w:r>
    </w:p>
    <w:bookmarkEnd w:id="40"/>
    <w:bookmarkStart w:id="41" w:name="o.-beneficial-and-acceptable-changes"/>
    <w:p>
      <w:pPr>
        <w:pStyle w:val="Heading3"/>
      </w:pPr>
      <w:r>
        <w:t xml:space="preserve">O. Beneficial and Acceptable Changes</w:t>
      </w:r>
    </w:p>
    <w:p>
      <w:pPr>
        <w:pStyle w:val="FirstParagraph"/>
      </w:pPr>
      <w:r>
        <w:t xml:space="preserve">The following Redline changes are beneficial or benign and should be accepted (subject to verifying the factual details noted in Section VI):</w:t>
      </w:r>
    </w:p>
    <w:p>
      <w:pPr>
        <w:pStyle w:val="Compact"/>
        <w:numPr>
          <w:ilvl w:val="0"/>
          <w:numId w:val="1004"/>
        </w:numPr>
      </w:pPr>
      <w:r>
        <w:rPr>
          <w:b/>
          <w:bCs/>
        </w:rPr>
        <w:t xml:space="preserve">Severability clause (§15.3).</w:t>
      </w:r>
      <w:r>
        <w:t xml:space="preserve"> </w:t>
      </w:r>
      <w:r>
        <w:t xml:space="preserve">Market-standard and protective of both parties. The Original Draft lacked one. Accept.</w:t>
      </w:r>
    </w:p>
    <w:p>
      <w:pPr>
        <w:pStyle w:val="Compact"/>
        <w:numPr>
          <w:ilvl w:val="0"/>
          <w:numId w:val="1004"/>
        </w:numPr>
      </w:pPr>
      <w:r>
        <w:rPr>
          <w:b/>
          <w:bCs/>
        </w:rPr>
        <w:t xml:space="preserve">Notarization and witness blocks (Article XVI).</w:t>
      </w:r>
      <w:r>
        <w:t xml:space="preserve"> </w:t>
      </w:r>
      <w:r>
        <w:t xml:space="preserve">Best practice that strengthens the voluntariness record. Accept. (Note: 750 ILCS 5/502 does not strictly require notarization for postnuptial agreements, but it is good practice and supports enforceability.)</w:t>
      </w:r>
    </w:p>
    <w:p>
      <w:pPr>
        <w:pStyle w:val="Compact"/>
        <w:numPr>
          <w:ilvl w:val="0"/>
          <w:numId w:val="1004"/>
        </w:numPr>
      </w:pPr>
      <w:r>
        <w:rPr>
          <w:b/>
          <w:bCs/>
        </w:rPr>
        <w:t xml:space="preserve">“</w:t>
      </w:r>
      <w:r>
        <w:rPr>
          <w:b/>
          <w:bCs/>
        </w:rPr>
        <w:t xml:space="preserve">Constane</w:t>
      </w:r>
      <w:r>
        <w:rPr>
          <w:b/>
          <w:bCs/>
        </w:rPr>
        <w:t xml:space="preserve">”</w:t>
      </w:r>
      <w:r>
        <w:rPr>
          <w:b/>
          <w:bCs/>
        </w:rPr>
        <w:t xml:space="preserve"> </w:t>
      </w:r>
      <w:r>
        <w:rPr>
          <w:b/>
          <w:bCs/>
        </w:rPr>
        <w:t xml:space="preserve">→</w:t>
      </w:r>
      <w:r>
        <w:rPr>
          <w:b/>
          <w:bCs/>
        </w:rPr>
        <w:t xml:space="preserve"> </w:t>
      </w:r>
      <w:r>
        <w:rPr>
          <w:b/>
          <w:bCs/>
        </w:rPr>
        <w:t xml:space="preserve">“</w:t>
      </w:r>
      <w:r>
        <w:rPr>
          <w:b/>
          <w:bCs/>
        </w:rPr>
        <w:t xml:space="preserve">Constance</w:t>
      </w:r>
      <w:r>
        <w:rPr>
          <w:b/>
          <w:bCs/>
        </w:rPr>
        <w:t xml:space="preserve">”</w:t>
      </w:r>
      <w:r>
        <w:rPr>
          <w:b/>
          <w:bCs/>
        </w:rPr>
        <w:t xml:space="preserve"> </w:t>
      </w:r>
      <w:r>
        <w:rPr>
          <w:b/>
          <w:bCs/>
        </w:rPr>
        <w:t xml:space="preserve">misspelling correction (TC-02).</w:t>
      </w:r>
      <w:r>
        <w:t xml:space="preserve"> </w:t>
      </w:r>
      <w:r>
        <w:t xml:space="preserve">Accept — but note that the Redline also changed the date of death (see Section VI), which must be verified.</w:t>
      </w:r>
    </w:p>
    <w:p>
      <w:pPr>
        <w:pStyle w:val="Compact"/>
        <w:numPr>
          <w:ilvl w:val="0"/>
          <w:numId w:val="1004"/>
        </w:numPr>
      </w:pPr>
      <w:r>
        <w:rPr>
          <w:b/>
          <w:bCs/>
        </w:rPr>
        <w:t xml:space="preserve">Marriage-preservation recital (TC-04, MC-01).</w:t>
      </w:r>
      <w:r>
        <w:t xml:space="preserve"> </w:t>
      </w:r>
      <w:r>
        <w:t xml:space="preserve">Non-operative; consistent with the parties’ stated intent to remain married. Accept.</w:t>
      </w:r>
    </w:p>
    <w:p>
      <w:pPr>
        <w:pStyle w:val="Compact"/>
        <w:numPr>
          <w:ilvl w:val="0"/>
          <w:numId w:val="1004"/>
        </w:numPr>
      </w:pPr>
      <w:r>
        <w:rPr>
          <w:b/>
          <w:bCs/>
        </w:rPr>
        <w:t xml:space="preserve">Pre-Effective Date retirement balances as separate property (§§8.1–8.2).</w:t>
      </w:r>
      <w:r>
        <w:t xml:space="preserve"> </w:t>
      </w:r>
      <w:r>
        <w:t xml:space="preserve">The Original Draft treated these as</w:t>
      </w:r>
      <w:r>
        <w:t xml:space="preserve"> </w:t>
      </w:r>
      <w:r>
        <w:t xml:space="preserve">“</w:t>
      </w:r>
      <w:r>
        <w:t xml:space="preserve">quasi-separate property</w:t>
      </w:r>
      <w:r>
        <w:t xml:space="preserve">”</w:t>
      </w:r>
      <w:r>
        <w:t xml:space="preserve">; the Redline’s clearer</w:t>
      </w:r>
      <w:r>
        <w:t xml:space="preserve"> </w:t>
      </w:r>
      <w:r>
        <w:t xml:space="preserve">“</w:t>
      </w:r>
      <w:r>
        <w:t xml:space="preserve">Separate Property</w:t>
      </w:r>
      <w:r>
        <w:t xml:space="preserve">”</w:t>
      </w:r>
      <w:r>
        <w:t xml:space="preserve"> </w:t>
      </w:r>
      <w:r>
        <w:t xml:space="preserve">classification is favorable to Wife, who holds the larger balance ($2,340,000 vs. Husband’s $1,180,000). Accept, subject to reconciling the component values and custodians (Section VI).</w:t>
      </w:r>
    </w:p>
    <w:p>
      <w:pPr>
        <w:pStyle w:val="Compact"/>
        <w:numPr>
          <w:ilvl w:val="0"/>
          <w:numId w:val="1004"/>
        </w:numPr>
      </w:pPr>
      <w:r>
        <w:rPr>
          <w:b/>
          <w:bCs/>
        </w:rPr>
        <w:t xml:space="preserve">24-month Identified Debt satisfaction deadline and quarterly statements (§11.2).</w:t>
      </w:r>
      <w:r>
        <w:t xml:space="preserve"> </w:t>
      </w:r>
      <w:r>
        <w:t xml:space="preserve">Useful monitoring mechanisms. Accept (while rejecting the $5,000 threshold — Section V.C).</w:t>
      </w:r>
    </w:p>
    <w:p>
      <w:pPr>
        <w:pStyle w:val="Compact"/>
        <w:numPr>
          <w:ilvl w:val="0"/>
          <w:numId w:val="1004"/>
        </w:numPr>
      </w:pPr>
      <w:r>
        <w:rPr>
          <w:b/>
          <w:bCs/>
        </w:rPr>
        <w:t xml:space="preserve">Reference to the Heartbeat Pediatric Partners Operating Agreement (§6.1).</w:t>
      </w:r>
      <w:r>
        <w:t xml:space="preserve"> </w:t>
      </w:r>
      <w:r>
        <w:t xml:space="preserve">Consistent with the Strand Valuation Report (Section 3) and accurately reflects transfer restrictions, buy-sell provisions, and rights of first refusal. Accept. The provision that nothing requires Wife to violate the Operating Agreement or compel transfer to Husband is favorable to Wife.</w:t>
      </w:r>
    </w:p>
    <w:p>
      <w:pPr>
        <w:pStyle w:val="Compact"/>
        <w:numPr>
          <w:ilvl w:val="0"/>
          <w:numId w:val="1004"/>
        </w:numPr>
      </w:pPr>
      <w:r>
        <w:rPr>
          <w:b/>
          <w:bCs/>
        </w:rPr>
        <w:t xml:space="preserve">Savings clause in governing law (§15.1).</w:t>
      </w:r>
      <w:r>
        <w:t xml:space="preserve"> </w:t>
      </w:r>
      <w:r>
        <w:t xml:space="preserve">The addition that</w:t>
      </w:r>
      <w:r>
        <w:t xml:space="preserve"> </w:t>
      </w:r>
      <w:r>
        <w:t xml:space="preserve">“</w:t>
      </w:r>
      <w:r>
        <w:t xml:space="preserve">mandatory provisions of applicable Illinois law shall control</w:t>
      </w:r>
      <w:r>
        <w:t xml:space="preserve">”</w:t>
      </w:r>
      <w:r>
        <w:t xml:space="preserve"> </w:t>
      </w:r>
      <w:r>
        <w:t xml:space="preserve">in the event of conflict is a sound protective provision. Accept.</w:t>
      </w:r>
    </w:p>
    <w:p>
      <w:pPr>
        <w:pStyle w:val="Compact"/>
        <w:numPr>
          <w:ilvl w:val="0"/>
          <w:numId w:val="1004"/>
        </w:numPr>
      </w:pPr>
      <w:r>
        <w:rPr>
          <w:b/>
          <w:bCs/>
        </w:rPr>
        <w:t xml:space="preserve">Maintenance waiver and 3-year cap (§§10.2–10.3).</w:t>
      </w:r>
      <w:r>
        <w:t xml:space="preserve"> </w:t>
      </w:r>
      <w:r>
        <w:t xml:space="preserve">Favorable to Wife; accept in principle subject to the caveats in Section V.I.</w:t>
      </w:r>
    </w:p>
    <w:bookmarkEnd w:id="41"/>
    <w:bookmarkStart w:id="42" w:name="p.-structural-and-drafting-observations"/>
    <w:p>
      <w:pPr>
        <w:pStyle w:val="Heading3"/>
      </w:pPr>
      <w:r>
        <w:t xml:space="preserve">P. Structural and Drafting Observations</w:t>
      </w:r>
    </w:p>
    <w:p>
      <w:pPr>
        <w:pStyle w:val="Compact"/>
        <w:numPr>
          <w:ilvl w:val="0"/>
          <w:numId w:val="1005"/>
        </w:numPr>
      </w:pPr>
      <w:r>
        <w:rPr>
          <w:b/>
          <w:bCs/>
        </w:rPr>
        <w:t xml:space="preserve">Defined-terms incompleteness.</w:t>
      </w:r>
      <w:r>
        <w:t xml:space="preserve"> </w:t>
      </w:r>
      <w:r>
        <w:t xml:space="preserve">The Original Draft defined</w:t>
      </w:r>
      <w:r>
        <w:t xml:space="preserve"> </w:t>
      </w:r>
      <w:r>
        <w:t xml:space="preserve">“</w:t>
      </w:r>
      <w:r>
        <w:t xml:space="preserve">Joint Investment Account,</w:t>
      </w:r>
      <w:r>
        <w:t xml:space="preserve">”</w:t>
      </w:r>
      <w:r>
        <w:t xml:space="preserve"> </w:t>
      </w:r>
      <w:r>
        <w:t xml:space="preserve">“</w:t>
      </w:r>
      <w:r>
        <w:t xml:space="preserve">Marital Residence,</w:t>
      </w:r>
      <w:r>
        <w:t xml:space="preserve">”</w:t>
      </w:r>
      <w:r>
        <w:t xml:space="preserve"> </w:t>
      </w:r>
      <w:r>
        <w:t xml:space="preserve">“</w:t>
      </w:r>
      <w:r>
        <w:t xml:space="preserve">Practice Interest,</w:t>
      </w:r>
      <w:r>
        <w:t xml:space="preserve">”</w:t>
      </w:r>
      <w:r>
        <w:t xml:space="preserve"> </w:t>
      </w:r>
      <w:r>
        <w:t xml:space="preserve">“</w:t>
      </w:r>
      <w:r>
        <w:t xml:space="preserve">RSUs,</w:t>
      </w:r>
      <w:r>
        <w:t xml:space="preserve">”</w:t>
      </w:r>
      <w:r>
        <w:t xml:space="preserve"> </w:t>
      </w:r>
      <w:r>
        <w:t xml:space="preserve">and</w:t>
      </w:r>
      <w:r>
        <w:t xml:space="preserve"> </w:t>
      </w:r>
      <w:r>
        <w:t xml:space="preserve">“</w:t>
      </w:r>
      <w:r>
        <w:t xml:space="preserve">Wife’s Premarital Savings</w:t>
      </w:r>
      <w:r>
        <w:t xml:space="preserve">”</w:t>
      </w:r>
      <w:r>
        <w:t xml:space="preserve"> </w:t>
      </w:r>
      <w:r>
        <w:t xml:space="preserve">as capitalized terms. The Redline’s §2.1 omits these from the defined-terms list (though it uses the terms in the body). The defined-terms section should be completed for consistency, and the omission of</w:t>
      </w:r>
      <w:r>
        <w:t xml:space="preserve"> </w:t>
      </w:r>
      <w:r>
        <w:t xml:space="preserve">“</w:t>
      </w:r>
      <w:r>
        <w:t xml:space="preserve">Wife’s Premarital Savings</w:t>
      </w:r>
      <w:r>
        <w:t xml:space="preserve">”</w:t>
      </w:r>
      <w:r>
        <w:t xml:space="preserve"> </w:t>
      </w:r>
      <w:r>
        <w:t xml:space="preserve">as a defined term is consistent with — and emblematic of — the deletion of the reimbursement right.</w:t>
      </w:r>
    </w:p>
    <w:p>
      <w:pPr>
        <w:pStyle w:val="Compact"/>
        <w:numPr>
          <w:ilvl w:val="0"/>
          <w:numId w:val="1005"/>
        </w:numPr>
      </w:pPr>
      <w:r>
        <w:rPr>
          <w:b/>
          <w:bCs/>
        </w:rPr>
        <w:t xml:space="preserve">Loss of Exhibits C and D.</w:t>
      </w:r>
      <w:r>
        <w:t xml:space="preserve"> </w:t>
      </w:r>
      <w:r>
        <w:t xml:space="preserve">The Original Draft attached Exhibit C (Marital Residence Appraisal Summary) and Exhibit D (Business Valuation Summary). The Redline retains only Schedules A and B (the financial disclosures). The appraisal and valuation summaries provide a clear record of the baseline values ($1,875,000 residence; $1,650,000 practice) and should be re-attached or expressly incorporated by reference.</w:t>
      </w:r>
    </w:p>
    <w:p>
      <w:pPr>
        <w:pStyle w:val="Compact"/>
        <w:numPr>
          <w:ilvl w:val="0"/>
          <w:numId w:val="1005"/>
        </w:numPr>
      </w:pPr>
      <w:r>
        <w:rPr>
          <w:b/>
          <w:bCs/>
        </w:rPr>
        <w:t xml:space="preserve">Removal of the $10,000 individual-debt consent threshold.</w:t>
      </w:r>
      <w:r>
        <w:t xml:space="preserve"> </w:t>
      </w:r>
      <w:r>
        <w:t xml:space="preserve">The Original Draft §11.2 required mutual consent for either party to incur individual debt over $10,000. The Redline’s §11.1 omits this guardrail. Consider restoring it as a transparency protection.</w:t>
      </w:r>
    </w:p>
    <w:bookmarkEnd w:id="42"/>
    <w:bookmarkEnd w:id="43"/>
    <w:bookmarkStart w:id="44" w:name="Xdfde160734919908fea505db62e7758ea8fafd2"/>
    <w:p>
      <w:pPr>
        <w:pStyle w:val="Heading2"/>
      </w:pPr>
      <w:r>
        <w:t xml:space="preserve">VI. Factual Discrepancies Requiring Reconciliation</w:t>
      </w:r>
    </w:p>
    <w:p>
      <w:pPr>
        <w:pStyle w:val="FirstParagraph"/>
      </w:pPr>
      <w:r>
        <w:t xml:space="preserve">The Redline introduces or carries forward several factual inconsistencies that must be reconciled against source records (death certificate, birth certificates, account statements, and the Linden &amp; Fosse financial disclosure) before execution. These are due-diligence items rather than negotiation positions, but several affect substantive provisions.</w:t>
      </w:r>
    </w:p>
    <w:p>
      <w:pPr>
        <w:pStyle w:val="BodyText"/>
      </w:pPr>
      <w:r>
        <w:rPr>
          <w:b/>
          <w:bCs/>
        </w:rPr>
        <w:t xml:space="preserve">1. Date of Constance Thornton’s death.</w:t>
      </w:r>
      <w:r>
        <w:t xml:space="preserve"> </w:t>
      </w:r>
      <w:r>
        <w:t xml:space="preserve">The Original Draft Recital G states she</w:t>
      </w:r>
      <w:r>
        <w:t xml:space="preserve"> </w:t>
      </w:r>
      <w:r>
        <w:t xml:space="preserve">“</w:t>
      </w:r>
      <w:r>
        <w:t xml:space="preserve">passed away on August 12, 2024.</w:t>
      </w:r>
      <w:r>
        <w:t xml:space="preserve">”</w:t>
      </w:r>
      <w:r>
        <w:t xml:space="preserve"> </w:t>
      </w:r>
      <w:r>
        <w:t xml:space="preserve">The Redline §1.6 states she died</w:t>
      </w:r>
      <w:r>
        <w:t xml:space="preserve"> </w:t>
      </w:r>
      <w:r>
        <w:t xml:space="preserve">“</w:t>
      </w:r>
      <w:r>
        <w:t xml:space="preserve">September 3, 2024.</w:t>
      </w:r>
      <w:r>
        <w:t xml:space="preserve">”</w:t>
      </w:r>
      <w:r>
        <w:t xml:space="preserve"> </w:t>
      </w:r>
      <w:r>
        <w:t xml:space="preserve">The client intake memorandum and the Linden &amp; Fosse financial disclosure (Line H-7) both reference</w:t>
      </w:r>
      <w:r>
        <w:t xml:space="preserve"> </w:t>
      </w:r>
      <w:r>
        <w:t xml:space="preserve">“</w:t>
      </w:r>
      <w:r>
        <w:t xml:space="preserve">deceased October 2024.</w:t>
      </w:r>
      <w:r>
        <w:t xml:space="preserve">”</w:t>
      </w:r>
      <w:r>
        <w:t xml:space="preserve"> </w:t>
      </w:r>
      <w:r>
        <w:t xml:space="preserve">The transmittal email mentions only the misspelling correction, not a change in the date of death.</w:t>
      </w:r>
      <w:r>
        <w:t xml:space="preserve"> </w:t>
      </w:r>
      <w:r>
        <w:rPr>
          <w:b/>
          <w:bCs/>
        </w:rPr>
        <w:t xml:space="preserve">Three different dates appear across the record.</w:t>
      </w:r>
      <w:r>
        <w:t xml:space="preserve"> </w:t>
      </w:r>
      <w:r>
        <w:t xml:space="preserve">Verify against the death certificate / probate records and conform all references. The inheritance-receipt date (October 2024) is consistent across documents.</w:t>
      </w:r>
    </w:p>
    <w:p>
      <w:pPr>
        <w:pStyle w:val="BodyText"/>
      </w:pPr>
      <w:r>
        <w:rPr>
          <w:b/>
          <w:bCs/>
        </w:rPr>
        <w:t xml:space="preserve">2. Children’s birth dates.</w:t>
      </w:r>
      <w:r>
        <w:t xml:space="preserve"> </w:t>
      </w:r>
      <w:r>
        <w:t xml:space="preserve">The Original Draft Recital C states Elena was born October 3, 2012, and Julian was born March 22, 2016. The Redline §§1.2 and 2.1(h) state Elena was born August 22, 2012, and Julian was born November 9, 2015. The intake memorandum states the children are ages 12 and 9 as of November 5, 2024. The Redline’s dates are more consistent with the stated ages (a March 22, 2016 birth date would make Julian 8, not 9, as of the intake date), but the change was unannounced and the birth dates must be verified against birth certificates. The birth date also affects the sunset analysis (the date Julian turns 18 ranges from approximately 2033 to 2034 depending on the verified date).</w:t>
      </w:r>
    </w:p>
    <w:p>
      <w:pPr>
        <w:pStyle w:val="BodyText"/>
      </w:pPr>
      <w:r>
        <w:rPr>
          <w:b/>
          <w:bCs/>
        </w:rPr>
        <w:t xml:space="preserve">3. Inheritance brokerage account — custodian and account number.</w:t>
      </w:r>
      <w:r>
        <w:t xml:space="preserve"> </w:t>
      </w:r>
      <w:r>
        <w:t xml:space="preserve">The Original Draft (Recital G; §4.1(a)(ii)) identifies the inherited brokerage account as held at</w:t>
      </w:r>
      <w:r>
        <w:t xml:space="preserve"> </w:t>
      </w:r>
      <w:r>
        <w:rPr>
          <w:b/>
          <w:bCs/>
        </w:rPr>
        <w:t xml:space="preserve">Hartleigh Investments.</w:t>
      </w:r>
      <w:r>
        <w:t xml:space="preserve"> </w:t>
      </w:r>
      <w:r>
        <w:t xml:space="preserve">The Redline (§§1.6(b), 4.2(b)) identifies it as held at</w:t>
      </w:r>
      <w:r>
        <w:t xml:space="preserve"> </w:t>
      </w:r>
      <w:r>
        <w:rPr>
          <w:b/>
          <w:bCs/>
        </w:rPr>
        <w:t xml:space="preserve">Tidewater Securities, account ending -7724.</w:t>
      </w:r>
      <w:r>
        <w:t xml:space="preserve"> </w:t>
      </w:r>
      <w:r>
        <w:t xml:space="preserve">The Linden &amp; Fosse financial disclosure (Line H-8) identifies it as held at</w:t>
      </w:r>
      <w:r>
        <w:t xml:space="preserve"> </w:t>
      </w:r>
      <w:r>
        <w:rPr>
          <w:b/>
          <w:bCs/>
        </w:rPr>
        <w:t xml:space="preserve">Northbridge Wealth Advisors, account ending -8837.</w:t>
      </w:r>
      <w:r>
        <w:t xml:space="preserve"> </w:t>
      </w:r>
      <w:r>
        <w:t xml:space="preserve">Three different custodians and account numbers appear. Verify against the account statement and conform all references; the Linden &amp; Fosse disclosure should be the authoritative source unless statements show otherwise.</w:t>
      </w:r>
    </w:p>
    <w:p>
      <w:pPr>
        <w:pStyle w:val="BodyText"/>
      </w:pPr>
      <w:r>
        <w:rPr>
          <w:b/>
          <w:bCs/>
        </w:rPr>
        <w:t xml:space="preserve">4. Joint Investment Account number.</w:t>
      </w:r>
      <w:r>
        <w:t xml:space="preserve"> </w:t>
      </w:r>
      <w:r>
        <w:t xml:space="preserve">The Redline (§§4.1, 5.1(d)) identifies the joint investment account as</w:t>
      </w:r>
      <w:r>
        <w:t xml:space="preserve"> </w:t>
      </w:r>
      <w:r>
        <w:t xml:space="preserve">“</w:t>
      </w:r>
      <w:r>
        <w:t xml:space="preserve">ending in -3961.</w:t>
      </w:r>
      <w:r>
        <w:t xml:space="preserve">”</w:t>
      </w:r>
      <w:r>
        <w:t xml:space="preserve"> </w:t>
      </w:r>
      <w:r>
        <w:t xml:space="preserve">The Linden &amp; Fosse financial disclosure (Lines W-5, J-2) identifies it as account ending</w:t>
      </w:r>
      <w:r>
        <w:t xml:space="preserve"> </w:t>
      </w:r>
      <w:r>
        <w:rPr>
          <w:b/>
          <w:bCs/>
        </w:rPr>
        <w:t xml:space="preserve">-3291</w:t>
      </w:r>
      <w:r>
        <w:t xml:space="preserve"> </w:t>
      </w:r>
      <w:r>
        <w:t xml:space="preserve">at Northbridge Wealth Advisors. Reconcile.</w:t>
      </w:r>
    </w:p>
    <w:p>
      <w:pPr>
        <w:pStyle w:val="BodyText"/>
      </w:pPr>
      <w:r>
        <w:rPr>
          <w:b/>
          <w:bCs/>
        </w:rPr>
        <w:t xml:space="preserve">5. Wife’s 403(b) custodian and component values.</w:t>
      </w:r>
      <w:r>
        <w:t xml:space="preserve"> </w:t>
      </w:r>
      <w:r>
        <w:t xml:space="preserve">The Redline Schedule A lists the 403(b) at $1,440,000</w:t>
      </w:r>
      <w:r>
        <w:t xml:space="preserve"> </w:t>
      </w:r>
      <w:r>
        <w:t xml:space="preserve">“</w:t>
      </w:r>
      <w:r>
        <w:t xml:space="preserve">administered by TIAA-CREF</w:t>
      </w:r>
      <w:r>
        <w:t xml:space="preserve">”</w:t>
      </w:r>
      <w:r>
        <w:t xml:space="preserve"> </w:t>
      </w:r>
      <w:r>
        <w:t xml:space="preserve">and the defined-benefit pension at $900,000. The Linden &amp; Fosse disclosure (Lines W-2, W-3) lists the 403(b) at</w:t>
      </w:r>
      <w:r>
        <w:t xml:space="preserve"> </w:t>
      </w:r>
      <w:r>
        <w:rPr>
          <w:b/>
          <w:bCs/>
        </w:rPr>
        <w:t xml:space="preserve">$1,415,000</w:t>
      </w:r>
      <w:r>
        <w:t xml:space="preserve"> </w:t>
      </w:r>
      <w:r>
        <w:t xml:space="preserve">(custodian</w:t>
      </w:r>
      <w:r>
        <w:t xml:space="preserve"> </w:t>
      </w:r>
      <w:r>
        <w:rPr>
          <w:b/>
          <w:bCs/>
        </w:rPr>
        <w:t xml:space="preserve">Northbridge Wealth Advisors</w:t>
      </w:r>
      <w:r>
        <w:t xml:space="preserve">, account -7842) and the pension at</w:t>
      </w:r>
      <w:r>
        <w:t xml:space="preserve"> </w:t>
      </w:r>
      <w:r>
        <w:rPr>
          <w:b/>
          <w:bCs/>
        </w:rPr>
        <w:t xml:space="preserve">$925,000.</w:t>
      </w:r>
      <w:r>
        <w:t xml:space="preserve"> </w:t>
      </w:r>
      <w:r>
        <w:t xml:space="preserve">The totals both reach $2,340,000, but the components differ by $25,000 each and the custodian differs. Reconcile against the plan statements.</w:t>
      </w:r>
    </w:p>
    <w:p>
      <w:pPr>
        <w:pStyle w:val="BodyText"/>
      </w:pPr>
      <w:r>
        <w:rPr>
          <w:b/>
          <w:bCs/>
        </w:rPr>
        <w:t xml:space="preserve">6. Husband’s 401(k) custodian.</w:t>
      </w:r>
      <w:r>
        <w:t xml:space="preserve"> </w:t>
      </w:r>
      <w:r>
        <w:t xml:space="preserve">The Redline §8.2 states the 401(k) is</w:t>
      </w:r>
      <w:r>
        <w:t xml:space="preserve"> </w:t>
      </w:r>
      <w:r>
        <w:t xml:space="preserve">“</w:t>
      </w:r>
      <w:r>
        <w:t xml:space="preserve">administered by Hartleigh Investments.</w:t>
      </w:r>
      <w:r>
        <w:t xml:space="preserve">”</w:t>
      </w:r>
      <w:r>
        <w:t xml:space="preserve"> </w:t>
      </w:r>
      <w:r>
        <w:t xml:space="preserve">The Linden &amp; Fosse disclosure (Line H-3) states the custodian is</w:t>
      </w:r>
      <w:r>
        <w:t xml:space="preserve"> </w:t>
      </w:r>
      <w:r>
        <w:rPr>
          <w:b/>
          <w:bCs/>
        </w:rPr>
        <w:t xml:space="preserve">Northbridge Wealth Advisors</w:t>
      </w:r>
      <w:r>
        <w:t xml:space="preserve">, account -5518. Reconcile.</w:t>
      </w:r>
    </w:p>
    <w:p>
      <w:pPr>
        <w:pStyle w:val="BodyText"/>
      </w:pPr>
      <w:r>
        <w:rPr>
          <w:b/>
          <w:bCs/>
        </w:rPr>
        <w:t xml:space="preserve">7. Joint checking/savings institutions.</w:t>
      </w:r>
      <w:r>
        <w:t xml:space="preserve"> </w:t>
      </w:r>
      <w:r>
        <w:t xml:space="preserve">The Redline §5.1(b) names</w:t>
      </w:r>
      <w:r>
        <w:t xml:space="preserve"> </w:t>
      </w:r>
      <w:r>
        <w:t xml:space="preserve">“</w:t>
      </w:r>
      <w:r>
        <w:t xml:space="preserve">First Saxonbrook Bank and Hollcroft Fiduciary.</w:t>
      </w:r>
      <w:r>
        <w:t xml:space="preserve">”</w:t>
      </w:r>
      <w:r>
        <w:t xml:space="preserve"> </w:t>
      </w:r>
      <w:r>
        <w:t xml:space="preserve">The Linden &amp; Fosse disclosure (Lines J-3, J-4) names only</w:t>
      </w:r>
      <w:r>
        <w:t xml:space="preserve"> </w:t>
      </w:r>
      <w:r>
        <w:rPr>
          <w:b/>
          <w:bCs/>
        </w:rPr>
        <w:t xml:space="preserve">First Saxonbrook Bank</w:t>
      </w:r>
      <w:r>
        <w:t xml:space="preserve"> </w:t>
      </w:r>
      <w:r>
        <w:t xml:space="preserve">(checking -4410, savings -4417).</w:t>
      </w:r>
      <w:r>
        <w:t xml:space="preserve"> </w:t>
      </w:r>
      <w:r>
        <w:t xml:space="preserve">“</w:t>
      </w:r>
      <w:r>
        <w:t xml:space="preserve">Hollcroft Fiduciary</w:t>
      </w:r>
      <w:r>
        <w:t xml:space="preserve">”</w:t>
      </w:r>
      <w:r>
        <w:t xml:space="preserve"> </w:t>
      </w:r>
      <w:r>
        <w:t xml:space="preserve">does not appear in the financial disclosure. Reconcile.</w:t>
      </w:r>
    </w:p>
    <w:p>
      <w:pPr>
        <w:pStyle w:val="BodyText"/>
      </w:pPr>
      <w:r>
        <w:rPr>
          <w:b/>
          <w:bCs/>
        </w:rPr>
        <w:t xml:space="preserve">8. Wife’s individual credit-card balance.</w:t>
      </w:r>
      <w:r>
        <w:t xml:space="preserve"> </w:t>
      </w:r>
      <w:r>
        <w:t xml:space="preserve">The Original Draft Exhibit A reported</w:t>
      </w:r>
      <w:r>
        <w:t xml:space="preserve"> </w:t>
      </w:r>
      <w:r>
        <w:t xml:space="preserve">“</w:t>
      </w:r>
      <w:r>
        <w:t xml:space="preserve">None.</w:t>
      </w:r>
      <w:r>
        <w:t xml:space="preserve">”</w:t>
      </w:r>
      <w:r>
        <w:t xml:space="preserve"> </w:t>
      </w:r>
      <w:r>
        <w:t xml:space="preserve">The Redline Schedule A reports</w:t>
      </w:r>
      <w:r>
        <w:t xml:space="preserve"> </w:t>
      </w:r>
      <w:r>
        <w:t xml:space="preserve">“</w:t>
      </w:r>
      <w:r>
        <w:t xml:space="preserve">$4,200.</w:t>
      </w:r>
      <w:r>
        <w:t xml:space="preserve">”</w:t>
      </w:r>
      <w:r>
        <w:t xml:space="preserve"> </w:t>
      </w:r>
      <w:r>
        <w:t xml:space="preserve">The Linden &amp; Fosse disclosure (Line W-9) reports</w:t>
      </w:r>
      <w:r>
        <w:t xml:space="preserve"> </w:t>
      </w:r>
      <w:r>
        <w:rPr>
          <w:b/>
          <w:bCs/>
        </w:rPr>
        <w:t xml:space="preserve">$3,200</w:t>
      </w:r>
      <w:r>
        <w:t xml:space="preserve"> </w:t>
      </w:r>
      <w:r>
        <w:t xml:space="preserve">(Valemont Visa, ending -4412). Reconcile; the Original Draft’s</w:t>
      </w:r>
      <w:r>
        <w:t xml:space="preserve"> </w:t>
      </w:r>
      <w:r>
        <w:t xml:space="preserve">“</w:t>
      </w:r>
      <w:r>
        <w:t xml:space="preserve">None</w:t>
      </w:r>
      <w:r>
        <w:t xml:space="preserve">”</w:t>
      </w:r>
      <w:r>
        <w:t xml:space="preserve"> </w:t>
      </w:r>
      <w:r>
        <w:t xml:space="preserve">was inaccurate.</w:t>
      </w:r>
    </w:p>
    <w:p>
      <w:pPr>
        <w:pStyle w:val="BodyText"/>
      </w:pPr>
      <w:r>
        <w:rPr>
          <w:b/>
          <w:bCs/>
        </w:rPr>
        <w:t xml:space="preserve">9. Identified Debt — single card vs. multiple cards.</w:t>
      </w:r>
      <w:r>
        <w:t xml:space="preserve"> </w:t>
      </w:r>
      <w:r>
        <w:t xml:space="preserve">The intake memorandum and the Linden &amp; Fosse disclosure (Line H-10) describe a single hidden card (Hollcroft One Mastercard, ending -6673; $68,000; APR 22.99%; minimum payment approximately $1,360). The Redline §11.2 describes</w:t>
      </w:r>
      <w:r>
        <w:t xml:space="preserve"> </w:t>
      </w:r>
      <w:r>
        <w:t xml:space="preserve">“</w:t>
      </w:r>
      <w:r>
        <w:t xml:space="preserve">balances on multiple revolving credit accounts held in Husband’s individual name with various credit card issuers.</w:t>
      </w:r>
      <w:r>
        <w:t xml:space="preserve">”</w:t>
      </w:r>
      <w:r>
        <w:t xml:space="preserve"> </w:t>
      </w:r>
      <w:r>
        <w:t xml:space="preserve">Reconcile whether the $68,000 is one card or multiple; the description affects the indemnity’s scope.</w:t>
      </w:r>
    </w:p>
    <w:p>
      <w:pPr>
        <w:pStyle w:val="BodyText"/>
      </w:pPr>
      <w:r>
        <w:rPr>
          <w:b/>
          <w:bCs/>
        </w:rPr>
        <w:t xml:space="preserve">10. Assets omitted from both drafts.</w:t>
      </w:r>
      <w:r>
        <w:t xml:space="preserve"> </w:t>
      </w:r>
      <w:r>
        <w:t xml:space="preserve">The Linden &amp; Fosse disclosure identifies assets not specifically addressed in either draft: Wife’s 2022 BMW X5 ($52,000), Husband’s 2023 Mercedes-Benz GLE ($58,000), Wife’s personal property ($45,000), Husband’s personal property ($28,000), joint household personal property ($65,000), and Husband’s disclosed Amex Platinum balance ($4,800). These would fall under the general marital-property provisions, but the schedules should be complete and consistent with the Linden &amp; Fosse disclosure.</w:t>
      </w:r>
    </w:p>
    <w:p>
      <w:pPr>
        <w:pStyle w:val="BodyText"/>
      </w:pPr>
      <w:r>
        <w:rPr>
          <w:b/>
          <w:bCs/>
        </w:rPr>
        <w:t xml:space="preserve">11. Wife’s practice distributions.</w:t>
      </w:r>
      <w:r>
        <w:t xml:space="preserve"> </w:t>
      </w:r>
      <w:r>
        <w:t xml:space="preserve">The Strand Valuation Report (Section 5) notes Wife receives approximately $145,000 per year in distributions from Heartbeat Pediatric Partners LLC, in addition to her $487,000 W-2 income. Neither draft explicitly classifies these distributions for maintenance or property purposes. Under the Redline’s</w:t>
      </w:r>
      <w:r>
        <w:t xml:space="preserve"> </w:t>
      </w:r>
      <w:r>
        <w:t xml:space="preserve">“</w:t>
      </w:r>
      <w:r>
        <w:t xml:space="preserve">Earned Income</w:t>
      </w:r>
      <w:r>
        <w:t xml:space="preserve">”</w:t>
      </w:r>
      <w:r>
        <w:t xml:space="preserve"> </w:t>
      </w:r>
      <w:r>
        <w:t xml:space="preserve">definition, the treatment of practice distributions (as</w:t>
      </w:r>
      <w:r>
        <w:t xml:space="preserve"> </w:t>
      </w:r>
      <w:r>
        <w:t xml:space="preserve">“</w:t>
      </w:r>
      <w:r>
        <w:t xml:space="preserve">regular draws or guaranteed payments</w:t>
      </w:r>
      <w:r>
        <w:t xml:space="preserve">”</w:t>
      </w:r>
      <w:r>
        <w:t xml:space="preserve"> </w:t>
      </w:r>
      <w:r>
        <w:t xml:space="preserve">or as excluded discretionary distributions) is ambiguous. The classification of practice distributions should be clarified.</w:t>
      </w:r>
    </w:p>
    <w:p>
      <w:pPr>
        <w:pStyle w:val="BodyText"/>
      </w:pPr>
      <w:r>
        <w:rPr>
          <w:b/>
          <w:bCs/>
        </w:rPr>
        <w:t xml:space="preserve">Recommendation.</w:t>
      </w:r>
      <w:r>
        <w:t xml:space="preserve"> </w:t>
      </w:r>
      <w:r>
        <w:t xml:space="preserve">Direct Linden &amp; Fosse CPA to prepare a reconciled master schedule that conforms all account custodians, account numbers, and balances to the source statements, and obtain the death certificate and children’s birth certificates to fix the dates. No Agreement should be executed until the factual record is consistent across all documents.</w:t>
      </w:r>
    </w:p>
    <w:bookmarkEnd w:id="44"/>
    <w:bookmarkStart w:id="51" w:name="vii.-negotiation-strategy"/>
    <w:p>
      <w:pPr>
        <w:pStyle w:val="Heading2"/>
      </w:pPr>
      <w:r>
        <w:t xml:space="preserve">VII. Negotiation Strategy</w:t>
      </w:r>
    </w:p>
    <w:bookmarkStart w:id="45" w:name="a.-categorization-of-changes"/>
    <w:p>
      <w:pPr>
        <w:pStyle w:val="Heading3"/>
      </w:pPr>
      <w:r>
        <w:t xml:space="preserve">A. Categorization of Changes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Category</w:t>
            </w:r>
          </w:p>
        </w:tc>
        <w:tc>
          <w:tcPr/>
          <w:p>
            <w:pPr>
              <w:pStyle w:val="Compact"/>
              <w:jc w:val="left"/>
            </w:pPr>
            <w:r>
              <w:t xml:space="preserve">Items</w:t>
            </w:r>
          </w:p>
        </w:tc>
      </w:tr>
      <w:tr>
        <w:tc>
          <w:tcPr/>
          <w:p>
            <w:pPr>
              <w:pStyle w:val="Compact"/>
              <w:jc w:val="left"/>
            </w:pPr>
            <w:r>
              <w:rPr>
                <w:b/>
                <w:bCs/>
              </w:rPr>
              <w:t xml:space="preserve">Accept</w:t>
            </w:r>
          </w:p>
        </w:tc>
        <w:tc>
          <w:tcPr/>
          <w:p>
            <w:pPr>
              <w:pStyle w:val="Compact"/>
              <w:jc w:val="left"/>
            </w:pPr>
            <w:r>
              <w:t xml:space="preserve">Severability (§15.3); notarization/witness blocks (Art. XVI); misspelling correction; marriage-preservation recital; pre-Effective Date retirement as separate property; 24-month debt deadline + quarterly statements; Operating Agreement reference; governing-law savings clause; 3-year maintenance cap; maintenance waiver (in principle)</w:t>
            </w:r>
          </w:p>
        </w:tc>
      </w:tr>
      <w:tr>
        <w:tc>
          <w:tcPr/>
          <w:p>
            <w:pPr>
              <w:pStyle w:val="Compact"/>
              <w:jc w:val="left"/>
            </w:pPr>
            <w:r>
              <w:rPr>
                <w:b/>
                <w:bCs/>
              </w:rPr>
              <w:t xml:space="preserve">Reject (deal-breakers — restore in full)</w:t>
            </w:r>
          </w:p>
        </w:tc>
        <w:tc>
          <w:tcPr/>
          <w:p>
            <w:pPr>
              <w:pStyle w:val="Compact"/>
              <w:jc w:val="left"/>
            </w:pPr>
            <w:r>
              <w:t xml:space="preserve">Premarital reimbursement deletion (§5.2); voidability weakening (§12.2) and disclosure weakening (§§1.5, 3.1(d), 12.1); commingling/transmutation reversal (§4.3(c)); Earned Income narrowing of Marital Property (§§2.1(b), (d)); unilateral modification (§14.2); $5,000 debt threshold (§11.2); fee waiver (§13.2); 7-year sunset (§15.5); DuPage venue (§15.2); removal of ongoing disclosure (§3.4) and future-debt disclosure (§11.3)</w:t>
            </w:r>
          </w:p>
        </w:tc>
      </w:tr>
      <w:tr>
        <w:tc>
          <w:tcPr/>
          <w:p>
            <w:pPr>
              <w:pStyle w:val="Compact"/>
              <w:jc w:val="left"/>
            </w:pPr>
            <w:r>
              <w:rPr>
                <w:b/>
                <w:bCs/>
              </w:rPr>
              <w:t xml:space="preserve">Negotiate / restore with refinement</w:t>
            </w:r>
          </w:p>
        </w:tc>
        <w:tc>
          <w:tcPr/>
          <w:p>
            <w:pPr>
              <w:pStyle w:val="Compact"/>
              <w:jc w:val="left"/>
            </w:pPr>
            <w:r>
              <w:t xml:space="preserve">RSU coverture (§7.1) — restore 50/50 or grant-date coverture; home buyout windows and Husband’s matching right (§9.2); fiduciary acknowledgment, No Pending Proceedings, counterparts, waiver provisions; negotiation-period recital; appraisal dispute mechanism (§§6.2, 9.2); $10,000 debt-consent threshold</w:t>
            </w:r>
          </w:p>
        </w:tc>
      </w:tr>
      <w:tr>
        <w:tc>
          <w:tcPr/>
          <w:p>
            <w:pPr>
              <w:pStyle w:val="Compact"/>
              <w:jc w:val="left"/>
            </w:pPr>
            <w:r>
              <w:rPr>
                <w:b/>
                <w:bCs/>
              </w:rPr>
              <w:t xml:space="preserve">Client decision required</w:t>
            </w:r>
          </w:p>
        </w:tc>
        <w:tc>
          <w:tcPr/>
          <w:p>
            <w:pPr>
              <w:pStyle w:val="Compact"/>
              <w:jc w:val="left"/>
            </w:pPr>
            <w:r>
              <w:t xml:space="preserve">Practice-interest active/passive appreciation (§6.1) — Options 1/2/3; maintenance waiver aggressiveness</w:t>
            </w:r>
          </w:p>
        </w:tc>
      </w:tr>
    </w:tbl>
    <w:bookmarkEnd w:id="45"/>
    <w:bookmarkStart w:id="46" w:name="Xd586f6c46940a6f15569001b7ee3b0f6f6edf5f"/>
    <w:p>
      <w:pPr>
        <w:pStyle w:val="Heading3"/>
      </w:pPr>
      <w:r>
        <w:t xml:space="preserve">B. Deal-Breakers (Non-Negotiable Restorations)</w:t>
      </w:r>
    </w:p>
    <w:p>
      <w:pPr>
        <w:pStyle w:val="FirstParagraph"/>
      </w:pPr>
      <w:r>
        <w:t xml:space="preserve">The following must be restored before we will recommend execution. They map directly to the client’s stated, prioritized objectives:</w:t>
      </w:r>
    </w:p>
    <w:p>
      <w:pPr>
        <w:pStyle w:val="Compact"/>
        <w:numPr>
          <w:ilvl w:val="0"/>
          <w:numId w:val="1006"/>
        </w:numPr>
      </w:pPr>
      <w:r>
        <w:rPr>
          <w:b/>
          <w:bCs/>
        </w:rPr>
        <w:t xml:space="preserve">$1,200,000 premarital-savings reimbursement right</w:t>
      </w:r>
      <w:r>
        <w:t xml:space="preserve"> </w:t>
      </w:r>
      <w:r>
        <w:t xml:space="preserve">— first-priority claim, explicit tracing, satisfaction before equal division (Objective 1).</w:t>
      </w:r>
    </w:p>
    <w:p>
      <w:pPr>
        <w:pStyle w:val="Compact"/>
        <w:numPr>
          <w:ilvl w:val="0"/>
          <w:numId w:val="1006"/>
        </w:numPr>
      </w:pPr>
      <w:r>
        <w:rPr>
          <w:b/>
          <w:bCs/>
        </w:rPr>
        <w:t xml:space="preserve">Voidability remedy</w:t>
      </w:r>
      <w:r>
        <w:t xml:space="preserve"> </w:t>
      </w:r>
      <w:r>
        <w:t xml:space="preserve">— material-omission standard, no heightened evidentiary standard, no dollar threshold, no intent requirement; plus</w:t>
      </w:r>
      <w:r>
        <w:t xml:space="preserve"> </w:t>
      </w:r>
      <w:r>
        <w:t xml:space="preserve">“</w:t>
      </w:r>
      <w:r>
        <w:t xml:space="preserve">full and complete</w:t>
      </w:r>
      <w:r>
        <w:t xml:space="preserve">”</w:t>
      </w:r>
      <w:r>
        <w:t xml:space="preserve"> </w:t>
      </w:r>
      <w:r>
        <w:t xml:space="preserve">disclosure representations, ongoing disclosure, and future-debt disclosure (Objective 2).</w:t>
      </w:r>
    </w:p>
    <w:p>
      <w:pPr>
        <w:pStyle w:val="Compact"/>
        <w:numPr>
          <w:ilvl w:val="0"/>
          <w:numId w:val="1006"/>
        </w:numPr>
      </w:pPr>
      <w:r>
        <w:rPr>
          <w:b/>
          <w:bCs/>
        </w:rPr>
        <w:t xml:space="preserve">Identified Debt indemnity</w:t>
      </w:r>
      <w:r>
        <w:t xml:space="preserve"> </w:t>
      </w:r>
      <w:r>
        <w:t xml:space="preserve">— sole responsibility, complete indemnification, no materiality or dollar threshold (Objective 2).</w:t>
      </w:r>
    </w:p>
    <w:p>
      <w:pPr>
        <w:pStyle w:val="Compact"/>
        <w:numPr>
          <w:ilvl w:val="0"/>
          <w:numId w:val="1006"/>
        </w:numPr>
      </w:pPr>
      <w:r>
        <w:rPr>
          <w:b/>
          <w:bCs/>
        </w:rPr>
        <w:t xml:space="preserve">Commingling/transmutation rule</w:t>
      </w:r>
      <w:r>
        <w:t xml:space="preserve"> </w:t>
      </w:r>
      <w:r>
        <w:t xml:space="preserve">— separate property used for household purposes is a gift to the marriage, with rebuttable presumption, expressly applicable to Husband’s Inheritance (protects against inheritance deployment).</w:t>
      </w:r>
    </w:p>
    <w:p>
      <w:pPr>
        <w:pStyle w:val="Compact"/>
        <w:numPr>
          <w:ilvl w:val="0"/>
          <w:numId w:val="1006"/>
        </w:numPr>
      </w:pPr>
      <w:r>
        <w:rPr>
          <w:b/>
          <w:bCs/>
        </w:rPr>
        <w:t xml:space="preserve">Broad Marital Property / Gross Income definitions</w:t>
      </w:r>
      <w:r>
        <w:t xml:space="preserve"> </w:t>
      </w:r>
      <w:r>
        <w:t xml:space="preserve">— bonuses and equity compensation included (Objective 2; supports RSU division).</w:t>
      </w:r>
    </w:p>
    <w:p>
      <w:pPr>
        <w:pStyle w:val="Compact"/>
        <w:numPr>
          <w:ilvl w:val="0"/>
          <w:numId w:val="1006"/>
        </w:numPr>
      </w:pPr>
      <w:r>
        <w:rPr>
          <w:b/>
          <w:bCs/>
        </w:rPr>
        <w:t xml:space="preserve">RSU division</w:t>
      </w:r>
      <w:r>
        <w:t xml:space="preserve"> </w:t>
      </w:r>
      <w:r>
        <w:t xml:space="preserve">— 50/50 of all RSUs (vested and unvested), or a grant-date coverture fraction yielding the equivalent (Objective 2).</w:t>
      </w:r>
    </w:p>
    <w:p>
      <w:pPr>
        <w:pStyle w:val="Compact"/>
        <w:numPr>
          <w:ilvl w:val="0"/>
          <w:numId w:val="1006"/>
        </w:numPr>
      </w:pPr>
      <w:r>
        <w:rPr>
          <w:b/>
          <w:bCs/>
        </w:rPr>
        <w:t xml:space="preserve">Mutual-written-consent modification</w:t>
      </w:r>
      <w:r>
        <w:t xml:space="preserve"> </w:t>
      </w:r>
      <w:r>
        <w:t xml:space="preserve">— reject unilateral modification-by-notice (Objective 5(f)).</w:t>
      </w:r>
    </w:p>
    <w:p>
      <w:pPr>
        <w:pStyle w:val="Compact"/>
        <w:numPr>
          <w:ilvl w:val="0"/>
          <w:numId w:val="1006"/>
        </w:numPr>
      </w:pPr>
      <w:r>
        <w:rPr>
          <w:b/>
          <w:bCs/>
        </w:rPr>
        <w:t xml:space="preserve">Prevailing-party attorney’s fees</w:t>
      </w:r>
      <w:r>
        <w:t xml:space="preserve"> </w:t>
      </w:r>
      <w:r>
        <w:t xml:space="preserve">(Objective 5(d)).</w:t>
      </w:r>
    </w:p>
    <w:p>
      <w:pPr>
        <w:pStyle w:val="Compact"/>
        <w:numPr>
          <w:ilvl w:val="0"/>
          <w:numId w:val="1006"/>
        </w:numPr>
      </w:pPr>
      <w:r>
        <w:rPr>
          <w:b/>
          <w:bCs/>
        </w:rPr>
        <w:t xml:space="preserve">15-year sunset with renewal option</w:t>
      </w:r>
      <w:r>
        <w:t xml:space="preserve"> </w:t>
      </w:r>
      <w:r>
        <w:t xml:space="preserve">— running at least through the younger child’s majority (Objective 3).</w:t>
      </w:r>
    </w:p>
    <w:p>
      <w:pPr>
        <w:pStyle w:val="Compact"/>
        <w:numPr>
          <w:ilvl w:val="0"/>
          <w:numId w:val="1006"/>
        </w:numPr>
      </w:pPr>
      <w:r>
        <w:rPr>
          <w:b/>
          <w:bCs/>
        </w:rPr>
        <w:t xml:space="preserve">Cook County venue</w:t>
      </w:r>
      <w:r>
        <w:t xml:space="preserve"> </w:t>
      </w:r>
      <w:r>
        <w:t xml:space="preserve">(Objective 5(e)).</w:t>
      </w:r>
    </w:p>
    <w:bookmarkEnd w:id="46"/>
    <w:bookmarkStart w:id="47" w:name="c.-concessions-and-trade-chips"/>
    <w:p>
      <w:pPr>
        <w:pStyle w:val="Heading3"/>
      </w:pPr>
      <w:r>
        <w:t xml:space="preserve">C. Concessions and Trade Chips</w:t>
      </w:r>
    </w:p>
    <w:p>
      <w:pPr>
        <w:pStyle w:val="FirstParagraph"/>
      </w:pPr>
      <w:r>
        <w:t xml:space="preserve">We enter the negotiation with genuine concessions already in hand (the maintenance waiver and 3-year cap favor Wife) and several acceptable additions (severability, notarization). We should</w:t>
      </w:r>
      <w:r>
        <w:t xml:space="preserve"> </w:t>
      </w:r>
      <w:r>
        <w:rPr>
          <w:b/>
          <w:bCs/>
        </w:rPr>
        <w:t xml:space="preserve">not</w:t>
      </w:r>
      <w:r>
        <w:t xml:space="preserve"> </w:t>
      </w:r>
      <w:r>
        <w:t xml:space="preserve">trade away the deal-breakers for these, because they already benefit our client. If opposing counsel attempts to use the maintenance waiver as leverage (</w:t>
      </w:r>
      <w:r>
        <w:t xml:space="preserve">“</w:t>
      </w:r>
      <w:r>
        <w:t xml:space="preserve">we gave up maintenance, so you should accept X</w:t>
      </w:r>
      <w:r>
        <w:t xml:space="preserve">”</w:t>
      </w:r>
      <w:r>
        <w:t xml:space="preserve">), the response is that the waiver operates one-sidedly in Wife’s favor as drafted and is not a concession that purchases concessions on the client’s non-negotiable items.</w:t>
      </w:r>
    </w:p>
    <w:p>
      <w:pPr>
        <w:pStyle w:val="BodyText"/>
      </w:pPr>
      <w:r>
        <w:t xml:space="preserve">The principal</w:t>
      </w:r>
      <w:r>
        <w:t xml:space="preserve"> </w:t>
      </w:r>
      <w:r>
        <w:rPr>
          <w:b/>
          <w:bCs/>
        </w:rPr>
        <w:t xml:space="preserve">negotiable</w:t>
      </w:r>
      <w:r>
        <w:t xml:space="preserve"> </w:t>
      </w:r>
      <w:r>
        <w:t xml:space="preserve">item where we have room to give value to Husband in exchange for restorations is the</w:t>
      </w:r>
      <w:r>
        <w:t xml:space="preserve"> </w:t>
      </w:r>
      <w:r>
        <w:rPr>
          <w:b/>
          <w:bCs/>
        </w:rPr>
        <w:t xml:space="preserve">practice-interest appreciation</w:t>
      </w:r>
      <w:r>
        <w:t xml:space="preserve"> </w:t>
      </w:r>
      <w:r>
        <w:t xml:space="preserve">(Section V.G). If the client selects Option 1 (all appreciation marital, per the Original Draft), Husband keeps a favorable position and we have given nothing away. If the client is open to Option 3 (a 60/40 passive presumption anchored to the Strand Report), that is a meaningful concession to Husband (he gets 40% of appreciation as marital rather than 0%) that we can offer in exchange for movement on the deal-breakers — while still protecting Wife better than the Redline’s open-ended active/passive test. This is our most valuable trade chip and should be deployed strategically.</w:t>
      </w:r>
    </w:p>
    <w:bookmarkEnd w:id="47"/>
    <w:bookmarkStart w:id="48" w:name="X05be7050b03786a5a50794f43a6b3f5f438861c"/>
    <w:p>
      <w:pPr>
        <w:pStyle w:val="Heading3"/>
      </w:pPr>
      <w:r>
        <w:t xml:space="preserve">D. Items Requiring Client Decision Before the Conference</w:t>
      </w:r>
    </w:p>
    <w:p>
      <w:pPr>
        <w:pStyle w:val="Compact"/>
        <w:numPr>
          <w:ilvl w:val="0"/>
          <w:numId w:val="1007"/>
        </w:numPr>
      </w:pPr>
      <w:r>
        <w:rPr>
          <w:b/>
          <w:bCs/>
        </w:rPr>
        <w:t xml:space="preserve">Practice-interest appreciation</w:t>
      </w:r>
      <w:r>
        <w:t xml:space="preserve"> </w:t>
      </w:r>
      <w:r>
        <w:t xml:space="preserve">— Option 1 (simplicity, all appreciation marital), Option 2 (Redline’s active/passive test), or Option 3 (60/40 passive presumption). Recommend a client call before January 27.</w:t>
      </w:r>
    </w:p>
    <w:p>
      <w:pPr>
        <w:pStyle w:val="Compact"/>
        <w:numPr>
          <w:ilvl w:val="0"/>
          <w:numId w:val="1007"/>
        </w:numPr>
      </w:pPr>
      <w:r>
        <w:rPr>
          <w:b/>
          <w:bCs/>
        </w:rPr>
        <w:t xml:space="preserve">Maintenance waiver</w:t>
      </w:r>
      <w:r>
        <w:t xml:space="preserve"> </w:t>
      </w:r>
      <w:r>
        <w:t xml:space="preserve">— confirm the client is comfortable accepting a provision that eliminates Husband’s maintenance (favorable to her) notwithstanding its aggressiveness and possible unconscionability exposure.</w:t>
      </w:r>
    </w:p>
    <w:p>
      <w:pPr>
        <w:pStyle w:val="Compact"/>
        <w:numPr>
          <w:ilvl w:val="0"/>
          <w:numId w:val="1007"/>
        </w:numPr>
      </w:pPr>
      <w:r>
        <w:rPr>
          <w:b/>
          <w:bCs/>
        </w:rPr>
        <w:t xml:space="preserve">Home buyout</w:t>
      </w:r>
      <w:r>
        <w:t xml:space="preserve"> </w:t>
      </w:r>
      <w:r>
        <w:t xml:space="preserve">— confirm the minimum exercise window and payment period the client will accept, and whether Husband may have any matching right.</w:t>
      </w:r>
    </w:p>
    <w:bookmarkEnd w:id="48"/>
    <w:bookmarkStart w:id="49" w:name="X2db6a21faa924f39337c155704a08c635035caf"/>
    <w:p>
      <w:pPr>
        <w:pStyle w:val="Heading3"/>
      </w:pPr>
      <w:r>
        <w:t xml:space="preserve">E. Sequencing for the January 27 Four-Way Conference</w:t>
      </w:r>
    </w:p>
    <w:p>
      <w:pPr>
        <w:pStyle w:val="Compact"/>
        <w:numPr>
          <w:ilvl w:val="0"/>
          <w:numId w:val="1008"/>
        </w:numPr>
      </w:pPr>
      <w:r>
        <w:rPr>
          <w:b/>
          <w:bCs/>
        </w:rPr>
        <w:t xml:space="preserve">Open by aligning on the beneficial changes</w:t>
      </w:r>
      <w:r>
        <w:t xml:space="preserve"> </w:t>
      </w:r>
      <w:r>
        <w:t xml:space="preserve">(severability, notarization, marriage recital) — concede these promptly to establish a constructive tone and to avoid spending conference capital on items we accept.</w:t>
      </w:r>
    </w:p>
    <w:p>
      <w:pPr>
        <w:pStyle w:val="Compact"/>
        <w:numPr>
          <w:ilvl w:val="0"/>
          <w:numId w:val="1008"/>
        </w:numPr>
      </w:pPr>
      <w:r>
        <w:rPr>
          <w:b/>
          <w:bCs/>
        </w:rPr>
        <w:t xml:space="preserve">Frame the central concern directly:</w:t>
      </w:r>
      <w:r>
        <w:t xml:space="preserve"> </w:t>
      </w:r>
      <w:r>
        <w:t xml:space="preserve">the Redline is presented as modest and balanced, but it deletes the client’s most important protection (the $1.2 million reimbursement) and guts the voidability remedy — neither of which was mentioned in the transmittal email. Establish that these are not</w:t>
      </w:r>
      <w:r>
        <w:t xml:space="preserve"> </w:t>
      </w:r>
      <w:r>
        <w:t xml:space="preserve">“</w:t>
      </w:r>
      <w:r>
        <w:t xml:space="preserve">clarifications</w:t>
      </w:r>
      <w:r>
        <w:t xml:space="preserve">”</w:t>
      </w:r>
      <w:r>
        <w:t xml:space="preserve"> </w:t>
      </w:r>
      <w:r>
        <w:t xml:space="preserve">and that we will not proceed without restoring them.</w:t>
      </w:r>
    </w:p>
    <w:p>
      <w:pPr>
        <w:pStyle w:val="Compact"/>
        <w:numPr>
          <w:ilvl w:val="0"/>
          <w:numId w:val="1008"/>
        </w:numPr>
      </w:pPr>
      <w:r>
        <w:rPr>
          <w:b/>
          <w:bCs/>
        </w:rPr>
        <w:t xml:space="preserve">Walk through the deal-breakers</w:t>
      </w:r>
      <w:r>
        <w:t xml:space="preserve"> </w:t>
      </w:r>
      <w:r>
        <w:t xml:space="preserve">(Section VII.B) in priority order, with the financial impact quantified (e.g., the $600,000 effect of the reimbursement deletion; the $100,000/intent/clear-and-convincing combination on voidability). Seek agreement on each before moving on.</w:t>
      </w:r>
    </w:p>
    <w:p>
      <w:pPr>
        <w:pStyle w:val="Compact"/>
        <w:numPr>
          <w:ilvl w:val="0"/>
          <w:numId w:val="1008"/>
        </w:numPr>
      </w:pPr>
      <w:r>
        <w:rPr>
          <w:b/>
          <w:bCs/>
        </w:rPr>
        <w:t xml:space="preserve">Address the negotiable items</w:t>
      </w:r>
      <w:r>
        <w:t xml:space="preserve"> </w:t>
      </w:r>
      <w:r>
        <w:t xml:space="preserve">(RSUs, home buyout, procedural provisions) and present the practice-interest trade chip (Option 3) if the client has authorized it.</w:t>
      </w:r>
    </w:p>
    <w:p>
      <w:pPr>
        <w:pStyle w:val="Compact"/>
        <w:numPr>
          <w:ilvl w:val="0"/>
          <w:numId w:val="1008"/>
        </w:numPr>
      </w:pPr>
      <w:r>
        <w:rPr>
          <w:b/>
          <w:bCs/>
        </w:rPr>
        <w:t xml:space="preserve">Reserve the client-decision items</w:t>
      </w:r>
      <w:r>
        <w:t xml:space="preserve"> </w:t>
      </w:r>
      <w:r>
        <w:t xml:space="preserve">(maintenance waiver, practice appreciation, home buyout) for confirmation after the conference if not resolved.</w:t>
      </w:r>
    </w:p>
    <w:p>
      <w:pPr>
        <w:pStyle w:val="Compact"/>
        <w:numPr>
          <w:ilvl w:val="0"/>
          <w:numId w:val="1008"/>
        </w:numPr>
      </w:pPr>
      <w:r>
        <w:rPr>
          <w:b/>
          <w:bCs/>
        </w:rPr>
        <w:t xml:space="preserve">Close by assigning the factual-reconciliation work</w:t>
      </w:r>
      <w:r>
        <w:t xml:space="preserve"> </w:t>
      </w:r>
      <w:r>
        <w:t xml:space="preserve">to Linden &amp; Fosse and setting a date for exchange of a counter-redline.</w:t>
      </w:r>
    </w:p>
    <w:p>
      <w:pPr>
        <w:pStyle w:val="FirstParagraph"/>
      </w:pPr>
      <w:r>
        <w:t xml:space="preserve">Consider a pre-conference call with Mr. Baxter (he offered one) only after we have internally aligned on positions and the client has made the Section VII.D decisions. A call before then risks conceding ground on items the client has not yet decided.</w:t>
      </w:r>
    </w:p>
    <w:bookmarkEnd w:id="49"/>
    <w:bookmarkStart w:id="50" w:name="f.-fallback-positions"/>
    <w:p>
      <w:pPr>
        <w:pStyle w:val="Heading3"/>
      </w:pPr>
      <w:r>
        <w:t xml:space="preserve">F. Fallback Positions</w:t>
      </w:r>
    </w:p>
    <w:p>
      <w:pPr>
        <w:pStyle w:val="Compact"/>
        <w:numPr>
          <w:ilvl w:val="0"/>
          <w:numId w:val="1009"/>
        </w:numPr>
      </w:pPr>
      <w:r>
        <w:rPr>
          <w:b/>
          <w:bCs/>
        </w:rPr>
        <w:t xml:space="preserve">Premarital reimbursement:</w:t>
      </w:r>
      <w:r>
        <w:t xml:space="preserve"> </w:t>
      </w:r>
      <w:r>
        <w:t xml:space="preserve">No fallback below the full $1,200,000 first-priority claim. If the Joint Investment Account is insufficient at Dissolution, the shortfall must be satisfied from Wife’s share of the marital estate before any division (per the Original Draft).</w:t>
      </w:r>
    </w:p>
    <w:p>
      <w:pPr>
        <w:pStyle w:val="Compact"/>
        <w:numPr>
          <w:ilvl w:val="0"/>
          <w:numId w:val="1009"/>
        </w:numPr>
      </w:pPr>
      <w:r>
        <w:rPr>
          <w:b/>
          <w:bCs/>
        </w:rPr>
        <w:t xml:space="preserve">Voidability:</w:t>
      </w:r>
      <w:r>
        <w:t xml:space="preserve"> </w:t>
      </w:r>
      <w:r>
        <w:t xml:space="preserve">No fallback to an intent requirement or a dollar threshold. If opposing counsel insists on a limitations period, we could discuss a period measured from the date of</w:t>
      </w:r>
      <w:r>
        <w:t xml:space="preserve"> </w:t>
      </w:r>
      <w:r>
        <w:rPr>
          <w:i/>
          <w:iCs/>
        </w:rPr>
        <w:t xml:space="preserve">discovery</w:t>
      </w:r>
      <w:r>
        <w:t xml:space="preserve"> </w:t>
      </w:r>
      <w:r>
        <w:t xml:space="preserve">of the specific omission (not a flat two years), but the standard must remain material-omission with no heightened burden.</w:t>
      </w:r>
    </w:p>
    <w:p>
      <w:pPr>
        <w:pStyle w:val="Compact"/>
        <w:numPr>
          <w:ilvl w:val="0"/>
          <w:numId w:val="1009"/>
        </w:numPr>
      </w:pPr>
      <w:r>
        <w:rPr>
          <w:b/>
          <w:bCs/>
        </w:rPr>
        <w:t xml:space="preserve">RSUs:</w:t>
      </w:r>
      <w:r>
        <w:t xml:space="preserve"> </w:t>
      </w:r>
      <w:r>
        <w:t xml:space="preserve">Fallback from 50/50 to a grant-date coverture fraction (which yields 50/50 given the marriage predates the grant). No fallback to the hire-date denominator.</w:t>
      </w:r>
    </w:p>
    <w:p>
      <w:pPr>
        <w:pStyle w:val="Compact"/>
        <w:numPr>
          <w:ilvl w:val="0"/>
          <w:numId w:val="1009"/>
        </w:numPr>
      </w:pPr>
      <w:r>
        <w:rPr>
          <w:b/>
          <w:bCs/>
        </w:rPr>
        <w:t xml:space="preserve">Sunset:</w:t>
      </w:r>
      <w:r>
        <w:t xml:space="preserve"> </w:t>
      </w:r>
      <w:r>
        <w:t xml:space="preserve">Fallback from 15 years to no less than a term running through the younger child’s 18th birthday (approximately 2033–2034), with renewal. No fallback to 7 years.</w:t>
      </w:r>
    </w:p>
    <w:p>
      <w:pPr>
        <w:pStyle w:val="Compact"/>
        <w:numPr>
          <w:ilvl w:val="0"/>
          <w:numId w:val="1009"/>
        </w:numPr>
      </w:pPr>
      <w:r>
        <w:rPr>
          <w:b/>
          <w:bCs/>
        </w:rPr>
        <w:t xml:space="preserve">Venue:</w:t>
      </w:r>
      <w:r>
        <w:t xml:space="preserve"> </w:t>
      </w:r>
      <w:r>
        <w:t xml:space="preserve">Fallback from Cook County to a mutual consent-to-venue provision, but not DuPage as the exclusive forum.</w:t>
      </w:r>
    </w:p>
    <w:p>
      <w:pPr>
        <w:pStyle w:val="Compact"/>
        <w:numPr>
          <w:ilvl w:val="0"/>
          <w:numId w:val="1009"/>
        </w:numPr>
      </w:pPr>
      <w:r>
        <w:rPr>
          <w:b/>
          <w:bCs/>
        </w:rPr>
        <w:t xml:space="preserve">Fees:</w:t>
      </w:r>
      <w:r>
        <w:t xml:space="preserve"> </w:t>
      </w:r>
      <w:r>
        <w:t xml:space="preserve">No fallback to a mutual waiver. Prevailing-party is the floor.</w:t>
      </w:r>
    </w:p>
    <w:bookmarkEnd w:id="50"/>
    <w:bookmarkEnd w:id="51"/>
    <w:bookmarkStart w:id="52" w:name="viii.-recommendations-and-next-steps"/>
    <w:p>
      <w:pPr>
        <w:pStyle w:val="Heading2"/>
      </w:pPr>
      <w:r>
        <w:t xml:space="preserve">VIII. Recommendations and Next Steps</w:t>
      </w:r>
    </w:p>
    <w:p>
      <w:pPr>
        <w:pStyle w:val="Compact"/>
        <w:numPr>
          <w:ilvl w:val="0"/>
          <w:numId w:val="1010"/>
        </w:numPr>
      </w:pPr>
      <w:r>
        <w:rPr>
          <w:b/>
          <w:bCs/>
        </w:rPr>
        <w:t xml:space="preserve">Schedule a client call</w:t>
      </w:r>
      <w:r>
        <w:t xml:space="preserve"> </w:t>
      </w:r>
      <w:r>
        <w:t xml:space="preserve">before January 27 to present the change analysis and obtain decisions on the practice-interest appreciation (Options 1/2/3), the maintenance waiver, and the home-buyout parameters.</w:t>
      </w:r>
    </w:p>
    <w:p>
      <w:pPr>
        <w:pStyle w:val="Compact"/>
        <w:numPr>
          <w:ilvl w:val="0"/>
          <w:numId w:val="1010"/>
        </w:numPr>
      </w:pPr>
      <w:r>
        <w:rPr>
          <w:b/>
          <w:bCs/>
        </w:rPr>
        <w:t xml:space="preserve">Prepare a counter-redline</w:t>
      </w:r>
      <w:r>
        <w:t xml:space="preserve"> </w:t>
      </w:r>
      <w:r>
        <w:t xml:space="preserve">that (a) restores all deal-breakers in the language of the Original Draft, (b) accepts the beneficial additions, (c) incorporates the negotiated positions on the negotiable items, and (d) corrects the factual discrepancies. Deliver the counter-redline promptly after the client call, in advance of the January 27 conference.</w:t>
      </w:r>
    </w:p>
    <w:p>
      <w:pPr>
        <w:pStyle w:val="Compact"/>
        <w:numPr>
          <w:ilvl w:val="0"/>
          <w:numId w:val="1010"/>
        </w:numPr>
      </w:pPr>
      <w:r>
        <w:rPr>
          <w:b/>
          <w:bCs/>
        </w:rPr>
        <w:t xml:space="preserve">Direct Linden &amp; Fosse CPA</w:t>
      </w:r>
      <w:r>
        <w:t xml:space="preserve"> </w:t>
      </w:r>
      <w:r>
        <w:t xml:space="preserve">to prepare a reconciled master financial schedule conforming all custodians, account numbers, and balances to source statements, and to confirm the Identified Debt composition (single vs. multiple cards).</w:t>
      </w:r>
    </w:p>
    <w:p>
      <w:pPr>
        <w:pStyle w:val="Compact"/>
        <w:numPr>
          <w:ilvl w:val="0"/>
          <w:numId w:val="1010"/>
        </w:numPr>
      </w:pPr>
      <w:r>
        <w:rPr>
          <w:b/>
          <w:bCs/>
        </w:rPr>
        <w:t xml:space="preserve">Obtain the death certificate and the children’s birth certificates</w:t>
      </w:r>
      <w:r>
        <w:t xml:space="preserve"> </w:t>
      </w:r>
      <w:r>
        <w:t xml:space="preserve">to fix the date of death and birth dates across all documents.</w:t>
      </w:r>
    </w:p>
    <w:p>
      <w:pPr>
        <w:pStyle w:val="Compact"/>
        <w:numPr>
          <w:ilvl w:val="0"/>
          <w:numId w:val="1010"/>
        </w:numPr>
      </w:pPr>
      <w:r>
        <w:rPr>
          <w:b/>
          <w:bCs/>
        </w:rPr>
        <w:t xml:space="preserve">Re-attach or expressly incorporate</w:t>
      </w:r>
      <w:r>
        <w:t xml:space="preserve"> </w:t>
      </w:r>
      <w:r>
        <w:t xml:space="preserve">the Pendleton appraisal summary and the Strand valuation summary as exhibits, to preserve the baseline-value record.</w:t>
      </w:r>
    </w:p>
    <w:p>
      <w:pPr>
        <w:pStyle w:val="Compact"/>
        <w:numPr>
          <w:ilvl w:val="0"/>
          <w:numId w:val="1010"/>
        </w:numPr>
      </w:pPr>
      <w:r>
        <w:rPr>
          <w:b/>
          <w:bCs/>
        </w:rPr>
        <w:t xml:space="preserve">Do not agree to an execution date</w:t>
      </w:r>
      <w:r>
        <w:t xml:space="preserve"> </w:t>
      </w:r>
      <w:r>
        <w:t xml:space="preserve">at the January 27 conference. The factual reconciliation and the client-decision items must be resolved first. Target execution in the first quarter of 2025 only after the counter-redline is accepted in substance.</w:t>
      </w:r>
    </w:p>
    <w:p>
      <w:pPr>
        <w:pStyle w:val="Compact"/>
        <w:numPr>
          <w:ilvl w:val="0"/>
          <w:numId w:val="1010"/>
        </w:numPr>
      </w:pPr>
      <w:r>
        <w:rPr>
          <w:b/>
          <w:bCs/>
        </w:rPr>
        <w:t xml:space="preserve">Document the negotiation</w:t>
      </w:r>
      <w:r>
        <w:t xml:space="preserve"> </w:t>
      </w:r>
      <w:r>
        <w:t xml:space="preserve">carefully. Given the client’s concern about hidden terms and Husband’s history of financial concealment, maintain a clear record of what was proposed, rejected, and accepted, and ensure the final agreement’s recitals accurately reflect the negotiation timeline and the parties’ disclosures.</w:t>
      </w:r>
    </w:p>
    <w:bookmarkEnd w:id="52"/>
    <w:bookmarkStart w:id="53" w:name="X2b3bc8ca7e80ac52f374dbb6eb9ba35eeddb156"/>
    <w:p>
      <w:pPr>
        <w:pStyle w:val="Heading2"/>
      </w:pPr>
      <w:r>
        <w:t xml:space="preserve">IX. Appendix — Consolidated Index of Tracked Changes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Marker</w:t>
            </w:r>
          </w:p>
        </w:tc>
        <w:tc>
          <w:tcPr/>
          <w:p>
            <w:pPr>
              <w:pStyle w:val="Compact"/>
              <w:jc w:val="left"/>
            </w:pPr>
            <w:r>
              <w:t xml:space="preserve">Location</w:t>
            </w:r>
          </w:p>
        </w:tc>
        <w:tc>
          <w:tcPr/>
          <w:p>
            <w:pPr>
              <w:pStyle w:val="Compact"/>
              <w:jc w:val="left"/>
            </w:pPr>
            <w:r>
              <w:t xml:space="preserve">Change</w:t>
            </w:r>
          </w:p>
        </w:tc>
        <w:tc>
          <w:tcPr/>
          <w:p>
            <w:pPr>
              <w:pStyle w:val="Compact"/>
              <w:jc w:val="left"/>
            </w:pPr>
            <w:r>
              <w:t xml:space="preserve">Effect</w:t>
            </w:r>
          </w:p>
        </w:tc>
        <w:tc>
          <w:tcPr/>
          <w:p>
            <w:pPr>
              <w:pStyle w:val="Compact"/>
              <w:jc w:val="left"/>
            </w:pPr>
            <w:r>
              <w:t xml:space="preserve">Severity</w:t>
            </w:r>
          </w:p>
        </w:tc>
      </w:tr>
      <w:tr>
        <w:tc>
          <w:tcPr/>
          <w:p>
            <w:pPr>
              <w:pStyle w:val="Compact"/>
              <w:jc w:val="left"/>
            </w:pPr>
            <w:r>
              <w:t xml:space="preserve">TC-01</w:t>
            </w:r>
          </w:p>
        </w:tc>
        <w:tc>
          <w:tcPr/>
          <w:p>
            <w:pPr>
              <w:pStyle w:val="Compact"/>
              <w:jc w:val="left"/>
            </w:pPr>
            <w:r>
              <w:t xml:space="preserve">Header</w:t>
            </w:r>
          </w:p>
        </w:tc>
        <w:tc>
          <w:tcPr/>
          <w:p>
            <w:pPr>
              <w:pStyle w:val="Compact"/>
              <w:jc w:val="left"/>
            </w:pPr>
            <w:r>
              <w:t xml:space="preserve">“</w:t>
            </w:r>
            <w:r>
              <w:t xml:space="preserve">Revised Draft</w:t>
            </w:r>
            <w:r>
              <w:t xml:space="preserve">”</w:t>
            </w:r>
            <w:r>
              <w:t xml:space="preserve"> </w:t>
            </w:r>
            <w:r>
              <w:t xml:space="preserve">label</w:t>
            </w:r>
          </w:p>
        </w:tc>
        <w:tc>
          <w:tcPr/>
          <w:p>
            <w:pPr>
              <w:pStyle w:val="Compact"/>
              <w:jc w:val="left"/>
            </w:pPr>
            <w:r>
              <w:t xml:space="preserve">Administrative</w:t>
            </w:r>
          </w:p>
        </w:tc>
        <w:tc>
          <w:tcPr/>
          <w:p>
            <w:pPr>
              <w:pStyle w:val="Compact"/>
              <w:jc w:val="left"/>
            </w:pPr>
            <w:r>
              <w:t xml:space="preserve">None</w:t>
            </w:r>
          </w:p>
        </w:tc>
      </w:tr>
      <w:tr>
        <w:tc>
          <w:tcPr/>
          <w:p>
            <w:pPr>
              <w:pStyle w:val="Compact"/>
              <w:jc w:val="left"/>
            </w:pPr>
            <w:r>
              <w:t xml:space="preserve">TC-02</w:t>
            </w:r>
          </w:p>
        </w:tc>
        <w:tc>
          <w:tcPr/>
          <w:p>
            <w:pPr>
              <w:pStyle w:val="Compact"/>
              <w:jc w:val="left"/>
            </w:pPr>
            <w:r>
              <w:t xml:space="preserve">§1.1</w:t>
            </w:r>
          </w:p>
        </w:tc>
        <w:tc>
          <w:tcPr/>
          <w:p>
            <w:pPr>
              <w:pStyle w:val="Compact"/>
              <w:jc w:val="left"/>
            </w:pPr>
            <w:r>
              <w:t xml:space="preserve">“</w:t>
            </w:r>
            <w:r>
              <w:t xml:space="preserve">Constance</w:t>
            </w:r>
            <w:r>
              <w:t xml:space="preserve">”</w:t>
            </w:r>
            <w:r>
              <w:t xml:space="preserve"> </w:t>
            </w:r>
            <w:r>
              <w:t xml:space="preserve">(née Albrecht); death date Aug 12 → Sep 3, 2024</w:t>
            </w:r>
          </w:p>
        </w:tc>
        <w:tc>
          <w:tcPr/>
          <w:p>
            <w:pPr>
              <w:pStyle w:val="Compact"/>
              <w:jc w:val="left"/>
            </w:pPr>
            <w:r>
              <w:t xml:space="preserve">Misspelling OK; death date conflicts with intake/disclosure — verify</w:t>
            </w:r>
          </w:p>
        </w:tc>
        <w:tc>
          <w:tcPr/>
          <w:p>
            <w:pPr>
              <w:pStyle w:val="Compact"/>
              <w:jc w:val="left"/>
            </w:pPr>
            <w:r>
              <w:t xml:space="preserve">Medium</w:t>
            </w:r>
          </w:p>
        </w:tc>
      </w:tr>
      <w:tr>
        <w:tc>
          <w:tcPr/>
          <w:p>
            <w:pPr>
              <w:pStyle w:val="Compact"/>
              <w:jc w:val="left"/>
            </w:pPr>
            <w:r>
              <w:t xml:space="preserve">TC-03</w:t>
            </w:r>
          </w:p>
        </w:tc>
        <w:tc>
          <w:tcPr/>
          <w:p>
            <w:pPr>
              <w:pStyle w:val="Compact"/>
              <w:jc w:val="left"/>
            </w:pPr>
            <w:r>
              <w:t xml:space="preserve">§1.2</w:t>
            </w:r>
          </w:p>
        </w:tc>
        <w:tc>
          <w:tcPr/>
          <w:p>
            <w:pPr>
              <w:pStyle w:val="Compact"/>
              <w:jc w:val="left"/>
            </w:pPr>
            <w:r>
              <w:t xml:space="preserve">Deletion in children recital</w:t>
            </w:r>
          </w:p>
        </w:tc>
        <w:tc>
          <w:tcPr/>
          <w:p>
            <w:pPr>
              <w:pStyle w:val="Compact"/>
              <w:jc w:val="left"/>
            </w:pPr>
            <w:r>
              <w:t xml:space="preserve">Awkward phrasing</w:t>
            </w:r>
          </w:p>
        </w:tc>
        <w:tc>
          <w:tcPr/>
          <w:p>
            <w:pPr>
              <w:pStyle w:val="Compact"/>
              <w:jc w:val="left"/>
            </w:pPr>
            <w:r>
              <w:t xml:space="preserve">Low</w:t>
            </w:r>
          </w:p>
        </w:tc>
      </w:tr>
      <w:tr>
        <w:tc>
          <w:tcPr/>
          <w:p>
            <w:pPr>
              <w:pStyle w:val="Compact"/>
              <w:jc w:val="left"/>
            </w:pPr>
            <w:r>
              <w:t xml:space="preserve">TC-04 / MC-01</w:t>
            </w:r>
          </w:p>
        </w:tc>
        <w:tc>
          <w:tcPr/>
          <w:p>
            <w:pPr>
              <w:pStyle w:val="Compact"/>
              <w:jc w:val="left"/>
            </w:pPr>
            <w:r>
              <w:t xml:space="preserve">§1.3</w:t>
            </w:r>
          </w:p>
        </w:tc>
        <w:tc>
          <w:tcPr/>
          <w:p>
            <w:pPr>
              <w:pStyle w:val="Compact"/>
              <w:jc w:val="left"/>
            </w:pPr>
            <w:r>
              <w:t xml:space="preserve">Marriage-preservation recital added</w:t>
            </w:r>
          </w:p>
        </w:tc>
        <w:tc>
          <w:tcPr/>
          <w:p>
            <w:pPr>
              <w:pStyle w:val="Compact"/>
              <w:jc w:val="left"/>
            </w:pPr>
            <w:r>
              <w:t xml:space="preserve">Non-operative; acceptable</w:t>
            </w:r>
          </w:p>
        </w:tc>
        <w:tc>
          <w:tcPr/>
          <w:p>
            <w:pPr>
              <w:pStyle w:val="Compact"/>
              <w:jc w:val="left"/>
            </w:pPr>
            <w:r>
              <w:t xml:space="preserve">None</w:t>
            </w:r>
          </w:p>
        </w:tc>
      </w:tr>
      <w:tr>
        <w:tc>
          <w:tcPr/>
          <w:p>
            <w:pPr>
              <w:pStyle w:val="Compact"/>
              <w:jc w:val="left"/>
            </w:pPr>
            <w:r>
              <w:t xml:space="preserve">TC-05</w:t>
            </w:r>
          </w:p>
        </w:tc>
        <w:tc>
          <w:tcPr/>
          <w:p>
            <w:pPr>
              <w:pStyle w:val="Compact"/>
              <w:jc w:val="left"/>
            </w:pPr>
            <w:r>
              <w:t xml:space="preserve">§1.4</w:t>
            </w:r>
          </w:p>
        </w:tc>
        <w:tc>
          <w:tcPr/>
          <w:p>
            <w:pPr>
              <w:pStyle w:val="Compact"/>
              <w:jc w:val="left"/>
            </w:pPr>
            <w:r>
              <w:t xml:space="preserve">Counsel address formatting</w:t>
            </w:r>
          </w:p>
        </w:tc>
        <w:tc>
          <w:tcPr/>
          <w:p>
            <w:pPr>
              <w:pStyle w:val="Compact"/>
              <w:jc w:val="left"/>
            </w:pPr>
            <w:r>
              <w:t xml:space="preserve">Administrative</w:t>
            </w:r>
          </w:p>
        </w:tc>
        <w:tc>
          <w:tcPr/>
          <w:p>
            <w:pPr>
              <w:pStyle w:val="Compact"/>
              <w:jc w:val="left"/>
            </w:pPr>
            <w:r>
              <w:t xml:space="preserve">None</w:t>
            </w:r>
          </w:p>
        </w:tc>
      </w:tr>
      <w:tr>
        <w:tc>
          <w:tcPr/>
          <w:p>
            <w:pPr>
              <w:pStyle w:val="Compact"/>
              <w:jc w:val="left"/>
            </w:pPr>
            <w:r>
              <w:t xml:space="preserve">TC-06</w:t>
            </w:r>
          </w:p>
        </w:tc>
        <w:tc>
          <w:tcPr/>
          <w:p>
            <w:pPr>
              <w:pStyle w:val="Compact"/>
              <w:jc w:val="left"/>
            </w:pPr>
            <w:r>
              <w:t xml:space="preserve">§1.5</w:t>
            </w:r>
          </w:p>
        </w:tc>
        <w:tc>
          <w:tcPr/>
          <w:p>
            <w:pPr>
              <w:pStyle w:val="Compact"/>
              <w:jc w:val="left"/>
            </w:pPr>
            <w:r>
              <w:t xml:space="preserve">“</w:t>
            </w:r>
            <w:r>
              <w:t xml:space="preserve">substantially full</w:t>
            </w:r>
            <w:r>
              <w:t xml:space="preserve">”</w:t>
            </w:r>
            <w:r>
              <w:t xml:space="preserve"> </w:t>
            </w:r>
            <w:r>
              <w:t xml:space="preserve">disclosure</w:t>
            </w:r>
          </w:p>
        </w:tc>
        <w:tc>
          <w:tcPr/>
          <w:p>
            <w:pPr>
              <w:pStyle w:val="Compact"/>
              <w:jc w:val="left"/>
            </w:pPr>
            <w:r>
              <w:t xml:space="preserve">Weakens disclosure representation</w:t>
            </w:r>
          </w:p>
        </w:tc>
        <w:tc>
          <w:tcPr/>
          <w:p>
            <w:pPr>
              <w:pStyle w:val="Compact"/>
              <w:jc w:val="left"/>
            </w:pPr>
            <w:r>
              <w:t xml:space="preserve">High</w:t>
            </w:r>
          </w:p>
        </w:tc>
      </w:tr>
      <w:tr>
        <w:tc>
          <w:tcPr/>
          <w:p>
            <w:pPr>
              <w:pStyle w:val="Compact"/>
              <w:jc w:val="left"/>
            </w:pPr>
            <w:r>
              <w:t xml:space="preserve">TC-07</w:t>
            </w:r>
          </w:p>
        </w:tc>
        <w:tc>
          <w:tcPr/>
          <w:p>
            <w:pPr>
              <w:pStyle w:val="Compact"/>
              <w:jc w:val="left"/>
            </w:pPr>
            <w:r>
              <w:t xml:space="preserve">§2.1(a)</w:t>
            </w:r>
          </w:p>
        </w:tc>
        <w:tc>
          <w:tcPr/>
          <w:p>
            <w:pPr>
              <w:pStyle w:val="Compact"/>
              <w:jc w:val="left"/>
            </w:pPr>
            <w:r>
              <w:t xml:space="preserve">“</w:t>
            </w:r>
            <w:r>
              <w:t xml:space="preserve">Agreement</w:t>
            </w:r>
            <w:r>
              <w:t xml:space="preserve">”</w:t>
            </w:r>
            <w:r>
              <w:t xml:space="preserve"> </w:t>
            </w:r>
            <w:r>
              <w:t xml:space="preserve">definition reworded</w:t>
            </w:r>
          </w:p>
        </w:tc>
        <w:tc>
          <w:tcPr/>
          <w:p>
            <w:pPr>
              <w:pStyle w:val="Compact"/>
              <w:jc w:val="left"/>
            </w:pPr>
            <w:r>
              <w:t xml:space="preserve">Substantively similar</w:t>
            </w:r>
          </w:p>
        </w:tc>
        <w:tc>
          <w:tcPr/>
          <w:p>
            <w:pPr>
              <w:pStyle w:val="Compact"/>
              <w:jc w:val="left"/>
            </w:pPr>
            <w:r>
              <w:t xml:space="preserve">None</w:t>
            </w:r>
          </w:p>
        </w:tc>
      </w:tr>
      <w:tr>
        <w:tc>
          <w:tcPr/>
          <w:p>
            <w:pPr>
              <w:pStyle w:val="Compact"/>
              <w:jc w:val="left"/>
            </w:pPr>
            <w:r>
              <w:t xml:space="preserve">TC-08</w:t>
            </w:r>
          </w:p>
        </w:tc>
        <w:tc>
          <w:tcPr/>
          <w:p>
            <w:pPr>
              <w:pStyle w:val="Compact"/>
              <w:jc w:val="left"/>
            </w:pPr>
            <w:r>
              <w:t xml:space="preserve">§2.1(b)</w:t>
            </w:r>
          </w:p>
        </w:tc>
        <w:tc>
          <w:tcPr/>
          <w:p>
            <w:pPr>
              <w:pStyle w:val="Compact"/>
              <w:jc w:val="left"/>
            </w:pPr>
            <w:r>
              <w:t xml:space="preserve">Marital Property narrowed to</w:t>
            </w:r>
            <w:r>
              <w:t xml:space="preserve"> </w:t>
            </w:r>
            <w:r>
              <w:t xml:space="preserve">“</w:t>
            </w:r>
            <w:r>
              <w:t xml:space="preserve">Earned Income or joint efforts</w:t>
            </w:r>
            <w:r>
              <w:t xml:space="preserve">”</w:t>
            </w:r>
          </w:p>
        </w:tc>
        <w:tc>
          <w:tcPr/>
          <w:p>
            <w:pPr>
              <w:pStyle w:val="Compact"/>
              <w:jc w:val="left"/>
            </w:pPr>
            <w:r>
              <w:t xml:space="preserve">Narrows marital estate</w:t>
            </w:r>
          </w:p>
        </w:tc>
        <w:tc>
          <w:tcPr/>
          <w:p>
            <w:pPr>
              <w:pStyle w:val="Compact"/>
              <w:jc w:val="left"/>
            </w:pPr>
            <w:r>
              <w:t xml:space="preserve">Critical</w:t>
            </w:r>
          </w:p>
        </w:tc>
      </w:tr>
      <w:tr>
        <w:tc>
          <w:tcPr/>
          <w:p>
            <w:pPr>
              <w:pStyle w:val="Compact"/>
              <w:jc w:val="left"/>
            </w:pPr>
            <w:r>
              <w:t xml:space="preserve">TC-09</w:t>
            </w:r>
          </w:p>
        </w:tc>
        <w:tc>
          <w:tcPr/>
          <w:p>
            <w:pPr>
              <w:pStyle w:val="Compact"/>
              <w:jc w:val="left"/>
            </w:pPr>
            <w:r>
              <w:t xml:space="preserve">§2.1(c)</w:t>
            </w:r>
          </w:p>
        </w:tc>
        <w:tc>
          <w:tcPr/>
          <w:p>
            <w:pPr>
              <w:pStyle w:val="Compact"/>
              <w:jc w:val="left"/>
            </w:pPr>
            <w:r>
              <w:t xml:space="preserve">Separate Property definition reworded; removes commingling caveat</w:t>
            </w:r>
          </w:p>
        </w:tc>
        <w:tc>
          <w:tcPr/>
          <w:p>
            <w:pPr>
              <w:pStyle w:val="Compact"/>
              <w:jc w:val="left"/>
            </w:pPr>
            <w:r>
              <w:t xml:space="preserve">More protective of separate property</w:t>
            </w:r>
          </w:p>
        </w:tc>
        <w:tc>
          <w:tcPr/>
          <w:p>
            <w:pPr>
              <w:pStyle w:val="Compact"/>
              <w:jc w:val="left"/>
            </w:pPr>
            <w:r>
              <w:t xml:space="preserve">High</w:t>
            </w:r>
          </w:p>
        </w:tc>
      </w:tr>
      <w:tr>
        <w:tc>
          <w:tcPr/>
          <w:p>
            <w:pPr>
              <w:pStyle w:val="Compact"/>
              <w:jc w:val="left"/>
            </w:pPr>
            <w:r>
              <w:t xml:space="preserve">TC-10 / MC-02</w:t>
            </w:r>
          </w:p>
        </w:tc>
        <w:tc>
          <w:tcPr/>
          <w:p>
            <w:pPr>
              <w:pStyle w:val="Compact"/>
              <w:jc w:val="left"/>
            </w:pPr>
            <w:r>
              <w:t xml:space="preserve">§2.1(d)</w:t>
            </w:r>
          </w:p>
        </w:tc>
        <w:tc>
          <w:tcPr/>
          <w:p>
            <w:pPr>
              <w:pStyle w:val="Compact"/>
              <w:jc w:val="left"/>
            </w:pPr>
            <w:r>
              <w:t xml:space="preserve">New</w:t>
            </w:r>
            <w:r>
              <w:t xml:space="preserve"> </w:t>
            </w:r>
            <w:r>
              <w:t xml:space="preserve">“</w:t>
            </w:r>
            <w:r>
              <w:t xml:space="preserve">Earned Income</w:t>
            </w:r>
            <w:r>
              <w:t xml:space="preserve">”</w:t>
            </w:r>
            <w:r>
              <w:t xml:space="preserve"> </w:t>
            </w:r>
            <w:r>
              <w:t xml:space="preserve">excludes bonuses/RSUs/equity</w:t>
            </w:r>
          </w:p>
        </w:tc>
        <w:tc>
          <w:tcPr/>
          <w:p>
            <w:pPr>
              <w:pStyle w:val="Compact"/>
              <w:jc w:val="left"/>
            </w:pPr>
            <w:r>
              <w:t xml:space="preserve">Narrows marital estate &amp; maintenance base</w:t>
            </w:r>
          </w:p>
        </w:tc>
        <w:tc>
          <w:tcPr/>
          <w:p>
            <w:pPr>
              <w:pStyle w:val="Compact"/>
              <w:jc w:val="left"/>
            </w:pPr>
            <w:r>
              <w:t xml:space="preserve">Critical</w:t>
            </w:r>
          </w:p>
        </w:tc>
      </w:tr>
      <w:tr>
        <w:tc>
          <w:tcPr/>
          <w:p>
            <w:pPr>
              <w:pStyle w:val="Compact"/>
              <w:jc w:val="left"/>
            </w:pPr>
            <w:r>
              <w:t xml:space="preserve">TC-11</w:t>
            </w:r>
          </w:p>
        </w:tc>
        <w:tc>
          <w:tcPr/>
          <w:p>
            <w:pPr>
              <w:pStyle w:val="Compact"/>
              <w:jc w:val="left"/>
            </w:pPr>
            <w:r>
              <w:t xml:space="preserve">§2.1(e)</w:t>
            </w:r>
          </w:p>
        </w:tc>
        <w:tc>
          <w:tcPr/>
          <w:p>
            <w:pPr>
              <w:pStyle w:val="Compact"/>
              <w:jc w:val="left"/>
            </w:pPr>
            <w:r>
              <w:t xml:space="preserve">“</w:t>
            </w:r>
            <w:r>
              <w:t xml:space="preserve">Dissolution</w:t>
            </w:r>
            <w:r>
              <w:t xml:space="preserve">”</w:t>
            </w:r>
            <w:r>
              <w:t xml:space="preserve"> </w:t>
            </w:r>
            <w:r>
              <w:t xml:space="preserve">reworded</w:t>
            </w:r>
          </w:p>
        </w:tc>
        <w:tc>
          <w:tcPr/>
          <w:p>
            <w:pPr>
              <w:pStyle w:val="Compact"/>
              <w:jc w:val="left"/>
            </w:pPr>
            <w:r>
              <w:t xml:space="preserve">Substantively similar</w:t>
            </w:r>
          </w:p>
        </w:tc>
        <w:tc>
          <w:tcPr/>
          <w:p>
            <w:pPr>
              <w:pStyle w:val="Compact"/>
              <w:jc w:val="left"/>
            </w:pPr>
            <w:r>
              <w:t xml:space="preserve">None</w:t>
            </w:r>
          </w:p>
        </w:tc>
      </w:tr>
      <w:tr>
        <w:tc>
          <w:tcPr/>
          <w:p>
            <w:pPr>
              <w:pStyle w:val="Compact"/>
              <w:jc w:val="left"/>
            </w:pPr>
            <w:r>
              <w:t xml:space="preserve">TC-12</w:t>
            </w:r>
          </w:p>
        </w:tc>
        <w:tc>
          <w:tcPr/>
          <w:p>
            <w:pPr>
              <w:pStyle w:val="Compact"/>
              <w:jc w:val="left"/>
            </w:pPr>
            <w:r>
              <w:t xml:space="preserve">§2.1(f)</w:t>
            </w:r>
          </w:p>
        </w:tc>
        <w:tc>
          <w:tcPr/>
          <w:p>
            <w:pPr>
              <w:pStyle w:val="Compact"/>
              <w:jc w:val="left"/>
            </w:pPr>
            <w:r>
              <w:t xml:space="preserve">Effective Date requires witnesses/notary</w:t>
            </w:r>
          </w:p>
        </w:tc>
        <w:tc>
          <w:tcPr/>
          <w:p>
            <w:pPr>
              <w:pStyle w:val="Compact"/>
              <w:jc w:val="left"/>
            </w:pPr>
            <w:r>
              <w:t xml:space="preserve">Aligns with execution block</w:t>
            </w:r>
          </w:p>
        </w:tc>
        <w:tc>
          <w:tcPr/>
          <w:p>
            <w:pPr>
              <w:pStyle w:val="Compact"/>
              <w:jc w:val="left"/>
            </w:pPr>
            <w:r>
              <w:t xml:space="preserve">None</w:t>
            </w:r>
          </w:p>
        </w:tc>
      </w:tr>
      <w:tr>
        <w:tc>
          <w:tcPr/>
          <w:p>
            <w:pPr>
              <w:pStyle w:val="Compact"/>
              <w:jc w:val="left"/>
            </w:pPr>
            <w:r>
              <w:t xml:space="preserve">TC-13</w:t>
            </w:r>
          </w:p>
        </w:tc>
        <w:tc>
          <w:tcPr/>
          <w:p>
            <w:pPr>
              <w:pStyle w:val="Compact"/>
              <w:jc w:val="left"/>
            </w:pPr>
            <w:r>
              <w:t xml:space="preserve">§2.1(g)</w:t>
            </w:r>
          </w:p>
        </w:tc>
        <w:tc>
          <w:tcPr/>
          <w:p>
            <w:pPr>
              <w:pStyle w:val="Compact"/>
              <w:jc w:val="left"/>
            </w:pPr>
            <w:r>
              <w:t xml:space="preserve">New</w:t>
            </w:r>
            <w:r>
              <w:t xml:space="preserve"> </w:t>
            </w:r>
            <w:r>
              <w:t xml:space="preserve">“</w:t>
            </w:r>
            <w:r>
              <w:t xml:space="preserve">Net Worth</w:t>
            </w:r>
            <w:r>
              <w:t xml:space="preserve">”</w:t>
            </w:r>
            <w:r>
              <w:t xml:space="preserve"> </w:t>
            </w:r>
            <w:r>
              <w:t xml:space="preserve">definition</w:t>
            </w:r>
          </w:p>
        </w:tc>
        <w:tc>
          <w:tcPr/>
          <w:p>
            <w:pPr>
              <w:pStyle w:val="Compact"/>
              <w:jc w:val="left"/>
            </w:pPr>
            <w:r>
              <w:t xml:space="preserve">Unused; minor</w:t>
            </w:r>
          </w:p>
        </w:tc>
        <w:tc>
          <w:tcPr/>
          <w:p>
            <w:pPr>
              <w:pStyle w:val="Compact"/>
              <w:jc w:val="left"/>
            </w:pPr>
            <w:r>
              <w:t xml:space="preserve">Low</w:t>
            </w:r>
          </w:p>
        </w:tc>
      </w:tr>
      <w:tr>
        <w:tc>
          <w:tcPr/>
          <w:p>
            <w:pPr>
              <w:pStyle w:val="Compact"/>
              <w:jc w:val="left"/>
            </w:pPr>
            <w:r>
              <w:t xml:space="preserve">TC-14</w:t>
            </w:r>
          </w:p>
        </w:tc>
        <w:tc>
          <w:tcPr/>
          <w:p>
            <w:pPr>
              <w:pStyle w:val="Compact"/>
              <w:jc w:val="left"/>
            </w:pPr>
            <w:r>
              <w:t xml:space="preserve">§2.1(h)</w:t>
            </w:r>
          </w:p>
        </w:tc>
        <w:tc>
          <w:tcPr/>
          <w:p>
            <w:pPr>
              <w:pStyle w:val="Compact"/>
              <w:jc w:val="left"/>
            </w:pPr>
            <w:r>
              <w:t xml:space="preserve">“</w:t>
            </w:r>
            <w:r>
              <w:t xml:space="preserve">Children</w:t>
            </w:r>
            <w:r>
              <w:t xml:space="preserve">”</w:t>
            </w:r>
            <w:r>
              <w:t xml:space="preserve"> </w:t>
            </w:r>
            <w:r>
              <w:t xml:space="preserve">defined; birth dates changed</w:t>
            </w:r>
          </w:p>
        </w:tc>
        <w:tc>
          <w:tcPr/>
          <w:p>
            <w:pPr>
              <w:pStyle w:val="Compact"/>
              <w:jc w:val="left"/>
            </w:pPr>
            <w:r>
              <w:t xml:space="preserve">Verify birth dates</w:t>
            </w:r>
          </w:p>
        </w:tc>
        <w:tc>
          <w:tcPr/>
          <w:p>
            <w:pPr>
              <w:pStyle w:val="Compact"/>
              <w:jc w:val="left"/>
            </w:pPr>
            <w:r>
              <w:t xml:space="preserve">Medium</w:t>
            </w:r>
          </w:p>
        </w:tc>
      </w:tr>
      <w:tr>
        <w:tc>
          <w:tcPr/>
          <w:p>
            <w:pPr>
              <w:pStyle w:val="Compact"/>
              <w:jc w:val="left"/>
            </w:pPr>
            <w:r>
              <w:t xml:space="preserve">TC-15</w:t>
            </w:r>
          </w:p>
        </w:tc>
        <w:tc>
          <w:tcPr/>
          <w:p>
            <w:pPr>
              <w:pStyle w:val="Compact"/>
              <w:jc w:val="left"/>
            </w:pPr>
            <w:r>
              <w:t xml:space="preserve">§3.1(d)</w:t>
            </w:r>
          </w:p>
        </w:tc>
        <w:tc>
          <w:tcPr/>
          <w:p>
            <w:pPr>
              <w:pStyle w:val="Compact"/>
              <w:jc w:val="left"/>
            </w:pPr>
            <w:r>
              <w:t xml:space="preserve">“</w:t>
            </w:r>
            <w:r>
              <w:t xml:space="preserve">generally satisfied</w:t>
            </w:r>
            <w:r>
              <w:t xml:space="preserve">”</w:t>
            </w:r>
            <w:r>
              <w:t xml:space="preserve"> </w:t>
            </w:r>
            <w:r>
              <w:t xml:space="preserve">with disclosure</w:t>
            </w:r>
          </w:p>
        </w:tc>
        <w:tc>
          <w:tcPr/>
          <w:p>
            <w:pPr>
              <w:pStyle w:val="Compact"/>
              <w:jc w:val="left"/>
            </w:pPr>
            <w:r>
              <w:t xml:space="preserve">Weakens disclosure acknowledgment</w:t>
            </w:r>
          </w:p>
        </w:tc>
        <w:tc>
          <w:tcPr/>
          <w:p>
            <w:pPr>
              <w:pStyle w:val="Compact"/>
              <w:jc w:val="left"/>
            </w:pPr>
            <w:r>
              <w:t xml:space="preserve">High</w:t>
            </w:r>
          </w:p>
        </w:tc>
      </w:tr>
      <w:tr>
        <w:tc>
          <w:tcPr/>
          <w:p>
            <w:pPr>
              <w:pStyle w:val="Compact"/>
              <w:jc w:val="left"/>
            </w:pPr>
            <w:r>
              <w:t xml:space="preserve">TC-16</w:t>
            </w:r>
          </w:p>
        </w:tc>
        <w:tc>
          <w:tcPr/>
          <w:p>
            <w:pPr>
              <w:pStyle w:val="Compact"/>
              <w:jc w:val="left"/>
            </w:pPr>
            <w:r>
              <w:t xml:space="preserve">§4.1</w:t>
            </w:r>
          </w:p>
        </w:tc>
        <w:tc>
          <w:tcPr/>
          <w:p>
            <w:pPr>
              <w:pStyle w:val="Compact"/>
              <w:jc w:val="left"/>
            </w:pPr>
            <w:r>
              <w:t xml:space="preserve">Premarital savings</w:t>
            </w:r>
            <w:r>
              <w:t xml:space="preserve"> </w:t>
            </w:r>
            <w:r>
              <w:t xml:space="preserve">“</w:t>
            </w:r>
            <w:r>
              <w:t xml:space="preserve">treated as Marital Property</w:t>
            </w:r>
            <w:r>
              <w:t xml:space="preserve">”</w:t>
            </w:r>
            <w:r>
              <w:t xml:space="preserve"> </w:t>
            </w:r>
            <w:r>
              <w:t xml:space="preserve">per §5.1</w:t>
            </w:r>
          </w:p>
        </w:tc>
        <w:tc>
          <w:tcPr/>
          <w:p>
            <w:pPr>
              <w:pStyle w:val="Compact"/>
              <w:jc w:val="left"/>
            </w:pPr>
            <w:r>
              <w:t xml:space="preserve">Removes reimbursement cross-ref</w:t>
            </w:r>
          </w:p>
        </w:tc>
        <w:tc>
          <w:tcPr/>
          <w:p>
            <w:pPr>
              <w:pStyle w:val="Compact"/>
              <w:jc w:val="left"/>
            </w:pPr>
            <w:r>
              <w:t xml:space="preserve">Critical</w:t>
            </w:r>
          </w:p>
        </w:tc>
      </w:tr>
      <w:tr>
        <w:tc>
          <w:tcPr/>
          <w:p>
            <w:pPr>
              <w:pStyle w:val="Compact"/>
              <w:jc w:val="left"/>
            </w:pPr>
            <w:r>
              <w:t xml:space="preserve">TC-17</w:t>
            </w:r>
          </w:p>
        </w:tc>
        <w:tc>
          <w:tcPr/>
          <w:p>
            <w:pPr>
              <w:pStyle w:val="Compact"/>
              <w:jc w:val="left"/>
            </w:pPr>
            <w:r>
              <w:t xml:space="preserve">§4.2(a)</w:t>
            </w:r>
          </w:p>
        </w:tc>
        <w:tc>
          <w:tcPr/>
          <w:p>
            <w:pPr>
              <w:pStyle w:val="Compact"/>
              <w:jc w:val="left"/>
            </w:pPr>
            <w:r>
              <w:t xml:space="preserve">Door County Property</w:t>
            </w:r>
          </w:p>
        </w:tc>
        <w:tc>
          <w:tcPr/>
          <w:p>
            <w:pPr>
              <w:pStyle w:val="Compact"/>
              <w:jc w:val="left"/>
            </w:pPr>
            <w:r>
              <w:t xml:space="preserve">Substantively similar</w:t>
            </w:r>
          </w:p>
        </w:tc>
        <w:tc>
          <w:tcPr/>
          <w:p>
            <w:pPr>
              <w:pStyle w:val="Compact"/>
              <w:jc w:val="left"/>
            </w:pPr>
            <w:r>
              <w:t xml:space="preserve">None</w:t>
            </w:r>
          </w:p>
        </w:tc>
      </w:tr>
      <w:tr>
        <w:tc>
          <w:tcPr/>
          <w:p>
            <w:pPr>
              <w:pStyle w:val="Compact"/>
              <w:jc w:val="left"/>
            </w:pPr>
            <w:r>
              <w:t xml:space="preserve">TC-18 / MC-03</w:t>
            </w:r>
          </w:p>
        </w:tc>
        <w:tc>
          <w:tcPr/>
          <w:p>
            <w:pPr>
              <w:pStyle w:val="Compact"/>
              <w:jc w:val="left"/>
            </w:pPr>
            <w:r>
              <w:t xml:space="preserve">§4.3(b)</w:t>
            </w:r>
          </w:p>
        </w:tc>
        <w:tc>
          <w:tcPr/>
          <w:p>
            <w:pPr>
              <w:pStyle w:val="Compact"/>
              <w:jc w:val="left"/>
            </w:pPr>
            <w:r>
              <w:t xml:space="preserve">Commingling consequence made discretionary</w:t>
            </w:r>
          </w:p>
        </w:tc>
        <w:tc>
          <w:tcPr/>
          <w:p>
            <w:pPr>
              <w:pStyle w:val="Compact"/>
              <w:jc w:val="left"/>
            </w:pPr>
            <w:r>
              <w:t xml:space="preserve">Softens commingling; protects separate property</w:t>
            </w:r>
          </w:p>
        </w:tc>
        <w:tc>
          <w:tcPr/>
          <w:p>
            <w:pPr>
              <w:pStyle w:val="Compact"/>
              <w:jc w:val="left"/>
            </w:pPr>
            <w:r>
              <w:t xml:space="preserve">High</w:t>
            </w:r>
          </w:p>
        </w:tc>
      </w:tr>
      <w:tr>
        <w:tc>
          <w:tcPr/>
          <w:p>
            <w:pPr>
              <w:pStyle w:val="Compact"/>
              <w:jc w:val="left"/>
            </w:pPr>
            <w:r>
              <w:t xml:space="preserve">TC-19 / MC-04</w:t>
            </w:r>
          </w:p>
        </w:tc>
        <w:tc>
          <w:tcPr/>
          <w:p>
            <w:pPr>
              <w:pStyle w:val="Compact"/>
              <w:jc w:val="left"/>
            </w:pPr>
            <w:r>
              <w:t xml:space="preserve">§4.3(c)</w:t>
            </w:r>
          </w:p>
        </w:tc>
        <w:tc>
          <w:tcPr/>
          <w:p>
            <w:pPr>
              <w:pStyle w:val="Compact"/>
              <w:jc w:val="left"/>
            </w:pPr>
            <w:r>
              <w:t xml:space="preserve">Reverses transmutation; household use retains separate character</w:t>
            </w:r>
          </w:p>
        </w:tc>
        <w:tc>
          <w:tcPr/>
          <w:p>
            <w:pPr>
              <w:pStyle w:val="Compact"/>
              <w:jc w:val="left"/>
            </w:pPr>
            <w:r>
              <w:t xml:space="preserve">Protects Husband’s inheritance; adverse</w:t>
            </w:r>
          </w:p>
        </w:tc>
        <w:tc>
          <w:tcPr/>
          <w:p>
            <w:pPr>
              <w:pStyle w:val="Compact"/>
              <w:jc w:val="left"/>
            </w:pPr>
            <w:r>
              <w:t xml:space="preserve">Critical</w:t>
            </w:r>
          </w:p>
        </w:tc>
      </w:tr>
      <w:tr>
        <w:tc>
          <w:tcPr/>
          <w:p>
            <w:pPr>
              <w:pStyle w:val="Compact"/>
              <w:jc w:val="left"/>
            </w:pPr>
            <w:r>
              <w:t xml:space="preserve">TC-20</w:t>
            </w:r>
          </w:p>
        </w:tc>
        <w:tc>
          <w:tcPr/>
          <w:p>
            <w:pPr>
              <w:pStyle w:val="Compact"/>
              <w:jc w:val="left"/>
            </w:pPr>
            <w:r>
              <w:t xml:space="preserve">§5.1(d)</w:t>
            </w:r>
          </w:p>
        </w:tc>
        <w:tc>
          <w:tcPr/>
          <w:p>
            <w:pPr>
              <w:pStyle w:val="Compact"/>
              <w:jc w:val="left"/>
            </w:pPr>
            <w:r>
              <w:t xml:space="preserve">Joint account; account no. -3961</w:t>
            </w:r>
          </w:p>
        </w:tc>
        <w:tc>
          <w:tcPr/>
          <w:p>
            <w:pPr>
              <w:pStyle w:val="Compact"/>
              <w:jc w:val="left"/>
            </w:pPr>
            <w:r>
              <w:t xml:space="preserve">Account no. conflicts with disclosure (-3291)</w:t>
            </w:r>
          </w:p>
        </w:tc>
        <w:tc>
          <w:tcPr/>
          <w:p>
            <w:pPr>
              <w:pStyle w:val="Compact"/>
              <w:jc w:val="left"/>
            </w:pPr>
            <w:r>
              <w:t xml:space="preserve">Medium</w:t>
            </w:r>
          </w:p>
        </w:tc>
      </w:tr>
      <w:tr>
        <w:tc>
          <w:tcPr/>
          <w:p>
            <w:pPr>
              <w:pStyle w:val="Compact"/>
              <w:jc w:val="left"/>
            </w:pPr>
            <w:r>
              <w:t xml:space="preserve">TC-21</w:t>
            </w:r>
          </w:p>
        </w:tc>
        <w:tc>
          <w:tcPr/>
          <w:p>
            <w:pPr>
              <w:pStyle w:val="Compact"/>
              <w:jc w:val="left"/>
            </w:pPr>
            <w:r>
              <w:t xml:space="preserve">§5.1</w:t>
            </w:r>
          </w:p>
        </w:tc>
        <w:tc>
          <w:tcPr/>
          <w:p>
            <w:pPr>
              <w:pStyle w:val="Compact"/>
              <w:jc w:val="left"/>
            </w:pPr>
            <w:r>
              <w:t xml:space="preserve">Marital Property list narrowed; drops broad income/equity language</w:t>
            </w:r>
          </w:p>
        </w:tc>
        <w:tc>
          <w:tcPr/>
          <w:p>
            <w:pPr>
              <w:pStyle w:val="Compact"/>
              <w:jc w:val="left"/>
            </w:pPr>
            <w:r>
              <w:t xml:space="preserve">Narrows marital estate</w:t>
            </w:r>
          </w:p>
        </w:tc>
        <w:tc>
          <w:tcPr/>
          <w:p>
            <w:pPr>
              <w:pStyle w:val="Compact"/>
              <w:jc w:val="left"/>
            </w:pPr>
            <w:r>
              <w:t xml:space="preserve">High</w:t>
            </w:r>
          </w:p>
        </w:tc>
      </w:tr>
      <w:tr>
        <w:tc>
          <w:tcPr/>
          <w:p>
            <w:pPr>
              <w:pStyle w:val="Compact"/>
              <w:jc w:val="left"/>
            </w:pPr>
            <w:r>
              <w:t xml:space="preserve">TC-22 / MC-05</w:t>
            </w:r>
          </w:p>
        </w:tc>
        <w:tc>
          <w:tcPr/>
          <w:p>
            <w:pPr>
              <w:pStyle w:val="Compact"/>
              <w:jc w:val="left"/>
            </w:pPr>
            <w:r>
              <w:t xml:space="preserve">§5.2</w:t>
            </w:r>
          </w:p>
        </w:tc>
        <w:tc>
          <w:tcPr/>
          <w:p>
            <w:pPr>
              <w:pStyle w:val="Compact"/>
              <w:jc w:val="left"/>
            </w:pPr>
            <w:r>
              <w:rPr>
                <w:b/>
                <w:bCs/>
              </w:rPr>
              <w:t xml:space="preserve">Deletes premarital reimbursement</w:t>
            </w:r>
          </w:p>
        </w:tc>
        <w:tc>
          <w:tcPr/>
          <w:p>
            <w:pPr>
              <w:pStyle w:val="Compact"/>
              <w:jc w:val="left"/>
            </w:pPr>
            <w:r>
              <w:t xml:space="preserve">$600,000 transfer Wife→Husband</w:t>
            </w:r>
          </w:p>
        </w:tc>
        <w:tc>
          <w:tcPr/>
          <w:p>
            <w:pPr>
              <w:pStyle w:val="Compact"/>
              <w:jc w:val="left"/>
            </w:pPr>
            <w:r>
              <w:t xml:space="preserve">Critical</w:t>
            </w:r>
          </w:p>
        </w:tc>
      </w:tr>
      <w:tr>
        <w:tc>
          <w:tcPr/>
          <w:p>
            <w:pPr>
              <w:pStyle w:val="Compact"/>
              <w:jc w:val="left"/>
            </w:pPr>
            <w:r>
              <w:t xml:space="preserve">TC-23</w:t>
            </w:r>
          </w:p>
        </w:tc>
        <w:tc>
          <w:tcPr/>
          <w:p>
            <w:pPr>
              <w:pStyle w:val="Compact"/>
              <w:jc w:val="left"/>
            </w:pPr>
            <w:r>
              <w:t xml:space="preserve">§5.2</w:t>
            </w:r>
          </w:p>
        </w:tc>
        <w:tc>
          <w:tcPr/>
          <w:p>
            <w:pPr>
              <w:pStyle w:val="Compact"/>
              <w:jc w:val="left"/>
            </w:pPr>
            <w:r>
              <w:t xml:space="preserve">Renumbering</w:t>
            </w:r>
          </w:p>
        </w:tc>
        <w:tc>
          <w:tcPr/>
          <w:p>
            <w:pPr>
              <w:pStyle w:val="Compact"/>
              <w:jc w:val="left"/>
            </w:pPr>
            <w:r>
              <w:t xml:space="preserve">Administrative</w:t>
            </w:r>
          </w:p>
        </w:tc>
        <w:tc>
          <w:tcPr/>
          <w:p>
            <w:pPr>
              <w:pStyle w:val="Compact"/>
              <w:jc w:val="left"/>
            </w:pPr>
            <w:r>
              <w:t xml:space="preserve">None</w:t>
            </w:r>
          </w:p>
        </w:tc>
      </w:tr>
      <w:tr>
        <w:tc>
          <w:tcPr/>
          <w:p>
            <w:pPr>
              <w:pStyle w:val="Compact"/>
              <w:jc w:val="left"/>
            </w:pPr>
            <w:r>
              <w:t xml:space="preserve">TC-24</w:t>
            </w:r>
          </w:p>
        </w:tc>
        <w:tc>
          <w:tcPr/>
          <w:p>
            <w:pPr>
              <w:pStyle w:val="Compact"/>
              <w:jc w:val="left"/>
            </w:pPr>
            <w:r>
              <w:t xml:space="preserve">§5.2</w:t>
            </w:r>
          </w:p>
        </w:tc>
        <w:tc>
          <w:tcPr/>
          <w:p>
            <w:pPr>
              <w:pStyle w:val="Compact"/>
              <w:jc w:val="left"/>
            </w:pPr>
            <w:r>
              <w:t xml:space="preserve">Division; preserves court discretion</w:t>
            </w:r>
          </w:p>
        </w:tc>
        <w:tc>
          <w:tcPr/>
          <w:p>
            <w:pPr>
              <w:pStyle w:val="Compact"/>
              <w:jc w:val="left"/>
            </w:pPr>
            <w:r>
              <w:t xml:space="preserve">Reduces certainty</w:t>
            </w:r>
          </w:p>
        </w:tc>
        <w:tc>
          <w:tcPr/>
          <w:p>
            <w:pPr>
              <w:pStyle w:val="Compact"/>
              <w:jc w:val="left"/>
            </w:pPr>
            <w:r>
              <w:t xml:space="preserve">Low</w:t>
            </w:r>
          </w:p>
        </w:tc>
      </w:tr>
      <w:tr>
        <w:tc>
          <w:tcPr/>
          <w:p>
            <w:pPr>
              <w:pStyle w:val="Compact"/>
              <w:jc w:val="left"/>
            </w:pPr>
            <w:r>
              <w:t xml:space="preserve">TC-25 / MC-06</w:t>
            </w:r>
          </w:p>
        </w:tc>
        <w:tc>
          <w:tcPr/>
          <w:p>
            <w:pPr>
              <w:pStyle w:val="Compact"/>
              <w:jc w:val="left"/>
            </w:pPr>
            <w:r>
              <w:t xml:space="preserve">§6.1</w:t>
            </w:r>
          </w:p>
        </w:tc>
        <w:tc>
          <w:tcPr/>
          <w:p>
            <w:pPr>
              <w:pStyle w:val="Compact"/>
              <w:jc w:val="left"/>
            </w:pPr>
            <w:r>
              <w:t xml:space="preserve">Active/passive appreciation test</w:t>
            </w:r>
          </w:p>
        </w:tc>
        <w:tc>
          <w:tcPr/>
          <w:p>
            <w:pPr>
              <w:pStyle w:val="Compact"/>
              <w:jc w:val="left"/>
            </w:pPr>
            <w:r>
              <w:t xml:space="preserve">Strategic; see §V.G</w:t>
            </w:r>
          </w:p>
        </w:tc>
        <w:tc>
          <w:tcPr/>
          <w:p>
            <w:pPr>
              <w:pStyle w:val="Compact"/>
              <w:jc w:val="left"/>
            </w:pPr>
            <w:r>
              <w:t xml:space="preserve">Medium</w:t>
            </w:r>
          </w:p>
        </w:tc>
      </w:tr>
      <w:tr>
        <w:tc>
          <w:tcPr/>
          <w:p>
            <w:pPr>
              <w:pStyle w:val="Compact"/>
              <w:jc w:val="left"/>
            </w:pPr>
            <w:r>
              <w:t xml:space="preserve">TC-26</w:t>
            </w:r>
          </w:p>
        </w:tc>
        <w:tc>
          <w:tcPr/>
          <w:p>
            <w:pPr>
              <w:pStyle w:val="Compact"/>
              <w:jc w:val="left"/>
            </w:pPr>
            <w:r>
              <w:t xml:space="preserve">§6.2</w:t>
            </w:r>
          </w:p>
        </w:tc>
        <w:tc>
          <w:tcPr/>
          <w:p>
            <w:pPr>
              <w:pStyle w:val="Compact"/>
              <w:jc w:val="left"/>
            </w:pPr>
            <w:r>
              <w:t xml:space="preserve">Removes 30-day deadline &amp; court-appointment fallback</w:t>
            </w:r>
          </w:p>
        </w:tc>
        <w:tc>
          <w:tcPr/>
          <w:p>
            <w:pPr>
              <w:pStyle w:val="Compact"/>
              <w:jc w:val="left"/>
            </w:pPr>
            <w:r>
              <w:t xml:space="preserve">Valuation deadlock risk</w:t>
            </w:r>
          </w:p>
        </w:tc>
        <w:tc>
          <w:tcPr/>
          <w:p>
            <w:pPr>
              <w:pStyle w:val="Compact"/>
              <w:jc w:val="left"/>
            </w:pPr>
            <w:r>
              <w:t xml:space="preserve">Medium</w:t>
            </w:r>
          </w:p>
        </w:tc>
      </w:tr>
      <w:tr>
        <w:tc>
          <w:tcPr/>
          <w:p>
            <w:pPr>
              <w:pStyle w:val="Compact"/>
              <w:jc w:val="left"/>
            </w:pPr>
            <w:r>
              <w:t xml:space="preserve">TC-27 / MC-07</w:t>
            </w:r>
          </w:p>
        </w:tc>
        <w:tc>
          <w:tcPr/>
          <w:p>
            <w:pPr>
              <w:pStyle w:val="Compact"/>
              <w:jc w:val="left"/>
            </w:pPr>
            <w:r>
              <w:t xml:space="preserve">§7.1</w:t>
            </w:r>
          </w:p>
        </w:tc>
        <w:tc>
          <w:tcPr/>
          <w:p>
            <w:pPr>
              <w:pStyle w:val="Compact"/>
              <w:jc w:val="left"/>
            </w:pPr>
            <w:r>
              <w:t xml:space="preserve">Coverture fraction w/ hire-date denominator</w:t>
            </w:r>
          </w:p>
        </w:tc>
        <w:tc>
          <w:tcPr/>
          <w:p>
            <w:pPr>
              <w:pStyle w:val="Compact"/>
              <w:jc w:val="left"/>
            </w:pPr>
            <w:r>
              <w:t xml:space="preserve">Reduces Wife’s RSU share ~678 shares</w:t>
            </w:r>
          </w:p>
        </w:tc>
        <w:tc>
          <w:tcPr/>
          <w:p>
            <w:pPr>
              <w:pStyle w:val="Compact"/>
              <w:jc w:val="left"/>
            </w:pPr>
            <w:r>
              <w:t xml:space="preserve">High</w:t>
            </w:r>
          </w:p>
        </w:tc>
      </w:tr>
      <w:tr>
        <w:tc>
          <w:tcPr/>
          <w:p>
            <w:pPr>
              <w:pStyle w:val="Compact"/>
              <w:jc w:val="left"/>
            </w:pPr>
            <w:r>
              <w:t xml:space="preserve">TC-28</w:t>
            </w:r>
          </w:p>
        </w:tc>
        <w:tc>
          <w:tcPr/>
          <w:p>
            <w:pPr>
              <w:pStyle w:val="Compact"/>
              <w:jc w:val="left"/>
            </w:pPr>
            <w:r>
              <w:t xml:space="preserve">§7.2</w:t>
            </w:r>
          </w:p>
        </w:tc>
        <w:tc>
          <w:tcPr/>
          <w:p>
            <w:pPr>
              <w:pStyle w:val="Compact"/>
              <w:jc w:val="left"/>
            </w:pPr>
            <w:r>
              <w:t xml:space="preserve">Tax treatment reworded</w:t>
            </w:r>
          </w:p>
        </w:tc>
        <w:tc>
          <w:tcPr/>
          <w:p>
            <w:pPr>
              <w:pStyle w:val="Compact"/>
              <w:jc w:val="left"/>
            </w:pPr>
            <w:r>
              <w:t xml:space="preserve">Substantively similar</w:t>
            </w:r>
          </w:p>
        </w:tc>
        <w:tc>
          <w:tcPr/>
          <w:p>
            <w:pPr>
              <w:pStyle w:val="Compact"/>
              <w:jc w:val="left"/>
            </w:pPr>
            <w:r>
              <w:t xml:space="preserve">Low</w:t>
            </w:r>
          </w:p>
        </w:tc>
      </w:tr>
      <w:tr>
        <w:tc>
          <w:tcPr/>
          <w:p>
            <w:pPr>
              <w:pStyle w:val="Compact"/>
              <w:jc w:val="left"/>
            </w:pPr>
            <w:r>
              <w:t xml:space="preserve">TC-29</w:t>
            </w:r>
          </w:p>
        </w:tc>
        <w:tc>
          <w:tcPr/>
          <w:p>
            <w:pPr>
              <w:pStyle w:val="Compact"/>
              <w:jc w:val="left"/>
            </w:pPr>
            <w:r>
              <w:t xml:space="preserve">§8.1</w:t>
            </w:r>
          </w:p>
        </w:tc>
        <w:tc>
          <w:tcPr/>
          <w:p>
            <w:pPr>
              <w:pStyle w:val="Compact"/>
              <w:jc w:val="left"/>
            </w:pPr>
            <w:r>
              <w:t xml:space="preserve">Wife’s retirement as separate property</w:t>
            </w:r>
          </w:p>
        </w:tc>
        <w:tc>
          <w:tcPr/>
          <w:p>
            <w:pPr>
              <w:pStyle w:val="Compact"/>
              <w:jc w:val="left"/>
            </w:pPr>
            <w:r>
              <w:t xml:space="preserve">Favorable to Wife</w:t>
            </w:r>
          </w:p>
        </w:tc>
        <w:tc>
          <w:tcPr/>
          <w:p>
            <w:pPr>
              <w:pStyle w:val="Compact"/>
              <w:jc w:val="left"/>
            </w:pPr>
            <w:r>
              <w:t xml:space="preserve">None (accept)</w:t>
            </w:r>
          </w:p>
        </w:tc>
      </w:tr>
      <w:tr>
        <w:tc>
          <w:tcPr/>
          <w:p>
            <w:pPr>
              <w:pStyle w:val="Compact"/>
              <w:jc w:val="left"/>
            </w:pPr>
            <w:r>
              <w:t xml:space="preserve">TC-30</w:t>
            </w:r>
          </w:p>
        </w:tc>
        <w:tc>
          <w:tcPr/>
          <w:p>
            <w:pPr>
              <w:pStyle w:val="Compact"/>
              <w:jc w:val="left"/>
            </w:pPr>
            <w:r>
              <w:t xml:space="preserve">§8.2</w:t>
            </w:r>
          </w:p>
        </w:tc>
        <w:tc>
          <w:tcPr/>
          <w:p>
            <w:pPr>
              <w:pStyle w:val="Compact"/>
              <w:jc w:val="left"/>
            </w:pPr>
            <w:r>
              <w:t xml:space="preserve">Husband’s retirement as separate property</w:t>
            </w:r>
          </w:p>
        </w:tc>
        <w:tc>
          <w:tcPr/>
          <w:p>
            <w:pPr>
              <w:pStyle w:val="Compact"/>
              <w:jc w:val="left"/>
            </w:pPr>
            <w:r>
              <w:t xml:space="preserve">Symmetric</w:t>
            </w:r>
          </w:p>
        </w:tc>
        <w:tc>
          <w:tcPr/>
          <w:p>
            <w:pPr>
              <w:pStyle w:val="Compact"/>
              <w:jc w:val="left"/>
            </w:pPr>
            <w:r>
              <w:t xml:space="preserve">None (accept)</w:t>
            </w:r>
          </w:p>
        </w:tc>
      </w:tr>
      <w:tr>
        <w:tc>
          <w:tcPr/>
          <w:p>
            <w:pPr>
              <w:pStyle w:val="Compact"/>
              <w:jc w:val="left"/>
            </w:pPr>
            <w:r>
              <w:t xml:space="preserve">TC-31</w:t>
            </w:r>
          </w:p>
        </w:tc>
        <w:tc>
          <w:tcPr/>
          <w:p>
            <w:pPr>
              <w:pStyle w:val="Compact"/>
              <w:jc w:val="left"/>
            </w:pPr>
            <w:r>
              <w:t xml:space="preserve">§8.3</w:t>
            </w:r>
          </w:p>
        </w:tc>
        <w:tc>
          <w:tcPr/>
          <w:p>
            <w:pPr>
              <w:pStyle w:val="Compact"/>
              <w:jc w:val="left"/>
            </w:pPr>
            <w:r>
              <w:t xml:space="preserve">QDRO provision reworded</w:t>
            </w:r>
          </w:p>
        </w:tc>
        <w:tc>
          <w:tcPr/>
          <w:p>
            <w:pPr>
              <w:pStyle w:val="Compact"/>
              <w:jc w:val="left"/>
            </w:pPr>
            <w:r>
              <w:t xml:space="preserve">Substantively similar</w:t>
            </w:r>
          </w:p>
        </w:tc>
        <w:tc>
          <w:tcPr/>
          <w:p>
            <w:pPr>
              <w:pStyle w:val="Compact"/>
              <w:jc w:val="left"/>
            </w:pPr>
            <w:r>
              <w:t xml:space="preserve">None</w:t>
            </w:r>
          </w:p>
        </w:tc>
      </w:tr>
      <w:tr>
        <w:tc>
          <w:tcPr/>
          <w:p>
            <w:pPr>
              <w:pStyle w:val="Compact"/>
              <w:jc w:val="left"/>
            </w:pPr>
            <w:r>
              <w:t xml:space="preserve">TC-32</w:t>
            </w:r>
          </w:p>
        </w:tc>
        <w:tc>
          <w:tcPr/>
          <w:p>
            <w:pPr>
              <w:pStyle w:val="Compact"/>
              <w:jc w:val="left"/>
            </w:pPr>
            <w:r>
              <w:t xml:space="preserve">§9.1</w:t>
            </w:r>
          </w:p>
        </w:tc>
        <w:tc>
          <w:tcPr/>
          <w:p>
            <w:pPr>
              <w:pStyle w:val="Compact"/>
              <w:jc w:val="left"/>
            </w:pPr>
            <w:r>
              <w:t xml:space="preserve">Residence; adds tenants-by-entirety</w:t>
            </w:r>
          </w:p>
        </w:tc>
        <w:tc>
          <w:tcPr/>
          <w:p>
            <w:pPr>
              <w:pStyle w:val="Compact"/>
              <w:jc w:val="left"/>
            </w:pPr>
            <w:r>
              <w:t xml:space="preserve">Factual; acceptable</w:t>
            </w:r>
          </w:p>
        </w:tc>
        <w:tc>
          <w:tcPr/>
          <w:p>
            <w:pPr>
              <w:pStyle w:val="Compact"/>
              <w:jc w:val="left"/>
            </w:pPr>
            <w:r>
              <w:t xml:space="preserve">None</w:t>
            </w:r>
          </w:p>
        </w:tc>
      </w:tr>
      <w:tr>
        <w:tc>
          <w:tcPr/>
          <w:p>
            <w:pPr>
              <w:pStyle w:val="Compact"/>
              <w:jc w:val="left"/>
            </w:pPr>
            <w:r>
              <w:t xml:space="preserve">TC-33</w:t>
            </w:r>
          </w:p>
        </w:tc>
        <w:tc>
          <w:tcPr/>
          <w:p>
            <w:pPr>
              <w:pStyle w:val="Compact"/>
              <w:jc w:val="left"/>
            </w:pPr>
            <w:r>
              <w:t xml:space="preserve">§9.2</w:t>
            </w:r>
          </w:p>
        </w:tc>
        <w:tc>
          <w:tcPr/>
          <w:p>
            <w:pPr>
              <w:pStyle w:val="Compact"/>
              <w:jc w:val="left"/>
            </w:pPr>
            <w:r>
              <w:t xml:space="preserve">Lien securing buyout added</w:t>
            </w:r>
          </w:p>
        </w:tc>
        <w:tc>
          <w:tcPr/>
          <w:p>
            <w:pPr>
              <w:pStyle w:val="Compact"/>
              <w:jc w:val="left"/>
            </w:pPr>
            <w:r>
              <w:t xml:space="preserve">Reasonable</w:t>
            </w:r>
          </w:p>
        </w:tc>
        <w:tc>
          <w:tcPr/>
          <w:p>
            <w:pPr>
              <w:pStyle w:val="Compact"/>
              <w:jc w:val="left"/>
            </w:pPr>
            <w:r>
              <w:t xml:space="preserve">None</w:t>
            </w:r>
          </w:p>
        </w:tc>
      </w:tr>
      <w:tr>
        <w:tc>
          <w:tcPr/>
          <w:p>
            <w:pPr>
              <w:pStyle w:val="Compact"/>
              <w:jc w:val="left"/>
            </w:pPr>
            <w:r>
              <w:t xml:space="preserve">TC-34</w:t>
            </w:r>
          </w:p>
        </w:tc>
        <w:tc>
          <w:tcPr/>
          <w:p>
            <w:pPr>
              <w:pStyle w:val="Compact"/>
              <w:jc w:val="left"/>
            </w:pPr>
            <w:r>
              <w:t xml:space="preserve">§9.2</w:t>
            </w:r>
          </w:p>
        </w:tc>
        <w:tc>
          <w:tcPr/>
          <w:p>
            <w:pPr>
              <w:pStyle w:val="Compact"/>
              <w:jc w:val="left"/>
            </w:pPr>
            <w:r>
              <w:t xml:space="preserve">Exercise 60→30 days; payment 24→18 months; Husband matching right</w:t>
            </w:r>
          </w:p>
        </w:tc>
        <w:tc>
          <w:tcPr/>
          <w:p>
            <w:pPr>
              <w:pStyle w:val="Compact"/>
              <w:jc w:val="left"/>
            </w:pPr>
            <w:r>
              <w:t xml:space="preserve">Adverse to children’s stability</w:t>
            </w:r>
          </w:p>
        </w:tc>
        <w:tc>
          <w:tcPr/>
          <w:p>
            <w:pPr>
              <w:pStyle w:val="Compact"/>
              <w:jc w:val="left"/>
            </w:pPr>
            <w:r>
              <w:t xml:space="preserve">High</w:t>
            </w:r>
          </w:p>
        </w:tc>
      </w:tr>
      <w:tr>
        <w:tc>
          <w:tcPr/>
          <w:p>
            <w:pPr>
              <w:pStyle w:val="Compact"/>
              <w:jc w:val="left"/>
            </w:pPr>
            <w:r>
              <w:t xml:space="preserve">TC-35</w:t>
            </w:r>
          </w:p>
        </w:tc>
        <w:tc>
          <w:tcPr/>
          <w:p>
            <w:pPr>
              <w:pStyle w:val="Compact"/>
              <w:jc w:val="left"/>
            </w:pPr>
            <w:r>
              <w:t xml:space="preserve">§10.1</w:t>
            </w:r>
          </w:p>
        </w:tc>
        <w:tc>
          <w:tcPr/>
          <w:p>
            <w:pPr>
              <w:pStyle w:val="Compact"/>
              <w:jc w:val="left"/>
            </w:pPr>
            <w:r>
              <w:t xml:space="preserve">Maintenance eligibility reworded</w:t>
            </w:r>
          </w:p>
        </w:tc>
        <w:tc>
          <w:tcPr/>
          <w:p>
            <w:pPr>
              <w:pStyle w:val="Compact"/>
              <w:jc w:val="left"/>
            </w:pPr>
            <w:r>
              <w:t xml:space="preserve">Substantively similar</w:t>
            </w:r>
          </w:p>
        </w:tc>
        <w:tc>
          <w:tcPr/>
          <w:p>
            <w:pPr>
              <w:pStyle w:val="Compact"/>
              <w:jc w:val="left"/>
            </w:pPr>
            <w:r>
              <w:t xml:space="preserve">None</w:t>
            </w:r>
          </w:p>
        </w:tc>
      </w:tr>
      <w:tr>
        <w:tc>
          <w:tcPr/>
          <w:p>
            <w:pPr>
              <w:pStyle w:val="Compact"/>
              <w:jc w:val="left"/>
            </w:pPr>
            <w:r>
              <w:t xml:space="preserve">TC-36 / MC-08</w:t>
            </w:r>
          </w:p>
        </w:tc>
        <w:tc>
          <w:tcPr/>
          <w:p>
            <w:pPr>
              <w:pStyle w:val="Compact"/>
              <w:jc w:val="left"/>
            </w:pPr>
            <w:r>
              <w:t xml:space="preserve">§10.2</w:t>
            </w:r>
          </w:p>
        </w:tc>
        <w:tc>
          <w:tcPr/>
          <w:p>
            <w:pPr>
              <w:pStyle w:val="Compact"/>
              <w:jc w:val="left"/>
            </w:pPr>
            <w:r>
              <w:t xml:space="preserve">Duration cap 5→3 years</w:t>
            </w:r>
          </w:p>
        </w:tc>
        <w:tc>
          <w:tcPr/>
          <w:p>
            <w:pPr>
              <w:pStyle w:val="Compact"/>
              <w:jc w:val="left"/>
            </w:pPr>
            <w:r>
              <w:t xml:space="preserve">Favors Wife; enforceability caveat</w:t>
            </w:r>
          </w:p>
        </w:tc>
        <w:tc>
          <w:tcPr/>
          <w:p>
            <w:pPr>
              <w:pStyle w:val="Compact"/>
              <w:jc w:val="left"/>
            </w:pPr>
            <w:r>
              <w:t xml:space="preserve">Low (accept)</w:t>
            </w:r>
          </w:p>
        </w:tc>
      </w:tr>
      <w:tr>
        <w:tc>
          <w:tcPr/>
          <w:p>
            <w:pPr>
              <w:pStyle w:val="Compact"/>
              <w:jc w:val="left"/>
            </w:pPr>
            <w:r>
              <w:t xml:space="preserve">TC-37 / MC-09</w:t>
            </w:r>
          </w:p>
        </w:tc>
        <w:tc>
          <w:tcPr/>
          <w:p>
            <w:pPr>
              <w:pStyle w:val="Compact"/>
              <w:jc w:val="left"/>
            </w:pPr>
            <w:r>
              <w:t xml:space="preserve">§10.3</w:t>
            </w:r>
          </w:p>
        </w:tc>
        <w:tc>
          <w:tcPr/>
          <w:p>
            <w:pPr>
              <w:pStyle w:val="Compact"/>
              <w:jc w:val="left"/>
            </w:pPr>
            <w:r>
              <w:t xml:space="preserve">Automatic waiver if income &gt;$200K</w:t>
            </w:r>
          </w:p>
        </w:tc>
        <w:tc>
          <w:tcPr/>
          <w:p>
            <w:pPr>
              <w:pStyle w:val="Compact"/>
              <w:jc w:val="left"/>
            </w:pPr>
            <w:r>
              <w:t xml:space="preserve">Eliminates Husband’s maintenance; favors Wife</w:t>
            </w:r>
          </w:p>
        </w:tc>
        <w:tc>
          <w:tcPr/>
          <w:p>
            <w:pPr>
              <w:pStyle w:val="Compact"/>
              <w:jc w:val="left"/>
            </w:pPr>
            <w:r>
              <w:t xml:space="preserve">Low (accept)</w:t>
            </w:r>
          </w:p>
        </w:tc>
      </w:tr>
      <w:tr>
        <w:tc>
          <w:tcPr/>
          <w:p>
            <w:pPr>
              <w:pStyle w:val="Compact"/>
              <w:jc w:val="left"/>
            </w:pPr>
            <w:r>
              <w:t xml:space="preserve">TC-38</w:t>
            </w:r>
          </w:p>
        </w:tc>
        <w:tc>
          <w:tcPr/>
          <w:p>
            <w:pPr>
              <w:pStyle w:val="Compact"/>
              <w:jc w:val="left"/>
            </w:pPr>
            <w:r>
              <w:t xml:space="preserve">§10.4</w:t>
            </w:r>
          </w:p>
        </w:tc>
        <w:tc>
          <w:tcPr/>
          <w:p>
            <w:pPr>
              <w:pStyle w:val="Compact"/>
              <w:jc w:val="left"/>
            </w:pPr>
            <w:r>
              <w:t xml:space="preserve">Calculation uses Earned Income not Gross Income</w:t>
            </w:r>
          </w:p>
        </w:tc>
        <w:tc>
          <w:tcPr/>
          <w:p>
            <w:pPr>
              <w:pStyle w:val="Compact"/>
              <w:jc w:val="left"/>
            </w:pPr>
            <w:r>
              <w:t xml:space="preserve">Contradicts objective; ambiguous effect</w:t>
            </w:r>
          </w:p>
        </w:tc>
        <w:tc>
          <w:tcPr/>
          <w:p>
            <w:pPr>
              <w:pStyle w:val="Compact"/>
              <w:jc w:val="left"/>
            </w:pPr>
            <w:r>
              <w:t xml:space="preserve">Medium</w:t>
            </w:r>
          </w:p>
        </w:tc>
      </w:tr>
      <w:tr>
        <w:tc>
          <w:tcPr/>
          <w:p>
            <w:pPr>
              <w:pStyle w:val="Compact"/>
              <w:jc w:val="left"/>
            </w:pPr>
            <w:r>
              <w:t xml:space="preserve">TC-39</w:t>
            </w:r>
          </w:p>
        </w:tc>
        <w:tc>
          <w:tcPr/>
          <w:p>
            <w:pPr>
              <w:pStyle w:val="Compact"/>
              <w:jc w:val="left"/>
            </w:pPr>
            <w:r>
              <w:t xml:space="preserve">§11.1</w:t>
            </w:r>
          </w:p>
        </w:tc>
        <w:tc>
          <w:tcPr/>
          <w:p>
            <w:pPr>
              <w:pStyle w:val="Compact"/>
              <w:jc w:val="left"/>
            </w:pPr>
            <w:r>
              <w:t xml:space="preserve">General debt principle added</w:t>
            </w:r>
          </w:p>
        </w:tc>
        <w:tc>
          <w:tcPr/>
          <w:p>
            <w:pPr>
              <w:pStyle w:val="Compact"/>
              <w:jc w:val="left"/>
            </w:pPr>
            <w:r>
              <w:t xml:space="preserve">Reasonable</w:t>
            </w:r>
          </w:p>
        </w:tc>
        <w:tc>
          <w:tcPr/>
          <w:p>
            <w:pPr>
              <w:pStyle w:val="Compact"/>
              <w:jc w:val="left"/>
            </w:pPr>
            <w:r>
              <w:t xml:space="preserve">None</w:t>
            </w:r>
          </w:p>
        </w:tc>
      </w:tr>
      <w:tr>
        <w:tc>
          <w:tcPr/>
          <w:p>
            <w:pPr>
              <w:pStyle w:val="Compact"/>
              <w:jc w:val="left"/>
            </w:pPr>
            <w:r>
              <w:t xml:space="preserve">TC-40 / MC-10</w:t>
            </w:r>
          </w:p>
        </w:tc>
        <w:tc>
          <w:tcPr/>
          <w:p>
            <w:pPr>
              <w:pStyle w:val="Compact"/>
              <w:jc w:val="left"/>
            </w:pPr>
            <w:r>
              <w:t xml:space="preserve">§11.2</w:t>
            </w:r>
          </w:p>
        </w:tc>
        <w:tc>
          <w:tcPr/>
          <w:p>
            <w:pPr>
              <w:pStyle w:val="Compact"/>
              <w:jc w:val="left"/>
            </w:pPr>
            <w:r>
              <w:t xml:space="preserve">$5,000 per-claim indemnity threshold</w:t>
            </w:r>
          </w:p>
        </w:tc>
        <w:tc>
          <w:tcPr/>
          <w:p>
            <w:pPr>
              <w:pStyle w:val="Compact"/>
              <w:jc w:val="left"/>
            </w:pPr>
            <w:r>
              <w:t xml:space="preserve">Contradicts</w:t>
            </w:r>
            <w:r>
              <w:t xml:space="preserve"> </w:t>
            </w:r>
            <w:r>
              <w:t xml:space="preserve">“</w:t>
            </w:r>
            <w:r>
              <w:t xml:space="preserve">no thresholds</w:t>
            </w:r>
            <w:r>
              <w:t xml:space="preserve">”</w:t>
            </w:r>
            <w:r>
              <w:t xml:space="preserve"> </w:t>
            </w:r>
            <w:r>
              <w:t xml:space="preserve">instruction</w:t>
            </w:r>
          </w:p>
        </w:tc>
        <w:tc>
          <w:tcPr/>
          <w:p>
            <w:pPr>
              <w:pStyle w:val="Compact"/>
              <w:jc w:val="left"/>
            </w:pPr>
            <w:r>
              <w:t xml:space="preserve">High</w:t>
            </w:r>
          </w:p>
        </w:tc>
      </w:tr>
      <w:tr>
        <w:tc>
          <w:tcPr/>
          <w:p>
            <w:pPr>
              <w:pStyle w:val="Compact"/>
              <w:jc w:val="left"/>
            </w:pPr>
            <w:r>
              <w:t xml:space="preserve">TC-41</w:t>
            </w:r>
          </w:p>
        </w:tc>
        <w:tc>
          <w:tcPr/>
          <w:p>
            <w:pPr>
              <w:pStyle w:val="Compact"/>
              <w:jc w:val="left"/>
            </w:pPr>
            <w:r>
              <w:t xml:space="preserve">§12.1</w:t>
            </w:r>
          </w:p>
        </w:tc>
        <w:tc>
          <w:tcPr/>
          <w:p>
            <w:pPr>
              <w:pStyle w:val="Compact"/>
              <w:jc w:val="left"/>
            </w:pPr>
            <w:r>
              <w:t xml:space="preserve">“</w:t>
            </w:r>
            <w:r>
              <w:t xml:space="preserve">substantially complete</w:t>
            </w:r>
            <w:r>
              <w:t xml:space="preserve">”</w:t>
            </w:r>
            <w:r>
              <w:t xml:space="preserve"> </w:t>
            </w:r>
            <w:r>
              <w:t xml:space="preserve">disclosure</w:t>
            </w:r>
          </w:p>
        </w:tc>
        <w:tc>
          <w:tcPr/>
          <w:p>
            <w:pPr>
              <w:pStyle w:val="Compact"/>
              <w:jc w:val="left"/>
            </w:pPr>
            <w:r>
              <w:t xml:space="preserve">Weakens representation</w:t>
            </w:r>
          </w:p>
        </w:tc>
        <w:tc>
          <w:tcPr/>
          <w:p>
            <w:pPr>
              <w:pStyle w:val="Compact"/>
              <w:jc w:val="left"/>
            </w:pPr>
            <w:r>
              <w:t xml:space="preserve">High</w:t>
            </w:r>
          </w:p>
        </w:tc>
      </w:tr>
      <w:tr>
        <w:tc>
          <w:tcPr/>
          <w:p>
            <w:pPr>
              <w:pStyle w:val="Compact"/>
              <w:jc w:val="left"/>
            </w:pPr>
            <w:r>
              <w:t xml:space="preserve">TC-42</w:t>
            </w:r>
          </w:p>
        </w:tc>
        <w:tc>
          <w:tcPr/>
          <w:p>
            <w:pPr>
              <w:pStyle w:val="Compact"/>
              <w:jc w:val="left"/>
            </w:pPr>
            <w:r>
              <w:t xml:space="preserve">§12.2</w:t>
            </w:r>
          </w:p>
        </w:tc>
        <w:tc>
          <w:tcPr/>
          <w:p>
            <w:pPr>
              <w:pStyle w:val="Compact"/>
              <w:jc w:val="left"/>
            </w:pPr>
            <w:r>
              <w:t xml:space="preserve">Voidability: clear-and-convincing + intent + $100K + 2-yr limit</w:t>
            </w:r>
          </w:p>
        </w:tc>
        <w:tc>
          <w:tcPr/>
          <w:p>
            <w:pPr>
              <w:pStyle w:val="Compact"/>
              <w:jc w:val="left"/>
            </w:pPr>
            <w:r>
              <w:t xml:space="preserve">Eviscerates Objective 2</w:t>
            </w:r>
          </w:p>
        </w:tc>
        <w:tc>
          <w:tcPr/>
          <w:p>
            <w:pPr>
              <w:pStyle w:val="Compact"/>
              <w:jc w:val="left"/>
            </w:pPr>
            <w:r>
              <w:t xml:space="preserve">Critical</w:t>
            </w:r>
          </w:p>
        </w:tc>
      </w:tr>
      <w:tr>
        <w:tc>
          <w:tcPr/>
          <w:p>
            <w:pPr>
              <w:pStyle w:val="Compact"/>
              <w:jc w:val="left"/>
            </w:pPr>
            <w:r>
              <w:t xml:space="preserve">TC-43</w:t>
            </w:r>
          </w:p>
        </w:tc>
        <w:tc>
          <w:tcPr/>
          <w:p>
            <w:pPr>
              <w:pStyle w:val="Compact"/>
              <w:jc w:val="left"/>
            </w:pPr>
            <w:r>
              <w:t xml:space="preserve">§13.1</w:t>
            </w:r>
          </w:p>
        </w:tc>
        <w:tc>
          <w:tcPr/>
          <w:p>
            <w:pPr>
              <w:pStyle w:val="Compact"/>
              <w:jc w:val="left"/>
            </w:pPr>
            <w:r>
              <w:t xml:space="preserve">Enforcement reworded</w:t>
            </w:r>
          </w:p>
        </w:tc>
        <w:tc>
          <w:tcPr/>
          <w:p>
            <w:pPr>
              <w:pStyle w:val="Compact"/>
              <w:jc w:val="left"/>
            </w:pPr>
            <w:r>
              <w:t xml:space="preserve">Substantively similar</w:t>
            </w:r>
          </w:p>
        </w:tc>
        <w:tc>
          <w:tcPr/>
          <w:p>
            <w:pPr>
              <w:pStyle w:val="Compact"/>
              <w:jc w:val="left"/>
            </w:pPr>
            <w:r>
              <w:t xml:space="preserve">None</w:t>
            </w:r>
          </w:p>
        </w:tc>
      </w:tr>
      <w:tr>
        <w:tc>
          <w:tcPr/>
          <w:p>
            <w:pPr>
              <w:pStyle w:val="Compact"/>
              <w:jc w:val="left"/>
            </w:pPr>
            <w:r>
              <w:t xml:space="preserve">TC-44 / MC-11</w:t>
            </w:r>
          </w:p>
        </w:tc>
        <w:tc>
          <w:tcPr/>
          <w:p>
            <w:pPr>
              <w:pStyle w:val="Compact"/>
              <w:jc w:val="left"/>
            </w:pPr>
            <w:r>
              <w:t xml:space="preserve">§13.2</w:t>
            </w:r>
          </w:p>
        </w:tc>
        <w:tc>
          <w:tcPr/>
          <w:p>
            <w:pPr>
              <w:pStyle w:val="Compact"/>
              <w:jc w:val="left"/>
            </w:pPr>
            <w:r>
              <w:t xml:space="preserve">Mutual fee waiver replaces prevailing-party</w:t>
            </w:r>
          </w:p>
        </w:tc>
        <w:tc>
          <w:tcPr/>
          <w:p>
            <w:pPr>
              <w:pStyle w:val="Compact"/>
              <w:jc w:val="left"/>
            </w:pPr>
            <w:r>
              <w:t xml:space="preserve">Contradicts Objective 5(d)</w:t>
            </w:r>
          </w:p>
        </w:tc>
        <w:tc>
          <w:tcPr/>
          <w:p>
            <w:pPr>
              <w:pStyle w:val="Compact"/>
              <w:jc w:val="left"/>
            </w:pPr>
            <w:r>
              <w:t xml:space="preserve">High</w:t>
            </w:r>
          </w:p>
        </w:tc>
      </w:tr>
      <w:tr>
        <w:tc>
          <w:tcPr/>
          <w:p>
            <w:pPr>
              <w:pStyle w:val="Compact"/>
              <w:jc w:val="left"/>
            </w:pPr>
            <w:r>
              <w:t xml:space="preserve">TC-45</w:t>
            </w:r>
          </w:p>
        </w:tc>
        <w:tc>
          <w:tcPr/>
          <w:p>
            <w:pPr>
              <w:pStyle w:val="Compact"/>
              <w:jc w:val="left"/>
            </w:pPr>
            <w:r>
              <w:t xml:space="preserve">§14.1</w:t>
            </w:r>
          </w:p>
        </w:tc>
        <w:tc>
          <w:tcPr/>
          <w:p>
            <w:pPr>
              <w:pStyle w:val="Compact"/>
              <w:jc w:val="left"/>
            </w:pPr>
            <w:r>
              <w:t xml:space="preserve">Modification provision shortened</w:t>
            </w:r>
          </w:p>
        </w:tc>
        <w:tc>
          <w:tcPr/>
          <w:p>
            <w:pPr>
              <w:pStyle w:val="Compact"/>
              <w:jc w:val="left"/>
            </w:pPr>
            <w:r>
              <w:t xml:space="preserve">Removes anti-unilateral language</w:t>
            </w:r>
          </w:p>
        </w:tc>
        <w:tc>
          <w:tcPr/>
          <w:p>
            <w:pPr>
              <w:pStyle w:val="Compact"/>
              <w:jc w:val="left"/>
            </w:pPr>
            <w:r>
              <w:t xml:space="preserve">High</w:t>
            </w:r>
          </w:p>
        </w:tc>
      </w:tr>
      <w:tr>
        <w:tc>
          <w:tcPr/>
          <w:p>
            <w:pPr>
              <w:pStyle w:val="Compact"/>
              <w:jc w:val="left"/>
            </w:pPr>
            <w:r>
              <w:t xml:space="preserve">TC-46</w:t>
            </w:r>
          </w:p>
        </w:tc>
        <w:tc>
          <w:tcPr/>
          <w:p>
            <w:pPr>
              <w:pStyle w:val="Compact"/>
              <w:jc w:val="left"/>
            </w:pPr>
            <w:r>
              <w:t xml:space="preserve">§14.2</w:t>
            </w:r>
          </w:p>
        </w:tc>
        <w:tc>
          <w:tcPr/>
          <w:p>
            <w:pPr>
              <w:pStyle w:val="Compact"/>
              <w:jc w:val="left"/>
            </w:pPr>
            <w:r>
              <w:rPr>
                <w:b/>
                <w:bCs/>
              </w:rPr>
              <w:t xml:space="preserve">Unilateral modification by 90-day notice</w:t>
            </w:r>
          </w:p>
        </w:tc>
        <w:tc>
          <w:tcPr/>
          <w:p>
            <w:pPr>
              <w:pStyle w:val="Compact"/>
              <w:jc w:val="left"/>
            </w:pPr>
            <w:r>
              <w:t xml:space="preserve">Contradicts Objective 5(f); likely unenforceable</w:t>
            </w:r>
          </w:p>
        </w:tc>
        <w:tc>
          <w:tcPr/>
          <w:p>
            <w:pPr>
              <w:pStyle w:val="Compact"/>
              <w:jc w:val="left"/>
            </w:pPr>
            <w:r>
              <w:t xml:space="preserve">Critical</w:t>
            </w:r>
          </w:p>
        </w:tc>
      </w:tr>
      <w:tr>
        <w:tc>
          <w:tcPr/>
          <w:p>
            <w:pPr>
              <w:pStyle w:val="Compact"/>
              <w:jc w:val="left"/>
            </w:pPr>
            <w:r>
              <w:t xml:space="preserve">TC-47 / MC-12</w:t>
            </w:r>
          </w:p>
        </w:tc>
        <w:tc>
          <w:tcPr/>
          <w:p>
            <w:pPr>
              <w:pStyle w:val="Compact"/>
              <w:jc w:val="left"/>
            </w:pPr>
            <w:r>
              <w:t xml:space="preserve">§15.2</w:t>
            </w:r>
          </w:p>
        </w:tc>
        <w:tc>
          <w:tcPr/>
          <w:p>
            <w:pPr>
              <w:pStyle w:val="Compact"/>
              <w:jc w:val="left"/>
            </w:pPr>
            <w:r>
              <w:t xml:space="preserve">Venue Cook→DuPage</w:t>
            </w:r>
          </w:p>
        </w:tc>
        <w:tc>
          <w:tcPr/>
          <w:p>
            <w:pPr>
              <w:pStyle w:val="Compact"/>
              <w:jc w:val="left"/>
            </w:pPr>
            <w:r>
              <w:t xml:space="preserve">Contradicts Objective 5(e)</w:t>
            </w:r>
          </w:p>
        </w:tc>
        <w:tc>
          <w:tcPr/>
          <w:p>
            <w:pPr>
              <w:pStyle w:val="Compact"/>
              <w:jc w:val="left"/>
            </w:pPr>
            <w:r>
              <w:t xml:space="preserve">High</w:t>
            </w:r>
          </w:p>
        </w:tc>
      </w:tr>
      <w:tr>
        <w:tc>
          <w:tcPr/>
          <w:p>
            <w:pPr>
              <w:pStyle w:val="Compact"/>
              <w:jc w:val="left"/>
            </w:pPr>
            <w:r>
              <w:t xml:space="preserve">(new)</w:t>
            </w:r>
          </w:p>
        </w:tc>
        <w:tc>
          <w:tcPr/>
          <w:p>
            <w:pPr>
              <w:pStyle w:val="Compact"/>
              <w:jc w:val="left"/>
            </w:pPr>
            <w:r>
              <w:t xml:space="preserve">§15.3</w:t>
            </w:r>
          </w:p>
        </w:tc>
        <w:tc>
          <w:tcPr/>
          <w:p>
            <w:pPr>
              <w:pStyle w:val="Compact"/>
              <w:jc w:val="left"/>
            </w:pPr>
            <w:r>
              <w:t xml:space="preserve">Severability clause added</w:t>
            </w:r>
          </w:p>
        </w:tc>
        <w:tc>
          <w:tcPr/>
          <w:p>
            <w:pPr>
              <w:pStyle w:val="Compact"/>
              <w:jc w:val="left"/>
            </w:pPr>
            <w:r>
              <w:t xml:space="preserve">Beneficial</w:t>
            </w:r>
          </w:p>
        </w:tc>
        <w:tc>
          <w:tcPr/>
          <w:p>
            <w:pPr>
              <w:pStyle w:val="Compact"/>
              <w:jc w:val="left"/>
            </w:pPr>
            <w:r>
              <w:t xml:space="preserve">None (accept)</w:t>
            </w:r>
          </w:p>
        </w:tc>
      </w:tr>
      <w:tr>
        <w:tc>
          <w:tcPr/>
          <w:p>
            <w:pPr>
              <w:pStyle w:val="Compact"/>
              <w:jc w:val="left"/>
            </w:pPr>
            <w:r>
              <w:t xml:space="preserve">(new)</w:t>
            </w:r>
          </w:p>
        </w:tc>
        <w:tc>
          <w:tcPr/>
          <w:p>
            <w:pPr>
              <w:pStyle w:val="Compact"/>
              <w:jc w:val="left"/>
            </w:pPr>
            <w:r>
              <w:t xml:space="preserve">§15.5</w:t>
            </w:r>
          </w:p>
        </w:tc>
        <w:tc>
          <w:tcPr/>
          <w:p>
            <w:pPr>
              <w:pStyle w:val="Compact"/>
              <w:jc w:val="left"/>
            </w:pPr>
            <w:r>
              <w:t xml:space="preserve">Sunset 15→7 years; no renewal</w:t>
            </w:r>
          </w:p>
        </w:tc>
        <w:tc>
          <w:tcPr/>
          <w:p>
            <w:pPr>
              <w:pStyle w:val="Compact"/>
              <w:jc w:val="left"/>
            </w:pPr>
            <w:r>
              <w:t xml:space="preserve">Expires before child’s majority</w:t>
            </w:r>
          </w:p>
        </w:tc>
        <w:tc>
          <w:tcPr/>
          <w:p>
            <w:pPr>
              <w:pStyle w:val="Compact"/>
              <w:jc w:val="left"/>
            </w:pPr>
            <w:r>
              <w:t xml:space="preserve">High</w:t>
            </w:r>
          </w:p>
        </w:tc>
      </w:tr>
      <w:tr>
        <w:tc>
          <w:tcPr/>
          <w:p>
            <w:pPr>
              <w:pStyle w:val="Compact"/>
              <w:jc w:val="left"/>
            </w:pPr>
            <w:r>
              <w:t xml:space="preserve">(new)</w:t>
            </w:r>
          </w:p>
        </w:tc>
        <w:tc>
          <w:tcPr/>
          <w:p>
            <w:pPr>
              <w:pStyle w:val="Compact"/>
              <w:jc w:val="left"/>
            </w:pPr>
            <w:r>
              <w:t xml:space="preserve">Art. XVI</w:t>
            </w:r>
          </w:p>
        </w:tc>
        <w:tc>
          <w:tcPr/>
          <w:p>
            <w:pPr>
              <w:pStyle w:val="Compact"/>
              <w:jc w:val="left"/>
            </w:pPr>
            <w:r>
              <w:t xml:space="preserve">Notarization &amp; witness blocks</w:t>
            </w:r>
          </w:p>
        </w:tc>
        <w:tc>
          <w:tcPr/>
          <w:p>
            <w:pPr>
              <w:pStyle w:val="Compact"/>
              <w:jc w:val="left"/>
            </w:pPr>
            <w:r>
              <w:t xml:space="preserve">Beneficial</w:t>
            </w:r>
          </w:p>
        </w:tc>
        <w:tc>
          <w:tcPr/>
          <w:p>
            <w:pPr>
              <w:pStyle w:val="Compact"/>
              <w:jc w:val="left"/>
            </w:pPr>
            <w:r>
              <w:t xml:space="preserve">None (accept)</w:t>
            </w:r>
          </w:p>
        </w:tc>
      </w:tr>
      <w:tr>
        <w:tc>
          <w:tcPr/>
          <w:p>
            <w:pPr>
              <w:pStyle w:val="Compact"/>
              <w:jc w:val="left"/>
            </w:pPr>
            <w:r>
              <w:t xml:space="preserve">(omitted)</w:t>
            </w:r>
          </w:p>
        </w:tc>
        <w:tc>
          <w:tcPr/>
          <w:p>
            <w:pPr>
              <w:pStyle w:val="Compact"/>
              <w:jc w:val="left"/>
            </w:pPr>
            <w:r>
              <w:t xml:space="preserve">—</w:t>
            </w:r>
          </w:p>
        </w:tc>
        <w:tc>
          <w:tcPr/>
          <w:p>
            <w:pPr>
              <w:pStyle w:val="Compact"/>
              <w:jc w:val="left"/>
            </w:pPr>
            <w:r>
              <w:t xml:space="preserve">Fiduciary-duty acknowledgment; No Pending Proceedings; counterparts; waiver; ongoing disclosure; future-debt disclosure; $10K debt-consent threshold</w:t>
            </w:r>
          </w:p>
        </w:tc>
        <w:tc>
          <w:tcPr/>
          <w:p>
            <w:pPr>
              <w:pStyle w:val="Compact"/>
              <w:jc w:val="left"/>
            </w:pPr>
            <w:r>
              <w:t xml:space="preserve">Loss of protections/enforceability support</w:t>
            </w:r>
          </w:p>
        </w:tc>
        <w:tc>
          <w:tcPr/>
          <w:p>
            <w:pPr>
              <w:pStyle w:val="Compact"/>
              <w:jc w:val="left"/>
            </w:pPr>
            <w:r>
              <w:t xml:space="preserve">Medium–High</w:t>
            </w:r>
          </w:p>
        </w:tc>
      </w:tr>
    </w:tbl>
    <w:p>
      <w:pPr>
        <w:pStyle w:val="BodyText"/>
      </w:pPr>
      <w:r>
        <w:rPr>
          <w:i/>
          <w:iCs/>
        </w:rPr>
        <w:t xml:space="preserve">This memorandum is prepared for the internal use of Kessler, Odom &amp; Pratt LLP and is protected by the attorney-client privilege and the work product doctrine. It should not be disclosed to any person outside the firm without prior authorization from the supervising partner.</w:t>
      </w:r>
    </w:p>
    <w:bookmarkEnd w:id="53"/>
    <w:bookmarkEnd w:id="5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2026-06-27T20:59:06Z</dcterms:created>
  <dcterms:modified xsi:type="dcterms:W3CDTF">2026-06-27T20:59:06Z</dcterms:modified>
</cp:coreProperties>
</file>

<file path=docProps/custom.xml><?xml version="1.0" encoding="utf-8"?>
<Properties xmlns="http://schemas.openxmlformats.org/officeDocument/2006/custom-properties" xmlns:vt="http://schemas.openxmlformats.org/officeDocument/2006/docPropsVTypes"/>
</file>