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092779eae0ca57705dede95c2ab5939f8b8355"/>
    <w:p>
      <w:pPr>
        <w:pStyle w:val="Heading1"/>
      </w:pPr>
      <w:r>
        <w:t xml:space="preserve">PRIVILEGED &amp; CONFIDENTIAL — ATTORNEY WORK PRODUCT</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Sarah Whitfield, Esq.; Jordan Reeves</w:t>
            </w:r>
          </w:p>
        </w:tc>
      </w:tr>
      <w:tr>
        <w:tc>
          <w:tcPr/>
          <w:p>
            <w:pPr>
              <w:pStyle w:val="Compact"/>
              <w:jc w:val="left"/>
            </w:pPr>
            <w:r>
              <w:rPr>
                <w:b/>
                <w:bCs/>
              </w:rPr>
              <w:t xml:space="preserve">FROM:</w:t>
            </w:r>
          </w:p>
        </w:tc>
        <w:tc>
          <w:tcPr/>
          <w:p>
            <w:pPr>
              <w:pStyle w:val="Compact"/>
              <w:jc w:val="left"/>
            </w:pPr>
            <w:r>
              <w:t xml:space="preserve">Financial Discovery Review Team</w:t>
            </w:r>
          </w:p>
        </w:tc>
      </w:tr>
      <w:tr>
        <w:tc>
          <w:tcPr/>
          <w:p>
            <w:pPr>
              <w:pStyle w:val="Compact"/>
              <w:jc w:val="left"/>
            </w:pPr>
            <w:r>
              <w:rPr>
                <w:b/>
                <w:bCs/>
              </w:rPr>
              <w:t xml:space="preserve">DATE:</w:t>
            </w:r>
          </w:p>
        </w:tc>
        <w:tc>
          <w:tcPr/>
          <w:p>
            <w:pPr>
              <w:pStyle w:val="Compact"/>
              <w:jc w:val="left"/>
            </w:pPr>
            <w:r>
              <w:t xml:space="preserve">October 8, 2024</w:t>
            </w:r>
          </w:p>
        </w:tc>
      </w:tr>
      <w:tr>
        <w:tc>
          <w:tcPr/>
          <w:p>
            <w:pPr>
              <w:pStyle w:val="Compact"/>
              <w:jc w:val="left"/>
            </w:pPr>
            <w:r>
              <w:rPr>
                <w:b/>
                <w:bCs/>
              </w:rPr>
              <w:t xml:space="preserve">RE:</w:t>
            </w:r>
          </w:p>
        </w:tc>
        <w:tc>
          <w:tcPr/>
          <w:p>
            <w:pPr>
              <w:pStyle w:val="Compact"/>
              <w:jc w:val="left"/>
            </w:pPr>
            <w:r>
              <w:t xml:space="preserve">Internal review of Respondent Darren Kwan’s document production —</w:t>
            </w:r>
            <w:r>
              <w:t xml:space="preserve"> </w:t>
            </w:r>
            <w:r>
              <w:rPr>
                <w:i/>
                <w:iCs/>
              </w:rPr>
              <w:t xml:space="preserve">Torres-Kwan v. Kwan</w:t>
            </w:r>
            <w:r>
              <w:t xml:space="preserve">, Case No. 2024-DR-01847 (Cir. Ct. Fairview County, Columbia; Hon. Patricia Yoon-Callahan) — catalog of exhibits, figure summary, flagged inconsistencies, and recommended follow-up discovery</w:t>
            </w:r>
          </w:p>
        </w:tc>
      </w:tr>
      <w:tr>
        <w:tc>
          <w:tcPr/>
          <w:p>
            <w:pPr>
              <w:pStyle w:val="Compact"/>
              <w:jc w:val="left"/>
            </w:pPr>
            <w:r>
              <w:rPr>
                <w:b/>
                <w:bCs/>
              </w:rPr>
              <w:t xml:space="preserve">CLASSIFICATION:</w:t>
            </w:r>
          </w:p>
        </w:tc>
        <w:tc>
          <w:tcPr/>
          <w:p>
            <w:pPr>
              <w:pStyle w:val="Compact"/>
              <w:jc w:val="left"/>
            </w:pPr>
            <w:r>
              <w:t xml:space="preserve">Privileged &amp; Confidential — Attorney Work Product prepared in anticipation of litigation</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summarizes our internal review of the document production served by Respondent Darren Kwan (</w:t>
      </w:r>
      <w:r>
        <w:t xml:space="preserve">“</w:t>
      </w:r>
      <w:r>
        <w:t xml:space="preserve">Respondent</w:t>
      </w:r>
      <w:r>
        <w:t xml:space="preserve">”</w:t>
      </w:r>
      <w:r>
        <w:t xml:space="preserve">) through his counsel, Raymond Fossett of Hargrove Fossett &amp; Yates LLP, in response to Petitioner Melinda Torres-Kwan’s (</w:t>
      </w:r>
      <w:r>
        <w:t xml:space="preserve">“</w:t>
      </w:r>
      <w:r>
        <w:t xml:space="preserve">Petitioner</w:t>
      </w:r>
      <w:r>
        <w:t xml:space="preserve">”</w:t>
      </w:r>
      <w:r>
        <w:t xml:space="preserve">) First Request for Production of Documents, Nos. 1–22. The production consists of a transmittal email (cover letter), seven (7) produced document sets (PROD-001 through PROD-007), and a summary of four (4) withheld documents (PRIV-001 through PRIV-004) for which a formal privilege log is forthcoming.</w:t>
      </w:r>
    </w:p>
    <w:p>
      <w:pPr>
        <w:pStyle w:val="BodyText"/>
      </w:pPr>
      <w:r>
        <w:t xml:space="preserve">Our review had three objectives: (1) catalog the exhibits produced; (2) summarize the financial figures disclosed; and (3) flag inconsistencies between the exhibits and the Sworn Financial Declaration, among the exhibits themselves, and against the Respondent’s sworn representations, with recommended follow-up discovery.</w:t>
      </w:r>
    </w:p>
    <w:p>
      <w:pPr>
        <w:pStyle w:val="BodyText"/>
      </w:pPr>
      <w:r>
        <w:rPr>
          <w:b/>
          <w:bCs/>
        </w:rPr>
        <w:t xml:space="preserve">Bottom line up front.</w:t>
      </w:r>
      <w:r>
        <w:t xml:space="preserve"> </w:t>
      </w:r>
      <w:r>
        <w:t xml:space="preserve">The production, read as a whole, materially contradicts the Respondent’s Sworn Financial Declaration (PROD-001) in several respects that go to the heart of income, asset disclosure, and potential dissipation. Most significantly, the production</w:t>
      </w:r>
      <w:r>
        <w:t xml:space="preserve"> </w:t>
      </w:r>
      <w:r>
        <w:rPr>
          <w:b/>
          <w:bCs/>
        </w:rPr>
        <w:t xml:space="preserve">establishes the existence of an undisclosed investment property</w:t>
      </w:r>
      <w:r>
        <w:t xml:space="preserve"> </w:t>
      </w:r>
      <w:r>
        <w:t xml:space="preserve">(1035 Elm Street, Unit C) that the Financial Declaration expressly denies;</w:t>
      </w:r>
      <w:r>
        <w:t xml:space="preserve"> </w:t>
      </w:r>
      <w:r>
        <w:rPr>
          <w:b/>
          <w:bCs/>
        </w:rPr>
        <w:t xml:space="preserve">reveals an $85,000 wire transfer</w:t>
      </w:r>
      <w:r>
        <w:t xml:space="preserve"> </w:t>
      </w:r>
      <w:r>
        <w:t xml:space="preserve">to an undisclosed institution around the date of separation;</w:t>
      </w:r>
      <w:r>
        <w:t xml:space="preserve"> </w:t>
      </w:r>
      <w:r>
        <w:rPr>
          <w:b/>
          <w:bCs/>
        </w:rPr>
        <w:t xml:space="preserve">understates Respondent’s 2023 income by roughly $213,000</w:t>
      </w:r>
      <w:r>
        <w:t xml:space="preserve"> </w:t>
      </w:r>
      <w:r>
        <w:t xml:space="preserve">by reporting a cash distribution in lieu of pass-through business income; and</w:t>
      </w:r>
      <w:r>
        <w:t xml:space="preserve"> </w:t>
      </w:r>
      <w:r>
        <w:rPr>
          <w:b/>
          <w:bCs/>
        </w:rPr>
        <w:t xml:space="preserve">omits recurring transfers totaling at least $14,600</w:t>
      </w:r>
      <w:r>
        <w:t xml:space="preserve"> </w:t>
      </w:r>
      <w:r>
        <w:t xml:space="preserve">to an unidentified third party. We recommend targeted supplemental discovery, third-party subpoenas, and a deposition of the Respondent, as set forth in Part V.</w:t>
      </w:r>
    </w:p>
    <w:p>
      <w:r>
        <w:pict>
          <v:rect style="width:0;height:1.5pt" o:hralign="center" o:hrstd="t" o:hr="t"/>
        </w:pict>
      </w:r>
    </w:p>
    <w:bookmarkEnd w:id="20"/>
    <w:bookmarkStart w:id="21" w:name="ii.-exhibit-catalog"/>
    <w:p>
      <w:pPr>
        <w:pStyle w:val="Heading2"/>
      </w:pPr>
      <w:r>
        <w:t xml:space="preserve">II. Exhibit Catalog</w:t>
      </w:r>
    </w:p>
    <w:p>
      <w:pPr>
        <w:pStyle w:val="FirstParagraph"/>
      </w:pPr>
      <w:r>
        <w:t xml:space="preserve">The following table catalogs every item in the production. Bates ranges are reproduced as they appear on the face of the documents; note that two distinct Bates prefixes appear (</w:t>
      </w:r>
      <w:r>
        <w:t xml:space="preserve">“</w:t>
      </w:r>
      <w:r>
        <w:t xml:space="preserve">DK-PROD-</w:t>
      </w:r>
      <w:r>
        <w:t xml:space="preserve">”</w:t>
      </w:r>
      <w:r>
        <w:t xml:space="preserve"> </w:t>
      </w:r>
      <w:r>
        <w:t xml:space="preserve">and</w:t>
      </w:r>
      <w:r>
        <w:t xml:space="preserve"> </w:t>
      </w:r>
      <w:r>
        <w:t xml:space="preserve">“</w:t>
      </w:r>
      <w:r>
        <w:t xml:space="preserve">KWAN_PROD_</w:t>
      </w:r>
      <w:r>
        <w:t xml:space="preserve">”</w:t>
      </w:r>
      <w:r>
        <w:t xml:space="preserve">), addressed in Part IV.C.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 No.</w:t>
            </w:r>
          </w:p>
        </w:tc>
        <w:tc>
          <w:tcPr/>
          <w:p>
            <w:pPr>
              <w:pStyle w:val="Compact"/>
              <w:jc w:val="left"/>
            </w:pPr>
            <w:r>
              <w:t xml:space="preserve">Document</w:t>
            </w:r>
          </w:p>
        </w:tc>
        <w:tc>
          <w:tcPr/>
          <w:p>
            <w:pPr>
              <w:pStyle w:val="Compact"/>
              <w:jc w:val="left"/>
            </w:pPr>
            <w:r>
              <w:t xml:space="preserve">Source / Custodian</w:t>
            </w:r>
          </w:p>
        </w:tc>
        <w:tc>
          <w:tcPr/>
          <w:p>
            <w:pPr>
              <w:pStyle w:val="Compact"/>
              <w:jc w:val="left"/>
            </w:pPr>
            <w:r>
              <w:t xml:space="preserve">Period Covered</w:t>
            </w:r>
          </w:p>
        </w:tc>
        <w:tc>
          <w:tcPr/>
          <w:p>
            <w:pPr>
              <w:pStyle w:val="Compact"/>
              <w:jc w:val="left"/>
            </w:pPr>
            <w:r>
              <w:t xml:space="preserve">Bates Range</w:t>
            </w:r>
          </w:p>
        </w:tc>
        <w:tc>
          <w:tcPr/>
          <w:p>
            <w:pPr>
              <w:pStyle w:val="Compact"/>
              <w:jc w:val="left"/>
            </w:pPr>
            <w:r>
              <w:t xml:space="preserve">Responsive RFP Nos.</w:t>
            </w:r>
          </w:p>
        </w:tc>
      </w:tr>
      <w:tr>
        <w:tc>
          <w:tcPr/>
          <w:p>
            <w:pPr>
              <w:pStyle w:val="Compact"/>
              <w:jc w:val="left"/>
            </w:pPr>
            <w:r>
              <w:t xml:space="preserve">Cover</w:t>
            </w:r>
          </w:p>
        </w:tc>
        <w:tc>
          <w:tcPr/>
          <w:p>
            <w:pPr>
              <w:pStyle w:val="Compact"/>
              <w:jc w:val="left"/>
            </w:pPr>
            <w:r>
              <w:t xml:space="preserve">Transmittal email / cover letter</w:t>
            </w:r>
          </w:p>
        </w:tc>
        <w:tc>
          <w:tcPr/>
          <w:p>
            <w:pPr>
              <w:pStyle w:val="Compact"/>
              <w:jc w:val="left"/>
            </w:pPr>
            <w:r>
              <w:t xml:space="preserve">R. Fossett (Respondent’s counsel)</w:t>
            </w:r>
          </w:p>
        </w:tc>
        <w:tc>
          <w:tcPr/>
          <w:p>
            <w:pPr>
              <w:pStyle w:val="Compact"/>
              <w:jc w:val="left"/>
            </w:pPr>
            <w:r>
              <w:t xml:space="preserve">Undated</w:t>
            </w:r>
          </w:p>
        </w:tc>
        <w:tc>
          <w:tcPr/>
          <w:p>
            <w:pPr>
              <w:pStyle w:val="Compact"/>
              <w:jc w:val="left"/>
            </w:pPr>
            <w:r>
              <w:t xml:space="preserve">—</w:t>
            </w:r>
          </w:p>
        </w:tc>
        <w:tc>
          <w:tcPr/>
          <w:p>
            <w:pPr>
              <w:pStyle w:val="Compact"/>
              <w:jc w:val="left"/>
            </w:pPr>
            <w:r>
              <w:t xml:space="preserve">1–22 (transmittal)</w:t>
            </w:r>
          </w:p>
        </w:tc>
      </w:tr>
      <w:tr>
        <w:tc>
          <w:tcPr/>
          <w:p>
            <w:pPr>
              <w:pStyle w:val="Compact"/>
              <w:jc w:val="left"/>
            </w:pPr>
            <w:r>
              <w:t xml:space="preserve">PROD-001</w:t>
            </w:r>
          </w:p>
        </w:tc>
        <w:tc>
          <w:tcPr/>
          <w:p>
            <w:pPr>
              <w:pStyle w:val="Compact"/>
              <w:jc w:val="left"/>
            </w:pPr>
            <w:r>
              <w:t xml:space="preserve">Respondent’s Sworn Financial Declaration</w:t>
            </w:r>
          </w:p>
        </w:tc>
        <w:tc>
          <w:tcPr/>
          <w:p>
            <w:pPr>
              <w:pStyle w:val="Compact"/>
              <w:jc w:val="left"/>
            </w:pPr>
            <w:r>
              <w:t xml:space="preserve">Darren Kwan / Hargrove Fossett &amp; Yates LLP</w:t>
            </w:r>
          </w:p>
        </w:tc>
        <w:tc>
          <w:tcPr/>
          <w:p>
            <w:pPr>
              <w:pStyle w:val="Compact"/>
              <w:jc w:val="left"/>
            </w:pPr>
            <w:r>
              <w:t xml:space="preserve">Filed 9/20/2024 (per declaration);</w:t>
            </w:r>
            <w:r>
              <w:t xml:space="preserve"> </w:t>
            </w:r>
            <w:r>
              <w:t xml:space="preserve">“</w:t>
            </w:r>
            <w:r>
              <w:t xml:space="preserve">on or about 10/4/2024</w:t>
            </w:r>
            <w:r>
              <w:t xml:space="preserve">”</w:t>
            </w:r>
            <w:r>
              <w:t xml:space="preserve"> </w:t>
            </w:r>
            <w:r>
              <w:t xml:space="preserve">(per cover letter)</w:t>
            </w:r>
          </w:p>
        </w:tc>
        <w:tc>
          <w:tcPr/>
          <w:p>
            <w:pPr>
              <w:pStyle w:val="Compact"/>
              <w:jc w:val="left"/>
            </w:pPr>
            <w:r>
              <w:t xml:space="preserve">None shown</w:t>
            </w:r>
          </w:p>
        </w:tc>
        <w:tc>
          <w:tcPr/>
          <w:p>
            <w:pPr>
              <w:pStyle w:val="Compact"/>
              <w:jc w:val="left"/>
            </w:pPr>
            <w:r>
              <w:t xml:space="preserve">1, 2, 3</w:t>
            </w:r>
          </w:p>
        </w:tc>
      </w:tr>
      <w:tr>
        <w:tc>
          <w:tcPr/>
          <w:p>
            <w:pPr>
              <w:pStyle w:val="Compact"/>
              <w:jc w:val="left"/>
            </w:pPr>
            <w:r>
              <w:t xml:space="preserve">PROD-002</w:t>
            </w:r>
          </w:p>
        </w:tc>
        <w:tc>
          <w:tcPr/>
          <w:p>
            <w:pPr>
              <w:pStyle w:val="Compact"/>
              <w:jc w:val="left"/>
            </w:pPr>
            <w:r>
              <w:t xml:space="preserve">2023 Form 1040 excerpts (MFJ), incl. Schedule E (Parts I &amp; II) and Schedule K-1</w:t>
            </w:r>
          </w:p>
        </w:tc>
        <w:tc>
          <w:tcPr/>
          <w:p>
            <w:pPr>
              <w:pStyle w:val="Compact"/>
              <w:jc w:val="left"/>
            </w:pPr>
            <w:r>
              <w:t xml:space="preserve">Archer &amp; Linden CPAs; filed 4/14/2024</w:t>
            </w:r>
          </w:p>
        </w:tc>
        <w:tc>
          <w:tcPr/>
          <w:p>
            <w:pPr>
              <w:pStyle w:val="Compact"/>
              <w:jc w:val="left"/>
            </w:pPr>
            <w:r>
              <w:t xml:space="preserve">Tax year 2023</w:t>
            </w:r>
          </w:p>
        </w:tc>
        <w:tc>
          <w:tcPr/>
          <w:p>
            <w:pPr>
              <w:pStyle w:val="Compact"/>
              <w:jc w:val="left"/>
            </w:pPr>
            <w:r>
              <w:t xml:space="preserve">DK-PROD-0045 – DK-PROD-0058</w:t>
            </w:r>
          </w:p>
        </w:tc>
        <w:tc>
          <w:tcPr/>
          <w:p>
            <w:pPr>
              <w:pStyle w:val="Compact"/>
              <w:jc w:val="left"/>
            </w:pPr>
            <w:r>
              <w:t xml:space="preserve">4, 5, 8</w:t>
            </w:r>
          </w:p>
        </w:tc>
      </w:tr>
      <w:tr>
        <w:tc>
          <w:tcPr/>
          <w:p>
            <w:pPr>
              <w:pStyle w:val="Compact"/>
              <w:jc w:val="left"/>
            </w:pPr>
            <w:r>
              <w:t xml:space="preserve">PROD-003</w:t>
            </w:r>
          </w:p>
        </w:tc>
        <w:tc>
          <w:tcPr/>
          <w:p>
            <w:pPr>
              <w:pStyle w:val="Compact"/>
              <w:jc w:val="left"/>
            </w:pPr>
            <w:r>
              <w:t xml:space="preserve">Crestline Wealth Advisors brokerage statements, acct. ending 9956</w:t>
            </w:r>
          </w:p>
        </w:tc>
        <w:tc>
          <w:tcPr/>
          <w:p>
            <w:pPr>
              <w:pStyle w:val="Compact"/>
              <w:jc w:val="left"/>
            </w:pPr>
            <w:r>
              <w:t xml:space="preserve">Crestline Wealth Advisors (Nathan Greer, CFP)</w:t>
            </w:r>
          </w:p>
        </w:tc>
        <w:tc>
          <w:tcPr/>
          <w:p>
            <w:pPr>
              <w:pStyle w:val="Compact"/>
              <w:jc w:val="left"/>
            </w:pPr>
            <w:r>
              <w:t xml:space="preserve">1/1/2024 – 8/1/2024</w:t>
            </w:r>
          </w:p>
        </w:tc>
        <w:tc>
          <w:tcPr/>
          <w:p>
            <w:pPr>
              <w:pStyle w:val="Compact"/>
              <w:jc w:val="left"/>
            </w:pPr>
            <w:r>
              <w:t xml:space="preserve">KWAN_PROD_00142 – KWAN_PROD_00158</w:t>
            </w:r>
          </w:p>
        </w:tc>
        <w:tc>
          <w:tcPr/>
          <w:p>
            <w:pPr>
              <w:pStyle w:val="Compact"/>
              <w:jc w:val="left"/>
            </w:pPr>
            <w:r>
              <w:t xml:space="preserve">6, 7</w:t>
            </w:r>
          </w:p>
        </w:tc>
      </w:tr>
      <w:tr>
        <w:tc>
          <w:tcPr/>
          <w:p>
            <w:pPr>
              <w:pStyle w:val="Compact"/>
              <w:jc w:val="left"/>
            </w:pPr>
            <w:r>
              <w:t xml:space="preserve">PROD-004</w:t>
            </w:r>
          </w:p>
        </w:tc>
        <w:tc>
          <w:tcPr/>
          <w:p>
            <w:pPr>
              <w:pStyle w:val="Compact"/>
              <w:jc w:val="left"/>
            </w:pPr>
            <w:r>
              <w:t xml:space="preserve">Fairview Community Bank individual checking (7703) &amp; savings (7704)</w:t>
            </w:r>
          </w:p>
        </w:tc>
        <w:tc>
          <w:tcPr/>
          <w:p>
            <w:pPr>
              <w:pStyle w:val="Compact"/>
              <w:jc w:val="left"/>
            </w:pPr>
            <w:r>
              <w:t xml:space="preserve">Fairview Community Bank</w:t>
            </w:r>
          </w:p>
        </w:tc>
        <w:tc>
          <w:tcPr/>
          <w:p>
            <w:pPr>
              <w:pStyle w:val="Compact"/>
              <w:jc w:val="left"/>
            </w:pPr>
            <w:r>
              <w:t xml:space="preserve">3/1/2024 – 8/1/2024</w:t>
            </w:r>
          </w:p>
        </w:tc>
        <w:tc>
          <w:tcPr/>
          <w:p>
            <w:pPr>
              <w:pStyle w:val="Compact"/>
              <w:jc w:val="left"/>
            </w:pPr>
            <w:r>
              <w:t xml:space="preserve">KWAN_PROD_0401 – KWAN_PROD_0424</w:t>
            </w:r>
          </w:p>
        </w:tc>
        <w:tc>
          <w:tcPr/>
          <w:p>
            <w:pPr>
              <w:pStyle w:val="Compact"/>
              <w:jc w:val="left"/>
            </w:pPr>
            <w:r>
              <w:t xml:space="preserve">6, 7</w:t>
            </w:r>
          </w:p>
        </w:tc>
      </w:tr>
      <w:tr>
        <w:tc>
          <w:tcPr/>
          <w:p>
            <w:pPr>
              <w:pStyle w:val="Compact"/>
              <w:jc w:val="left"/>
            </w:pPr>
            <w:r>
              <w:t xml:space="preserve">PROD-005</w:t>
            </w:r>
          </w:p>
        </w:tc>
        <w:tc>
          <w:tcPr/>
          <w:p>
            <w:pPr>
              <w:pStyle w:val="Compact"/>
              <w:jc w:val="left"/>
            </w:pPr>
            <w:r>
              <w:t xml:space="preserve">Meridian Home Lending mortgage statements —</w:t>
            </w:r>
            <w:r>
              <w:t xml:space="preserve"> </w:t>
            </w:r>
            <w:r>
              <w:rPr>
                <w:b/>
                <w:bCs/>
              </w:rPr>
              <w:t xml:space="preserve">1035 Elm Street, Unit C</w:t>
            </w:r>
          </w:p>
        </w:tc>
        <w:tc>
          <w:tcPr/>
          <w:p>
            <w:pPr>
              <w:pStyle w:val="Compact"/>
              <w:jc w:val="left"/>
            </w:pPr>
            <w:r>
              <w:t xml:space="preserve">Meridian Home Lending</w:t>
            </w:r>
          </w:p>
        </w:tc>
        <w:tc>
          <w:tcPr/>
          <w:p>
            <w:pPr>
              <w:pStyle w:val="Compact"/>
              <w:jc w:val="left"/>
            </w:pPr>
            <w:r>
              <w:t xml:space="preserve">June, July, August 2024</w:t>
            </w:r>
          </w:p>
        </w:tc>
        <w:tc>
          <w:tcPr/>
          <w:p>
            <w:pPr>
              <w:pStyle w:val="Compact"/>
              <w:jc w:val="left"/>
            </w:pPr>
            <w:r>
              <w:t xml:space="preserve">None shown</w:t>
            </w:r>
          </w:p>
        </w:tc>
        <w:tc>
          <w:tcPr/>
          <w:p>
            <w:pPr>
              <w:pStyle w:val="Compact"/>
              <w:jc w:val="left"/>
            </w:pPr>
            <w:r>
              <w:t xml:space="preserve">9, 10</w:t>
            </w:r>
          </w:p>
        </w:tc>
      </w:tr>
      <w:tr>
        <w:tc>
          <w:tcPr/>
          <w:p>
            <w:pPr>
              <w:pStyle w:val="Compact"/>
              <w:jc w:val="left"/>
            </w:pPr>
            <w:r>
              <w:t xml:space="preserve">PROD-006</w:t>
            </w:r>
          </w:p>
        </w:tc>
        <w:tc>
          <w:tcPr/>
          <w:p>
            <w:pPr>
              <w:pStyle w:val="Compact"/>
              <w:jc w:val="left"/>
            </w:pPr>
            <w:r>
              <w:t xml:space="preserve">Platinum Visa credit card statements (Fairview Community Bank), acct. ending 8316</w:t>
            </w:r>
          </w:p>
        </w:tc>
        <w:tc>
          <w:tcPr/>
          <w:p>
            <w:pPr>
              <w:pStyle w:val="Compact"/>
              <w:jc w:val="left"/>
            </w:pPr>
            <w:r>
              <w:t xml:space="preserve">Fairview Community Bank</w:t>
            </w:r>
          </w:p>
        </w:tc>
        <w:tc>
          <w:tcPr/>
          <w:p>
            <w:pPr>
              <w:pStyle w:val="Compact"/>
              <w:jc w:val="left"/>
            </w:pPr>
            <w:r>
              <w:t xml:space="preserve">May – August 2024</w:t>
            </w:r>
          </w:p>
        </w:tc>
        <w:tc>
          <w:tcPr/>
          <w:p>
            <w:pPr>
              <w:pStyle w:val="Compact"/>
              <w:jc w:val="left"/>
            </w:pPr>
            <w:r>
              <w:t xml:space="preserve">None shown</w:t>
            </w:r>
          </w:p>
        </w:tc>
        <w:tc>
          <w:tcPr/>
          <w:p>
            <w:pPr>
              <w:pStyle w:val="Compact"/>
              <w:jc w:val="left"/>
            </w:pPr>
            <w:r>
              <w:t xml:space="preserve">6, 7, 11</w:t>
            </w:r>
          </w:p>
        </w:tc>
      </w:tr>
      <w:tr>
        <w:tc>
          <w:tcPr/>
          <w:p>
            <w:pPr>
              <w:pStyle w:val="Compact"/>
              <w:jc w:val="left"/>
            </w:pPr>
            <w:r>
              <w:t xml:space="preserve">PROD-007</w:t>
            </w:r>
          </w:p>
        </w:tc>
        <w:tc>
          <w:tcPr/>
          <w:p>
            <w:pPr>
              <w:pStyle w:val="Compact"/>
              <w:jc w:val="left"/>
            </w:pPr>
            <w:r>
              <w:t xml:space="preserve">NovaBridge Solutions LLC expense reimbursement reports (D. Kwan)</w:t>
            </w:r>
          </w:p>
        </w:tc>
        <w:tc>
          <w:tcPr/>
          <w:p>
            <w:pPr>
              <w:pStyle w:val="Compact"/>
              <w:jc w:val="left"/>
            </w:pPr>
            <w:r>
              <w:t xml:space="preserve">NovaBridge Solutions LLC</w:t>
            </w:r>
          </w:p>
        </w:tc>
        <w:tc>
          <w:tcPr/>
          <w:p>
            <w:pPr>
              <w:pStyle w:val="Compact"/>
              <w:jc w:val="left"/>
            </w:pPr>
            <w:r>
              <w:t xml:space="preserve">Q1–Q2 2024 (1/1 – 6/30/2024)</w:t>
            </w:r>
          </w:p>
        </w:tc>
        <w:tc>
          <w:tcPr/>
          <w:p>
            <w:pPr>
              <w:pStyle w:val="Compact"/>
              <w:jc w:val="left"/>
            </w:pPr>
            <w:r>
              <w:t xml:space="preserve">KWAN_PROD_00187 – KWAN_PROD_00193</w:t>
            </w:r>
          </w:p>
        </w:tc>
        <w:tc>
          <w:tcPr/>
          <w:p>
            <w:pPr>
              <w:pStyle w:val="Compact"/>
              <w:jc w:val="left"/>
            </w:pPr>
            <w:r>
              <w:t xml:space="preserve">5, 8, 12</w:t>
            </w:r>
          </w:p>
        </w:tc>
      </w:tr>
      <w:tr>
        <w:tc>
          <w:tcPr/>
          <w:p>
            <w:pPr>
              <w:pStyle w:val="Compact"/>
              <w:jc w:val="left"/>
            </w:pPr>
            <w:r>
              <w:t xml:space="preserve">PRIV-001 to 004</w:t>
            </w:r>
          </w:p>
        </w:tc>
        <w:tc>
          <w:tcPr/>
          <w:p>
            <w:pPr>
              <w:pStyle w:val="Compact"/>
              <w:jc w:val="left"/>
            </w:pPr>
            <w:r>
              <w:t xml:space="preserve">Withheld: 4 emails/memos between D. Kwan and R. Fossett (8/5–9/8/2024)</w:t>
            </w:r>
          </w:p>
        </w:tc>
        <w:tc>
          <w:tcPr/>
          <w:p>
            <w:pPr>
              <w:pStyle w:val="Compact"/>
              <w:jc w:val="left"/>
            </w:pPr>
            <w:r>
              <w:t xml:space="preserve">Withheld on attorney-client / work product</w:t>
            </w:r>
          </w:p>
        </w:tc>
        <w:tc>
          <w:tcPr/>
          <w:p>
            <w:pPr>
              <w:pStyle w:val="Compact"/>
              <w:jc w:val="left"/>
            </w:pPr>
            <w:r>
              <w:t xml:space="preserve">—</w:t>
            </w:r>
          </w:p>
        </w:tc>
        <w:tc>
          <w:tcPr/>
          <w:p>
            <w:pPr>
              <w:pStyle w:val="Compact"/>
              <w:jc w:val="left"/>
            </w:pPr>
            <w:r>
              <w:t xml:space="preserve">—</w:t>
            </w:r>
          </w:p>
        </w:tc>
        <w:tc>
          <w:tcPr/>
          <w:p>
            <w:pPr>
              <w:pStyle w:val="Compact"/>
              <w:jc w:val="left"/>
            </w:pPr>
            <w:r>
              <w:t xml:space="preserve">13, 14, 15, 18</w:t>
            </w:r>
          </w:p>
        </w:tc>
      </w:tr>
    </w:tbl>
    <w:p>
      <w:pPr>
        <w:pStyle w:val="BodyText"/>
      </w:pPr>
      <w:r>
        <w:rPr>
          <w:b/>
          <w:bCs/>
        </w:rPr>
        <w:t xml:space="preserve">Gaps acknowledged by Respondent in the cover letter.</w:t>
      </w:r>
      <w:r>
        <w:t xml:space="preserve"> </w:t>
      </w:r>
      <w:r>
        <w:t xml:space="preserve">(a) Joint accounts and Petitioner’s accounts were not produced (Respondent objects as to Petitioner’s accounts). (b) NovaBridge entity-level records responsive to Request Nos. 16–22 (operating agreement, entity financials) are</w:t>
      </w:r>
      <w:r>
        <w:t xml:space="preserve"> </w:t>
      </w:r>
      <w:r>
        <w:t xml:space="preserve">“</w:t>
      </w:r>
      <w:r>
        <w:t xml:space="preserve">continuing to be coordinated</w:t>
      </w:r>
      <w:r>
        <w:t xml:space="preserve">”</w:t>
      </w:r>
      <w:r>
        <w:t xml:space="preserve"> </w:t>
      </w:r>
      <w:r>
        <w:t xml:space="preserve">with NovaBridge and co-member Jared Ostrowski and will be supplemented. (c) A formal privilege log is</w:t>
      </w:r>
      <w:r>
        <w:t xml:space="preserve"> </w:t>
      </w:r>
      <w:r>
        <w:t xml:space="preserve">“</w:t>
      </w:r>
      <w:r>
        <w:t xml:space="preserve">forthcoming … within ten (10) business days.</w:t>
      </w:r>
      <w:r>
        <w:t xml:space="preserve">”</w:t>
      </w:r>
      <w:r>
        <w:t xml:space="preserve"> </w:t>
      </w:r>
      <w:r>
        <w:t xml:space="preserve">(d) The tax return is an excerpt (14 of 47 pages produced).</w:t>
      </w:r>
    </w:p>
    <w:p>
      <w:r>
        <w:pict>
          <v:rect style="width:0;height:1.5pt" o:hralign="center" o:hrstd="t" o:hr="t"/>
        </w:pict>
      </w:r>
    </w:p>
    <w:bookmarkEnd w:id="21"/>
    <w:bookmarkStart w:id="27" w:name="iii.-summary-of-key-figures"/>
    <w:p>
      <w:pPr>
        <w:pStyle w:val="Heading2"/>
      </w:pPr>
      <w:r>
        <w:t xml:space="preserve">III. Summary of Key Figures</w:t>
      </w:r>
    </w:p>
    <w:bookmarkStart w:id="22" w:name="a.-income-calendar-year-2023"/>
    <w:p>
      <w:pPr>
        <w:pStyle w:val="Heading3"/>
      </w:pPr>
      <w:r>
        <w:t xml:space="preserve">A. Income (calendar year 2023)</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Income source</w:t>
            </w:r>
          </w:p>
        </w:tc>
        <w:tc>
          <w:tcPr/>
          <w:p>
            <w:pPr>
              <w:pStyle w:val="Compact"/>
              <w:jc w:val="left"/>
            </w:pPr>
            <w:r>
              <w:t xml:space="preserve">As reported in Financial Declaration (PROD-001)</w:t>
            </w:r>
          </w:p>
        </w:tc>
        <w:tc>
          <w:tcPr/>
          <w:p>
            <w:pPr>
              <w:pStyle w:val="Compact"/>
              <w:jc w:val="left"/>
            </w:pPr>
            <w:r>
              <w:t xml:space="preserve">As shown in tax return / K-1 (PROD-002)</w:t>
            </w:r>
          </w:p>
        </w:tc>
        <w:tc>
          <w:tcPr/>
          <w:p>
            <w:pPr>
              <w:pStyle w:val="Compact"/>
              <w:jc w:val="left"/>
            </w:pPr>
            <w:r>
              <w:t xml:space="preserve">Variance</w:t>
            </w:r>
          </w:p>
        </w:tc>
      </w:tr>
      <w:tr>
        <w:tc>
          <w:tcPr/>
          <w:p>
            <w:pPr>
              <w:pStyle w:val="Compact"/>
              <w:jc w:val="left"/>
            </w:pPr>
            <w:r>
              <w:t xml:space="preserve">W-2 salary (NovaBridge)</w:t>
            </w:r>
          </w:p>
        </w:tc>
        <w:tc>
          <w:tcPr/>
          <w:p>
            <w:pPr>
              <w:pStyle w:val="Compact"/>
              <w:jc w:val="left"/>
            </w:pPr>
            <w:r>
              <w:t xml:space="preserve">$185,000</w:t>
            </w:r>
          </w:p>
        </w:tc>
        <w:tc>
          <w:tcPr/>
          <w:p>
            <w:pPr>
              <w:pStyle w:val="Compact"/>
              <w:jc w:val="left"/>
            </w:pPr>
            <w:r>
              <w:t xml:space="preserve">$185,000 (W-2 Box 1)</w:t>
            </w:r>
          </w:p>
        </w:tc>
        <w:tc>
          <w:tcPr/>
          <w:p>
            <w:pPr>
              <w:pStyle w:val="Compact"/>
              <w:jc w:val="left"/>
            </w:pPr>
            <w:r>
              <w:t xml:space="preserve">None</w:t>
            </w:r>
          </w:p>
        </w:tc>
      </w:tr>
      <w:tr>
        <w:tc>
          <w:tcPr/>
          <w:p>
            <w:pPr>
              <w:pStyle w:val="Compact"/>
              <w:jc w:val="left"/>
            </w:pPr>
            <w:r>
              <w:t xml:space="preserve">K-1 business income</w:t>
            </w:r>
          </w:p>
        </w:tc>
        <w:tc>
          <w:tcPr/>
          <w:p>
            <w:pPr>
              <w:pStyle w:val="Compact"/>
              <w:jc w:val="left"/>
            </w:pPr>
            <w:r>
              <w:rPr>
                <w:b/>
                <w:bCs/>
              </w:rPr>
              <w:t xml:space="preserve">$174,000</w:t>
            </w:r>
            <w:r>
              <w:t xml:space="preserve"> </w:t>
            </w:r>
            <w:r>
              <w:t xml:space="preserve">(labeled</w:t>
            </w:r>
            <w:r>
              <w:t xml:space="preserve"> </w:t>
            </w:r>
            <w:r>
              <w:t xml:space="preserve">“</w:t>
            </w:r>
            <w:r>
              <w:t xml:space="preserve">K-1 Income / Distributions</w:t>
            </w:r>
            <w:r>
              <w:t xml:space="preserve">”</w:t>
            </w:r>
            <w:r>
              <w:t xml:space="preserve">)</w:t>
            </w:r>
          </w:p>
        </w:tc>
        <w:tc>
          <w:tcPr/>
          <w:p>
            <w:pPr>
              <w:pStyle w:val="Compact"/>
              <w:jc w:val="left"/>
            </w:pPr>
            <w:r>
              <w:rPr>
                <w:b/>
                <w:bCs/>
              </w:rPr>
              <w:t xml:space="preserve">$367,200</w:t>
            </w:r>
            <w:r>
              <w:t xml:space="preserve"> </w:t>
            </w:r>
            <w:r>
              <w:t xml:space="preserve">(K-1 Box 1, ordinary business income)</w:t>
            </w:r>
          </w:p>
        </w:tc>
        <w:tc>
          <w:tcPr/>
          <w:p>
            <w:pPr>
              <w:pStyle w:val="Compact"/>
              <w:jc w:val="left"/>
            </w:pPr>
            <w:r>
              <w:rPr>
                <w:b/>
                <w:bCs/>
              </w:rPr>
              <w:t xml:space="preserve">+$193,200</w:t>
            </w:r>
          </w:p>
        </w:tc>
      </w:tr>
      <w:tr>
        <w:tc>
          <w:tcPr/>
          <w:p>
            <w:pPr>
              <w:pStyle w:val="Compact"/>
              <w:jc w:val="left"/>
            </w:pPr>
            <w:r>
              <w:t xml:space="preserve">Net rental income (1035 Elm St., Unit C)</w:t>
            </w:r>
          </w:p>
        </w:tc>
        <w:tc>
          <w:tcPr/>
          <w:p>
            <w:pPr>
              <w:pStyle w:val="Compact"/>
              <w:jc w:val="left"/>
            </w:pPr>
            <w:r>
              <w:t xml:space="preserve">$0 (omitted;</w:t>
            </w:r>
            <w:r>
              <w:t xml:space="preserve"> </w:t>
            </w:r>
            <w:r>
              <w:t xml:space="preserve">“</w:t>
            </w:r>
            <w:r>
              <w:t xml:space="preserve">Other Income — None</w:t>
            </w:r>
            <w:r>
              <w:t xml:space="preserve">”</w:t>
            </w:r>
            <w:r>
              <w:t xml:space="preserve">)</w:t>
            </w:r>
          </w:p>
        </w:tc>
        <w:tc>
          <w:tcPr/>
          <w:p>
            <w:pPr>
              <w:pStyle w:val="Compact"/>
              <w:jc w:val="left"/>
            </w:pPr>
            <w:r>
              <w:t xml:space="preserve">$2,940 (Schedule E, Part I)</w:t>
            </w:r>
          </w:p>
        </w:tc>
        <w:tc>
          <w:tcPr/>
          <w:p>
            <w:pPr>
              <w:pStyle w:val="Compact"/>
              <w:jc w:val="left"/>
            </w:pPr>
            <w:r>
              <w:t xml:space="preserve">+$2,940</w:t>
            </w:r>
          </w:p>
        </w:tc>
      </w:tr>
      <w:tr>
        <w:tc>
          <w:tcPr/>
          <w:p>
            <w:pPr>
              <w:pStyle w:val="Compact"/>
              <w:jc w:val="left"/>
            </w:pPr>
            <w:r>
              <w:t xml:space="preserve">Taxable interest</w:t>
            </w:r>
          </w:p>
        </w:tc>
        <w:tc>
          <w:tcPr/>
          <w:p>
            <w:pPr>
              <w:pStyle w:val="Compact"/>
              <w:jc w:val="left"/>
            </w:pPr>
            <w:r>
              <w:t xml:space="preserve">$0 (omitted)</w:t>
            </w:r>
          </w:p>
        </w:tc>
        <w:tc>
          <w:tcPr/>
          <w:p>
            <w:pPr>
              <w:pStyle w:val="Compact"/>
              <w:jc w:val="left"/>
            </w:pPr>
            <w:r>
              <w:t xml:space="preserve">$1,840 (Form 1040, Line 2b)</w:t>
            </w:r>
          </w:p>
        </w:tc>
        <w:tc>
          <w:tcPr/>
          <w:p>
            <w:pPr>
              <w:pStyle w:val="Compact"/>
              <w:jc w:val="left"/>
            </w:pPr>
            <w:r>
              <w:t xml:space="preserve">+$1,840</w:t>
            </w:r>
          </w:p>
        </w:tc>
      </w:tr>
      <w:tr>
        <w:tc>
          <w:tcPr/>
          <w:p>
            <w:pPr>
              <w:pStyle w:val="Compact"/>
              <w:jc w:val="left"/>
            </w:pPr>
            <w:r>
              <w:t xml:space="preserve">Ordinary dividends</w:t>
            </w:r>
          </w:p>
        </w:tc>
        <w:tc>
          <w:tcPr/>
          <w:p>
            <w:pPr>
              <w:pStyle w:val="Compact"/>
              <w:jc w:val="left"/>
            </w:pPr>
            <w:r>
              <w:t xml:space="preserve">$0 (omitted)</w:t>
            </w:r>
          </w:p>
        </w:tc>
        <w:tc>
          <w:tcPr/>
          <w:p>
            <w:pPr>
              <w:pStyle w:val="Compact"/>
              <w:jc w:val="left"/>
            </w:pPr>
            <w:r>
              <w:t xml:space="preserve">$6,310 (Form 1040, Line 3b)</w:t>
            </w:r>
          </w:p>
        </w:tc>
        <w:tc>
          <w:tcPr/>
          <w:p>
            <w:pPr>
              <w:pStyle w:val="Compact"/>
              <w:jc w:val="left"/>
            </w:pPr>
            <w:r>
              <w:t xml:space="preserve">+$6,310</w:t>
            </w:r>
          </w:p>
        </w:tc>
      </w:tr>
      <w:tr>
        <w:tc>
          <w:tcPr/>
          <w:p>
            <w:pPr>
              <w:pStyle w:val="Compact"/>
              <w:jc w:val="left"/>
            </w:pPr>
            <w:r>
              <w:t xml:space="preserve">Net capital gains</w:t>
            </w:r>
          </w:p>
        </w:tc>
        <w:tc>
          <w:tcPr/>
          <w:p>
            <w:pPr>
              <w:pStyle w:val="Compact"/>
              <w:jc w:val="left"/>
            </w:pPr>
            <w:r>
              <w:t xml:space="preserve">$0 (omitted)</w:t>
            </w:r>
          </w:p>
        </w:tc>
        <w:tc>
          <w:tcPr/>
          <w:p>
            <w:pPr>
              <w:pStyle w:val="Compact"/>
              <w:jc w:val="left"/>
            </w:pPr>
            <w:r>
              <w:t xml:space="preserve">$8,450 (Form 1040, Line 7)</w:t>
            </w:r>
          </w:p>
        </w:tc>
        <w:tc>
          <w:tcPr/>
          <w:p>
            <w:pPr>
              <w:pStyle w:val="Compact"/>
              <w:jc w:val="left"/>
            </w:pPr>
            <w:r>
              <w:t xml:space="preserve">+$8,450</w:t>
            </w:r>
          </w:p>
        </w:tc>
      </w:tr>
      <w:tr>
        <w:tc>
          <w:tcPr/>
          <w:p>
            <w:pPr>
              <w:pStyle w:val="Compact"/>
              <w:jc w:val="left"/>
            </w:pPr>
            <w:r>
              <w:t xml:space="preserve">Vehicle allowance (W-2 Box 14)</w:t>
            </w:r>
          </w:p>
        </w:tc>
        <w:tc>
          <w:tcPr/>
          <w:p>
            <w:pPr>
              <w:pStyle w:val="Compact"/>
              <w:jc w:val="left"/>
            </w:pPr>
            <w:r>
              <w:t xml:space="preserve">$0 (omitted)</w:t>
            </w:r>
          </w:p>
        </w:tc>
        <w:tc>
          <w:tcPr/>
          <w:p>
            <w:pPr>
              <w:pStyle w:val="Compact"/>
              <w:jc w:val="left"/>
            </w:pPr>
            <w:r>
              <w:t xml:space="preserve">$9,600 ($800/mo. stipend)</w:t>
            </w:r>
          </w:p>
        </w:tc>
        <w:tc>
          <w:tcPr/>
          <w:p>
            <w:pPr>
              <w:pStyle w:val="Compact"/>
              <w:jc w:val="left"/>
            </w:pPr>
            <w:r>
              <w:t xml:space="preserve">+$9,600*</w:t>
            </w:r>
          </w:p>
        </w:tc>
      </w:tr>
      <w:tr>
        <w:tc>
          <w:tcPr/>
          <w:p>
            <w:pPr>
              <w:pStyle w:val="Compact"/>
              <w:jc w:val="left"/>
            </w:pPr>
            <w:r>
              <w:rPr>
                <w:b/>
                <w:bCs/>
              </w:rPr>
              <w:t xml:space="preserve">Respondent’s total 2023 income</w:t>
            </w:r>
          </w:p>
        </w:tc>
        <w:tc>
          <w:tcPr/>
          <w:p>
            <w:pPr>
              <w:pStyle w:val="Compact"/>
              <w:jc w:val="left"/>
            </w:pPr>
            <w:r>
              <w:rPr>
                <w:b/>
                <w:bCs/>
              </w:rPr>
              <w:t xml:space="preserve">$359,000</w:t>
            </w:r>
          </w:p>
        </w:tc>
        <w:tc>
          <w:tcPr/>
          <w:p>
            <w:pPr>
              <w:pStyle w:val="Compact"/>
              <w:jc w:val="left"/>
            </w:pPr>
            <w:r>
              <w:rPr>
                <w:b/>
                <w:bCs/>
              </w:rPr>
              <w:t xml:space="preserve">≈ $571,740</w:t>
            </w:r>
            <w:r>
              <w:t xml:space="preserve"> </w:t>
            </w:r>
            <w:r>
              <w:t xml:space="preserve">(excl. vehicle allowance)</w:t>
            </w:r>
          </w:p>
        </w:tc>
        <w:tc>
          <w:tcPr/>
          <w:p>
            <w:pPr>
              <w:pStyle w:val="Compact"/>
              <w:jc w:val="left"/>
            </w:pPr>
            <w:r>
              <w:rPr>
                <w:b/>
                <w:bCs/>
              </w:rPr>
              <w:t xml:space="preserve">≈ +$212,740</w:t>
            </w:r>
          </w:p>
        </w:tc>
      </w:tr>
    </w:tbl>
    <w:p>
      <w:pPr>
        <w:pStyle w:val="BodyText"/>
      </w:pPr>
      <w:r>
        <w:t xml:space="preserve">* The $9,600 vehicle allowance is reported on W-2 Box 14 and may be included within Box 1 wages; it is flagged here because it is a form of compensation not separately disclosed in the Financial Declaration’s income narrative. The $193,200 variance between the declared</w:t>
      </w:r>
      <w:r>
        <w:t xml:space="preserve"> </w:t>
      </w:r>
      <w:r>
        <w:t xml:space="preserve">“</w:t>
      </w:r>
      <w:r>
        <w:t xml:space="preserve">K-1 income</w:t>
      </w:r>
      <w:r>
        <w:t xml:space="preserve">”</w:t>
      </w:r>
      <w:r>
        <w:t xml:space="preserve"> </w:t>
      </w:r>
      <w:r>
        <w:t xml:space="preserve">($174,000) and the actual K-1 ordinary business income ($367,200) is equal to Respondent’s 60% share of NovaBridge’s 2023 entity-level retained earnings ($322,000 × 60% = $193,200), i.e., the Financial Declaration reports only the cash distributed, not the income earned.</w:t>
      </w:r>
    </w:p>
    <w:p>
      <w:pPr>
        <w:pStyle w:val="BodyText"/>
      </w:pPr>
      <w:r>
        <w:rPr>
          <w:b/>
          <w:bCs/>
        </w:rPr>
        <w:t xml:space="preserve">Joint return totals (PROD-002):</w:t>
      </w:r>
      <w:r>
        <w:t xml:space="preserve"> </w:t>
      </w:r>
      <w:r>
        <w:t xml:space="preserve">Total income $638,940; AGI $612,960; taxable income $564,240; total tax $148,240; refund $8,640. Petitioner’s W-2 (Fairview Regional School District) = $67,200, consistent with the Financial Declaration’s estimate of Petitioner’s income.</w:t>
      </w:r>
    </w:p>
    <w:bookmarkEnd w:id="22"/>
    <w:bookmarkStart w:id="23" w:name="b.-assets-as-disclosed-in-prod-001"/>
    <w:p>
      <w:pPr>
        <w:pStyle w:val="Heading3"/>
      </w:pPr>
      <w:r>
        <w:t xml:space="preserve">B. Assets (as disclosed in PROD-001)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Disclosed value</w:t>
            </w:r>
          </w:p>
        </w:tc>
        <w:tc>
          <w:tcPr/>
          <w:p>
            <w:pPr>
              <w:pStyle w:val="Compact"/>
              <w:jc w:val="left"/>
            </w:pPr>
            <w:r>
              <w:t xml:space="preserve">Notes</w:t>
            </w:r>
          </w:p>
        </w:tc>
      </w:tr>
      <w:tr>
        <w:tc>
          <w:tcPr/>
          <w:p>
            <w:pPr>
              <w:pStyle w:val="Compact"/>
              <w:jc w:val="left"/>
            </w:pPr>
            <w:r>
              <w:t xml:space="preserve">Marital residence — 418 Birchwood Lane</w:t>
            </w:r>
          </w:p>
        </w:tc>
        <w:tc>
          <w:tcPr/>
          <w:p>
            <w:pPr>
              <w:pStyle w:val="Compact"/>
              <w:jc w:val="left"/>
            </w:pPr>
            <w:r>
              <w:t xml:space="preserve">$715,000 (est.); equity $496,600</w:t>
            </w:r>
          </w:p>
        </w:tc>
        <w:tc>
          <w:tcPr/>
          <w:p>
            <w:pPr>
              <w:pStyle w:val="Compact"/>
              <w:jc w:val="left"/>
            </w:pPr>
            <w:r>
              <w:t xml:space="preserve">Mortgage $218,400 (Meridian); joint tenancy; online estimate, no appraisal</w:t>
            </w:r>
          </w:p>
        </w:tc>
      </w:tr>
      <w:tr>
        <w:tc>
          <w:tcPr/>
          <w:p>
            <w:pPr>
              <w:pStyle w:val="Compact"/>
              <w:jc w:val="left"/>
            </w:pPr>
            <w:r>
              <w:t xml:space="preserve">Joint checking (FCB 4821)</w:t>
            </w:r>
          </w:p>
        </w:tc>
        <w:tc>
          <w:tcPr/>
          <w:p>
            <w:pPr>
              <w:pStyle w:val="Compact"/>
              <w:jc w:val="left"/>
            </w:pPr>
            <w:r>
              <w:t xml:space="preserve">$12,340</w:t>
            </w:r>
          </w:p>
        </w:tc>
        <w:tc>
          <w:tcPr/>
          <w:p>
            <w:pPr>
              <w:pStyle w:val="Compact"/>
              <w:jc w:val="left"/>
            </w:pPr>
            <w:r>
              <w:t xml:space="preserve">Not produced</w:t>
            </w:r>
          </w:p>
        </w:tc>
      </w:tr>
      <w:tr>
        <w:tc>
          <w:tcPr/>
          <w:p>
            <w:pPr>
              <w:pStyle w:val="Compact"/>
              <w:jc w:val="left"/>
            </w:pPr>
            <w:r>
              <w:t xml:space="preserve">Joint savings (FCB 4822)</w:t>
            </w:r>
          </w:p>
        </w:tc>
        <w:tc>
          <w:tcPr/>
          <w:p>
            <w:pPr>
              <w:pStyle w:val="Compact"/>
              <w:jc w:val="left"/>
            </w:pPr>
            <w:r>
              <w:t xml:space="preserve">$28,750</w:t>
            </w:r>
          </w:p>
        </w:tc>
        <w:tc>
          <w:tcPr/>
          <w:p>
            <w:pPr>
              <w:pStyle w:val="Compact"/>
              <w:jc w:val="left"/>
            </w:pPr>
            <w:r>
              <w:t xml:space="preserve">Not produced</w:t>
            </w:r>
          </w:p>
        </w:tc>
      </w:tr>
      <w:tr>
        <w:tc>
          <w:tcPr/>
          <w:p>
            <w:pPr>
              <w:pStyle w:val="Compact"/>
              <w:jc w:val="left"/>
            </w:pPr>
            <w:r>
              <w:t xml:space="preserve">Individual checking (FCB 7703)</w:t>
            </w:r>
          </w:p>
        </w:tc>
        <w:tc>
          <w:tcPr/>
          <w:p>
            <w:pPr>
              <w:pStyle w:val="Compact"/>
              <w:jc w:val="left"/>
            </w:pPr>
            <w:r>
              <w:t xml:space="preserve">$8,215</w:t>
            </w:r>
          </w:p>
        </w:tc>
        <w:tc>
          <w:tcPr/>
          <w:p>
            <w:pPr>
              <w:pStyle w:val="Compact"/>
              <w:jc w:val="left"/>
            </w:pPr>
            <w:r>
              <w:t xml:space="preserve">Confirmed by PROD-004 (8/1/2024)</w:t>
            </w:r>
          </w:p>
        </w:tc>
      </w:tr>
      <w:tr>
        <w:tc>
          <w:tcPr/>
          <w:p>
            <w:pPr>
              <w:pStyle w:val="Compact"/>
              <w:jc w:val="left"/>
            </w:pPr>
            <w:r>
              <w:t xml:space="preserve">Individual savings (FCB 7704)</w:t>
            </w:r>
          </w:p>
        </w:tc>
        <w:tc>
          <w:tcPr/>
          <w:p>
            <w:pPr>
              <w:pStyle w:val="Compact"/>
              <w:jc w:val="left"/>
            </w:pPr>
            <w:r>
              <w:t xml:space="preserve">$42,680</w:t>
            </w:r>
          </w:p>
        </w:tc>
        <w:tc>
          <w:tcPr/>
          <w:p>
            <w:pPr>
              <w:pStyle w:val="Compact"/>
              <w:jc w:val="left"/>
            </w:pPr>
            <w:r>
              <w:t xml:space="preserve">Confirmed by PROD-004 (8/1/2024)</w:t>
            </w:r>
          </w:p>
        </w:tc>
      </w:tr>
      <w:tr>
        <w:tc>
          <w:tcPr/>
          <w:p>
            <w:pPr>
              <w:pStyle w:val="Compact"/>
              <w:jc w:val="left"/>
            </w:pPr>
            <w:r>
              <w:t xml:space="preserve">Crestline brokerage (9956)</w:t>
            </w:r>
          </w:p>
        </w:tc>
        <w:tc>
          <w:tcPr/>
          <w:p>
            <w:pPr>
              <w:pStyle w:val="Compact"/>
              <w:jc w:val="left"/>
            </w:pPr>
            <w:r>
              <w:t xml:space="preserve">$387,450</w:t>
            </w:r>
          </w:p>
        </w:tc>
        <w:tc>
          <w:tcPr/>
          <w:p>
            <w:pPr>
              <w:pStyle w:val="Compact"/>
              <w:jc w:val="left"/>
            </w:pPr>
            <w:r>
              <w:t xml:space="preserve">Confirmed by PROD-003 (8/1/2024 valuation)</w:t>
            </w:r>
          </w:p>
        </w:tc>
      </w:tr>
      <w:tr>
        <w:tc>
          <w:tcPr/>
          <w:p>
            <w:pPr>
              <w:pStyle w:val="Compact"/>
              <w:jc w:val="left"/>
            </w:pPr>
            <w:r>
              <w:t xml:space="preserve">401(k) — Pinnacle (3310)</w:t>
            </w:r>
          </w:p>
        </w:tc>
        <w:tc>
          <w:tcPr/>
          <w:p>
            <w:pPr>
              <w:pStyle w:val="Compact"/>
              <w:jc w:val="left"/>
            </w:pPr>
            <w:r>
              <w:t xml:space="preserve">$412,800</w:t>
            </w:r>
          </w:p>
        </w:tc>
        <w:tc>
          <w:tcPr/>
          <w:p>
            <w:pPr>
              <w:pStyle w:val="Compact"/>
              <w:jc w:val="left"/>
            </w:pPr>
            <w:r>
              <w:t xml:space="preserve">Not produced</w:t>
            </w:r>
          </w:p>
        </w:tc>
      </w:tr>
      <w:tr>
        <w:tc>
          <w:tcPr/>
          <w:p>
            <w:pPr>
              <w:pStyle w:val="Compact"/>
              <w:jc w:val="left"/>
            </w:pPr>
            <w:r>
              <w:t xml:space="preserve">403(b) — Petitioner (Pinnacle 5587)</w:t>
            </w:r>
          </w:p>
        </w:tc>
        <w:tc>
          <w:tcPr/>
          <w:p>
            <w:pPr>
              <w:pStyle w:val="Compact"/>
              <w:jc w:val="left"/>
            </w:pPr>
            <w:r>
              <w:t xml:space="preserve">$89,200</w:t>
            </w:r>
          </w:p>
        </w:tc>
        <w:tc>
          <w:tcPr/>
          <w:p>
            <w:pPr>
              <w:pStyle w:val="Compact"/>
              <w:jc w:val="left"/>
            </w:pPr>
            <w:r>
              <w:t xml:space="preserve">Petitioner’s; not produced</w:t>
            </w:r>
          </w:p>
        </w:tc>
      </w:tr>
      <w:tr>
        <w:tc>
          <w:tcPr/>
          <w:p>
            <w:pPr>
              <w:pStyle w:val="Compact"/>
              <w:jc w:val="left"/>
            </w:pPr>
            <w:r>
              <w:t xml:space="preserve">NovaBridge 60% membership interest</w:t>
            </w:r>
          </w:p>
        </w:tc>
        <w:tc>
          <w:tcPr/>
          <w:p>
            <w:pPr>
              <w:pStyle w:val="Compact"/>
              <w:jc w:val="left"/>
            </w:pPr>
            <w:r>
              <w:t xml:space="preserve">“</w:t>
            </w:r>
            <w:r>
              <w:t xml:space="preserve">Not formally appraised</w:t>
            </w:r>
            <w:r>
              <w:t xml:space="preserve">”</w:t>
            </w:r>
          </w:p>
        </w:tc>
        <w:tc>
          <w:tcPr/>
          <w:p>
            <w:pPr>
              <w:pStyle w:val="Compact"/>
              <w:jc w:val="left"/>
            </w:pPr>
            <w:r>
              <w:t xml:space="preserve">Entity 2023 gross revenue $4.28M; ordinary business income $612,000</w:t>
            </w:r>
          </w:p>
        </w:tc>
      </w:tr>
      <w:tr>
        <w:tc>
          <w:tcPr/>
          <w:p>
            <w:pPr>
              <w:pStyle w:val="Compact"/>
              <w:jc w:val="left"/>
            </w:pPr>
            <w:r>
              <w:t xml:space="preserve">2022 BMW X5</w:t>
            </w:r>
          </w:p>
        </w:tc>
        <w:tc>
          <w:tcPr/>
          <w:p>
            <w:pPr>
              <w:pStyle w:val="Compact"/>
              <w:jc w:val="left"/>
            </w:pPr>
            <w:r>
              <w:t xml:space="preserve">$48,500; equity $26,400</w:t>
            </w:r>
          </w:p>
        </w:tc>
        <w:tc>
          <w:tcPr/>
          <w:p>
            <w:pPr>
              <w:pStyle w:val="Compact"/>
              <w:jc w:val="left"/>
            </w:pPr>
            <w:r>
              <w:t xml:space="preserve">Loan $22,100 (FCB Auto Finance)</w:t>
            </w:r>
          </w:p>
        </w:tc>
      </w:tr>
      <w:tr>
        <w:tc>
          <w:tcPr/>
          <w:p>
            <w:pPr>
              <w:pStyle w:val="Compact"/>
              <w:jc w:val="left"/>
            </w:pPr>
            <w:r>
              <w:t xml:space="preserve">2020 Honda CR-V</w:t>
            </w:r>
          </w:p>
        </w:tc>
        <w:tc>
          <w:tcPr/>
          <w:p>
            <w:pPr>
              <w:pStyle w:val="Compact"/>
              <w:jc w:val="left"/>
            </w:pPr>
            <w:r>
              <w:t xml:space="preserve">$24,800; equity $24,800</w:t>
            </w:r>
          </w:p>
        </w:tc>
        <w:tc>
          <w:tcPr/>
          <w:p>
            <w:pPr>
              <w:pStyle w:val="Compact"/>
              <w:jc w:val="left"/>
            </w:pPr>
            <w:r>
              <w:t xml:space="preserve">Titled to Petitioner; no loan</w:t>
            </w:r>
          </w:p>
        </w:tc>
      </w:tr>
      <w:tr>
        <w:tc>
          <w:tcPr/>
          <w:p>
            <w:pPr>
              <w:pStyle w:val="Compact"/>
              <w:jc w:val="left"/>
            </w:pPr>
            <w:r>
              <w:t xml:space="preserve">Household personal property</w:t>
            </w:r>
          </w:p>
        </w:tc>
        <w:tc>
          <w:tcPr/>
          <w:p>
            <w:pPr>
              <w:pStyle w:val="Compact"/>
              <w:jc w:val="left"/>
            </w:pPr>
            <w:r>
              <w:t xml:space="preserve">$30,000 (est.)</w:t>
            </w:r>
          </w:p>
        </w:tc>
        <w:tc>
          <w:tcPr/>
          <w:p>
            <w:pPr>
              <w:pStyle w:val="Compact"/>
              <w:jc w:val="left"/>
            </w:pPr>
            <w:r>
              <w:t xml:space="preserve">At marital residence</w:t>
            </w:r>
          </w:p>
        </w:tc>
      </w:tr>
      <w:tr>
        <w:tc>
          <w:tcPr/>
          <w:p>
            <w:pPr>
              <w:pStyle w:val="Compact"/>
              <w:jc w:val="left"/>
            </w:pPr>
            <w:r>
              <w:rPr>
                <w:b/>
                <w:bCs/>
              </w:rPr>
              <w:t xml:space="preserve">Total financial accounts (declared)</w:t>
            </w:r>
          </w:p>
        </w:tc>
        <w:tc>
          <w:tcPr/>
          <w:p>
            <w:pPr>
              <w:pStyle w:val="Compact"/>
              <w:jc w:val="left"/>
            </w:pPr>
            <w:r>
              <w:rPr>
                <w:b/>
                <w:bCs/>
              </w:rPr>
              <w:t xml:space="preserve">$981,435</w:t>
            </w:r>
          </w:p>
        </w:tc>
        <w:tc>
          <w:tcPr/>
          <w:p>
            <w:pPr>
              <w:pStyle w:val="Compact"/>
            </w:pPr>
          </w:p>
        </w:tc>
      </w:tr>
    </w:tbl>
    <w:bookmarkEnd w:id="23"/>
    <w:bookmarkStart w:id="24" w:name="c.-liabilities-as-disclosed-in-prod-001"/>
    <w:p>
      <w:pPr>
        <w:pStyle w:val="Heading3"/>
      </w:pPr>
      <w:r>
        <w:t xml:space="preserve">C. Liabilities (as disclosed in PROD-001)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Liability</w:t>
            </w:r>
          </w:p>
        </w:tc>
        <w:tc>
          <w:tcPr/>
          <w:p>
            <w:pPr>
              <w:pStyle w:val="Compact"/>
              <w:jc w:val="left"/>
            </w:pPr>
            <w:r>
              <w:t xml:space="preserve">Disclosed balance</w:t>
            </w:r>
          </w:p>
        </w:tc>
        <w:tc>
          <w:tcPr/>
          <w:p>
            <w:pPr>
              <w:pStyle w:val="Compact"/>
              <w:jc w:val="left"/>
            </w:pPr>
            <w:r>
              <w:t xml:space="preserve">Creditor (as declared)</w:t>
            </w:r>
          </w:p>
        </w:tc>
      </w:tr>
      <w:tr>
        <w:tc>
          <w:tcPr/>
          <w:p>
            <w:pPr>
              <w:pStyle w:val="Compact"/>
              <w:jc w:val="left"/>
            </w:pPr>
            <w:r>
              <w:t xml:space="preserve">Mortgage — 418 Birchwood Lane</w:t>
            </w:r>
          </w:p>
        </w:tc>
        <w:tc>
          <w:tcPr/>
          <w:p>
            <w:pPr>
              <w:pStyle w:val="Compact"/>
              <w:jc w:val="left"/>
            </w:pPr>
            <w:r>
              <w:t xml:space="preserve">$218,400</w:t>
            </w:r>
          </w:p>
        </w:tc>
        <w:tc>
          <w:tcPr/>
          <w:p>
            <w:pPr>
              <w:pStyle w:val="Compact"/>
              <w:jc w:val="left"/>
            </w:pPr>
            <w:r>
              <w:t xml:space="preserve">Meridian Home Lending</w:t>
            </w:r>
          </w:p>
        </w:tc>
      </w:tr>
      <w:tr>
        <w:tc>
          <w:tcPr/>
          <w:p>
            <w:pPr>
              <w:pStyle w:val="Compact"/>
              <w:jc w:val="left"/>
            </w:pPr>
            <w:r>
              <w:t xml:space="preserve">Auto loan — 2022 BMW X5</w:t>
            </w:r>
          </w:p>
        </w:tc>
        <w:tc>
          <w:tcPr/>
          <w:p>
            <w:pPr>
              <w:pStyle w:val="Compact"/>
              <w:jc w:val="left"/>
            </w:pPr>
            <w:r>
              <w:t xml:space="preserve">$22,100</w:t>
            </w:r>
          </w:p>
        </w:tc>
        <w:tc>
          <w:tcPr/>
          <w:p>
            <w:pPr>
              <w:pStyle w:val="Compact"/>
              <w:jc w:val="left"/>
            </w:pPr>
            <w:r>
              <w:t xml:space="preserve">Fairview Community Bank Auto Finance</w:t>
            </w:r>
          </w:p>
        </w:tc>
      </w:tr>
      <w:tr>
        <w:tc>
          <w:tcPr/>
          <w:p>
            <w:pPr>
              <w:pStyle w:val="Compact"/>
              <w:jc w:val="left"/>
            </w:pPr>
            <w:r>
              <w:t xml:space="preserve">Credit card — Platinum Visa</w:t>
            </w:r>
          </w:p>
        </w:tc>
        <w:tc>
          <w:tcPr/>
          <w:p>
            <w:pPr>
              <w:pStyle w:val="Compact"/>
              <w:jc w:val="left"/>
            </w:pPr>
            <w:r>
              <w:t xml:space="preserve">$8,500 (revolving)</w:t>
            </w:r>
          </w:p>
        </w:tc>
        <w:tc>
          <w:tcPr/>
          <w:p>
            <w:pPr>
              <w:pStyle w:val="Compact"/>
              <w:jc w:val="left"/>
            </w:pPr>
            <w:r>
              <w:t xml:space="preserve">“</w:t>
            </w:r>
            <w:r>
              <w:t xml:space="preserve">First National Card Services</w:t>
            </w:r>
            <w:r>
              <w:t xml:space="preserve">”</w:t>
            </w:r>
          </w:p>
        </w:tc>
      </w:tr>
      <w:tr>
        <w:tc>
          <w:tcPr/>
          <w:p>
            <w:pPr>
              <w:pStyle w:val="Compact"/>
              <w:jc w:val="left"/>
            </w:pPr>
            <w:r>
              <w:rPr>
                <w:b/>
                <w:bCs/>
              </w:rPr>
              <w:t xml:space="preserve">Total declared liabilities</w:t>
            </w:r>
          </w:p>
        </w:tc>
        <w:tc>
          <w:tcPr/>
          <w:p>
            <w:pPr>
              <w:pStyle w:val="Compact"/>
              <w:jc w:val="left"/>
            </w:pPr>
            <w:r>
              <w:rPr>
                <w:b/>
                <w:bCs/>
              </w:rPr>
              <w:t xml:space="preserve">≈ $249,000</w:t>
            </w:r>
          </w:p>
        </w:tc>
        <w:tc>
          <w:tcPr/>
          <w:p>
            <w:pPr>
              <w:pStyle w:val="Compact"/>
            </w:pPr>
          </w:p>
        </w:tc>
      </w:tr>
      <w:tr>
        <w:tc>
          <w:tcPr/>
          <w:p>
            <w:pPr>
              <w:pStyle w:val="Compact"/>
              <w:jc w:val="left"/>
            </w:pPr>
            <w:r>
              <w:t xml:space="preserve">Residential lease — 2200 Harbor Point Dr.</w:t>
            </w:r>
          </w:p>
        </w:tc>
        <w:tc>
          <w:tcPr/>
          <w:p>
            <w:pPr>
              <w:pStyle w:val="Compact"/>
              <w:jc w:val="left"/>
            </w:pPr>
            <w:r>
              <w:t xml:space="preserve">$4,750/mo. (recurring)</w:t>
            </w:r>
          </w:p>
        </w:tc>
        <w:tc>
          <w:tcPr/>
          <w:p>
            <w:pPr>
              <w:pStyle w:val="Compact"/>
              <w:jc w:val="left"/>
            </w:pPr>
            <w:r>
              <w:t xml:space="preserve">Harbor Point Realty Mgmt.</w:t>
            </w:r>
          </w:p>
        </w:tc>
      </w:tr>
    </w:tbl>
    <w:bookmarkEnd w:id="24"/>
    <w:bookmarkStart w:id="25" w:name="Xb37eb630ba0682a3ddb7a1ca8b67fc699f52ce4"/>
    <w:p>
      <w:pPr>
        <w:pStyle w:val="Heading3"/>
      </w:pPr>
      <w:r>
        <w:t xml:space="preserve">D. Monthly cash flow (as disclosed in PROD-001)</w:t>
      </w:r>
    </w:p>
    <w:p>
      <w:pPr>
        <w:pStyle w:val="Compact"/>
        <w:numPr>
          <w:ilvl w:val="0"/>
          <w:numId w:val="1001"/>
        </w:numPr>
      </w:pPr>
      <w:r>
        <w:t xml:space="preserve">Total estimated monthly personal expenses:</w:t>
      </w:r>
      <w:r>
        <w:t xml:space="preserve"> </w:t>
      </w:r>
      <w:r>
        <w:rPr>
          <w:b/>
          <w:bCs/>
        </w:rPr>
        <w:t xml:space="preserve">$8,885.00</w:t>
      </w:r>
    </w:p>
    <w:p>
      <w:pPr>
        <w:pStyle w:val="Compact"/>
        <w:numPr>
          <w:ilvl w:val="0"/>
          <w:numId w:val="1001"/>
        </w:numPr>
      </w:pPr>
      <w:r>
        <w:t xml:space="preserve">Voluntary contribution to marital household:</w:t>
      </w:r>
      <w:r>
        <w:t xml:space="preserve"> </w:t>
      </w:r>
      <w:r>
        <w:rPr>
          <w:b/>
          <w:bCs/>
        </w:rPr>
        <w:t xml:space="preserve">$3,500.00/mo.</w:t>
      </w:r>
    </w:p>
    <w:p>
      <w:pPr>
        <w:pStyle w:val="Compact"/>
        <w:numPr>
          <w:ilvl w:val="0"/>
          <w:numId w:val="1001"/>
        </w:numPr>
      </w:pPr>
      <w:r>
        <w:t xml:space="preserve">Total declared monthly outlay:</w:t>
      </w:r>
      <w:r>
        <w:t xml:space="preserve"> </w:t>
      </w:r>
      <w:r>
        <w:rPr>
          <w:b/>
          <w:bCs/>
        </w:rPr>
        <w:t xml:space="preserve">$12,385.00</w:t>
      </w:r>
    </w:p>
    <w:p>
      <w:pPr>
        <w:pStyle w:val="Compact"/>
        <w:numPr>
          <w:ilvl w:val="0"/>
          <w:numId w:val="1001"/>
        </w:numPr>
      </w:pPr>
      <w:r>
        <w:t xml:space="preserve">Implied monthly income from declared $359,000/yr:</w:t>
      </w:r>
      <w:r>
        <w:t xml:space="preserve"> </w:t>
      </w:r>
      <w:r>
        <w:rPr>
          <w:b/>
          <w:bCs/>
        </w:rPr>
        <w:t xml:space="preserve">≈ $29,917/mo.</w:t>
      </w:r>
    </w:p>
    <w:bookmarkEnd w:id="25"/>
    <w:bookmarkStart w:id="26" w:name="Xaf19a0246464c77345569f05a9725f8ae7af8ce"/>
    <w:p>
      <w:pPr>
        <w:pStyle w:val="Heading3"/>
      </w:pPr>
      <w:r>
        <w:t xml:space="preserve">E. NovaBridge Solutions LLC — entity-level figures (PROD-002, PROD-007)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FY 2023</w:t>
            </w:r>
          </w:p>
        </w:tc>
        <w:tc>
          <w:tcPr/>
          <w:p>
            <w:pPr>
              <w:pStyle w:val="Compact"/>
              <w:jc w:val="left"/>
            </w:pPr>
            <w:r>
              <w:t xml:space="preserve">FY 2022</w:t>
            </w:r>
          </w:p>
        </w:tc>
      </w:tr>
      <w:tr>
        <w:tc>
          <w:tcPr/>
          <w:p>
            <w:pPr>
              <w:pStyle w:val="Compact"/>
              <w:jc w:val="left"/>
            </w:pPr>
            <w:r>
              <w:t xml:space="preserve">Gross revenue</w:t>
            </w:r>
          </w:p>
        </w:tc>
        <w:tc>
          <w:tcPr/>
          <w:p>
            <w:pPr>
              <w:pStyle w:val="Compact"/>
              <w:jc w:val="left"/>
            </w:pPr>
            <w:r>
              <w:t xml:space="preserve">$4,280,000</w:t>
            </w:r>
          </w:p>
        </w:tc>
        <w:tc>
          <w:tcPr/>
          <w:p>
            <w:pPr>
              <w:pStyle w:val="Compact"/>
              <w:jc w:val="left"/>
            </w:pPr>
            <w:r>
              <w:t xml:space="preserve">$3,915,000</w:t>
            </w:r>
          </w:p>
        </w:tc>
      </w:tr>
      <w:tr>
        <w:tc>
          <w:tcPr/>
          <w:p>
            <w:pPr>
              <w:pStyle w:val="Compact"/>
              <w:jc w:val="left"/>
            </w:pPr>
            <w:r>
              <w:t xml:space="preserve">Ordinary business income (Form 1065, Line 22)</w:t>
            </w:r>
          </w:p>
        </w:tc>
        <w:tc>
          <w:tcPr/>
          <w:p>
            <w:pPr>
              <w:pStyle w:val="Compact"/>
              <w:jc w:val="left"/>
            </w:pPr>
            <w:r>
              <w:t xml:space="preserve">$612,000</w:t>
            </w:r>
          </w:p>
        </w:tc>
        <w:tc>
          <w:tcPr/>
          <w:p>
            <w:pPr>
              <w:pStyle w:val="Compact"/>
              <w:jc w:val="left"/>
            </w:pPr>
            <w:r>
              <w:t xml:space="preserve">$548,000</w:t>
            </w:r>
          </w:p>
        </w:tc>
      </w:tr>
      <w:tr>
        <w:tc>
          <w:tcPr/>
          <w:p>
            <w:pPr>
              <w:pStyle w:val="Compact"/>
              <w:jc w:val="left"/>
            </w:pPr>
            <w:r>
              <w:t xml:space="preserve">Total partner distributions</w:t>
            </w:r>
          </w:p>
        </w:tc>
        <w:tc>
          <w:tcPr/>
          <w:p>
            <w:pPr>
              <w:pStyle w:val="Compact"/>
              <w:jc w:val="left"/>
            </w:pPr>
            <w:r>
              <w:t xml:space="preserve">$290,000</w:t>
            </w:r>
          </w:p>
        </w:tc>
        <w:tc>
          <w:tcPr/>
          <w:p>
            <w:pPr>
              <w:pStyle w:val="Compact"/>
              <w:jc w:val="left"/>
            </w:pPr>
            <w:r>
              <w:t xml:space="preserve">$260,000</w:t>
            </w:r>
          </w:p>
        </w:tc>
      </w:tr>
      <w:tr>
        <w:tc>
          <w:tcPr/>
          <w:p>
            <w:pPr>
              <w:pStyle w:val="Compact"/>
              <w:jc w:val="left"/>
            </w:pPr>
            <w:r>
              <w:t xml:space="preserve">Entity retained earnings</w:t>
            </w:r>
          </w:p>
        </w:tc>
        <w:tc>
          <w:tcPr/>
          <w:p>
            <w:pPr>
              <w:pStyle w:val="Compact"/>
              <w:jc w:val="left"/>
            </w:pPr>
            <w:r>
              <w:t xml:space="preserve">$322,000</w:t>
            </w:r>
          </w:p>
        </w:tc>
        <w:tc>
          <w:tcPr/>
          <w:p>
            <w:pPr>
              <w:pStyle w:val="Compact"/>
              <w:jc w:val="left"/>
            </w:pPr>
            <w:r>
              <w:t xml:space="preserve">—</w:t>
            </w:r>
          </w:p>
        </w:tc>
      </w:tr>
      <w:tr>
        <w:tc>
          <w:tcPr/>
          <w:p>
            <w:pPr>
              <w:pStyle w:val="Compact"/>
              <w:jc w:val="left"/>
            </w:pPr>
            <w:r>
              <w:t xml:space="preserve">Respondent’s 60% share of retained earnings</w:t>
            </w:r>
          </w:p>
        </w:tc>
        <w:tc>
          <w:tcPr/>
          <w:p>
            <w:pPr>
              <w:pStyle w:val="Compact"/>
              <w:jc w:val="left"/>
            </w:pPr>
            <w:r>
              <w:t xml:space="preserve">$193,200</w:t>
            </w:r>
          </w:p>
        </w:tc>
        <w:tc>
          <w:tcPr/>
          <w:p>
            <w:pPr>
              <w:pStyle w:val="Compact"/>
              <w:jc w:val="left"/>
            </w:pPr>
            <w:r>
              <w:t xml:space="preserve">—</w:t>
            </w:r>
          </w:p>
        </w:tc>
      </w:tr>
      <w:tr>
        <w:tc>
          <w:tcPr/>
          <w:p>
            <w:pPr>
              <w:pStyle w:val="Compact"/>
              <w:jc w:val="left"/>
            </w:pPr>
            <w:r>
              <w:t xml:space="preserve">Respondent’s 2023 distribution</w:t>
            </w:r>
          </w:p>
        </w:tc>
        <w:tc>
          <w:tcPr/>
          <w:p>
            <w:pPr>
              <w:pStyle w:val="Compact"/>
              <w:jc w:val="left"/>
            </w:pPr>
            <w:r>
              <w:t xml:space="preserve">$174,000</w:t>
            </w:r>
          </w:p>
        </w:tc>
        <w:tc>
          <w:tcPr/>
          <w:p>
            <w:pPr>
              <w:pStyle w:val="Compact"/>
              <w:jc w:val="left"/>
            </w:pPr>
            <w:r>
              <w:t xml:space="preserve">—</w:t>
            </w:r>
          </w:p>
        </w:tc>
      </w:tr>
      <w:tr>
        <w:tc>
          <w:tcPr/>
          <w:p>
            <w:pPr>
              <w:pStyle w:val="Compact"/>
              <w:jc w:val="left"/>
            </w:pPr>
            <w:r>
              <w:t xml:space="preserve">Respondent’s H1 2024 expense reimbursements</w:t>
            </w:r>
          </w:p>
        </w:tc>
        <w:tc>
          <w:tcPr/>
          <w:p>
            <w:pPr>
              <w:pStyle w:val="Compact"/>
              <w:jc w:val="left"/>
            </w:pPr>
            <w:r>
              <w:t xml:space="preserve">$12,662 (Q1 $3,373; Q2 $9,289)</w:t>
            </w:r>
          </w:p>
        </w:tc>
        <w:tc>
          <w:tcPr/>
          <w:p>
            <w:pPr>
              <w:pStyle w:val="Compact"/>
              <w:jc w:val="left"/>
            </w:pPr>
            <w:r>
              <w:t xml:space="preserve">—</w:t>
            </w:r>
          </w:p>
        </w:tc>
      </w:tr>
    </w:tbl>
    <w:p>
      <w:r>
        <w:pict>
          <v:rect style="width:0;height:1.5pt" o:hralign="center" o:hrstd="t" o:hr="t"/>
        </w:pict>
      </w:r>
    </w:p>
    <w:bookmarkEnd w:id="26"/>
    <w:bookmarkEnd w:id="27"/>
    <w:bookmarkStart w:id="31" w:name="X88d628a9e8105075c4601aa1b56bd0ed9013913"/>
    <w:p>
      <w:pPr>
        <w:pStyle w:val="Heading2"/>
      </w:pPr>
      <w:r>
        <w:t xml:space="preserve">IV. Flagged Inconsistencies and Red Flags</w:t>
      </w:r>
    </w:p>
    <w:p>
      <w:pPr>
        <w:pStyle w:val="FirstParagraph"/>
      </w:pPr>
      <w:r>
        <w:t xml:space="preserve">We have organized the inconsistencies into three tiers:</w:t>
      </w:r>
      <w:r>
        <w:t xml:space="preserve"> </w:t>
      </w:r>
      <w:r>
        <w:rPr>
          <w:b/>
          <w:bCs/>
        </w:rPr>
        <w:t xml:space="preserve">Tier 1</w:t>
      </w:r>
      <w:r>
        <w:t xml:space="preserve"> </w:t>
      </w:r>
      <w:r>
        <w:t xml:space="preserve">(material misrepresentations or omissions affecting income, asset, or dissipation analysis);</w:t>
      </w:r>
      <w:r>
        <w:t xml:space="preserve"> </w:t>
      </w:r>
      <w:r>
        <w:rPr>
          <w:b/>
          <w:bCs/>
        </w:rPr>
        <w:t xml:space="preserve">Tier 2</w:t>
      </w:r>
      <w:r>
        <w:t xml:space="preserve"> </w:t>
      </w:r>
      <w:r>
        <w:t xml:space="preserve">(significant inconsistencies warranting correction and inquiry); and</w:t>
      </w:r>
      <w:r>
        <w:t xml:space="preserve"> </w:t>
      </w:r>
      <w:r>
        <w:rPr>
          <w:b/>
          <w:bCs/>
        </w:rPr>
        <w:t xml:space="preserve">Tier 3</w:t>
      </w:r>
      <w:r>
        <w:t xml:space="preserve"> </w:t>
      </w:r>
      <w:r>
        <w:t xml:space="preserve">(production/metadata and clerical issues).</w:t>
      </w:r>
    </w:p>
    <w:bookmarkStart w:id="28" w:name="X227b3460b28ca78f61458eda0e7738b88f131ff"/>
    <w:p>
      <w:pPr>
        <w:pStyle w:val="Heading3"/>
      </w:pPr>
      <w:r>
        <w:t xml:space="preserve">A. Tier 1 — Material misrepresentations and omissions</w:t>
      </w:r>
    </w:p>
    <w:p>
      <w:pPr>
        <w:pStyle w:val="FirstParagraph"/>
      </w:pPr>
      <w:r>
        <w:rPr>
          <w:b/>
          <w:bCs/>
        </w:rPr>
        <w:t xml:space="preserve">1. Undisclosed real property — 1035 Elm Street, Unit C, Fairview, Columbia 20147.</w:t>
      </w:r>
      <w:r>
        <w:t xml:space="preserve"> </w:t>
      </w:r>
      <w:r>
        <w:t xml:space="preserve">The Financial Declaration (PROD-001, ¶ 23) states:</w:t>
      </w:r>
      <w:r>
        <w:t xml:space="preserve"> </w:t>
      </w:r>
      <w:r>
        <w:t xml:space="preserve">“</w:t>
      </w:r>
      <w:r>
        <w:t xml:space="preserve">Respondent does not hold any ownership interest, whether sole or joint, in any other real property</w:t>
      </w:r>
      <w:r>
        <w:t xml:space="preserve">”</w:t>
      </w:r>
      <w:r>
        <w:t xml:space="preserve"> </w:t>
      </w:r>
      <w:r>
        <w:t xml:space="preserve">besides 418 Birchwood Lane, and the liabilities section (¶¶ 43–44) discloses only the Birchwood mortgage. Three other exhibits independently establish a second property:</w:t>
      </w:r>
    </w:p>
    <w:p>
      <w:pPr>
        <w:pStyle w:val="Compact"/>
        <w:numPr>
          <w:ilvl w:val="0"/>
          <w:numId w:val="1002"/>
        </w:numPr>
      </w:pPr>
      <w:r>
        <w:rPr>
          <w:b/>
          <w:bCs/>
        </w:rPr>
        <w:t xml:space="preserve">PROD-002 (tax return), Schedule E, Part I:</w:t>
      </w:r>
      <w:r>
        <w:t xml:space="preserve"> </w:t>
      </w:r>
      <w:r>
        <w:t xml:space="preserve">reports rental real estate at 1035 Elm Street, Unit C —</w:t>
      </w:r>
      <w:r>
        <w:t xml:space="preserve"> </w:t>
      </w:r>
      <w:r>
        <w:t xml:space="preserve">“</w:t>
      </w:r>
      <w:r>
        <w:t xml:space="preserve">Property titled in the name of Darren Kwan</w:t>
      </w:r>
      <w:r>
        <w:t xml:space="preserve">”</w:t>
      </w:r>
      <w:r>
        <w:t xml:space="preserve"> </w:t>
      </w:r>
      <w:r>
        <w:t xml:space="preserve">— with rents received of $25,200 ($2,100/mo. × 12) and net rental income of $2,940. Mortgage interest of $11,280 paid to Meridian Home Lending is deducted.</w:t>
      </w:r>
    </w:p>
    <w:p>
      <w:pPr>
        <w:pStyle w:val="Compact"/>
        <w:numPr>
          <w:ilvl w:val="0"/>
          <w:numId w:val="1002"/>
        </w:numPr>
      </w:pPr>
      <w:r>
        <w:rPr>
          <w:b/>
          <w:bCs/>
        </w:rPr>
        <w:t xml:space="preserve">PROD-005 (mortgage statements):</w:t>
      </w:r>
      <w:r>
        <w:t xml:space="preserve"> </w:t>
      </w:r>
      <w:r>
        <w:t xml:space="preserve">Meridian Home Lending loan No. 7842-0163-ELM, borrower Darren Kwan (sole; no co-borrower), property 1035 Elm Street, Unit C. Original loan $279,000 dated 10/8/2019 (during the marriage); current principal balance</w:t>
      </w:r>
      <w:r>
        <w:t xml:space="preserve"> </w:t>
      </w:r>
      <w:r>
        <w:rPr>
          <w:b/>
          <w:bCs/>
        </w:rPr>
        <w:t xml:space="preserve">$241,281.19</w:t>
      </w:r>
      <w:r>
        <w:t xml:space="preserve"> </w:t>
      </w:r>
      <w:r>
        <w:t xml:space="preserve">as of 8/1/2024; PITI $1,680.00/mo.</w:t>
      </w:r>
    </w:p>
    <w:p>
      <w:pPr>
        <w:pStyle w:val="Compact"/>
        <w:numPr>
          <w:ilvl w:val="0"/>
          <w:numId w:val="1002"/>
        </w:numPr>
      </w:pPr>
      <w:r>
        <w:rPr>
          <w:b/>
          <w:bCs/>
        </w:rPr>
        <w:t xml:space="preserve">PROD-004 (bank statements):</w:t>
      </w:r>
      <w:r>
        <w:t xml:space="preserve"> </w:t>
      </w:r>
      <w:r>
        <w:t xml:space="preserve">the individual checking account (7703) receives a recurring</w:t>
      </w:r>
      <w:r>
        <w:t xml:space="preserve"> </w:t>
      </w:r>
      <w:r>
        <w:t xml:space="preserve">“</w:t>
      </w:r>
      <w:r>
        <w:t xml:space="preserve">ACH Deposit — Tenant Rent Payment</w:t>
      </w:r>
      <w:r>
        <w:t xml:space="preserve">”</w:t>
      </w:r>
      <w:r>
        <w:t xml:space="preserve"> </w:t>
      </w:r>
      <w:r>
        <w:t xml:space="preserve">of $2,100/mo. (April–July) and pays a recurring</w:t>
      </w:r>
      <w:r>
        <w:t xml:space="preserve"> </w:t>
      </w:r>
      <w:r>
        <w:t xml:space="preserve">“</w:t>
      </w:r>
      <w:r>
        <w:t xml:space="preserve">ACH Payment — Meridian Home Lending</w:t>
      </w:r>
      <w:r>
        <w:t xml:space="preserve">”</w:t>
      </w:r>
      <w:r>
        <w:t xml:space="preserve"> </w:t>
      </w:r>
      <w:r>
        <w:t xml:space="preserve">of $1,680.00/mo. (March–August), distinct from the $1,842.00 Birchwood mortgage payment.</w:t>
      </w:r>
    </w:p>
    <w:p>
      <w:pPr>
        <w:pStyle w:val="FirstParagraph"/>
      </w:pPr>
      <w:r>
        <w:t xml:space="preserve">This is an</w:t>
      </w:r>
      <w:r>
        <w:t xml:space="preserve"> </w:t>
      </w:r>
      <w:r>
        <w:rPr>
          <w:b/>
          <w:bCs/>
        </w:rPr>
        <w:t xml:space="preserve">undisclosed marital asset and an undisclosed liability</w:t>
      </w:r>
      <w:r>
        <w:t xml:space="preserve">. The Elm Street mortgage (~$241,281) alone increases Respondent’s true liabilities from the declared ~$249,000 to roughly</w:t>
      </w:r>
      <w:r>
        <w:t xml:space="preserve"> </w:t>
      </w:r>
      <w:r>
        <w:rPr>
          <w:b/>
          <w:bCs/>
        </w:rPr>
        <w:t xml:space="preserve">$490,000</w:t>
      </w:r>
      <w:r>
        <w:t xml:space="preserve">. Notably, the cover letter itself describes PROD-005 as mortgage statements for 1035 Elm Street — thereby admitting the property’s existence — while the Financial Declaration denies it. The marital-residence mortgage (Birchwood) statements were</w:t>
      </w:r>
      <w:r>
        <w:t xml:space="preserve"> </w:t>
      </w:r>
      <w:r>
        <w:rPr>
          <w:b/>
          <w:bCs/>
        </w:rPr>
        <w:t xml:space="preserve">not</w:t>
      </w:r>
      <w:r>
        <w:t xml:space="preserve"> </w:t>
      </w:r>
      <w:r>
        <w:t xml:space="preserve">produced, so the declared $218,400 Birchwood balance cannot yet be verified.</w:t>
      </w:r>
    </w:p>
    <w:p>
      <w:pPr>
        <w:pStyle w:val="BodyText"/>
      </w:pPr>
      <w:r>
        <w:rPr>
          <w:b/>
          <w:bCs/>
        </w:rPr>
        <w:t xml:space="preserve">2. Material understatement of 2023 income.</w:t>
      </w:r>
      <w:r>
        <w:t xml:space="preserve"> </w:t>
      </w:r>
      <w:r>
        <w:t xml:space="preserve">The Financial Declaration (PROD-001, ¶¶ 15–16) reports total 2023 income of $359,000, comprised of $185,000 W-2 salary plus $174,000 described as</w:t>
      </w:r>
      <w:r>
        <w:t xml:space="preserve"> </w:t>
      </w:r>
      <w:r>
        <w:t xml:space="preserve">“</w:t>
      </w:r>
      <w:r>
        <w:t xml:space="preserve">K-1 Income / Distributions.</w:t>
      </w:r>
      <w:r>
        <w:t xml:space="preserve">”</w:t>
      </w:r>
      <w:r>
        <w:t xml:space="preserve"> </w:t>
      </w:r>
      <w:r>
        <w:t xml:space="preserve">The $174,000 figure is the</w:t>
      </w:r>
      <w:r>
        <w:t xml:space="preserve"> </w:t>
      </w:r>
      <w:r>
        <w:rPr>
          <w:b/>
          <w:bCs/>
        </w:rPr>
        <w:t xml:space="preserve">cash distribution</w:t>
      </w:r>
      <w:r>
        <w:t xml:space="preserve"> </w:t>
      </w:r>
      <w:r>
        <w:t xml:space="preserve">(K-1 Box 19a), not the</w:t>
      </w:r>
      <w:r>
        <w:t xml:space="preserve"> </w:t>
      </w:r>
      <w:r>
        <w:rPr>
          <w:b/>
          <w:bCs/>
        </w:rPr>
        <w:t xml:space="preserve">pass-through ordinary business income</w:t>
      </w:r>
      <w:r>
        <w:t xml:space="preserve"> </w:t>
      </w:r>
      <w:r>
        <w:t xml:space="preserve">of</w:t>
      </w:r>
      <w:r>
        <w:t xml:space="preserve"> </w:t>
      </w:r>
      <w:r>
        <w:rPr>
          <w:b/>
          <w:bCs/>
        </w:rPr>
        <w:t xml:space="preserve">$367,200</w:t>
      </w:r>
      <w:r>
        <w:t xml:space="preserve"> </w:t>
      </w:r>
      <w:r>
        <w:t xml:space="preserve">(K-1 Box 1; Form 1040 Line 8). The $193,200 difference equals Respondent’s 60% share of NovaBridge’s 2023 retained earnings — income earned but retained inside the entity. The Financial Declaration further omits rental income ($2,940), taxable interest ($1,840), ordinary dividends ($6,310), and net capital gains ($8,450), all of which appear on the jointly filed return (PROD-002). The aggregate understatement is approximately</w:t>
      </w:r>
      <w:r>
        <w:t xml:space="preserve"> </w:t>
      </w:r>
      <w:r>
        <w:rPr>
          <w:b/>
          <w:bCs/>
        </w:rPr>
        <w:t xml:space="preserve">$212,740</w:t>
      </w:r>
      <w:r>
        <w:t xml:space="preserve">. This is directly relevant to child-support and maintenance calculations, which should be driven by pass-through income, not cash distributions.</w:t>
      </w:r>
    </w:p>
    <w:p>
      <w:pPr>
        <w:pStyle w:val="BodyText"/>
      </w:pPr>
      <w:r>
        <w:rPr>
          <w:b/>
          <w:bCs/>
        </w:rPr>
        <w:t xml:space="preserve">3. $85,000 outgoing wire transfer to an undisclosed institution around the date of separation.</w:t>
      </w:r>
      <w:r>
        <w:t xml:space="preserve"> </w:t>
      </w:r>
      <w:r>
        <w:t xml:space="preserve">PROD-003 (Crestline, June 2024 statement) shows an outgoing wire transfer of</w:t>
      </w:r>
      <w:r>
        <w:t xml:space="preserve"> </w:t>
      </w:r>
      <w:r>
        <w:rPr>
          <w:b/>
          <w:bCs/>
        </w:rPr>
        <w:t xml:space="preserve">$85,000.00</w:t>
      </w:r>
      <w:r>
        <w:t xml:space="preserve"> </w:t>
      </w:r>
      <w:r>
        <w:t xml:space="preserve">on 6/15/2024 to</w:t>
      </w:r>
      <w:r>
        <w:t xml:space="preserve"> </w:t>
      </w:r>
      <w:r>
        <w:rPr>
          <w:b/>
          <w:bCs/>
        </w:rPr>
        <w:t xml:space="preserve">Harborstone Financial Group, account ending 2291</w:t>
      </w:r>
      <w:r>
        <w:t xml:space="preserve"> </w:t>
      </w:r>
      <w:r>
        <w:t xml:space="preserve">(Ref. WT-2024-061524-0087), authorized by the account holder. This transfer:</w:t>
      </w:r>
      <w:r>
        <w:t xml:space="preserve"> </w:t>
      </w:r>
      <w:r>
        <w:t xml:space="preserve">- is to an institution and account</w:t>
      </w:r>
      <w:r>
        <w:t xml:space="preserve"> </w:t>
      </w:r>
      <w:r>
        <w:rPr>
          <w:b/>
          <w:bCs/>
        </w:rPr>
        <w:t xml:space="preserve">not listed anywhere</w:t>
      </w:r>
      <w:r>
        <w:t xml:space="preserve"> </w:t>
      </w:r>
      <w:r>
        <w:t xml:space="preserve">in the Financial Declaration’s account schedule (PROD-001, ¶¶ 24–33);</w:t>
      </w:r>
      <w:r>
        <w:t xml:space="preserve"> </w:t>
      </w:r>
      <w:r>
        <w:t xml:space="preserve">- occurred</w:t>
      </w:r>
      <w:r>
        <w:t xml:space="preserve"> </w:t>
      </w:r>
      <w:r>
        <w:rPr>
          <w:b/>
          <w:bCs/>
        </w:rPr>
        <w:t xml:space="preserve">two weeks after</w:t>
      </w:r>
      <w:r>
        <w:t xml:space="preserve"> </w:t>
      </w:r>
      <w:r>
        <w:t xml:space="preserve">the Financial Declaration’s asserted separation date of June 1, 2024 (and, if separation is later found to be August 1, during the marriage — see Tier 2, Item 6);</w:t>
      </w:r>
      <w:r>
        <w:t xml:space="preserve"> </w:t>
      </w:r>
      <w:r>
        <w:t xml:space="preserve">- accounts for the bulk of the brokerage account’s decline from $472,450 (1/1/2024) to $387,450 (8/1/2024); the Financial Declaration reports only the post-transfer $387,450 balance, concealing the $85,000 outflow.</w:t>
      </w:r>
    </w:p>
    <w:p>
      <w:pPr>
        <w:pStyle w:val="BodyText"/>
      </w:pPr>
      <w:r>
        <w:t xml:space="preserve">This is a prime candidate for a</w:t>
      </w:r>
      <w:r>
        <w:t xml:space="preserve"> </w:t>
      </w:r>
      <w:r>
        <w:rPr>
          <w:b/>
          <w:bCs/>
        </w:rPr>
        <w:t xml:space="preserve">dissipation/concealment claim</w:t>
      </w:r>
      <w:r>
        <w:t xml:space="preserve"> </w:t>
      </w:r>
      <w:r>
        <w:t xml:space="preserve">and tracing analysis.</w:t>
      </w:r>
    </w:p>
    <w:p>
      <w:pPr>
        <w:pStyle w:val="BodyText"/>
      </w:pPr>
      <w:r>
        <w:rPr>
          <w:b/>
          <w:bCs/>
        </w:rPr>
        <w:t xml:space="preserve">4. Recurring undisclosed transfers to</w:t>
      </w:r>
      <w:r>
        <w:rPr>
          <w:b/>
          <w:bCs/>
        </w:rPr>
        <w:t xml:space="preserve"> </w:t>
      </w:r>
      <w:r>
        <w:rPr>
          <w:b/>
          <w:bCs/>
        </w:rPr>
        <w:t xml:space="preserve">“</w:t>
      </w:r>
      <w:r>
        <w:rPr>
          <w:b/>
          <w:bCs/>
        </w:rPr>
        <w:t xml:space="preserve">Kiera M.</w:t>
      </w:r>
      <w:r>
        <w:rPr>
          <w:b/>
          <w:bCs/>
        </w:rPr>
        <w:t xml:space="preserve">”</w:t>
      </w:r>
      <w:r>
        <w:rPr>
          <w:b/>
          <w:bCs/>
        </w:rPr>
        <w:t xml:space="preserve"> </w:t>
      </w:r>
      <w:r>
        <w:rPr>
          <w:b/>
          <w:bCs/>
        </w:rPr>
        <w:t xml:space="preserve">via Venmo — at least $14,600.</w:t>
      </w:r>
      <w:r>
        <w:t xml:space="preserve"> </w:t>
      </w:r>
      <w:r>
        <w:t xml:space="preserve">PROD-004 (individual checking, 7703) shows recurring</w:t>
      </w:r>
      <w:r>
        <w:t xml:space="preserve"> </w:t>
      </w:r>
      <w:r>
        <w:t xml:space="preserve">“</w:t>
      </w:r>
      <w:r>
        <w:t xml:space="preserve">Venmo Payment — Transfer to Kiera M.</w:t>
      </w:r>
      <w:r>
        <w:t xml:space="preserve">”</w:t>
      </w:r>
      <w:r>
        <w:t xml:space="preserve"> </w:t>
      </w:r>
      <w:r>
        <w:t xml:space="preserve">in every month produced: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Amount</w:t>
            </w:r>
          </w:p>
        </w:tc>
      </w:tr>
      <w:tr>
        <w:tc>
          <w:tcPr/>
          <w:p>
            <w:pPr>
              <w:pStyle w:val="Compact"/>
              <w:jc w:val="left"/>
            </w:pPr>
            <w:r>
              <w:t xml:space="preserve">3/15/2024</w:t>
            </w:r>
          </w:p>
        </w:tc>
        <w:tc>
          <w:tcPr/>
          <w:p>
            <w:pPr>
              <w:pStyle w:val="Compact"/>
              <w:jc w:val="left"/>
            </w:pPr>
            <w:r>
              <w:t xml:space="preserve">$2,800.00</w:t>
            </w:r>
          </w:p>
        </w:tc>
      </w:tr>
      <w:tr>
        <w:tc>
          <w:tcPr/>
          <w:p>
            <w:pPr>
              <w:pStyle w:val="Compact"/>
              <w:jc w:val="left"/>
            </w:pPr>
            <w:r>
              <w:t xml:space="preserve">4/22/2024</w:t>
            </w:r>
          </w:p>
        </w:tc>
        <w:tc>
          <w:tcPr/>
          <w:p>
            <w:pPr>
              <w:pStyle w:val="Compact"/>
              <w:jc w:val="left"/>
            </w:pPr>
            <w:r>
              <w:t xml:space="preserve">$3,100.00</w:t>
            </w:r>
          </w:p>
        </w:tc>
      </w:tr>
      <w:tr>
        <w:tc>
          <w:tcPr/>
          <w:p>
            <w:pPr>
              <w:pStyle w:val="Compact"/>
              <w:jc w:val="left"/>
            </w:pPr>
            <w:r>
              <w:t xml:space="preserve">5/10/2024</w:t>
            </w:r>
          </w:p>
        </w:tc>
        <w:tc>
          <w:tcPr/>
          <w:p>
            <w:pPr>
              <w:pStyle w:val="Compact"/>
              <w:jc w:val="left"/>
            </w:pPr>
            <w:r>
              <w:t xml:space="preserve">$2,500.00</w:t>
            </w:r>
          </w:p>
        </w:tc>
      </w:tr>
      <w:tr>
        <w:tc>
          <w:tcPr/>
          <w:p>
            <w:pPr>
              <w:pStyle w:val="Compact"/>
              <w:jc w:val="left"/>
            </w:pPr>
            <w:r>
              <w:t xml:space="preserve">6/18/2024</w:t>
            </w:r>
          </w:p>
        </w:tc>
        <w:tc>
          <w:tcPr/>
          <w:p>
            <w:pPr>
              <w:pStyle w:val="Compact"/>
              <w:jc w:val="left"/>
            </w:pPr>
            <w:r>
              <w:t xml:space="preserve">$3,200.00</w:t>
            </w:r>
          </w:p>
        </w:tc>
      </w:tr>
      <w:tr>
        <w:tc>
          <w:tcPr/>
          <w:p>
            <w:pPr>
              <w:pStyle w:val="Compact"/>
              <w:jc w:val="left"/>
            </w:pPr>
            <w:r>
              <w:t xml:space="preserve">7/14/2024</w:t>
            </w:r>
          </w:p>
        </w:tc>
        <w:tc>
          <w:tcPr/>
          <w:p>
            <w:pPr>
              <w:pStyle w:val="Compact"/>
              <w:jc w:val="left"/>
            </w:pPr>
            <w:r>
              <w:t xml:space="preserve">$3,000.00</w:t>
            </w:r>
          </w:p>
        </w:tc>
      </w:tr>
      <w:tr>
        <w:tc>
          <w:tcPr/>
          <w:p>
            <w:pPr>
              <w:pStyle w:val="Compact"/>
              <w:jc w:val="left"/>
            </w:pPr>
            <w:r>
              <w:rPr>
                <w:b/>
                <w:bCs/>
              </w:rPr>
              <w:t xml:space="preserve">Total (5 months)</w:t>
            </w:r>
          </w:p>
        </w:tc>
        <w:tc>
          <w:tcPr/>
          <w:p>
            <w:pPr>
              <w:pStyle w:val="Compact"/>
              <w:jc w:val="left"/>
            </w:pPr>
            <w:r>
              <w:rPr>
                <w:b/>
                <w:bCs/>
              </w:rPr>
              <w:t xml:space="preserve">$14,600.00</w:t>
            </w:r>
          </w:p>
        </w:tc>
      </w:tr>
    </w:tbl>
    <w:p>
      <w:pPr>
        <w:pStyle w:val="BodyText"/>
      </w:pPr>
      <w:r>
        <w:t xml:space="preserve">Annualized, this approximates</w:t>
      </w:r>
      <w:r>
        <w:t xml:space="preserve"> </w:t>
      </w:r>
      <w:r>
        <w:rPr>
          <w:b/>
          <w:bCs/>
        </w:rPr>
        <w:t xml:space="preserve">$35,000/yr.</w:t>
      </w:r>
      <w:r>
        <w:t xml:space="preserve"> </w:t>
      </w:r>
      <w:r>
        <w:t xml:space="preserve">The recipient</w:t>
      </w:r>
      <w:r>
        <w:t xml:space="preserve"> </w:t>
      </w:r>
      <w:r>
        <w:t xml:space="preserve">“</w:t>
      </w:r>
      <w:r>
        <w:t xml:space="preserve">Kiera M.</w:t>
      </w:r>
      <w:r>
        <w:t xml:space="preserve">”</w:t>
      </w:r>
      <w:r>
        <w:t xml:space="preserve"> </w:t>
      </w:r>
      <w:r>
        <w:t xml:space="preserve">is unidentified and the transfers are wholly undisclosed. The pattern (steady, recurring, ~$2,920/mo.) is consistent with support of a third party, repayment of an undisclosed obligation, or dissipation. Identification of the recipient and purpose is a high-priority follow-up item.</w:t>
      </w:r>
    </w:p>
    <w:p>
      <w:pPr>
        <w:pStyle w:val="BodyText"/>
      </w:pPr>
      <w:r>
        <w:rPr>
          <w:b/>
          <w:bCs/>
        </w:rPr>
        <w:t xml:space="preserve">5.</w:t>
      </w:r>
      <w:r>
        <w:rPr>
          <w:b/>
          <w:bCs/>
        </w:rPr>
        <w:t xml:space="preserve"> </w:t>
      </w:r>
      <w:r>
        <w:rPr>
          <w:b/>
          <w:bCs/>
        </w:rPr>
        <w:t xml:space="preserve">“</w:t>
      </w:r>
      <w:r>
        <w:rPr>
          <w:b/>
          <w:bCs/>
        </w:rPr>
        <w:t xml:space="preserve">Other Income</w:t>
      </w:r>
      <w:r>
        <w:rPr>
          <w:b/>
          <w:bCs/>
        </w:rPr>
        <w:t xml:space="preserve">”</w:t>
      </w:r>
      <w:r>
        <w:rPr>
          <w:b/>
          <w:bCs/>
        </w:rPr>
        <w:t xml:space="preserve"> </w:t>
      </w:r>
      <w:r>
        <w:rPr>
          <w:b/>
          <w:bCs/>
        </w:rPr>
        <w:t xml:space="preserve">falsely reported as</w:t>
      </w:r>
      <w:r>
        <w:rPr>
          <w:b/>
          <w:bCs/>
        </w:rPr>
        <w:t xml:space="preserve"> </w:t>
      </w:r>
      <w:r>
        <w:rPr>
          <w:b/>
          <w:bCs/>
        </w:rPr>
        <w:t xml:space="preserve">“</w:t>
      </w:r>
      <w:r>
        <w:rPr>
          <w:b/>
          <w:bCs/>
        </w:rPr>
        <w:t xml:space="preserve">None.</w:t>
      </w:r>
      <w:r>
        <w:rPr>
          <w:b/>
          <w:bCs/>
        </w:rPr>
        <w:t xml:space="preserve">”</w:t>
      </w:r>
      <w:r>
        <w:t xml:space="preserve"> </w:t>
      </w:r>
      <w:r>
        <w:t xml:space="preserve">PROD-001, ¶ 19 expressly states:</w:t>
      </w:r>
      <w:r>
        <w:t xml:space="preserve"> </w:t>
      </w:r>
      <w:r>
        <w:t xml:space="preserve">“</w:t>
      </w:r>
      <w:r>
        <w:t xml:space="preserve">Other than the income described … Respondent has no other sources of income, including but not limited to interest income, dividend income, rental income, royalty income, trust income, or income from any other business venture or investment.</w:t>
      </w:r>
      <w:r>
        <w:t xml:space="preserve"> </w:t>
      </w:r>
      <w:r>
        <w:rPr>
          <w:b/>
          <w:bCs/>
        </w:rPr>
        <w:t xml:space="preserve">None.</w:t>
      </w:r>
      <w:r>
        <w:t xml:space="preserve">”</w:t>
      </w:r>
      <w:r>
        <w:t xml:space="preserve"> </w:t>
      </w:r>
      <w:r>
        <w:t xml:space="preserve">This is directly contradicted by PROD-002, which reports taxable interest, ordinary dividends, capital gains, and net rental income. The</w:t>
      </w:r>
      <w:r>
        <w:t xml:space="preserve"> </w:t>
      </w:r>
      <w:r>
        <w:t xml:space="preserve">“</w:t>
      </w:r>
      <w:r>
        <w:t xml:space="preserve">None</w:t>
      </w:r>
      <w:r>
        <w:t xml:space="preserve">”</w:t>
      </w:r>
      <w:r>
        <w:t xml:space="preserve"> </w:t>
      </w:r>
      <w:r>
        <w:t xml:space="preserve">representation is inaccurate under the Respondent’s own tax return.</w:t>
      </w:r>
    </w:p>
    <w:bookmarkEnd w:id="28"/>
    <w:bookmarkStart w:id="29" w:name="b.-tier-2-significant-inconsistencies"/>
    <w:p>
      <w:pPr>
        <w:pStyle w:val="Heading3"/>
      </w:pPr>
      <w:r>
        <w:t xml:space="preserve">B. Tier 2 — Significant inconsistencies</w:t>
      </w:r>
    </w:p>
    <w:p>
      <w:pPr>
        <w:pStyle w:val="FirstParagraph"/>
      </w:pPr>
      <w:r>
        <w:rPr>
          <w:b/>
          <w:bCs/>
        </w:rPr>
        <w:t xml:space="preserve">6. Conflicting date of separation.</w:t>
      </w:r>
      <w:r>
        <w:t xml:space="preserve"> </w:t>
      </w:r>
      <w:r>
        <w:t xml:space="preserve">The Financial Declaration (PROD-001, ¶ 5) states the parties</w:t>
      </w:r>
      <w:r>
        <w:t xml:space="preserve"> </w:t>
      </w:r>
      <w:r>
        <w:t xml:space="preserve">“</w:t>
      </w:r>
      <w:r>
        <w:t xml:space="preserve">effectively separated on or about</w:t>
      </w:r>
      <w:r>
        <w:t xml:space="preserve"> </w:t>
      </w:r>
      <w:r>
        <w:rPr>
          <w:b/>
          <w:bCs/>
        </w:rPr>
        <w:t xml:space="preserve">June 1, 2024</w:t>
      </w:r>
      <w:r>
        <w:t xml:space="preserve">.</w:t>
      </w:r>
      <w:r>
        <w:t xml:space="preserve">”</w:t>
      </w:r>
      <w:r>
        <w:t xml:space="preserve"> </w:t>
      </w:r>
      <w:r>
        <w:t xml:space="preserve">The cover letter’s privilege log, however, repeatedly references</w:t>
      </w:r>
      <w:r>
        <w:t xml:space="preserve"> </w:t>
      </w:r>
      <w:r>
        <w:t xml:space="preserve">“</w:t>
      </w:r>
      <w:r>
        <w:t xml:space="preserve">the parties’ separation on</w:t>
      </w:r>
      <w:r>
        <w:t xml:space="preserve"> </w:t>
      </w:r>
      <w:r>
        <w:rPr>
          <w:b/>
          <w:bCs/>
        </w:rPr>
        <w:t xml:space="preserve">August 1, 2024</w:t>
      </w:r>
      <w:r>
        <w:t xml:space="preserve">”</w:t>
      </w:r>
      <w:r>
        <w:t xml:space="preserve"> </w:t>
      </w:r>
      <w:r>
        <w:t xml:space="preserve">(PRIV-001) and</w:t>
      </w:r>
      <w:r>
        <w:t xml:space="preserve"> </w:t>
      </w:r>
      <w:r>
        <w:t xml:space="preserve">“</w:t>
      </w:r>
      <w:r>
        <w:t xml:space="preserve">post-separation August 1, 2024</w:t>
      </w:r>
      <w:r>
        <w:t xml:space="preserve">”</w:t>
      </w:r>
      <w:r>
        <w:t xml:space="preserve"> </w:t>
      </w:r>
      <w:r>
        <w:t xml:space="preserve">(PRIV-002). This two-month discrepancy is consequential: it determines the cutoff for marital property accumulation and the characterization of the 6/15/2024 $85,000 wire, the Venmo transfers, the brokerage decline, and the move to the Harbor Point condominium. The discrepancy must be pinned down at deposition.</w:t>
      </w:r>
    </w:p>
    <w:p>
      <w:pPr>
        <w:pStyle w:val="BodyText"/>
      </w:pPr>
      <w:r>
        <w:rPr>
          <w:b/>
          <w:bCs/>
        </w:rPr>
        <w:t xml:space="preserve">7. Mischaracterization of the</w:t>
      </w:r>
      <w:r>
        <w:rPr>
          <w:b/>
          <w:bCs/>
        </w:rPr>
        <w:t xml:space="preserve"> </w:t>
      </w:r>
      <w:r>
        <w:rPr>
          <w:b/>
          <w:bCs/>
        </w:rPr>
        <w:t xml:space="preserve">“</w:t>
      </w:r>
      <w:r>
        <w:rPr>
          <w:b/>
          <w:bCs/>
        </w:rPr>
        <w:t xml:space="preserve">voluntary contribution</w:t>
      </w:r>
      <w:r>
        <w:rPr>
          <w:b/>
          <w:bCs/>
        </w:rPr>
        <w:t xml:space="preserve">”</w:t>
      </w:r>
      <w:r>
        <w:rPr>
          <w:b/>
          <w:bCs/>
        </w:rPr>
        <w:t xml:space="preserve"> </w:t>
      </w:r>
      <w:r>
        <w:rPr>
          <w:b/>
          <w:bCs/>
        </w:rPr>
        <w:t xml:space="preserve">to the marital household.</w:t>
      </w:r>
      <w:r>
        <w:t xml:space="preserve"> </w:t>
      </w:r>
      <w:r>
        <w:t xml:space="preserve">PROD-001, ¶ 51 represents that Respondent</w:t>
      </w:r>
      <w:r>
        <w:t xml:space="preserve"> </w:t>
      </w:r>
      <w:r>
        <w:t xml:space="preserve">“</w:t>
      </w:r>
      <w:r>
        <w:t xml:space="preserve">voluntarily contribut[es] $3,500.00 per month toward the marital home mortgage payment and household expenses for the benefit of Petitioner and the minor children,</w:t>
      </w:r>
      <w:r>
        <w:t xml:space="preserve">”</w:t>
      </w:r>
      <w:r>
        <w:t xml:space="preserve"> </w:t>
      </w:r>
      <w:r>
        <w:t xml:space="preserve">paid</w:t>
      </w:r>
      <w:r>
        <w:t xml:space="preserve"> </w:t>
      </w:r>
      <w:r>
        <w:t xml:space="preserve">“</w:t>
      </w:r>
      <w:r>
        <w:t xml:space="preserve">directly to Petitioner or to the mortgage servicer.</w:t>
      </w:r>
      <w:r>
        <w:t xml:space="preserve">”</w:t>
      </w:r>
      <w:r>
        <w:t xml:space="preserve"> </w:t>
      </w:r>
      <w:r>
        <w:t xml:space="preserve">PROD-004 shows two separate Meridian Home Lending ACH debits each month:</w:t>
      </w:r>
      <w:r>
        <w:t xml:space="preserve"> </w:t>
      </w:r>
      <w:r>
        <w:rPr>
          <w:b/>
          <w:bCs/>
        </w:rPr>
        <w:t xml:space="preserve">$1,842.00</w:t>
      </w:r>
      <w:r>
        <w:t xml:space="preserve"> </w:t>
      </w:r>
      <w:r>
        <w:t xml:space="preserve">(the Birchwood marital-residence mortgage) and</w:t>
      </w:r>
      <w:r>
        <w:t xml:space="preserve"> </w:t>
      </w:r>
      <w:r>
        <w:rPr>
          <w:b/>
          <w:bCs/>
        </w:rPr>
        <w:t xml:space="preserve">$1,680.00</w:t>
      </w:r>
      <w:r>
        <w:t xml:space="preserve"> </w:t>
      </w:r>
      <w:r>
        <w:t xml:space="preserve">(the Elm Street investment-property mortgage), totaling $3,522. The $1,680 Elm Street payment services Respondent’s own undisclosed rental property and confers no benefit on Petitioner or the children. Lumping both mortgage payments into a single</w:t>
      </w:r>
      <w:r>
        <w:t xml:space="preserve"> </w:t>
      </w:r>
      <w:r>
        <w:t xml:space="preserve">“</w:t>
      </w:r>
      <w:r>
        <w:t xml:space="preserve">voluntary contribution toward the marital home</w:t>
      </w:r>
      <w:r>
        <w:t xml:space="preserve">”</w:t>
      </w:r>
      <w:r>
        <w:t xml:space="preserve"> </w:t>
      </w:r>
      <w:r>
        <w:t xml:space="preserve">both</w:t>
      </w:r>
      <w:r>
        <w:t xml:space="preserve"> </w:t>
      </w:r>
      <w:r>
        <w:rPr>
          <w:b/>
          <w:bCs/>
        </w:rPr>
        <w:t xml:space="preserve">inflates the claimed contribution to the family</w:t>
      </w:r>
      <w:r>
        <w:t xml:space="preserve"> </w:t>
      </w:r>
      <w:r>
        <w:t xml:space="preserve">and</w:t>
      </w:r>
      <w:r>
        <w:t xml:space="preserve"> </w:t>
      </w:r>
      <w:r>
        <w:rPr>
          <w:b/>
          <w:bCs/>
        </w:rPr>
        <w:t xml:space="preserve">conceals the Elm Street mortgage</w:t>
      </w:r>
      <w:r>
        <w:t xml:space="preserve">.</w:t>
      </w:r>
    </w:p>
    <w:p>
      <w:pPr>
        <w:pStyle w:val="BodyText"/>
      </w:pPr>
      <w:r>
        <w:rPr>
          <w:b/>
          <w:bCs/>
        </w:rPr>
        <w:t xml:space="preserve">8. Credit-card creditor and balance do not match the Financial Declaration.</w:t>
      </w:r>
      <w:r>
        <w:t xml:space="preserve"> </w:t>
      </w:r>
      <w:r>
        <w:t xml:space="preserve">PROD-001, ¶ 46 discloses a</w:t>
      </w:r>
      <w:r>
        <w:t xml:space="preserve"> </w:t>
      </w:r>
      <w:r>
        <w:t xml:space="preserve">“</w:t>
      </w:r>
      <w:r>
        <w:t xml:space="preserve">Platinum Visa</w:t>
      </w:r>
      <w:r>
        <w:t xml:space="preserve">”</w:t>
      </w:r>
      <w:r>
        <w:t xml:space="preserve"> </w:t>
      </w:r>
      <w:r>
        <w:t xml:space="preserve">with</w:t>
      </w:r>
      <w:r>
        <w:t xml:space="preserve"> </w:t>
      </w:r>
      <w:r>
        <w:rPr>
          <w:b/>
          <w:bCs/>
        </w:rPr>
        <w:t xml:space="preserve">“</w:t>
      </w:r>
      <w:r>
        <w:rPr>
          <w:b/>
          <w:bCs/>
        </w:rPr>
        <w:t xml:space="preserve">First National Card Services,</w:t>
      </w:r>
      <w:r>
        <w:rPr>
          <w:b/>
          <w:bCs/>
        </w:rPr>
        <w:t xml:space="preserve">”</w:t>
      </w:r>
      <w:r>
        <w:t xml:space="preserve"> </w:t>
      </w:r>
      <w:r>
        <w:t xml:space="preserve">approximate revolving balance</w:t>
      </w:r>
      <w:r>
        <w:t xml:space="preserve"> </w:t>
      </w:r>
      <w:r>
        <w:rPr>
          <w:b/>
          <w:bCs/>
        </w:rPr>
        <w:t xml:space="preserve">$8,500</w:t>
      </w:r>
      <w:r>
        <w:t xml:space="preserve">, with payments of $500–$1,000/mo. PROD-006 shows a Platinum Visa issued by</w:t>
      </w:r>
      <w:r>
        <w:t xml:space="preserve"> </w:t>
      </w:r>
      <w:r>
        <w:rPr>
          <w:b/>
          <w:bCs/>
        </w:rPr>
        <w:t xml:space="preserve">Fairview Community Bank</w:t>
      </w:r>
      <w:r>
        <w:t xml:space="preserve"> </w:t>
      </w:r>
      <w:r>
        <w:t xml:space="preserve">(account ending 8316) that is</w:t>
      </w:r>
      <w:r>
        <w:t xml:space="preserve"> </w:t>
      </w:r>
      <w:r>
        <w:rPr>
          <w:b/>
          <w:bCs/>
        </w:rPr>
        <w:t xml:space="preserve">paid in full each month</w:t>
      </w:r>
      <w:r>
        <w:t xml:space="preserve"> </w:t>
      </w:r>
      <w:r>
        <w:t xml:space="preserve">(finance charges $0.00 in every cycle;</w:t>
      </w:r>
      <w:r>
        <w:t xml:space="preserve"> </w:t>
      </w:r>
      <w:r>
        <w:t xml:space="preserve">“</w:t>
      </w:r>
      <w:r>
        <w:t xml:space="preserve">Payments/Credits</w:t>
      </w:r>
      <w:r>
        <w:t xml:space="preserve">”</w:t>
      </w:r>
      <w:r>
        <w:t xml:space="preserve"> </w:t>
      </w:r>
      <w:r>
        <w:t xml:space="preserve">equal the prior balance). The August 2024 new balance is</w:t>
      </w:r>
      <w:r>
        <w:t xml:space="preserve"> </w:t>
      </w:r>
      <w:r>
        <w:rPr>
          <w:b/>
          <w:bCs/>
        </w:rPr>
        <w:t xml:space="preserve">$6,418.50</w:t>
      </w:r>
      <w:r>
        <w:t xml:space="preserve">, not $8,500. The creditor name, the</w:t>
      </w:r>
      <w:r>
        <w:t xml:space="preserve"> </w:t>
      </w:r>
      <w:r>
        <w:t xml:space="preserve">“</w:t>
      </w:r>
      <w:r>
        <w:t xml:space="preserve">revolving balance</w:t>
      </w:r>
      <w:r>
        <w:t xml:space="preserve">”</w:t>
      </w:r>
      <w:r>
        <w:t xml:space="preserve"> </w:t>
      </w:r>
      <w:r>
        <w:t xml:space="preserve">characterization, and the stated balance do not reconcile to the produced statements. Either a second card exists (with</w:t>
      </w:r>
      <w:r>
        <w:t xml:space="preserve"> </w:t>
      </w:r>
      <w:r>
        <w:t xml:space="preserve">“</w:t>
      </w:r>
      <w:r>
        <w:t xml:space="preserve">First National Card Services</w:t>
      </w:r>
      <w:r>
        <w:t xml:space="preserve">”</w:t>
      </w:r>
      <w:r>
        <w:t xml:space="preserve">) that was not produced, or the declaration is inaccurate.</w:t>
      </w:r>
    </w:p>
    <w:p>
      <w:pPr>
        <w:pStyle w:val="BodyText"/>
      </w:pPr>
      <w:r>
        <w:rPr>
          <w:b/>
          <w:bCs/>
        </w:rPr>
        <w:t xml:space="preserve">9. Monthly expenses materially understated relative to produced records.</w:t>
      </w:r>
      <w:r>
        <w:t xml:space="preserve"> </w:t>
      </w:r>
      <w:r>
        <w:t xml:space="preserve">The Financial Declaration’s $8,885/mo. personal-expense figure (PROD-001, ¶ 49) is inconsistent with the credit-card activity in PROD-006, which averages</w:t>
      </w:r>
      <w:r>
        <w:t xml:space="preserve"> </w:t>
      </w:r>
      <w:r>
        <w:rPr>
          <w:b/>
          <w:bCs/>
        </w:rPr>
        <w:t xml:space="preserve">≈ $8,517/mo.</w:t>
      </w:r>
      <w:r>
        <w:t xml:space="preserve"> </w:t>
      </w:r>
      <w:r>
        <w:t xml:space="preserve">in charges (May $7,038; June $8,124; July $12,487; August $6,419) on top of the declared categories. Specific declared sub-categories are far below actual spending:</w:t>
      </w:r>
    </w:p>
    <w:p>
      <w:pPr>
        <w:pStyle w:val="Compact"/>
        <w:numPr>
          <w:ilvl w:val="0"/>
          <w:numId w:val="1003"/>
        </w:numPr>
      </w:pPr>
      <w:r>
        <w:rPr>
          <w:b/>
          <w:bCs/>
        </w:rPr>
        <w:t xml:space="preserve">Clothing/apparel declared $200/mo.</w:t>
      </w:r>
      <w:r>
        <w:t xml:space="preserve"> </w:t>
      </w:r>
      <w:r>
        <w:t xml:space="preserve">vs. Monarch Fine Clothiers charges of $2,340 (May), $1,650 (June), $1,890 (July), $1,420 (Aug).</w:t>
      </w:r>
    </w:p>
    <w:p>
      <w:pPr>
        <w:pStyle w:val="Compact"/>
        <w:numPr>
          <w:ilvl w:val="0"/>
          <w:numId w:val="1003"/>
        </w:numPr>
      </w:pPr>
      <w:r>
        <w:rPr>
          <w:b/>
          <w:bCs/>
        </w:rPr>
        <w:t xml:space="preserve">Dining/entertainment declared $600/mo.</w:t>
      </w:r>
      <w:r>
        <w:t xml:space="preserve"> </w:t>
      </w:r>
      <w:r>
        <w:t xml:space="preserve">vs. recurring charges at The Capital Grille, Ridgeline Steakhouse, and Bella Notte totaling well over $1,000/mo.</w:t>
      </w:r>
    </w:p>
    <w:p>
      <w:pPr>
        <w:pStyle w:val="Compact"/>
        <w:numPr>
          <w:ilvl w:val="0"/>
          <w:numId w:val="1003"/>
        </w:numPr>
      </w:pPr>
      <w:r>
        <w:rPr>
          <w:b/>
          <w:bCs/>
        </w:rPr>
        <w:t xml:space="preserve">Groceries declared $800/mo.</w:t>
      </w:r>
      <w:r>
        <w:t xml:space="preserve"> </w:t>
      </w:r>
      <w:r>
        <w:t xml:space="preserve">vs. Greenleaf Market charges frequently exceeding that figure alone.</w:t>
      </w:r>
    </w:p>
    <w:p>
      <w:pPr>
        <w:pStyle w:val="FirstParagraph"/>
      </w:pPr>
      <w:r>
        <w:t xml:space="preserve">The Visa payments debited from checking ($1,450 → $5,480/mo., increasing) are not reflected in the expense schedule at all. The declared expense figure understates Respondent’s actual lifestyle spending and is relevant to both support and dissipation analysis.</w:t>
      </w:r>
    </w:p>
    <w:p>
      <w:pPr>
        <w:pStyle w:val="BodyText"/>
      </w:pPr>
      <w:r>
        <w:rPr>
          <w:b/>
          <w:bCs/>
        </w:rPr>
        <w:t xml:space="preserve">10. NovaBridge expense-reimbursement governance and commingling concerns.</w:t>
      </w:r>
      <w:r>
        <w:t xml:space="preserve"> </w:t>
      </w:r>
      <w:r>
        <w:t xml:space="preserve">PROD-007 discloses that, pursuant to Operating Agreement § 5.3, a managing member holding ≥ 60% may</w:t>
      </w:r>
      <w:r>
        <w:t xml:space="preserve"> </w:t>
      </w:r>
      <w:r>
        <w:rPr>
          <w:b/>
          <w:bCs/>
        </w:rPr>
        <w:t xml:space="preserve">self-approve his own expense reimbursements</w:t>
      </w:r>
      <w:r>
        <w:rPr>
          <w:b/>
          <w:bCs/>
        </w:rPr>
        <w:t xml:space="preserve"> </w:t>
      </w:r>
      <w:r>
        <w:rPr>
          <w:b/>
          <w:bCs/>
        </w:rPr>
        <w:t xml:space="preserve">“</w:t>
      </w:r>
      <w:r>
        <w:rPr>
          <w:b/>
          <w:bCs/>
        </w:rPr>
        <w:t xml:space="preserve">without requirement of separate board or member approval,</w:t>
      </w:r>
      <w:r>
        <w:rPr>
          <w:b/>
          <w:bCs/>
        </w:rPr>
        <w:t xml:space="preserve">”</w:t>
      </w:r>
      <w:r>
        <w:t xml:space="preserve"> </w:t>
      </w:r>
      <w:r>
        <w:t xml:space="preserve">and that co-member Jared Ostrowski’s review is</w:t>
      </w:r>
      <w:r>
        <w:t xml:space="preserve"> </w:t>
      </w:r>
      <w:r>
        <w:t xml:space="preserve">“</w:t>
      </w:r>
      <w:r>
        <w:t xml:space="preserve">N/A — Review not required.</w:t>
      </w:r>
      <w:r>
        <w:t xml:space="preserve">”</w:t>
      </w:r>
      <w:r>
        <w:t xml:space="preserve"> </w:t>
      </w:r>
      <w:r>
        <w:t xml:space="preserve">Respondent thus unilaterally controls $12,662 of H1 2024 reimbursements deposited into his personal checking account (PROD-004 shows $3,400 on 4/10 and $2,150 on 5/20 matching specific Q2 line items). Two items raise commingling / double-reimbursement concerns:</w:t>
      </w:r>
    </w:p>
    <w:p>
      <w:pPr>
        <w:pStyle w:val="Compact"/>
        <w:numPr>
          <w:ilvl w:val="0"/>
          <w:numId w:val="1004"/>
        </w:numPr>
      </w:pPr>
      <w:r>
        <w:rPr>
          <w:b/>
          <w:bCs/>
        </w:rPr>
        <w:t xml:space="preserve">Sapphire Sky Travel</w:t>
      </w:r>
      <w:r>
        <w:t xml:space="preserve"> </w:t>
      </w:r>
      <w:r>
        <w:t xml:space="preserve">appears both as a</w:t>
      </w:r>
      <w:r>
        <w:t xml:space="preserve"> </w:t>
      </w:r>
      <w:r>
        <w:rPr>
          <w:b/>
          <w:bCs/>
        </w:rPr>
        <w:t xml:space="preserve">business reimbursement</w:t>
      </w:r>
      <w:r>
        <w:t xml:space="preserve"> </w:t>
      </w:r>
      <w:r>
        <w:t xml:space="preserve">($3,400 on 4/3/2024,</w:t>
      </w:r>
      <w:r>
        <w:t xml:space="preserve"> </w:t>
      </w:r>
      <w:r>
        <w:t xml:space="preserve">“</w:t>
      </w:r>
      <w:r>
        <w:t xml:space="preserve">client appreciation event planning</w:t>
      </w:r>
      <w:r>
        <w:t xml:space="preserve">”</w:t>
      </w:r>
      <w:r>
        <w:t xml:space="preserve">) and as a</w:t>
      </w:r>
      <w:r>
        <w:t xml:space="preserve"> </w:t>
      </w:r>
      <w:r>
        <w:rPr>
          <w:b/>
          <w:bCs/>
        </w:rPr>
        <w:t xml:space="preserve">personal credit-card charge</w:t>
      </w:r>
      <w:r>
        <w:t xml:space="preserve"> </w:t>
      </w:r>
      <w:r>
        <w:t xml:space="preserve">($6,200 on 7/8/2024, PROD-006). Same vendor on both personal and business records.</w:t>
      </w:r>
    </w:p>
    <w:p>
      <w:pPr>
        <w:pStyle w:val="Compact"/>
        <w:numPr>
          <w:ilvl w:val="0"/>
          <w:numId w:val="1004"/>
        </w:numPr>
      </w:pPr>
      <w:r>
        <w:rPr>
          <w:b/>
          <w:bCs/>
        </w:rPr>
        <w:t xml:space="preserve">Personal electronics, same date, near-identical amount:</w:t>
      </w:r>
      <w:r>
        <w:t xml:space="preserve"> </w:t>
      </w:r>
      <w:r>
        <w:t xml:space="preserve">a personal credit-card charge to</w:t>
      </w:r>
      <w:r>
        <w:t xml:space="preserve"> </w:t>
      </w:r>
      <w:r>
        <w:t xml:space="preserve">“</w:t>
      </w:r>
      <w:r>
        <w:t xml:space="preserve">Pinnacle Electronics — Personal Devices</w:t>
      </w:r>
      <w:r>
        <w:t xml:space="preserve">”</w:t>
      </w:r>
      <w:r>
        <w:t xml:space="preserve"> </w:t>
      </w:r>
      <w:r>
        <w:t xml:space="preserve">of</w:t>
      </w:r>
      <w:r>
        <w:t xml:space="preserve"> </w:t>
      </w:r>
      <w:r>
        <w:rPr>
          <w:b/>
          <w:bCs/>
        </w:rPr>
        <w:t xml:space="preserve">$2,149.50 on 5/17/2024</w:t>
      </w:r>
      <w:r>
        <w:t xml:space="preserve"> </w:t>
      </w:r>
      <w:r>
        <w:t xml:space="preserve">(PROD-006) and a business reimbursement to</w:t>
      </w:r>
      <w:r>
        <w:t xml:space="preserve"> </w:t>
      </w:r>
      <w:r>
        <w:t xml:space="preserve">“</w:t>
      </w:r>
      <w:r>
        <w:t xml:space="preserve">TechVault Solutions — Technology Equipment — Personal Devices — Tablet, smartphone, and accessories</w:t>
      </w:r>
      <w:r>
        <w:t xml:space="preserve">”</w:t>
      </w:r>
      <w:r>
        <w:t xml:space="preserve"> </w:t>
      </w:r>
      <w:r>
        <w:t xml:space="preserve">of</w:t>
      </w:r>
      <w:r>
        <w:t xml:space="preserve"> </w:t>
      </w:r>
      <w:r>
        <w:rPr>
          <w:b/>
          <w:bCs/>
        </w:rPr>
        <w:t xml:space="preserve">$2,150.00 on 5/17/2024</w:t>
      </w:r>
      <w:r>
        <w:t xml:space="preserve"> </w:t>
      </w:r>
      <w:r>
        <w:t xml:space="preserve">(PROD-007). The matching date and near-identical amount warrant receipt/itinerary review to rule out duplicate reimbursement.</w:t>
      </w:r>
    </w:p>
    <w:p>
      <w:pPr>
        <w:pStyle w:val="FirstParagraph"/>
      </w:pPr>
      <w:r>
        <w:t xml:space="preserve">Expense reimbursements are not disclosed as compensation in the Financial Declaration’s income section.</w:t>
      </w:r>
    </w:p>
    <w:bookmarkEnd w:id="29"/>
    <w:bookmarkStart w:id="30" w:name="X71bff9594ca8ac9edb37bed96c8623ab3809fc9"/>
    <w:p>
      <w:pPr>
        <w:pStyle w:val="Heading3"/>
      </w:pPr>
      <w:r>
        <w:t xml:space="preserve">C. Tier 3 — Production, metadata, and clerical issues</w:t>
      </w:r>
    </w:p>
    <w:p>
      <w:pPr>
        <w:pStyle w:val="FirstParagraph"/>
      </w:pPr>
      <w:r>
        <w:rPr>
          <w:b/>
          <w:bCs/>
        </w:rPr>
        <w:t xml:space="preserve">11. Filing-date conflict for the Financial Declaration.</w:t>
      </w:r>
      <w:r>
        <w:t xml:space="preserve"> </w:t>
      </w:r>
      <w:r>
        <w:t xml:space="preserve">PROD-001 states</w:t>
      </w:r>
      <w:r>
        <w:t xml:space="preserve"> </w:t>
      </w:r>
      <w:r>
        <w:t xml:space="preserve">“</w:t>
      </w:r>
      <w:r>
        <w:t xml:space="preserve">Filed: September 20, 2024</w:t>
      </w:r>
      <w:r>
        <w:t xml:space="preserve">”</w:t>
      </w:r>
      <w:r>
        <w:t xml:space="preserve"> </w:t>
      </w:r>
      <w:r>
        <w:t xml:space="preserve">and is signed/notarized 9/20/2024; the cover letter describes PROD-001 as</w:t>
      </w:r>
      <w:r>
        <w:t xml:space="preserve"> </w:t>
      </w:r>
      <w:r>
        <w:t xml:space="preserve">“</w:t>
      </w:r>
      <w:r>
        <w:t xml:space="preserve">filed with the Court on or about October 4, 2024.</w:t>
      </w:r>
      <w:r>
        <w:t xml:space="preserve">”</w:t>
      </w:r>
      <w:r>
        <w:t xml:space="preserve"> </w:t>
      </w:r>
      <w:r>
        <w:t xml:space="preserve">Reconcile the actual filing date.</w:t>
      </w:r>
    </w:p>
    <w:p>
      <w:pPr>
        <w:pStyle w:val="BodyText"/>
      </w:pPr>
      <w:r>
        <w:rPr>
          <w:b/>
          <w:bCs/>
        </w:rPr>
        <w:t xml:space="preserve">12. Case-number and caption error on PROD-004 production stamp.</w:t>
      </w:r>
      <w:r>
        <w:t xml:space="preserve"> </w:t>
      </w:r>
      <w:r>
        <w:t xml:space="preserve">The Fairview Community Bank production footer reads</w:t>
      </w:r>
      <w:r>
        <w:t xml:space="preserve"> </w:t>
      </w:r>
      <w:r>
        <w:t xml:space="preserve">“</w:t>
      </w:r>
      <w:r>
        <w:rPr>
          <w:i/>
          <w:iCs/>
        </w:rPr>
        <w:t xml:space="preserve">In re Marriage of Kwan</w:t>
      </w:r>
      <w:r>
        <w:t xml:space="preserve">, Case No. </w:t>
      </w:r>
      <w:r>
        <w:rPr>
          <w:b/>
          <w:bCs/>
        </w:rPr>
        <w:t xml:space="preserve">2024-DR-00847</w:t>
      </w:r>
      <w:r>
        <w:t xml:space="preserve">, Circuit Court of Columbia, Fairview County.</w:t>
      </w:r>
      <w:r>
        <w:t xml:space="preserve">”</w:t>
      </w:r>
      <w:r>
        <w:t xml:space="preserve"> </w:t>
      </w:r>
      <w:r>
        <w:t xml:space="preserve">The correct caption is</w:t>
      </w:r>
      <w:r>
        <w:t xml:space="preserve"> </w:t>
      </w:r>
      <w:r>
        <w:rPr>
          <w:i/>
          <w:iCs/>
        </w:rPr>
        <w:t xml:space="preserve">Torres-Kwan v. Kwan</w:t>
      </w:r>
      <w:r>
        <w:t xml:space="preserve">, Case No. </w:t>
      </w:r>
      <w:r>
        <w:rPr>
          <w:b/>
          <w:bCs/>
        </w:rPr>
        <w:t xml:space="preserve">2024-DR-01847</w:t>
      </w:r>
      <w:r>
        <w:t xml:space="preserve">, Circuit Court of Fairview County, Columbia. The stamp contains a transposed case number (00847 vs. 01847), a different caption, and reversed jurisdictional naming. This should be corrected to avoid authentication challenges.</w:t>
      </w:r>
    </w:p>
    <w:p>
      <w:pPr>
        <w:pStyle w:val="BodyText"/>
      </w:pPr>
      <w:r>
        <w:rPr>
          <w:b/>
          <w:bCs/>
        </w:rPr>
        <w:t xml:space="preserve">13. Inconsistent Bates-numbering schemes.</w:t>
      </w:r>
      <w:r>
        <w:t xml:space="preserve"> </w:t>
      </w:r>
      <w:r>
        <w:t xml:space="preserve">PROD-002 uses</w:t>
      </w:r>
      <w:r>
        <w:t xml:space="preserve"> </w:t>
      </w:r>
      <w:r>
        <w:t xml:space="preserve">“</w:t>
      </w:r>
      <w:r>
        <w:t xml:space="preserve">DK-PROD-####</w:t>
      </w:r>
      <w:r>
        <w:t xml:space="preserve">”</w:t>
      </w:r>
      <w:r>
        <w:t xml:space="preserve">; PROD-003, -004, and -007 use</w:t>
      </w:r>
      <w:r>
        <w:t xml:space="preserve"> </w:t>
      </w:r>
      <w:r>
        <w:t xml:space="preserve">“</w:t>
      </w:r>
      <w:r>
        <w:t xml:space="preserve">KWAN_PROD_####</w:t>
      </w:r>
      <w:r>
        <w:t xml:space="preserve">”</w:t>
      </w:r>
      <w:r>
        <w:t xml:space="preserve">; PROD-005 and -006 show no Bates range. A unified Bates scheme should be demanded in any supplementation.</w:t>
      </w:r>
    </w:p>
    <w:p>
      <w:pPr>
        <w:pStyle w:val="BodyText"/>
      </w:pPr>
      <w:r>
        <w:rPr>
          <w:b/>
          <w:bCs/>
        </w:rPr>
        <w:t xml:space="preserve">14. Crestline account Tax ID may not match the account holder.</w:t>
      </w:r>
      <w:r>
        <w:t xml:space="preserve"> </w:t>
      </w:r>
      <w:r>
        <w:t xml:space="preserve">PROD-003 lists the account Tax ID as</w:t>
      </w:r>
      <w:r>
        <w:t xml:space="preserve"> </w:t>
      </w:r>
      <w:r>
        <w:rPr>
          <w:b/>
          <w:bCs/>
        </w:rPr>
        <w:t xml:space="preserve">●●●-●●-8341</w:t>
      </w:r>
      <w:r>
        <w:t xml:space="preserve">. Respondent’s SSN (per PROD-002) ends in</w:t>
      </w:r>
      <w:r>
        <w:t xml:space="preserve"> </w:t>
      </w:r>
      <w:r>
        <w:rPr>
          <w:b/>
          <w:bCs/>
        </w:rPr>
        <w:t xml:space="preserve">4718</w:t>
      </w:r>
      <w:r>
        <w:t xml:space="preserve">; the minor child Ethan Kwan’s SSN ends in</w:t>
      </w:r>
      <w:r>
        <w:t xml:space="preserve"> </w:t>
      </w:r>
      <w:r>
        <w:rPr>
          <w:b/>
          <w:bCs/>
        </w:rPr>
        <w:t xml:space="preserve">8341</w:t>
      </w:r>
      <w:r>
        <w:t xml:space="preserve">. An individual taxable brokerage account in Darren Kwan’s name bearing a Tax ID corresponding to his minor child’s SSN is anomalous and may indicate a mislabeled custodial/UTMA account or a titling error affecting characterization. Clarify with Crestline.</w:t>
      </w:r>
    </w:p>
    <w:p>
      <w:pPr>
        <w:pStyle w:val="BodyText"/>
      </w:pPr>
      <w:r>
        <w:rPr>
          <w:b/>
          <w:bCs/>
        </w:rPr>
        <w:t xml:space="preserve">15. Anomalous 401(k) transaction.</w:t>
      </w:r>
      <w:r>
        <w:t xml:space="preserve"> </w:t>
      </w:r>
      <w:r>
        <w:t xml:space="preserve">PROD-004 shows routine monthly ACH transfers to</w:t>
      </w:r>
      <w:r>
        <w:t xml:space="preserve"> </w:t>
      </w:r>
      <w:r>
        <w:t xml:space="preserve">“</w:t>
      </w:r>
      <w:r>
        <w:t xml:space="preserve">Pinnacle Retirement Services 401(k)</w:t>
      </w:r>
      <w:r>
        <w:t xml:space="preserve">”</w:t>
      </w:r>
      <w:r>
        <w:t xml:space="preserve"> </w:t>
      </w:r>
      <w:r>
        <w:t xml:space="preserve">of $1,437.50 (March–July), then a single</w:t>
      </w:r>
      <w:r>
        <w:t xml:space="preserve"> </w:t>
      </w:r>
      <w:r>
        <w:rPr>
          <w:b/>
          <w:bCs/>
        </w:rPr>
        <w:t xml:space="preserve">$14,644.60</w:t>
      </w:r>
      <w:r>
        <w:t xml:space="preserve"> </w:t>
      </w:r>
      <w:r>
        <w:t xml:space="preserve">debit on 8/1/2024. The nature of this lump-sum transfer (catch-up contribution, loan, rollover, or other) is unexplained and should be clarified; pay stubs were not produced.</w:t>
      </w:r>
    </w:p>
    <w:p>
      <w:pPr>
        <w:pStyle w:val="BodyText"/>
      </w:pPr>
      <w:r>
        <w:rPr>
          <w:b/>
          <w:bCs/>
        </w:rPr>
        <w:t xml:space="preserve">16. Incomplete production / outstanding items.</w:t>
      </w:r>
      <w:r>
        <w:t xml:space="preserve"> </w:t>
      </w:r>
      <w:r>
        <w:t xml:space="preserve">(a) Tax return is excerpted (14 of 47 pages; Schedules A, B, D, SE, and Form 8995 referenced but not produced). (b) Joint accounts (4821, 4822) and the 401(k) (3310) not produced. (c) Marital-residence (Birchwood) mortgage statements not produced. (d) NovaBridge entity-level records (RFP Nos. 16–22) and the Operating Agreement not yet produced. (e) Formal privilege log not yet served. (f) No pay stubs or YTD earnings records produced.</w:t>
      </w:r>
    </w:p>
    <w:p>
      <w:pPr>
        <w:pStyle w:val="BodyText"/>
      </w:pPr>
      <w:r>
        <w:rPr>
          <w:b/>
          <w:bCs/>
        </w:rPr>
        <w:t xml:space="preserve">17. Undisclosed accumulation of value inside NovaBridge.</w:t>
      </w:r>
      <w:r>
        <w:t xml:space="preserve"> </w:t>
      </w:r>
      <w:r>
        <w:t xml:space="preserve">The Financial Declaration values the NovaBridge interest as</w:t>
      </w:r>
      <w:r>
        <w:t xml:space="preserve"> </w:t>
      </w:r>
      <w:r>
        <w:t xml:space="preserve">“</w:t>
      </w:r>
      <w:r>
        <w:t xml:space="preserve">not formally appraised</w:t>
      </w:r>
      <w:r>
        <w:t xml:space="preserve">”</w:t>
      </w:r>
      <w:r>
        <w:t xml:space="preserve"> </w:t>
      </w:r>
      <w:r>
        <w:t xml:space="preserve">but does not address the $193,200 of 2023 retained earnings attributable to Respondent’s 60% interest, nor the entity’s year-over-year growth (revenue $3.915M → $4.280M; ordinary income $548K → $612K). A business valuation is warranted.</w:t>
      </w:r>
    </w:p>
    <w:p>
      <w:r>
        <w:pict>
          <v:rect style="width:0;height:1.5pt" o:hralign="center" o:hrstd="t" o:hr="t"/>
        </w:pict>
      </w:r>
    </w:p>
    <w:bookmarkEnd w:id="30"/>
    <w:bookmarkEnd w:id="31"/>
    <w:bookmarkStart w:id="34" w:name="v.-recommended-follow-up-discovery"/>
    <w:p>
      <w:pPr>
        <w:pStyle w:val="Heading2"/>
      </w:pPr>
      <w:r>
        <w:t xml:space="preserve">V. Recommended Follow-Up Discovery</w:t>
      </w:r>
    </w:p>
    <w:p>
      <w:pPr>
        <w:pStyle w:val="FirstParagraph"/>
      </w:pPr>
      <w:r>
        <w:t xml:space="preserve">The following actions are recommended, in approximate priority order.</w:t>
      </w:r>
    </w:p>
    <w:bookmarkStart w:id="32" w:name="Xc943fe3235d9a36b410aff3fa5f773f69ccaf37"/>
    <w:p>
      <w:pPr>
        <w:pStyle w:val="Heading3"/>
      </w:pPr>
      <w:r>
        <w:t xml:space="preserve">A. Targeted supplemental requests and third-party subpoenas</w:t>
      </w:r>
    </w:p>
    <w:p>
      <w:pPr>
        <w:numPr>
          <w:ilvl w:val="0"/>
          <w:numId w:val="1005"/>
        </w:numPr>
      </w:pPr>
      <w:r>
        <w:rPr>
          <w:b/>
          <w:bCs/>
        </w:rPr>
        <w:t xml:space="preserve">1035 Elm Street, Unit C — full property file.</w:t>
      </w:r>
      <w:r>
        <w:t xml:space="preserve"> </w:t>
      </w:r>
      <w:r>
        <w:t xml:space="preserve">Serve a supplemental RFPD and/or subpoena on Meridian Home Lending and the Columbia county recorder for: deed and title records, the note and mortgage/loan documents, settlement statement (HUD-1/CD) from the 10/8/2019 purchase, any refinance records, the current lease and rent roll, property-tax bills, hazard-insurance declarations, and any appraisal. Establish date/method of acquisition, source of funds (marital vs. separate), title history, and current fair market value. This property was acquired during the marriage and is presumptively marital.</w:t>
      </w:r>
    </w:p>
    <w:p>
      <w:pPr>
        <w:numPr>
          <w:ilvl w:val="0"/>
          <w:numId w:val="1005"/>
        </w:numPr>
      </w:pPr>
      <w:r>
        <w:rPr>
          <w:b/>
          <w:bCs/>
        </w:rPr>
        <w:t xml:space="preserve">Harborstone Financial Group (account ending 2291).</w:t>
      </w:r>
      <w:r>
        <w:t xml:space="preserve"> </w:t>
      </w:r>
      <w:r>
        <w:t xml:space="preserve">Subpoena Harborstone for all account-opening documents, signature cards, beneficiary designations, and statements/transaction records from 1/1/2023 to present. Trace the 6/15/2024 $85,000 wire (Ref. WT-2024-061524-0087) and any subsequent transfers out of account 2291. Determine account ownership and current balance.</w:t>
      </w:r>
    </w:p>
    <w:p>
      <w:pPr>
        <w:numPr>
          <w:ilvl w:val="0"/>
          <w:numId w:val="1005"/>
        </w:numPr>
      </w:pPr>
      <w:r>
        <w:rPr>
          <w:b/>
          <w:bCs/>
        </w:rPr>
        <w:t xml:space="preserve">“</w:t>
      </w:r>
      <w:r>
        <w:rPr>
          <w:b/>
          <w:bCs/>
        </w:rPr>
        <w:t xml:space="preserve">Kiera M.</w:t>
      </w:r>
      <w:r>
        <w:rPr>
          <w:b/>
          <w:bCs/>
        </w:rPr>
        <w:t xml:space="preserve">”</w:t>
      </w:r>
      <w:r>
        <w:rPr>
          <w:b/>
          <w:bCs/>
        </w:rPr>
        <w:t xml:space="preserve"> </w:t>
      </w:r>
      <w:r>
        <w:rPr>
          <w:b/>
          <w:bCs/>
        </w:rPr>
        <w:t xml:space="preserve">— identification and purpose.</w:t>
      </w:r>
      <w:r>
        <w:t xml:space="preserve"> </w:t>
      </w:r>
      <w:r>
        <w:t xml:space="preserve">Serve an interrogatory demanding the full name and relationship of</w:t>
      </w:r>
      <w:r>
        <w:t xml:space="preserve"> </w:t>
      </w:r>
      <w:r>
        <w:t xml:space="preserve">“</w:t>
      </w:r>
      <w:r>
        <w:t xml:space="preserve">Kiera M.,</w:t>
      </w:r>
      <w:r>
        <w:t xml:space="preserve">”</w:t>
      </w:r>
      <w:r>
        <w:t xml:space="preserve"> </w:t>
      </w:r>
      <w:r>
        <w:t xml:space="preserve">the purpose of each Venmo transfer, and the source of funds. Follow with targeted deposition testimony and, if necessary, a subpoena to Venmo/PayPal for the transfer history.</w:t>
      </w:r>
    </w:p>
    <w:p>
      <w:pPr>
        <w:numPr>
          <w:ilvl w:val="0"/>
          <w:numId w:val="1005"/>
        </w:numPr>
      </w:pPr>
      <w:r>
        <w:rPr>
          <w:b/>
          <w:bCs/>
        </w:rPr>
        <w:t xml:space="preserve">Marital-residence (418 Birchwood Lane) mortgage.</w:t>
      </w:r>
      <w:r>
        <w:t xml:space="preserve"> </w:t>
      </w:r>
      <w:r>
        <w:t xml:space="preserve">Subpoena Meridian Home Lending for the Birchwood loan file and statements to verify the declared $218,400 balance and PITI, which are currently unverified.</w:t>
      </w:r>
    </w:p>
    <w:p>
      <w:pPr>
        <w:numPr>
          <w:ilvl w:val="0"/>
          <w:numId w:val="1005"/>
        </w:numPr>
      </w:pPr>
      <w:r>
        <w:rPr>
          <w:b/>
          <w:bCs/>
        </w:rPr>
        <w:t xml:space="preserve">Complete tax returns.</w:t>
      </w:r>
      <w:r>
        <w:t xml:space="preserve"> </w:t>
      </w:r>
      <w:r>
        <w:t xml:space="preserve">Demand production of the complete 2023 Form 1040 (all 47 pages, including Schedules A, B, D, SE, and Form 8995), the 2022 joint return, any 2024 estimated-tax payment records (including the $10,550 Q1 EFT in PROD-003), and any 2024 extension. The Schedule A mortgage-interest deduction should reconcile to both the Birchwood and Elm Street mortgages.</w:t>
      </w:r>
    </w:p>
    <w:p>
      <w:pPr>
        <w:numPr>
          <w:ilvl w:val="0"/>
          <w:numId w:val="1005"/>
        </w:numPr>
      </w:pPr>
      <w:r>
        <w:rPr>
          <w:b/>
          <w:bCs/>
        </w:rPr>
        <w:t xml:space="preserve">NovaBridge entity-level records (RFP Nos. 16–22 — still outstanding).</w:t>
      </w:r>
      <w:r>
        <w:t xml:space="preserve"> </w:t>
      </w:r>
      <w:r>
        <w:t xml:space="preserve">Demand the Operating Agreement (with particular attention to § 5.3 and any buyout/transfer restrictions), Form 1065 returns for 2022–2024, financial statements, member capital-account ledgers, distribution registers, meeting minutes/resolutions, and the Expense Reimbursement Policy. Consider a subpoena duces tecum to NovaBridge and a Rule 30(b)(6) / individual deposition of co-member Jared Ostrowski, who has not been produced and whose review of Respondent’s expenses was waived.</w:t>
      </w:r>
    </w:p>
    <w:p>
      <w:pPr>
        <w:numPr>
          <w:ilvl w:val="0"/>
          <w:numId w:val="1005"/>
        </w:numPr>
      </w:pPr>
      <w:r>
        <w:rPr>
          <w:b/>
          <w:bCs/>
        </w:rPr>
        <w:t xml:space="preserve">Pay stubs and earnings records.</w:t>
      </w:r>
      <w:r>
        <w:t xml:space="preserve"> </w:t>
      </w:r>
      <w:r>
        <w:t xml:space="preserve">Demand all pay stubs and YTD earnings summaries for 2023–2024 to reconcile the $7,115.38 semimonthly direct deposits to the $185,000 W-2, to clarify 401(k) contributions (including the anomalous $14,644.60 debit of 8/1/2024), and to confirm withholding.</w:t>
      </w:r>
    </w:p>
    <w:p>
      <w:pPr>
        <w:numPr>
          <w:ilvl w:val="0"/>
          <w:numId w:val="1005"/>
        </w:numPr>
      </w:pPr>
      <w:r>
        <w:rPr>
          <w:b/>
          <w:bCs/>
        </w:rPr>
        <w:t xml:space="preserve">Joint accounts and Petitioner’s reciprocal production.</w:t>
      </w:r>
      <w:r>
        <w:t xml:space="preserve"> </w:t>
      </w:r>
      <w:r>
        <w:t xml:space="preserve">Renew the demand for the joint FCB accounts (4821, 4822), which are within Respondent’s possession, custody, or control. Separately, ensure Petitioner’s reciprocal production (Respondent’s RFPD served 9/18/2024 remains outstanding) is prepared.</w:t>
      </w:r>
    </w:p>
    <w:p>
      <w:pPr>
        <w:numPr>
          <w:ilvl w:val="0"/>
          <w:numId w:val="1005"/>
        </w:numPr>
      </w:pPr>
      <w:r>
        <w:rPr>
          <w:b/>
          <w:bCs/>
        </w:rPr>
        <w:t xml:space="preserve">Crestline account documentation.</w:t>
      </w:r>
      <w:r>
        <w:t xml:space="preserve"> </w:t>
      </w:r>
      <w:r>
        <w:t xml:space="preserve">Subpoena Crestline Wealth Advisors for the account-application/new-account documents, beneficiary designations, and a clarification of the account Tax ID (●●●-●●-8341 vs. Respondent’s SSN ending 4718) to determine whether a custodial account for a minor child exists.</w:t>
      </w:r>
    </w:p>
    <w:p>
      <w:pPr>
        <w:numPr>
          <w:ilvl w:val="0"/>
          <w:numId w:val="1005"/>
        </w:numPr>
      </w:pPr>
      <w:r>
        <w:rPr>
          <w:b/>
          <w:bCs/>
        </w:rPr>
        <w:t xml:space="preserve">All credit-card accounts.</w:t>
      </w:r>
      <w:r>
        <w:t xml:space="preserve"> </w:t>
      </w:r>
      <w:r>
        <w:t xml:space="preserve">Demand statements for</w:t>
      </w:r>
      <w:r>
        <w:t xml:space="preserve"> </w:t>
      </w:r>
      <w:r>
        <w:rPr>
          <w:b/>
          <w:bCs/>
        </w:rPr>
        <w:t xml:space="preserve">all</w:t>
      </w:r>
      <w:r>
        <w:t xml:space="preserve"> </w:t>
      </w:r>
      <w:r>
        <w:t xml:space="preserve">credit cards held by Respondent for 2022–present, including any</w:t>
      </w:r>
      <w:r>
        <w:t xml:space="preserve"> </w:t>
      </w:r>
      <w:r>
        <w:t xml:space="preserve">“</w:t>
      </w:r>
      <w:r>
        <w:t xml:space="preserve">First National Card Services</w:t>
      </w:r>
      <w:r>
        <w:t xml:space="preserve">”</w:t>
      </w:r>
      <w:r>
        <w:t xml:space="preserve"> </w:t>
      </w:r>
      <w:r>
        <w:t xml:space="preserve">card referenced in PROD-001, ¶ 46, to reconcile the declared $8,500 balance and to capture the full dissipation/lifestyle picture.</w:t>
      </w:r>
    </w:p>
    <w:bookmarkEnd w:id="32"/>
    <w:bookmarkStart w:id="33" w:name="b.-deposition-and-motion-practice"/>
    <w:p>
      <w:pPr>
        <w:pStyle w:val="Heading3"/>
      </w:pPr>
      <w:r>
        <w:t xml:space="preserve">B. Deposition and motion practice</w:t>
      </w:r>
    </w:p>
    <w:p>
      <w:pPr>
        <w:numPr>
          <w:ilvl w:val="0"/>
          <w:numId w:val="1006"/>
        </w:numPr>
      </w:pPr>
      <w:r>
        <w:rPr>
          <w:b/>
          <w:bCs/>
        </w:rPr>
        <w:t xml:space="preserve">Deposition of Darren Kwan.</w:t>
      </w:r>
      <w:r>
        <w:t xml:space="preserve"> </w:t>
      </w:r>
      <w:r>
        <w:t xml:space="preserve">Topics should include: (a) the true date of separation (June 1 vs. August 1, 2024); (b) the Elm Street property — acquisition, title, rental arrangement, and why it was omitted; (c) the $85,000 Harborstone wire and account 2291; (d) the identity of</w:t>
      </w:r>
      <w:r>
        <w:t xml:space="preserve"> </w:t>
      </w:r>
      <w:r>
        <w:t xml:space="preserve">“</w:t>
      </w:r>
      <w:r>
        <w:t xml:space="preserve">Kiera M.</w:t>
      </w:r>
      <w:r>
        <w:t xml:space="preserve">”</w:t>
      </w:r>
      <w:r>
        <w:t xml:space="preserve"> </w:t>
      </w:r>
      <w:r>
        <w:t xml:space="preserve">and the purpose of the transfers; (e) the characterization of $174,000 as</w:t>
      </w:r>
      <w:r>
        <w:t xml:space="preserve"> </w:t>
      </w:r>
      <w:r>
        <w:t xml:space="preserve">“</w:t>
      </w:r>
      <w:r>
        <w:t xml:space="preserve">K-1 income</w:t>
      </w:r>
      <w:r>
        <w:t xml:space="preserve">”</w:t>
      </w:r>
      <w:r>
        <w:t xml:space="preserve"> </w:t>
      </w:r>
      <w:r>
        <w:t xml:space="preserve">versus the $367,200 pass-through income; (f) the self-approved expense reimbursements and the Sapphire Sky / Pinnacle-TechVault items; and (g) NovaBridge distributions, retained earnings, and any post-separation changes in compensation or distributions.</w:t>
      </w:r>
    </w:p>
    <w:p>
      <w:pPr>
        <w:numPr>
          <w:ilvl w:val="0"/>
          <w:numId w:val="1006"/>
        </w:numPr>
      </w:pPr>
      <w:r>
        <w:rPr>
          <w:b/>
          <w:bCs/>
        </w:rPr>
        <w:t xml:space="preserve">Motion to compel supplementation.</w:t>
      </w:r>
      <w:r>
        <w:t xml:space="preserve"> </w:t>
      </w:r>
      <w:r>
        <w:t xml:space="preserve">Move to compel a corrected and supplemented Sworn Financial Declaration that (i) reports pass-through K-1 income rather than distributions, (ii) discloses the Elm Street property and its mortgage, (iii) discloses the Harborstone account and the $85,000 transfer, (iv) discloses the Venmo transfers to</w:t>
      </w:r>
      <w:r>
        <w:t xml:space="preserve"> </w:t>
      </w:r>
      <w:r>
        <w:t xml:space="preserve">“</w:t>
      </w:r>
      <w:r>
        <w:t xml:space="preserve">Kiera M.,</w:t>
      </w:r>
      <w:r>
        <w:t xml:space="preserve">”</w:t>
      </w:r>
      <w:r>
        <w:t xml:space="preserve"> </w:t>
      </w:r>
      <w:r>
        <w:t xml:space="preserve">and (v) corrects the</w:t>
      </w:r>
      <w:r>
        <w:t xml:space="preserve"> </w:t>
      </w:r>
      <w:r>
        <w:t xml:space="preserve">“</w:t>
      </w:r>
      <w:r>
        <w:t xml:space="preserve">Other Income — None</w:t>
      </w:r>
      <w:r>
        <w:t xml:space="preserve">”</w:t>
      </w:r>
      <w:r>
        <w:t xml:space="preserve"> </w:t>
      </w:r>
      <w:r>
        <w:t xml:space="preserve">representation. Given that the declaration was made under penalty of perjury (¶¶ 53–56) and contains material omissions corroborated by Respondent’s own produced records, the Court may be inclined to sanction or draw adverse inferences.</w:t>
      </w:r>
    </w:p>
    <w:p>
      <w:pPr>
        <w:numPr>
          <w:ilvl w:val="0"/>
          <w:numId w:val="1006"/>
        </w:numPr>
      </w:pPr>
      <w:r>
        <w:rPr>
          <w:b/>
          <w:bCs/>
        </w:rPr>
        <w:t xml:space="preserve">Forensic accountant and business valuator.</w:t>
      </w:r>
      <w:r>
        <w:t xml:space="preserve"> </w:t>
      </w:r>
      <w:r>
        <w:t xml:space="preserve">Retain a forensic accountant to (a) trace the $85,000 wire and the Venmo transfers, (b) reconcile income vs. distributions vs. retained earnings, and (c) analyze the expense reimbursements for commingling; and a business valuator to appraise the 60% NovaBridge interest (including the impact of § 5.3 self-dealing provisions and transfer/buyout restrictions on fair market value).</w:t>
      </w:r>
    </w:p>
    <w:p>
      <w:pPr>
        <w:numPr>
          <w:ilvl w:val="0"/>
          <w:numId w:val="1006"/>
        </w:numPr>
      </w:pPr>
      <w:r>
        <w:rPr>
          <w:b/>
          <w:bCs/>
        </w:rPr>
        <w:t xml:space="preserve">Privilege-log follow-up.</w:t>
      </w:r>
      <w:r>
        <w:t xml:space="preserve"> </w:t>
      </w:r>
      <w:r>
        <w:t xml:space="preserve">Hold Respondent to the promised formal privilege log within 10 business days; scrutinize PRIV-003 (the 8/20/2024</w:t>
      </w:r>
      <w:r>
        <w:t xml:space="preserve"> </w:t>
      </w:r>
      <w:r>
        <w:t xml:space="preserve">“</w:t>
      </w:r>
      <w:r>
        <w:t xml:space="preserve">Preliminary analysis of marital estate</w:t>
      </w:r>
      <w:r>
        <w:t xml:space="preserve">”</w:t>
      </w:r>
      <w:r>
        <w:t xml:space="preserve"> </w:t>
      </w:r>
      <w:r>
        <w:t xml:space="preserve">memo), which may contain factual, non-privileged content notwithstanding the work-product assertion, and which post-dates several of the transfers at issue.</w:t>
      </w:r>
    </w:p>
    <w:p>
      <w:pPr>
        <w:numPr>
          <w:ilvl w:val="0"/>
          <w:numId w:val="1006"/>
        </w:numPr>
      </w:pPr>
      <w:r>
        <w:rPr>
          <w:b/>
          <w:bCs/>
        </w:rPr>
        <w:t xml:space="preserve">Production-metadata corrections.</w:t>
      </w:r>
      <w:r>
        <w:t xml:space="preserve"> </w:t>
      </w:r>
      <w:r>
        <w:t xml:space="preserve">Require correction of the PROD-004 case-number/caption stamp (Item 12), a unified Bates scheme (Item 13), and confirmation of the Financial Declaration filing date (Item 11).</w:t>
      </w:r>
    </w:p>
    <w:p>
      <w:r>
        <w:pict>
          <v:rect style="width:0;height:1.5pt" o:hralign="center" o:hrstd="t" o:hr="t"/>
        </w:pict>
      </w:r>
    </w:p>
    <w:bookmarkEnd w:id="33"/>
    <w:bookmarkEnd w:id="34"/>
    <w:bookmarkStart w:id="35" w:name="vi.-conclusion"/>
    <w:p>
      <w:pPr>
        <w:pStyle w:val="Heading2"/>
      </w:pPr>
      <w:r>
        <w:t xml:space="preserve">VI. Conclusion</w:t>
      </w:r>
    </w:p>
    <w:p>
      <w:pPr>
        <w:pStyle w:val="FirstParagraph"/>
      </w:pPr>
      <w:r>
        <w:t xml:space="preserve">The Respondent’s production, while facially responsive, is internally contradictory and materially incomplete when measured against the Sworn Financial Declaration. The most serious findings are: (1) an</w:t>
      </w:r>
      <w:r>
        <w:t xml:space="preserve"> </w:t>
      </w:r>
      <w:r>
        <w:rPr>
          <w:b/>
          <w:bCs/>
        </w:rPr>
        <w:t xml:space="preserve">undisclosed investment property</w:t>
      </w:r>
      <w:r>
        <w:t xml:space="preserve"> </w:t>
      </w:r>
      <w:r>
        <w:t xml:space="preserve">at 1035 Elm Street, Unit C (asset and ~$241,281 liability), admitted by the cover letter and mortgage statements yet denied by the declaration; (2) a</w:t>
      </w:r>
      <w:r>
        <w:t xml:space="preserve"> </w:t>
      </w:r>
      <w:r>
        <w:rPr>
          <w:b/>
          <w:bCs/>
        </w:rPr>
        <w:t xml:space="preserve">~$213,000 understatement of 2023 income</w:t>
      </w:r>
      <w:r>
        <w:t xml:space="preserve"> </w:t>
      </w:r>
      <w:r>
        <w:t xml:space="preserve">resulting from reporting cash distributions instead of pass-through income and omitting interest, dividends, gains, and rental income; (3) an</w:t>
      </w:r>
      <w:r>
        <w:t xml:space="preserve"> </w:t>
      </w:r>
      <w:r>
        <w:rPr>
          <w:b/>
          <w:bCs/>
        </w:rPr>
        <w:t xml:space="preserve">$85,000 wire to an undisclosed institution</w:t>
      </w:r>
      <w:r>
        <w:t xml:space="preserve"> </w:t>
      </w:r>
      <w:r>
        <w:t xml:space="preserve">around the date of separation; and (4)</w:t>
      </w:r>
      <w:r>
        <w:t xml:space="preserve"> </w:t>
      </w:r>
      <w:r>
        <w:rPr>
          <w:b/>
          <w:bCs/>
        </w:rPr>
        <w:t xml:space="preserve">~$14,600 in recurring transfers to an unidentified third party</w:t>
      </w:r>
      <w:r>
        <w:t xml:space="preserve">. Secondary issues include a conflicting separation date, a mischaracterized</w:t>
      </w:r>
      <w:r>
        <w:t xml:space="preserve"> </w:t>
      </w:r>
      <w:r>
        <w:t xml:space="preserve">“</w:t>
      </w:r>
      <w:r>
        <w:t xml:space="preserve">voluntary contribution</w:t>
      </w:r>
      <w:r>
        <w:t xml:space="preserve">”</w:t>
      </w:r>
      <w:r>
        <w:t xml:space="preserve"> </w:t>
      </w:r>
      <w:r>
        <w:t xml:space="preserve">that conceals the Elm Street mortgage, understated monthly expenses, and self-approved business expense reimbursements with commingling indicators.</w:t>
      </w:r>
    </w:p>
    <w:p>
      <w:pPr>
        <w:pStyle w:val="BodyText"/>
      </w:pPr>
      <w:r>
        <w:t xml:space="preserve">We recommend proceeding immediately with the supplemental requests and third-party subpoenas in Part V.A (prioritizing Items 1–3), noticing the Respondent’s deposition (Part V.B, Item 11), and preparing a motion to compel supplementation (Item 12). We are available to draft the subpoenas, interrogatories, and the motion to compel upon your authorization.</w:t>
      </w:r>
    </w:p>
    <w:p>
      <w:r>
        <w:pict>
          <v:rect style="width:0;height:1.5pt" o:hralign="center" o:hrstd="t" o:hr="t"/>
        </w:pict>
      </w:r>
    </w:p>
    <w:p>
      <w:pPr>
        <w:pStyle w:val="FirstParagraph"/>
      </w:pPr>
      <w:r>
        <w:rPr>
          <w:i/>
          <w:iCs/>
        </w:rPr>
        <w:t xml:space="preserve">Prepared by the Financial Discovery Review Team for internal use of counsel. This memorandum constitutes attorney work product prepared in anticipation of litigation and is privileged and confidential. Figures are drawn from the face of the produced documents; all dollar amounts and dates should be re-verified against the source exhibits before use in pleadings.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2026-06-23T05:50:32Z</dcterms:created>
  <dcterms:modified xsi:type="dcterms:W3CDTF">2026-06-23T05:50:32Z</dcterms:modified>
</cp:coreProperties>
</file>

<file path=docProps/custom.xml><?xml version="1.0" encoding="utf-8"?>
<Properties xmlns="http://schemas.openxmlformats.org/officeDocument/2006/custom-properties" xmlns:vt="http://schemas.openxmlformats.org/officeDocument/2006/docPropsVTypes"/>
</file>