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9092779eae0ca57705dede95c2ab5939f8b8355"/>
    <w:p>
      <w:pPr>
        <w:pStyle w:val="Heading1"/>
      </w:pPr>
      <w:r>
        <w:t xml:space="preserve">PRIVILEGED &amp; CONFIDENTIAL — ATTORNEY WORK PRODUCT</w:t>
      </w:r>
    </w:p>
    <w:p>
      <w:pPr>
        <w:pStyle w:val="FirstParagraph"/>
      </w:pPr>
      <w:r>
        <w:rPr>
          <w:b/>
          <w:bCs/>
        </w:rP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Sarah Whitfield, Esq., Partner</w:t>
            </w:r>
          </w:p>
        </w:tc>
      </w:tr>
      <w:tr>
        <w:tc>
          <w:tcPr/>
          <w:p>
            <w:pPr>
              <w:pStyle w:val="Compact"/>
              <w:jc w:val="left"/>
            </w:pPr>
            <w:r>
              <w:rPr>
                <w:b/>
                <w:bCs/>
              </w:rPr>
              <w:t xml:space="preserve">FROM:</w:t>
            </w:r>
          </w:p>
        </w:tc>
        <w:tc>
          <w:tcPr/>
          <w:p>
            <w:pPr>
              <w:pStyle w:val="Compact"/>
              <w:jc w:val="left"/>
            </w:pPr>
            <w:r>
              <w:t xml:space="preserve">Jordan Reeves, Associate</w:t>
            </w:r>
          </w:p>
        </w:tc>
      </w:tr>
      <w:tr>
        <w:tc>
          <w:tcPr/>
          <w:p>
            <w:pPr>
              <w:pStyle w:val="Compact"/>
              <w:jc w:val="left"/>
            </w:pPr>
            <w:r>
              <w:rPr>
                <w:b/>
                <w:bCs/>
              </w:rPr>
              <w:t xml:space="preserve">DATE:</w:t>
            </w:r>
          </w:p>
        </w:tc>
        <w:tc>
          <w:tcPr/>
          <w:p>
            <w:pPr>
              <w:pStyle w:val="Compact"/>
              <w:jc w:val="left"/>
            </w:pPr>
            <w:r>
              <w:t xml:space="preserve">October 16, 2024</w:t>
            </w:r>
          </w:p>
        </w:tc>
      </w:tr>
      <w:tr>
        <w:tc>
          <w:tcPr/>
          <w:p>
            <w:pPr>
              <w:pStyle w:val="Compact"/>
              <w:jc w:val="left"/>
            </w:pPr>
            <w:r>
              <w:rPr>
                <w:b/>
                <w:bCs/>
              </w:rPr>
              <w:t xml:space="preserve">RE:</w:t>
            </w:r>
          </w:p>
        </w:tc>
        <w:tc>
          <w:tcPr/>
          <w:p>
            <w:pPr>
              <w:pStyle w:val="Compact"/>
              <w:jc w:val="left"/>
            </w:pPr>
            <w:r>
              <w:t xml:space="preserve">Review of Respondent’s Document Production —</w:t>
            </w:r>
            <w:r>
              <w:t xml:space="preserve"> </w:t>
            </w:r>
            <w:r>
              <w:rPr>
                <w:i/>
                <w:iCs/>
              </w:rPr>
              <w:t xml:space="preserve">Torres-Kwan v. Kwan</w:t>
            </w:r>
            <w:r>
              <w:t xml:space="preserve">, Case No. 2024-DR-01847 (Circuit Court of Fairview County, Columbia; Hon. Patricia Yoon-Callahan)</w:t>
            </w:r>
          </w:p>
        </w:tc>
      </w:tr>
      <w:tr>
        <w:tc>
          <w:tcPr/>
          <w:p>
            <w:pPr>
              <w:pStyle w:val="Compact"/>
              <w:jc w:val="left"/>
            </w:pPr>
            <w:r>
              <w:rPr>
                <w:b/>
                <w:bCs/>
              </w:rPr>
              <w:t xml:space="preserve">FILE:</w:t>
            </w:r>
          </w:p>
        </w:tc>
        <w:tc>
          <w:tcPr/>
          <w:p>
            <w:pPr>
              <w:pStyle w:val="Compact"/>
              <w:jc w:val="left"/>
            </w:pPr>
            <w:r>
              <w:t xml:space="preserve">Torres-Kwan / Kwan dissolution — Discovery Review</w:t>
            </w:r>
          </w:p>
        </w:tc>
      </w:tr>
    </w:tbl>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catalogs, summarizes, and evaluates the document production served by Respondent Darren Kwan (</w:t>
      </w:r>
      <w:r>
        <w:t xml:space="preserve">“</w:t>
      </w:r>
      <w:r>
        <w:t xml:space="preserve">Respondent</w:t>
      </w:r>
      <w:r>
        <w:t xml:space="preserve">”</w:t>
      </w:r>
      <w:r>
        <w:t xml:space="preserve">) through his counsel, Raymond Fossett of Hargrove Fossett &amp; Yates LLP, in response to Petitioner Melinda Torres-Kwan’s First Request for Production of Documents, Nos. 1–22. The production consists of a transmittal email and seven (7) document sets (PROD-001 through PROD-007), plus a summary privilege log identifying four withheld items (PRIV-001 through PRIV-004).</w:t>
      </w:r>
    </w:p>
    <w:p>
      <w:pPr>
        <w:pStyle w:val="BodyText"/>
      </w:pPr>
      <w:r>
        <w:t xml:space="preserve">For each exhibit, I identify the document, its Bates range and date, the custodian/source, and the responsive request numbers. I then summarize the key financial figures as</w:t>
      </w:r>
      <w:r>
        <w:t xml:space="preserve"> </w:t>
      </w:r>
      <w:r>
        <w:rPr>
          <w:b/>
          <w:bCs/>
        </w:rPr>
        <w:t xml:space="preserve">declared</w:t>
      </w:r>
      <w:r>
        <w:t xml:space="preserve"> </w:t>
      </w:r>
      <w:r>
        <w:t xml:space="preserve">in Respondent’s Sworn Financial Declaration (PROD-001) against the figures</w:t>
      </w:r>
      <w:r>
        <w:t xml:space="preserve"> </w:t>
      </w:r>
      <w:r>
        <w:rPr>
          <w:b/>
          <w:bCs/>
        </w:rPr>
        <w:t xml:space="preserve">documented</w:t>
      </w:r>
      <w:r>
        <w:t xml:space="preserve"> </w:t>
      </w:r>
      <w:r>
        <w:t xml:space="preserve">in the underlying records, flag the inconsistencies, omissions, and red flags that warrant attention, and recommend specific follow-up discovery. This is work product prepared in anticipation of litigation and is intended to guide our next discovery moves, meet-and-confer correspondence, and any motion practice.</w:t>
      </w:r>
    </w:p>
    <w:p>
      <w:r>
        <w:pict>
          <v:rect style="width:0;height:1.5pt" o:hralign="center" o:hrstd="t" o:hr="t"/>
        </w:pict>
      </w:r>
    </w:p>
    <w:bookmarkEnd w:id="20"/>
    <w:bookmarkStart w:id="21" w:name="X22355498c1722f45b49d06148b144c323b91df1"/>
    <w:p>
      <w:pPr>
        <w:pStyle w:val="Heading2"/>
      </w:pPr>
      <w:r>
        <w:t xml:space="preserve">II. Case Background and Production Overview</w:t>
      </w:r>
    </w:p>
    <w:p>
      <w:pPr>
        <w:pStyle w:val="Compact"/>
        <w:numPr>
          <w:ilvl w:val="0"/>
          <w:numId w:val="1001"/>
        </w:numPr>
      </w:pPr>
      <w:r>
        <w:rPr>
          <w:b/>
          <w:bCs/>
        </w:rPr>
        <w:t xml:space="preserve">Parties:</w:t>
      </w:r>
      <w:r>
        <w:t xml:space="preserve"> </w:t>
      </w:r>
      <w:r>
        <w:t xml:space="preserve">Petitioner Melinda Torres-Kwan (high school art teacher, Fairview Regional School District) v. Respondent Darren Kwan (Co-Founder/CTO, NovaBridge Solutions LLC).</w:t>
      </w:r>
    </w:p>
    <w:p>
      <w:pPr>
        <w:pStyle w:val="Compact"/>
        <w:numPr>
          <w:ilvl w:val="0"/>
          <w:numId w:val="1001"/>
        </w:numPr>
      </w:pPr>
      <w:r>
        <w:rPr>
          <w:b/>
          <w:bCs/>
        </w:rPr>
        <w:t xml:space="preserve">Marriage:</w:t>
      </w:r>
      <w:r>
        <w:t xml:space="preserve"> </w:t>
      </w:r>
      <w:r>
        <w:t xml:space="preserve">Married June 14, 2009; approximately 15 years. Two minor children (Ethan, b. 2011; Sofia, b. 2014).</w:t>
      </w:r>
    </w:p>
    <w:p>
      <w:pPr>
        <w:pStyle w:val="Compact"/>
        <w:numPr>
          <w:ilvl w:val="0"/>
          <w:numId w:val="1001"/>
        </w:numPr>
      </w:pPr>
      <w:r>
        <w:rPr>
          <w:b/>
          <w:bCs/>
        </w:rPr>
        <w:t xml:space="preserve">Stated date of separation:</w:t>
      </w:r>
      <w:r>
        <w:t xml:space="preserve"> </w:t>
      </w:r>
      <w:r>
        <w:t xml:space="preserve">June 1, 2024 (per Financial Declaration ¶ 5) —</w:t>
      </w:r>
      <w:r>
        <w:t xml:space="preserve"> </w:t>
      </w:r>
      <w:r>
        <w:rPr>
          <w:b/>
          <w:bCs/>
        </w:rPr>
        <w:t xml:space="preserve">contested; see Issue B-2 below</w:t>
      </w:r>
      <w:r>
        <w:t xml:space="preserve">.</w:t>
      </w:r>
    </w:p>
    <w:p>
      <w:pPr>
        <w:pStyle w:val="Compact"/>
        <w:numPr>
          <w:ilvl w:val="0"/>
          <w:numId w:val="1001"/>
        </w:numPr>
      </w:pPr>
      <w:r>
        <w:rPr>
          <w:b/>
          <w:bCs/>
        </w:rPr>
        <w:t xml:space="preserve">Petition filed:</w:t>
      </w:r>
      <w:r>
        <w:t xml:space="preserve"> </w:t>
      </w:r>
      <w:r>
        <w:t xml:space="preserve">September 3, 2024. Scheduling Order entered September 10, 2024.</w:t>
      </w:r>
    </w:p>
    <w:p>
      <w:pPr>
        <w:pStyle w:val="Compact"/>
        <w:numPr>
          <w:ilvl w:val="0"/>
          <w:numId w:val="1001"/>
        </w:numPr>
      </w:pPr>
      <w:r>
        <w:rPr>
          <w:b/>
          <w:bCs/>
        </w:rPr>
        <w:t xml:space="preserve">Respondent’s counsel:</w:t>
      </w:r>
      <w:r>
        <w:t xml:space="preserve"> </w:t>
      </w:r>
      <w:r>
        <w:t xml:space="preserve">Raymond Fossett, Hargrove Fossett &amp; Yates LLP.</w:t>
      </w:r>
    </w:p>
    <w:p>
      <w:pPr>
        <w:pStyle w:val="Compact"/>
        <w:numPr>
          <w:ilvl w:val="0"/>
          <w:numId w:val="1001"/>
        </w:numPr>
      </w:pPr>
      <w:r>
        <w:rPr>
          <w:b/>
          <w:bCs/>
        </w:rPr>
        <w:t xml:space="preserve">Production basis:</w:t>
      </w:r>
      <w:r>
        <w:t xml:space="preserve"> </w:t>
      </w:r>
      <w:r>
        <w:t xml:space="preserve">Respondent’s production in response to Petitioner’s First RFP, Nos. 1–22, served on or about September 10, 2024. A Stipulated Protective Order was entered October 3, 2024.</w:t>
      </w:r>
    </w:p>
    <w:p>
      <w:pPr>
        <w:pStyle w:val="Compact"/>
        <w:numPr>
          <w:ilvl w:val="0"/>
          <w:numId w:val="1001"/>
        </w:numPr>
      </w:pPr>
      <w:r>
        <w:rPr>
          <w:b/>
          <w:bCs/>
        </w:rPr>
        <w:t xml:space="preserve">Open items:</w:t>
      </w:r>
      <w:r>
        <w:t xml:space="preserve"> </w:t>
      </w:r>
      <w:r>
        <w:t xml:space="preserve">Respondent’s production of NovaBridge entity-level records (Request Nos. 16–22) is incomplete and will be</w:t>
      </w:r>
      <w:r>
        <w:t xml:space="preserve"> </w:t>
      </w:r>
      <w:r>
        <w:t xml:space="preserve">“</w:t>
      </w:r>
      <w:r>
        <w:t xml:space="preserve">supplemented.</w:t>
      </w:r>
      <w:r>
        <w:t xml:space="preserve">”</w:t>
      </w:r>
      <w:r>
        <w:t xml:space="preserve"> </w:t>
      </w:r>
      <w:r>
        <w:t xml:space="preserve">A formal privilege log is</w:t>
      </w:r>
      <w:r>
        <w:t xml:space="preserve"> </w:t>
      </w:r>
      <w:r>
        <w:t xml:space="preserve">“</w:t>
      </w:r>
      <w:r>
        <w:t xml:space="preserve">forthcoming within ten (10) business days.</w:t>
      </w:r>
      <w:r>
        <w:t xml:space="preserve">”</w:t>
      </w:r>
      <w:r>
        <w:t xml:space="preserve"> </w:t>
      </w:r>
      <w:r>
        <w:t xml:space="preserve">Respondent’s own First RFP to Petitioner (served September 18, 2024) remains outstanding.</w:t>
      </w:r>
    </w:p>
    <w:p>
      <w:r>
        <w:pict>
          <v:rect style="width:0;height:1.5pt" o:hralign="center" o:hrstd="t" o:hr="t"/>
        </w:pict>
      </w:r>
    </w:p>
    <w:bookmarkEnd w:id="21"/>
    <w:bookmarkStart w:id="22" w:name="iii.-exhibit-catalog"/>
    <w:p>
      <w:pPr>
        <w:pStyle w:val="Heading2"/>
      </w:pPr>
      <w:r>
        <w:t xml:space="preserve">III. Exhibit Catalog</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Ex.</w:t>
            </w:r>
          </w:p>
        </w:tc>
        <w:tc>
          <w:tcPr/>
          <w:p>
            <w:pPr>
              <w:pStyle w:val="Compact"/>
              <w:jc w:val="left"/>
            </w:pPr>
            <w:r>
              <w:t xml:space="preserve">PROD #</w:t>
            </w:r>
          </w:p>
        </w:tc>
        <w:tc>
          <w:tcPr/>
          <w:p>
            <w:pPr>
              <w:pStyle w:val="Compact"/>
              <w:jc w:val="left"/>
            </w:pPr>
            <w:r>
              <w:t xml:space="preserve">Document (file)</w:t>
            </w:r>
          </w:p>
        </w:tc>
        <w:tc>
          <w:tcPr/>
          <w:p>
            <w:pPr>
              <w:pStyle w:val="Compact"/>
              <w:jc w:val="left"/>
            </w:pPr>
            <w:r>
              <w:t xml:space="preserve">Bates Range</w:t>
            </w:r>
          </w:p>
        </w:tc>
        <w:tc>
          <w:tcPr/>
          <w:p>
            <w:pPr>
              <w:pStyle w:val="Compact"/>
              <w:jc w:val="left"/>
            </w:pPr>
            <w:r>
              <w:t xml:space="preserve">Date / Period</w:t>
            </w:r>
          </w:p>
        </w:tc>
        <w:tc>
          <w:tcPr/>
          <w:p>
            <w:pPr>
              <w:pStyle w:val="Compact"/>
              <w:jc w:val="left"/>
            </w:pPr>
            <w:r>
              <w:t xml:space="preserve">Custodian / Source</w:t>
            </w:r>
          </w:p>
        </w:tc>
        <w:tc>
          <w:tcPr/>
          <w:p>
            <w:pPr>
              <w:pStyle w:val="Compact"/>
              <w:jc w:val="left"/>
            </w:pPr>
            <w:r>
              <w:t xml:space="preserve">Responsive Req. Nos.</w:t>
            </w:r>
          </w:p>
        </w:tc>
      </w:tr>
      <w:tr>
        <w:tc>
          <w:tcPr/>
          <w:p>
            <w:pPr>
              <w:pStyle w:val="Compact"/>
              <w:jc w:val="left"/>
            </w:pPr>
            <w:r>
              <w:t xml:space="preserve">1</w:t>
            </w:r>
          </w:p>
        </w:tc>
        <w:tc>
          <w:tcPr/>
          <w:p>
            <w:pPr>
              <w:pStyle w:val="Compact"/>
              <w:jc w:val="left"/>
            </w:pPr>
            <w:r>
              <w:t xml:space="preserve">—</w:t>
            </w:r>
          </w:p>
        </w:tc>
        <w:tc>
          <w:tcPr/>
          <w:p>
            <w:pPr>
              <w:pStyle w:val="Compact"/>
              <w:jc w:val="left"/>
            </w:pPr>
            <w:r>
              <w:t xml:space="preserve">Production cover letter (transmittal email)</w:t>
            </w:r>
          </w:p>
        </w:tc>
        <w:tc>
          <w:tcPr/>
          <w:p>
            <w:pPr>
              <w:pStyle w:val="Compact"/>
              <w:jc w:val="left"/>
            </w:pPr>
            <w:r>
              <w:t xml:space="preserve">n/a</w:t>
            </w:r>
          </w:p>
        </w:tc>
        <w:tc>
          <w:tcPr/>
          <w:p>
            <w:pPr>
              <w:pStyle w:val="Compact"/>
              <w:jc w:val="left"/>
            </w:pPr>
            <w:r>
              <w:t xml:space="preserve">Undated email; references RFP served ~Sept. 10, 2024</w:t>
            </w:r>
          </w:p>
        </w:tc>
        <w:tc>
          <w:tcPr/>
          <w:p>
            <w:pPr>
              <w:pStyle w:val="Compact"/>
              <w:jc w:val="left"/>
            </w:pPr>
            <w:r>
              <w:t xml:space="preserve">R. Fossett / Hargrove Fossett &amp; Yates LLP</w:t>
            </w:r>
          </w:p>
        </w:tc>
        <w:tc>
          <w:tcPr/>
          <w:p>
            <w:pPr>
              <w:pStyle w:val="Compact"/>
              <w:jc w:val="left"/>
            </w:pPr>
            <w:r>
              <w:t xml:space="preserve">Transmittal for RFP Nos. 1–22</w:t>
            </w:r>
          </w:p>
        </w:tc>
      </w:tr>
      <w:tr>
        <w:tc>
          <w:tcPr/>
          <w:p>
            <w:pPr>
              <w:pStyle w:val="Compact"/>
              <w:jc w:val="left"/>
            </w:pPr>
            <w:r>
              <w:t xml:space="preserve">2</w:t>
            </w:r>
          </w:p>
        </w:tc>
        <w:tc>
          <w:tcPr/>
          <w:p>
            <w:pPr>
              <w:pStyle w:val="Compact"/>
              <w:jc w:val="left"/>
            </w:pPr>
            <w:r>
              <w:t xml:space="preserve">PROD-001</w:t>
            </w:r>
          </w:p>
        </w:tc>
        <w:tc>
          <w:tcPr/>
          <w:p>
            <w:pPr>
              <w:pStyle w:val="Compact"/>
              <w:jc w:val="left"/>
            </w:pPr>
            <w:r>
              <w:t xml:space="preserve">Respondent’s Sworn Financial Declaration</w:t>
            </w:r>
          </w:p>
        </w:tc>
        <w:tc>
          <w:tcPr/>
          <w:p>
            <w:pPr>
              <w:pStyle w:val="Compact"/>
              <w:jc w:val="left"/>
            </w:pPr>
            <w:r>
              <w:t xml:space="preserve">n/a</w:t>
            </w:r>
          </w:p>
        </w:tc>
        <w:tc>
          <w:tcPr/>
          <w:p>
            <w:pPr>
              <w:pStyle w:val="Compact"/>
              <w:jc w:val="left"/>
            </w:pPr>
            <w:r>
              <w:t xml:space="preserve">“</w:t>
            </w:r>
            <w:r>
              <w:t xml:space="preserve">Filed: September 20, 2024</w:t>
            </w:r>
            <w:r>
              <w:t xml:space="preserve">”</w:t>
            </w:r>
            <w:r>
              <w:t xml:space="preserve"> </w:t>
            </w:r>
            <w:r>
              <w:t xml:space="preserve">(per document);</w:t>
            </w:r>
            <w:r>
              <w:t xml:space="preserve"> </w:t>
            </w:r>
            <w:r>
              <w:t xml:space="preserve">“</w:t>
            </w:r>
            <w:r>
              <w:t xml:space="preserve">filed … on or about October 4, 2024</w:t>
            </w:r>
            <w:r>
              <w:t xml:space="preserve">”</w:t>
            </w:r>
            <w:r>
              <w:t xml:space="preserve"> </w:t>
            </w:r>
            <w:r>
              <w:t xml:space="preserve">(per cover letter)</w:t>
            </w:r>
          </w:p>
        </w:tc>
        <w:tc>
          <w:tcPr/>
          <w:p>
            <w:pPr>
              <w:pStyle w:val="Compact"/>
              <w:jc w:val="left"/>
            </w:pPr>
            <w:r>
              <w:t xml:space="preserve">Darren Kwan / Hargrove Fossett &amp; Yates LLP</w:t>
            </w:r>
          </w:p>
        </w:tc>
        <w:tc>
          <w:tcPr/>
          <w:p>
            <w:pPr>
              <w:pStyle w:val="Compact"/>
              <w:jc w:val="left"/>
            </w:pPr>
            <w:r>
              <w:t xml:space="preserve">1, 2, 3</w:t>
            </w:r>
          </w:p>
        </w:tc>
      </w:tr>
      <w:tr>
        <w:tc>
          <w:tcPr/>
          <w:p>
            <w:pPr>
              <w:pStyle w:val="Compact"/>
              <w:jc w:val="left"/>
            </w:pPr>
            <w:r>
              <w:t xml:space="preserve">3</w:t>
            </w:r>
          </w:p>
        </w:tc>
        <w:tc>
          <w:tcPr/>
          <w:p>
            <w:pPr>
              <w:pStyle w:val="Compact"/>
              <w:jc w:val="left"/>
            </w:pPr>
            <w:r>
              <w:t xml:space="preserve">PROD-002</w:t>
            </w:r>
          </w:p>
        </w:tc>
        <w:tc>
          <w:tcPr/>
          <w:p>
            <w:pPr>
              <w:pStyle w:val="Compact"/>
              <w:jc w:val="left"/>
            </w:pPr>
            <w:r>
              <w:t xml:space="preserve">2023 Joint Form 1040 excerpts (Sched. E, K-1, W-2s, entity summary)</w:t>
            </w:r>
          </w:p>
        </w:tc>
        <w:tc>
          <w:tcPr/>
          <w:p>
            <w:pPr>
              <w:pStyle w:val="Compact"/>
              <w:jc w:val="left"/>
            </w:pPr>
            <w:r>
              <w:t xml:space="preserve">DK-PROD-0045 – DK-PROD-0058</w:t>
            </w:r>
          </w:p>
        </w:tc>
        <w:tc>
          <w:tcPr/>
          <w:p>
            <w:pPr>
              <w:pStyle w:val="Compact"/>
              <w:jc w:val="left"/>
            </w:pPr>
            <w:r>
              <w:t xml:space="preserve">Tax Year 2023; signed April 14, 2024</w:t>
            </w:r>
          </w:p>
        </w:tc>
        <w:tc>
          <w:tcPr/>
          <w:p>
            <w:pPr>
              <w:pStyle w:val="Compact"/>
              <w:jc w:val="left"/>
            </w:pPr>
            <w:r>
              <w:t xml:space="preserve">Archer &amp; Linden CPAs (preparer) / produced by HFY LLP</w:t>
            </w:r>
          </w:p>
        </w:tc>
        <w:tc>
          <w:tcPr/>
          <w:p>
            <w:pPr>
              <w:pStyle w:val="Compact"/>
              <w:jc w:val="left"/>
            </w:pPr>
            <w:r>
              <w:t xml:space="preserve">4, 5, 8</w:t>
            </w:r>
          </w:p>
        </w:tc>
      </w:tr>
      <w:tr>
        <w:tc>
          <w:tcPr/>
          <w:p>
            <w:pPr>
              <w:pStyle w:val="Compact"/>
              <w:jc w:val="left"/>
            </w:pPr>
            <w:r>
              <w:t xml:space="preserve">4</w:t>
            </w:r>
          </w:p>
        </w:tc>
        <w:tc>
          <w:tcPr/>
          <w:p>
            <w:pPr>
              <w:pStyle w:val="Compact"/>
              <w:jc w:val="left"/>
            </w:pPr>
            <w:r>
              <w:t xml:space="preserve">PROD-003</w:t>
            </w:r>
          </w:p>
        </w:tc>
        <w:tc>
          <w:tcPr/>
          <w:p>
            <w:pPr>
              <w:pStyle w:val="Compact"/>
              <w:jc w:val="left"/>
            </w:pPr>
            <w:r>
              <w:t xml:space="preserve">Crestline Wealth Advisors brokerage statements (acct. ending 9956)</w:t>
            </w:r>
          </w:p>
        </w:tc>
        <w:tc>
          <w:tcPr/>
          <w:p>
            <w:pPr>
              <w:pStyle w:val="Compact"/>
              <w:jc w:val="left"/>
            </w:pPr>
            <w:r>
              <w:t xml:space="preserve">KWAN_PROD_00142 – KWAN_PROD_00158</w:t>
            </w:r>
          </w:p>
        </w:tc>
        <w:tc>
          <w:tcPr/>
          <w:p>
            <w:pPr>
              <w:pStyle w:val="Compact"/>
              <w:jc w:val="left"/>
            </w:pPr>
            <w:r>
              <w:t xml:space="preserve">Jan. 1, 2024 – Aug. 1, 2024 (monthly + Aug. 1 interim valuation)</w:t>
            </w:r>
          </w:p>
        </w:tc>
        <w:tc>
          <w:tcPr/>
          <w:p>
            <w:pPr>
              <w:pStyle w:val="Compact"/>
              <w:jc w:val="left"/>
            </w:pPr>
            <w:r>
              <w:t xml:space="preserve">Crestline Wealth Advisors (Nathan Greer, CFP)</w:t>
            </w:r>
          </w:p>
        </w:tc>
        <w:tc>
          <w:tcPr/>
          <w:p>
            <w:pPr>
              <w:pStyle w:val="Compact"/>
              <w:jc w:val="left"/>
            </w:pPr>
            <w:r>
              <w:t xml:space="preserve">6, 7</w:t>
            </w:r>
          </w:p>
        </w:tc>
      </w:tr>
      <w:tr>
        <w:tc>
          <w:tcPr/>
          <w:p>
            <w:pPr>
              <w:pStyle w:val="Compact"/>
              <w:jc w:val="left"/>
            </w:pPr>
            <w:r>
              <w:t xml:space="preserve">5</w:t>
            </w:r>
          </w:p>
        </w:tc>
        <w:tc>
          <w:tcPr/>
          <w:p>
            <w:pPr>
              <w:pStyle w:val="Compact"/>
              <w:jc w:val="left"/>
            </w:pPr>
            <w:r>
              <w:t xml:space="preserve">PROD-004</w:t>
            </w:r>
          </w:p>
        </w:tc>
        <w:tc>
          <w:tcPr/>
          <w:p>
            <w:pPr>
              <w:pStyle w:val="Compact"/>
              <w:jc w:val="left"/>
            </w:pPr>
            <w:r>
              <w:t xml:space="preserve">Fairview Community Bank individual statements (checking 7703, savings 7704)</w:t>
            </w:r>
          </w:p>
        </w:tc>
        <w:tc>
          <w:tcPr/>
          <w:p>
            <w:pPr>
              <w:pStyle w:val="Compact"/>
              <w:jc w:val="left"/>
            </w:pPr>
            <w:r>
              <w:t xml:space="preserve">KWAN_PROD_0401 – KWAN_PROD_0424</w:t>
            </w:r>
          </w:p>
        </w:tc>
        <w:tc>
          <w:tcPr/>
          <w:p>
            <w:pPr>
              <w:pStyle w:val="Compact"/>
              <w:jc w:val="left"/>
            </w:pPr>
            <w:r>
              <w:t xml:space="preserve">March 1, 2024 – Aug. 1, 2024</w:t>
            </w:r>
          </w:p>
        </w:tc>
        <w:tc>
          <w:tcPr/>
          <w:p>
            <w:pPr>
              <w:pStyle w:val="Compact"/>
              <w:jc w:val="left"/>
            </w:pPr>
            <w:r>
              <w:t xml:space="preserve">Fairview Community Bank</w:t>
            </w:r>
          </w:p>
        </w:tc>
        <w:tc>
          <w:tcPr/>
          <w:p>
            <w:pPr>
              <w:pStyle w:val="Compact"/>
              <w:jc w:val="left"/>
            </w:pPr>
            <w:r>
              <w:t xml:space="preserve">6, 7</w:t>
            </w:r>
          </w:p>
        </w:tc>
      </w:tr>
      <w:tr>
        <w:tc>
          <w:tcPr/>
          <w:p>
            <w:pPr>
              <w:pStyle w:val="Compact"/>
              <w:jc w:val="left"/>
            </w:pPr>
            <w:r>
              <w:t xml:space="preserve">6</w:t>
            </w:r>
          </w:p>
        </w:tc>
        <w:tc>
          <w:tcPr/>
          <w:p>
            <w:pPr>
              <w:pStyle w:val="Compact"/>
              <w:jc w:val="left"/>
            </w:pPr>
            <w:r>
              <w:t xml:space="preserve">PROD-005</w:t>
            </w:r>
          </w:p>
        </w:tc>
        <w:tc>
          <w:tcPr/>
          <w:p>
            <w:pPr>
              <w:pStyle w:val="Compact"/>
              <w:jc w:val="left"/>
            </w:pPr>
            <w:r>
              <w:t xml:space="preserve">Meridian Home Lending mortgage statements —</w:t>
            </w:r>
            <w:r>
              <w:t xml:space="preserve"> </w:t>
            </w:r>
            <w:r>
              <w:rPr>
                <w:b/>
                <w:bCs/>
              </w:rPr>
              <w:t xml:space="preserve">1035 Elm Street, Unit C</w:t>
            </w:r>
          </w:p>
        </w:tc>
        <w:tc>
          <w:tcPr/>
          <w:p>
            <w:pPr>
              <w:pStyle w:val="Compact"/>
              <w:jc w:val="left"/>
            </w:pPr>
            <w:r>
              <w:t xml:space="preserve">n/a</w:t>
            </w:r>
          </w:p>
        </w:tc>
        <w:tc>
          <w:tcPr/>
          <w:p>
            <w:pPr>
              <w:pStyle w:val="Compact"/>
              <w:jc w:val="left"/>
            </w:pPr>
            <w:r>
              <w:t xml:space="preserve">June, July, August 2024 statements</w:t>
            </w:r>
          </w:p>
        </w:tc>
        <w:tc>
          <w:tcPr/>
          <w:p>
            <w:pPr>
              <w:pStyle w:val="Compact"/>
              <w:jc w:val="left"/>
            </w:pPr>
            <w:r>
              <w:t xml:space="preserve">Meridian Home Lending</w:t>
            </w:r>
          </w:p>
        </w:tc>
        <w:tc>
          <w:tcPr/>
          <w:p>
            <w:pPr>
              <w:pStyle w:val="Compact"/>
              <w:jc w:val="left"/>
            </w:pPr>
            <w:r>
              <w:t xml:space="preserve">9, 10</w:t>
            </w:r>
          </w:p>
        </w:tc>
      </w:tr>
      <w:tr>
        <w:tc>
          <w:tcPr/>
          <w:p>
            <w:pPr>
              <w:pStyle w:val="Compact"/>
              <w:jc w:val="left"/>
            </w:pPr>
            <w:r>
              <w:t xml:space="preserve">7</w:t>
            </w:r>
          </w:p>
        </w:tc>
        <w:tc>
          <w:tcPr/>
          <w:p>
            <w:pPr>
              <w:pStyle w:val="Compact"/>
              <w:jc w:val="left"/>
            </w:pPr>
            <w:r>
              <w:t xml:space="preserve">PROD-006</w:t>
            </w:r>
          </w:p>
        </w:tc>
        <w:tc>
          <w:tcPr/>
          <w:p>
            <w:pPr>
              <w:pStyle w:val="Compact"/>
              <w:jc w:val="left"/>
            </w:pPr>
            <w:r>
              <w:t xml:space="preserve">Platinum Visa credit card statements (acct. ending 8316)</w:t>
            </w:r>
          </w:p>
        </w:tc>
        <w:tc>
          <w:tcPr/>
          <w:p>
            <w:pPr>
              <w:pStyle w:val="Compact"/>
              <w:jc w:val="left"/>
            </w:pPr>
            <w:r>
              <w:t xml:space="preserve">n/a</w:t>
            </w:r>
          </w:p>
        </w:tc>
        <w:tc>
          <w:tcPr/>
          <w:p>
            <w:pPr>
              <w:pStyle w:val="Compact"/>
              <w:jc w:val="left"/>
            </w:pPr>
            <w:r>
              <w:t xml:space="preserve">May – August 2024</w:t>
            </w:r>
          </w:p>
        </w:tc>
        <w:tc>
          <w:tcPr/>
          <w:p>
            <w:pPr>
              <w:pStyle w:val="Compact"/>
              <w:jc w:val="left"/>
            </w:pPr>
            <w:r>
              <w:t xml:space="preserve">Fairview Community Bank (Card Services)</w:t>
            </w:r>
          </w:p>
        </w:tc>
        <w:tc>
          <w:tcPr/>
          <w:p>
            <w:pPr>
              <w:pStyle w:val="Compact"/>
              <w:jc w:val="left"/>
            </w:pPr>
            <w:r>
              <w:t xml:space="preserve">6, 7, 11</w:t>
            </w:r>
          </w:p>
        </w:tc>
      </w:tr>
      <w:tr>
        <w:tc>
          <w:tcPr/>
          <w:p>
            <w:pPr>
              <w:pStyle w:val="Compact"/>
              <w:jc w:val="left"/>
            </w:pPr>
            <w:r>
              <w:t xml:space="preserve">8</w:t>
            </w:r>
          </w:p>
        </w:tc>
        <w:tc>
          <w:tcPr/>
          <w:p>
            <w:pPr>
              <w:pStyle w:val="Compact"/>
              <w:jc w:val="left"/>
            </w:pPr>
            <w:r>
              <w:t xml:space="preserve">PROD-007</w:t>
            </w:r>
          </w:p>
        </w:tc>
        <w:tc>
          <w:tcPr/>
          <w:p>
            <w:pPr>
              <w:pStyle w:val="Compact"/>
              <w:jc w:val="left"/>
            </w:pPr>
            <w:r>
              <w:t xml:space="preserve">NovaBridge Solutions LLC expense reimbursement reports (D. Kwan)</w:t>
            </w:r>
          </w:p>
        </w:tc>
        <w:tc>
          <w:tcPr/>
          <w:p>
            <w:pPr>
              <w:pStyle w:val="Compact"/>
              <w:jc w:val="left"/>
            </w:pPr>
            <w:r>
              <w:t xml:space="preserve">KWAN_PROD_00187 – KWAN_PROD_00193</w:t>
            </w:r>
          </w:p>
        </w:tc>
        <w:tc>
          <w:tcPr/>
          <w:p>
            <w:pPr>
              <w:pStyle w:val="Compact"/>
              <w:jc w:val="left"/>
            </w:pPr>
            <w:r>
              <w:t xml:space="preserve">Q1–Q2 2024 (Jan. 1 – June 30, 2024)</w:t>
            </w:r>
          </w:p>
        </w:tc>
        <w:tc>
          <w:tcPr/>
          <w:p>
            <w:pPr>
              <w:pStyle w:val="Compact"/>
              <w:jc w:val="left"/>
            </w:pPr>
            <w:r>
              <w:t xml:space="preserve">NovaBridge Solutions LLC</w:t>
            </w:r>
          </w:p>
        </w:tc>
        <w:tc>
          <w:tcPr/>
          <w:p>
            <w:pPr>
              <w:pStyle w:val="Compact"/>
              <w:jc w:val="left"/>
            </w:pPr>
            <w:r>
              <w:t xml:space="preserve">5, 8, 12</w:t>
            </w:r>
          </w:p>
        </w:tc>
      </w:tr>
    </w:tbl>
    <w:p>
      <w:pPr>
        <w:pStyle w:val="BodyText"/>
      </w:pPr>
      <w:r>
        <w:rPr>
          <w:b/>
          <w:bCs/>
        </w:rPr>
        <w:t xml:space="preserve">Privilege log (withheld):</w:t>
      </w:r>
      <w:r>
        <w:t xml:space="preserve"> </w:t>
      </w:r>
      <w:r>
        <w:t xml:space="preserve">PRIV-001 (email, D. Kwan → R. Fossett, Aug. 5, 2024); PRIV-002 (email chain, Aug. 12–14, 2024); PRIV-003 (memo, R. Fossett → D. Kwan, Aug. 20, 2024,</w:t>
      </w:r>
      <w:r>
        <w:t xml:space="preserve"> </w:t>
      </w:r>
      <w:r>
        <w:t xml:space="preserve">“</w:t>
      </w:r>
      <w:r>
        <w:t xml:space="preserve">Preliminary analysis of marital estate</w:t>
      </w:r>
      <w:r>
        <w:t xml:space="preserve">”</w:t>
      </w:r>
      <w:r>
        <w:t xml:space="preserve">); PRIV-004 (email, D. Kwan → R. Fossett, Sept. 8, 2024). Formal log forthcoming.</w:t>
      </w:r>
    </w:p>
    <w:p>
      <w:pPr>
        <w:pStyle w:val="BodyText"/>
      </w:pPr>
      <w:r>
        <w:rPr>
          <w:b/>
          <w:bCs/>
        </w:rPr>
        <w:t xml:space="preserve">Note on Bates conventions:</w:t>
      </w:r>
      <w:r>
        <w:t xml:space="preserve"> </w:t>
      </w:r>
      <w:r>
        <w:t xml:space="preserve">The production uses three inconsistent stamping conventions —</w:t>
      </w:r>
      <w:r>
        <w:t xml:space="preserve"> </w:t>
      </w:r>
      <w:r>
        <w:rPr>
          <w:rStyle w:val="VerbatimChar"/>
        </w:rPr>
        <w:t xml:space="preserve">DK-PROD-####</w:t>
      </w:r>
      <w:r>
        <w:t xml:space="preserve"> </w:t>
      </w:r>
      <w:r>
        <w:t xml:space="preserve">(tax return),</w:t>
      </w:r>
      <w:r>
        <w:t xml:space="preserve"> </w:t>
      </w:r>
      <w:r>
        <w:rPr>
          <w:rStyle w:val="VerbatimChar"/>
        </w:rPr>
        <w:t xml:space="preserve">KWAN_PROD_#####</w:t>
      </w:r>
      <w:r>
        <w:t xml:space="preserve"> </w:t>
      </w:r>
      <w:r>
        <w:t xml:space="preserve">(brokerage, expense reports), and</w:t>
      </w:r>
      <w:r>
        <w:t xml:space="preserve"> </w:t>
      </w:r>
      <w:r>
        <w:rPr>
          <w:rStyle w:val="VerbatimChar"/>
        </w:rPr>
        <w:t xml:space="preserve">KWAN*PROD*####</w:t>
      </w:r>
      <w:r>
        <w:t xml:space="preserve"> </w:t>
      </w:r>
      <w:r>
        <w:t xml:space="preserve">(bank statements). The Fairview Community Bank footer also</w:t>
      </w:r>
      <w:r>
        <w:t xml:space="preserve"> </w:t>
      </w:r>
      <w:r>
        <w:rPr>
          <w:b/>
          <w:bCs/>
        </w:rPr>
        <w:t xml:space="preserve">misstates the case number</w:t>
      </w:r>
      <w:r>
        <w:t xml:space="preserve"> </w:t>
      </w:r>
      <w:r>
        <w:t xml:space="preserve">as</w:t>
      </w:r>
      <w:r>
        <w:t xml:space="preserve"> </w:t>
      </w:r>
      <w:r>
        <w:t xml:space="preserve">“</w:t>
      </w:r>
      <w:r>
        <w:t xml:space="preserve">2024-DR-00847</w:t>
      </w:r>
      <w:r>
        <w:t xml:space="preserve">”</w:t>
      </w:r>
      <w:r>
        <w:t xml:space="preserve"> </w:t>
      </w:r>
      <w:r>
        <w:t xml:space="preserve">(correct: 2024-DR-01847) and inverts the court name as</w:t>
      </w:r>
      <w:r>
        <w:t xml:space="preserve"> </w:t>
      </w:r>
      <w:r>
        <w:t xml:space="preserve">“</w:t>
      </w:r>
      <w:r>
        <w:t xml:space="preserve">Circuit Court of Columbia, Fairview County</w:t>
      </w:r>
      <w:r>
        <w:t xml:space="preserve">”</w:t>
      </w:r>
      <w:r>
        <w:t xml:space="preserve"> </w:t>
      </w:r>
      <w:r>
        <w:t xml:space="preserve">(correct: Circuit Court of Fairview County, State of Columbia). The cover letter is undated. These are clerical/production-metadata defects to raise in meet-and-confer, but they do not affect substantive review.</w:t>
      </w:r>
    </w:p>
    <w:p>
      <w:r>
        <w:pict>
          <v:rect style="width:0;height:1.5pt" o:hralign="center" o:hrstd="t" o:hr="t"/>
        </w:pict>
      </w:r>
    </w:p>
    <w:bookmarkEnd w:id="22"/>
    <w:bookmarkStart w:id="27" w:name="X0b4d5cca12fb06ea34b6aec009e30f8793339a6"/>
    <w:p>
      <w:pPr>
        <w:pStyle w:val="Heading2"/>
      </w:pPr>
      <w:r>
        <w:t xml:space="preserve">IV. Summary of Key Financial Figures (Declared vs. Documented)</w:t>
      </w:r>
    </w:p>
    <w:bookmarkStart w:id="23" w:name="a.-income-calendar-year-2023"/>
    <w:p>
      <w:pPr>
        <w:pStyle w:val="Heading3"/>
      </w:pPr>
      <w:r>
        <w:t xml:space="preserve">A. Income — Calendar Year 2023</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Declared (PROD-001)</w:t>
            </w:r>
          </w:p>
        </w:tc>
        <w:tc>
          <w:tcPr/>
          <w:p>
            <w:pPr>
              <w:pStyle w:val="Compact"/>
              <w:jc w:val="left"/>
            </w:pPr>
            <w:r>
              <w:t xml:space="preserve">Documented (PROD-002 tax return)</w:t>
            </w:r>
          </w:p>
        </w:tc>
        <w:tc>
          <w:tcPr/>
          <w:p>
            <w:pPr>
              <w:pStyle w:val="Compact"/>
              <w:jc w:val="left"/>
            </w:pPr>
            <w:r>
              <w:t xml:space="preserve">Variance</w:t>
            </w:r>
          </w:p>
        </w:tc>
      </w:tr>
      <w:tr>
        <w:tc>
          <w:tcPr/>
          <w:p>
            <w:pPr>
              <w:pStyle w:val="Compact"/>
              <w:jc w:val="left"/>
            </w:pPr>
            <w:r>
              <w:t xml:space="preserve">W-2 wages (NovaBridge)</w:t>
            </w:r>
          </w:p>
        </w:tc>
        <w:tc>
          <w:tcPr/>
          <w:p>
            <w:pPr>
              <w:pStyle w:val="Compact"/>
              <w:jc w:val="left"/>
            </w:pPr>
            <w:r>
              <w:t xml:space="preserve">$185,000</w:t>
            </w:r>
          </w:p>
        </w:tc>
        <w:tc>
          <w:tcPr/>
          <w:p>
            <w:pPr>
              <w:pStyle w:val="Compact"/>
              <w:jc w:val="left"/>
            </w:pPr>
            <w:r>
              <w:t xml:space="preserve">$185,000 (W-2 Box 1)</w:t>
            </w:r>
          </w:p>
        </w:tc>
        <w:tc>
          <w:tcPr/>
          <w:p>
            <w:pPr>
              <w:pStyle w:val="Compact"/>
              <w:jc w:val="left"/>
            </w:pPr>
            <w:r>
              <w:t xml:space="preserve">—</w:t>
            </w:r>
          </w:p>
        </w:tc>
      </w:tr>
      <w:tr>
        <w:tc>
          <w:tcPr/>
          <w:p>
            <w:pPr>
              <w:pStyle w:val="Compact"/>
              <w:jc w:val="left"/>
            </w:pPr>
            <w:r>
              <w:t xml:space="preserve">K-1 / business income</w:t>
            </w:r>
          </w:p>
        </w:tc>
        <w:tc>
          <w:tcPr/>
          <w:p>
            <w:pPr>
              <w:pStyle w:val="Compact"/>
              <w:jc w:val="left"/>
            </w:pPr>
            <w:r>
              <w:t xml:space="preserve">$174,000 (</w:t>
            </w:r>
            <w:r>
              <w:t xml:space="preserve">“</w:t>
            </w:r>
            <w:r>
              <w:t xml:space="preserve">K-1 distributions</w:t>
            </w:r>
            <w:r>
              <w:t xml:space="preserve">”</w:t>
            </w:r>
            <w:r>
              <w:t xml:space="preserve">)</w:t>
            </w:r>
          </w:p>
        </w:tc>
        <w:tc>
          <w:tcPr/>
          <w:p>
            <w:pPr>
              <w:pStyle w:val="Compact"/>
              <w:jc w:val="left"/>
            </w:pPr>
            <w:r>
              <w:t xml:space="preserve">$367,200 (K-1 Box 1, ordinary business income)</w:t>
            </w:r>
          </w:p>
        </w:tc>
        <w:tc>
          <w:tcPr/>
          <w:p>
            <w:pPr>
              <w:pStyle w:val="Compact"/>
              <w:jc w:val="left"/>
            </w:pPr>
            <w:r>
              <w:rPr>
                <w:b/>
                <w:bCs/>
              </w:rPr>
              <w:t xml:space="preserve">+$193,200</w:t>
            </w:r>
          </w:p>
        </w:tc>
      </w:tr>
      <w:tr>
        <w:tc>
          <w:tcPr/>
          <w:p>
            <w:pPr>
              <w:pStyle w:val="Compact"/>
              <w:jc w:val="left"/>
            </w:pPr>
            <w:r>
              <w:t xml:space="preserve">Net rental income (1035 Elm St.)</w:t>
            </w:r>
          </w:p>
        </w:tc>
        <w:tc>
          <w:tcPr/>
          <w:p>
            <w:pPr>
              <w:pStyle w:val="Compact"/>
              <w:jc w:val="left"/>
            </w:pPr>
            <w:r>
              <w:t xml:space="preserve">$0 (</w:t>
            </w:r>
            <w:r>
              <w:t xml:space="preserve">“</w:t>
            </w:r>
            <w:r>
              <w:t xml:space="preserve">None,</w:t>
            </w:r>
            <w:r>
              <w:t xml:space="preserve">”</w:t>
            </w:r>
            <w:r>
              <w:t xml:space="preserve"> </w:t>
            </w:r>
            <w:r>
              <w:t xml:space="preserve">¶ 19)</w:t>
            </w:r>
          </w:p>
        </w:tc>
        <w:tc>
          <w:tcPr/>
          <w:p>
            <w:pPr>
              <w:pStyle w:val="Compact"/>
              <w:jc w:val="left"/>
            </w:pPr>
            <w:r>
              <w:t xml:space="preserve">$2,940 (Sched. E, Line 21)</w:t>
            </w:r>
          </w:p>
        </w:tc>
        <w:tc>
          <w:tcPr/>
          <w:p>
            <w:pPr>
              <w:pStyle w:val="Compact"/>
              <w:jc w:val="left"/>
            </w:pPr>
            <w:r>
              <w:rPr>
                <w:b/>
                <w:bCs/>
              </w:rPr>
              <w:t xml:space="preserve">+$2,940</w:t>
            </w:r>
          </w:p>
        </w:tc>
      </w:tr>
      <w:tr>
        <w:tc>
          <w:tcPr/>
          <w:p>
            <w:pPr>
              <w:pStyle w:val="Compact"/>
              <w:jc w:val="left"/>
            </w:pPr>
            <w:r>
              <w:t xml:space="preserve">Ordinary dividends (Crestline)</w:t>
            </w:r>
          </w:p>
        </w:tc>
        <w:tc>
          <w:tcPr/>
          <w:p>
            <w:pPr>
              <w:pStyle w:val="Compact"/>
              <w:jc w:val="left"/>
            </w:pPr>
            <w:r>
              <w:t xml:space="preserve">$0</w:t>
            </w:r>
          </w:p>
        </w:tc>
        <w:tc>
          <w:tcPr/>
          <w:p>
            <w:pPr>
              <w:pStyle w:val="Compact"/>
              <w:jc w:val="left"/>
            </w:pPr>
            <w:r>
              <w:t xml:space="preserve">$6,310 (Sched. B / 1040 Line 3b)</w:t>
            </w:r>
          </w:p>
        </w:tc>
        <w:tc>
          <w:tcPr/>
          <w:p>
            <w:pPr>
              <w:pStyle w:val="Compact"/>
              <w:jc w:val="left"/>
            </w:pPr>
            <w:r>
              <w:rPr>
                <w:b/>
                <w:bCs/>
              </w:rPr>
              <w:t xml:space="preserve">+$6,310</w:t>
            </w:r>
          </w:p>
        </w:tc>
      </w:tr>
      <w:tr>
        <w:tc>
          <w:tcPr/>
          <w:p>
            <w:pPr>
              <w:pStyle w:val="Compact"/>
              <w:jc w:val="left"/>
            </w:pPr>
            <w:r>
              <w:t xml:space="preserve">Capital gains (Crestline)</w:t>
            </w:r>
          </w:p>
        </w:tc>
        <w:tc>
          <w:tcPr/>
          <w:p>
            <w:pPr>
              <w:pStyle w:val="Compact"/>
              <w:jc w:val="left"/>
            </w:pPr>
            <w:r>
              <w:t xml:space="preserve">$0</w:t>
            </w:r>
          </w:p>
        </w:tc>
        <w:tc>
          <w:tcPr/>
          <w:p>
            <w:pPr>
              <w:pStyle w:val="Compact"/>
              <w:jc w:val="left"/>
            </w:pPr>
            <w:r>
              <w:t xml:space="preserve">$8,450 (Sched. D / 1040 Line 7)</w:t>
            </w:r>
          </w:p>
        </w:tc>
        <w:tc>
          <w:tcPr/>
          <w:p>
            <w:pPr>
              <w:pStyle w:val="Compact"/>
              <w:jc w:val="left"/>
            </w:pPr>
            <w:r>
              <w:rPr>
                <w:b/>
                <w:bCs/>
              </w:rPr>
              <w:t xml:space="preserve">+$8,450</w:t>
            </w:r>
          </w:p>
        </w:tc>
      </w:tr>
      <w:tr>
        <w:tc>
          <w:tcPr/>
          <w:p>
            <w:pPr>
              <w:pStyle w:val="Compact"/>
              <w:jc w:val="left"/>
            </w:pPr>
            <w:r>
              <w:t xml:space="preserve">Taxable interest (FCB)</w:t>
            </w:r>
          </w:p>
        </w:tc>
        <w:tc>
          <w:tcPr/>
          <w:p>
            <w:pPr>
              <w:pStyle w:val="Compact"/>
              <w:jc w:val="left"/>
            </w:pPr>
            <w:r>
              <w:t xml:space="preserve">$0</w:t>
            </w:r>
          </w:p>
        </w:tc>
        <w:tc>
          <w:tcPr/>
          <w:p>
            <w:pPr>
              <w:pStyle w:val="Compact"/>
              <w:jc w:val="left"/>
            </w:pPr>
            <w:r>
              <w:t xml:space="preserve">$1,840 (Sched. B / 1040 Line 2b)</w:t>
            </w:r>
          </w:p>
        </w:tc>
        <w:tc>
          <w:tcPr/>
          <w:p>
            <w:pPr>
              <w:pStyle w:val="Compact"/>
              <w:jc w:val="left"/>
            </w:pPr>
            <w:r>
              <w:rPr>
                <w:b/>
                <w:bCs/>
              </w:rPr>
              <w:t xml:space="preserve">+$1,840</w:t>
            </w:r>
          </w:p>
        </w:tc>
      </w:tr>
      <w:tr>
        <w:tc>
          <w:tcPr/>
          <w:p>
            <w:pPr>
              <w:pStyle w:val="Compact"/>
              <w:jc w:val="left"/>
            </w:pPr>
            <w:r>
              <w:t xml:space="preserve">K-1 interest income</w:t>
            </w:r>
          </w:p>
        </w:tc>
        <w:tc>
          <w:tcPr/>
          <w:p>
            <w:pPr>
              <w:pStyle w:val="Compact"/>
              <w:jc w:val="left"/>
            </w:pPr>
            <w:r>
              <w:t xml:space="preserve">$0</w:t>
            </w:r>
          </w:p>
        </w:tc>
        <w:tc>
          <w:tcPr/>
          <w:p>
            <w:pPr>
              <w:pStyle w:val="Compact"/>
              <w:jc w:val="left"/>
            </w:pPr>
            <w:r>
              <w:t xml:space="preserve">$1,240 (K-1 Box 5)</w:t>
            </w:r>
          </w:p>
        </w:tc>
        <w:tc>
          <w:tcPr/>
          <w:p>
            <w:pPr>
              <w:pStyle w:val="Compact"/>
              <w:jc w:val="left"/>
            </w:pPr>
            <w:r>
              <w:rPr>
                <w:b/>
                <w:bCs/>
              </w:rPr>
              <w:t xml:space="preserve">+$1,240</w:t>
            </w:r>
          </w:p>
        </w:tc>
      </w:tr>
      <w:tr>
        <w:tc>
          <w:tcPr/>
          <w:p>
            <w:pPr>
              <w:pStyle w:val="Compact"/>
              <w:jc w:val="left"/>
            </w:pPr>
            <w:r>
              <w:t xml:space="preserve">Vehicle allowance (NovaBridge)</w:t>
            </w:r>
          </w:p>
        </w:tc>
        <w:tc>
          <w:tcPr/>
          <w:p>
            <w:pPr>
              <w:pStyle w:val="Compact"/>
              <w:jc w:val="left"/>
            </w:pPr>
            <w:r>
              <w:t xml:space="preserve">$0</w:t>
            </w:r>
          </w:p>
        </w:tc>
        <w:tc>
          <w:tcPr/>
          <w:p>
            <w:pPr>
              <w:pStyle w:val="Compact"/>
              <w:jc w:val="left"/>
            </w:pPr>
            <w:r>
              <w:t xml:space="preserve">$9,600/yr ($800/mo, W-2 Box 14)</w:t>
            </w:r>
          </w:p>
        </w:tc>
        <w:tc>
          <w:tcPr/>
          <w:p>
            <w:pPr>
              <w:pStyle w:val="Compact"/>
              <w:jc w:val="left"/>
            </w:pPr>
            <w:r>
              <w:rPr>
                <w:b/>
                <w:bCs/>
              </w:rPr>
              <w:t xml:space="preserve">+$9,600</w:t>
            </w:r>
          </w:p>
        </w:tc>
      </w:tr>
      <w:tr>
        <w:tc>
          <w:tcPr/>
          <w:p>
            <w:pPr>
              <w:pStyle w:val="Compact"/>
              <w:jc w:val="left"/>
            </w:pPr>
            <w:r>
              <w:rPr>
                <w:b/>
                <w:bCs/>
              </w:rPr>
              <w:t xml:space="preserve">Respondent’s 2023 income (approx.)</w:t>
            </w:r>
          </w:p>
        </w:tc>
        <w:tc>
          <w:tcPr/>
          <w:p>
            <w:pPr>
              <w:pStyle w:val="Compact"/>
              <w:jc w:val="left"/>
            </w:pPr>
            <w:r>
              <w:rPr>
                <w:b/>
                <w:bCs/>
              </w:rPr>
              <w:t xml:space="preserve">$359,000</w:t>
            </w:r>
          </w:p>
        </w:tc>
        <w:tc>
          <w:tcPr/>
          <w:p>
            <w:pPr>
              <w:pStyle w:val="Compact"/>
              <w:jc w:val="left"/>
            </w:pPr>
            <w:r>
              <w:rPr>
                <w:b/>
                <w:bCs/>
              </w:rPr>
              <w:t xml:space="preserve">~$571,740</w:t>
            </w:r>
            <w:r>
              <w:t xml:space="preserve"> </w:t>
            </w:r>
            <w:r>
              <w:t xml:space="preserve">(excl. vehicle allowance)</w:t>
            </w:r>
          </w:p>
        </w:tc>
        <w:tc>
          <w:tcPr/>
          <w:p>
            <w:pPr>
              <w:pStyle w:val="Compact"/>
              <w:jc w:val="left"/>
            </w:pPr>
            <w:r>
              <w:rPr>
                <w:b/>
                <w:bCs/>
              </w:rPr>
              <w:t xml:space="preserve">~$212,740 understated</w:t>
            </w:r>
          </w:p>
        </w:tc>
      </w:tr>
    </w:tbl>
    <w:p>
      <w:pPr>
        <w:pStyle w:val="BodyText"/>
      </w:pPr>
      <w:r>
        <w:t xml:space="preserve">The joint 2023 Form 1040 reports</w:t>
      </w:r>
      <w:r>
        <w:t xml:space="preserve"> </w:t>
      </w:r>
      <w:r>
        <w:rPr>
          <w:b/>
          <w:bCs/>
        </w:rPr>
        <w:t xml:space="preserve">total income of $638,940</w:t>
      </w:r>
      <w:r>
        <w:t xml:space="preserve"> </w:t>
      </w:r>
      <w:r>
        <w:t xml:space="preserve">and</w:t>
      </w:r>
      <w:r>
        <w:t xml:space="preserve"> </w:t>
      </w:r>
      <w:r>
        <w:rPr>
          <w:b/>
          <w:bCs/>
        </w:rPr>
        <w:t xml:space="preserve">AGI of $612,960</w:t>
      </w:r>
      <w:r>
        <w:t xml:space="preserve"> </w:t>
      </w:r>
      <w:r>
        <w:t xml:space="preserve">(PROD-002, 1040 Lines 9 &amp; 11). The single largest driver of the understatement is Respondent’s reporting of</w:t>
      </w:r>
      <w:r>
        <w:t xml:space="preserve"> </w:t>
      </w:r>
      <w:r>
        <w:rPr>
          <w:b/>
          <w:bCs/>
        </w:rPr>
        <w:t xml:space="preserve">cash distributions ($174,000)</w:t>
      </w:r>
      <w:r>
        <w:t xml:space="preserve"> </w:t>
      </w:r>
      <w:r>
        <w:t xml:space="preserve">as his</w:t>
      </w:r>
      <w:r>
        <w:t xml:space="preserve"> </w:t>
      </w:r>
      <w:r>
        <w:t xml:space="preserve">“</w:t>
      </w:r>
      <w:r>
        <w:t xml:space="preserve">K-1 income</w:t>
      </w:r>
      <w:r>
        <w:t xml:space="preserve">”</w:t>
      </w:r>
      <w:r>
        <w:t xml:space="preserve"> </w:t>
      </w:r>
      <w:r>
        <w:t xml:space="preserve">rather than the</w:t>
      </w:r>
      <w:r>
        <w:t xml:space="preserve"> </w:t>
      </w:r>
      <w:r>
        <w:rPr>
          <w:b/>
          <w:bCs/>
        </w:rPr>
        <w:t xml:space="preserve">taxable K-1 ordinary business income ($367,200)</w:t>
      </w:r>
      <w:r>
        <w:t xml:space="preserve">. The $193,200 difference equals Respondent’s 60% share of NovaBridge’s 2023 entity-level retained earnings ($322,000 × 60%), which built value in his membership interest (K-1 capital account grew from $482,600 to $675,800). As 60% managing member, Respondent controls distribution decisions and can modulate his cash flow while his economic income remains substantially higher.</w:t>
      </w:r>
    </w:p>
    <w:bookmarkEnd w:id="23"/>
    <w:bookmarkStart w:id="24" w:name="b.-assets"/>
    <w:p>
      <w:pPr>
        <w:pStyle w:val="Heading3"/>
      </w:pPr>
      <w:r>
        <w:t xml:space="preserve">B. Assets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Asset</w:t>
            </w:r>
          </w:p>
        </w:tc>
        <w:tc>
          <w:tcPr/>
          <w:p>
            <w:pPr>
              <w:pStyle w:val="Compact"/>
              <w:jc w:val="left"/>
            </w:pPr>
            <w:r>
              <w:t xml:space="preserve">Declared (PROD-001)</w:t>
            </w:r>
          </w:p>
        </w:tc>
        <w:tc>
          <w:tcPr/>
          <w:p>
            <w:pPr>
              <w:pStyle w:val="Compact"/>
              <w:jc w:val="left"/>
            </w:pPr>
            <w:r>
              <w:t xml:space="preserve">Documented</w:t>
            </w:r>
          </w:p>
        </w:tc>
        <w:tc>
          <w:tcPr/>
          <w:p>
            <w:pPr>
              <w:pStyle w:val="Compact"/>
              <w:jc w:val="left"/>
            </w:pPr>
            <w:r>
              <w:t xml:space="preserve">Notes</w:t>
            </w:r>
          </w:p>
        </w:tc>
      </w:tr>
      <w:tr>
        <w:tc>
          <w:tcPr/>
          <w:p>
            <w:pPr>
              <w:pStyle w:val="Compact"/>
              <w:jc w:val="left"/>
            </w:pPr>
            <w:r>
              <w:t xml:space="preserve">Marital residence — 418 Birchwood Lane</w:t>
            </w:r>
          </w:p>
        </w:tc>
        <w:tc>
          <w:tcPr/>
          <w:p>
            <w:pPr>
              <w:pStyle w:val="Compact"/>
              <w:jc w:val="left"/>
            </w:pPr>
            <w:r>
              <w:t xml:space="preserve">$715,000 est. value; $218,400 mortgage; $496,600 equity; joint tenancy</w:t>
            </w:r>
          </w:p>
        </w:tc>
        <w:tc>
          <w:tcPr/>
          <w:p>
            <w:pPr>
              <w:pStyle w:val="Compact"/>
              <w:jc w:val="left"/>
            </w:pPr>
            <w:r>
              <w:t xml:space="preserve">Mortgage statements</w:t>
            </w:r>
            <w:r>
              <w:t xml:space="preserve"> </w:t>
            </w:r>
            <w:r>
              <w:rPr>
                <w:b/>
                <w:bCs/>
              </w:rPr>
              <w:t xml:space="preserve">not produced</w:t>
            </w:r>
            <w:r>
              <w:t xml:space="preserve">; $1,842/mo ACH confirmed in bank records</w:t>
            </w:r>
          </w:p>
        </w:tc>
        <w:tc>
          <w:tcPr/>
          <w:p>
            <w:pPr>
              <w:pStyle w:val="Compact"/>
              <w:jc w:val="left"/>
            </w:pPr>
            <w:r>
              <w:t xml:space="preserve">Online estimate; no appraisal</w:t>
            </w:r>
          </w:p>
        </w:tc>
      </w:tr>
      <w:tr>
        <w:tc>
          <w:tcPr/>
          <w:p>
            <w:pPr>
              <w:pStyle w:val="Compact"/>
              <w:jc w:val="left"/>
            </w:pPr>
            <w:r>
              <w:rPr>
                <w:b/>
                <w:bCs/>
              </w:rPr>
              <w:t xml:space="preserve">1035 Elm Street, Unit C (rental condo)</w:t>
            </w:r>
          </w:p>
        </w:tc>
        <w:tc>
          <w:tcPr/>
          <w:p>
            <w:pPr>
              <w:pStyle w:val="Compact"/>
              <w:jc w:val="left"/>
            </w:pPr>
            <w:r>
              <w:rPr>
                <w:b/>
                <w:bCs/>
              </w:rPr>
              <w:t xml:space="preserve">Not disclosed</w:t>
            </w:r>
            <w:r>
              <w:t xml:space="preserve"> </w:t>
            </w:r>
            <w:r>
              <w:t xml:space="preserve">(¶ 23:</w:t>
            </w:r>
            <w:r>
              <w:t xml:space="preserve"> </w:t>
            </w:r>
            <w:r>
              <w:t xml:space="preserve">“</w:t>
            </w:r>
            <w:r>
              <w:t xml:space="preserve">no other real property</w:t>
            </w:r>
            <w:r>
              <w:t xml:space="preserve">”</w:t>
            </w:r>
            <w:r>
              <w:t xml:space="preserve">)</w:t>
            </w:r>
          </w:p>
        </w:tc>
        <w:tc>
          <w:tcPr/>
          <w:p>
            <w:pPr>
              <w:pStyle w:val="Compact"/>
              <w:jc w:val="left"/>
            </w:pPr>
            <w:r>
              <w:t xml:space="preserve">Sole-owned by D. Kwan; $279,000 orig. loan (Oct. 8, 2019); ~$241,281 balance (8/1/24); $1,680/mo PITI; $2,100/mo rent</w:t>
            </w:r>
          </w:p>
        </w:tc>
        <w:tc>
          <w:tcPr/>
          <w:p>
            <w:pPr>
              <w:pStyle w:val="Compact"/>
              <w:jc w:val="left"/>
            </w:pPr>
            <w:r>
              <w:rPr>
                <w:b/>
                <w:bCs/>
              </w:rPr>
              <w:t xml:space="preserve">Acquired during marriage; wholly omitted</w:t>
            </w:r>
          </w:p>
        </w:tc>
      </w:tr>
      <w:tr>
        <w:tc>
          <w:tcPr/>
          <w:p>
            <w:pPr>
              <w:pStyle w:val="Compact"/>
              <w:jc w:val="left"/>
            </w:pPr>
            <w:r>
              <w:t xml:space="preserve">Joint checking (FCB 4821)</w:t>
            </w:r>
          </w:p>
        </w:tc>
        <w:tc>
          <w:tcPr/>
          <w:p>
            <w:pPr>
              <w:pStyle w:val="Compact"/>
              <w:jc w:val="left"/>
            </w:pPr>
            <w:r>
              <w:t xml:space="preserve">$12,340</w:t>
            </w:r>
          </w:p>
        </w:tc>
        <w:tc>
          <w:tcPr/>
          <w:p>
            <w:pPr>
              <w:pStyle w:val="Compact"/>
              <w:jc w:val="left"/>
            </w:pPr>
            <w:r>
              <w:t xml:space="preserve">Statements</w:t>
            </w:r>
            <w:r>
              <w:t xml:space="preserve"> </w:t>
            </w:r>
            <w:r>
              <w:rPr>
                <w:b/>
                <w:bCs/>
              </w:rPr>
              <w:t xml:space="preserve">not produced</w:t>
            </w:r>
          </w:p>
        </w:tc>
        <w:tc>
          <w:tcPr/>
          <w:p>
            <w:pPr>
              <w:pStyle w:val="Compact"/>
              <w:jc w:val="left"/>
            </w:pPr>
            <w:r>
              <w:t xml:space="preserve">Joint account; not in PROD-004</w:t>
            </w:r>
          </w:p>
        </w:tc>
      </w:tr>
      <w:tr>
        <w:tc>
          <w:tcPr/>
          <w:p>
            <w:pPr>
              <w:pStyle w:val="Compact"/>
              <w:jc w:val="left"/>
            </w:pPr>
            <w:r>
              <w:t xml:space="preserve">Joint savings (FCB 4822)</w:t>
            </w:r>
          </w:p>
        </w:tc>
        <w:tc>
          <w:tcPr/>
          <w:p>
            <w:pPr>
              <w:pStyle w:val="Compact"/>
              <w:jc w:val="left"/>
            </w:pPr>
            <w:r>
              <w:t xml:space="preserve">$28,750</w:t>
            </w:r>
          </w:p>
        </w:tc>
        <w:tc>
          <w:tcPr/>
          <w:p>
            <w:pPr>
              <w:pStyle w:val="Compact"/>
              <w:jc w:val="left"/>
            </w:pPr>
            <w:r>
              <w:t xml:space="preserve">Statements</w:t>
            </w:r>
            <w:r>
              <w:t xml:space="preserve"> </w:t>
            </w:r>
            <w:r>
              <w:rPr>
                <w:b/>
                <w:bCs/>
              </w:rPr>
              <w:t xml:space="preserve">not produced</w:t>
            </w:r>
          </w:p>
        </w:tc>
        <w:tc>
          <w:tcPr/>
          <w:p>
            <w:pPr>
              <w:pStyle w:val="Compact"/>
              <w:jc w:val="left"/>
            </w:pPr>
            <w:r>
              <w:t xml:space="preserve">Joint account; not in PROD-004</w:t>
            </w:r>
          </w:p>
        </w:tc>
      </w:tr>
      <w:tr>
        <w:tc>
          <w:tcPr/>
          <w:p>
            <w:pPr>
              <w:pStyle w:val="Compact"/>
              <w:jc w:val="left"/>
            </w:pPr>
            <w:r>
              <w:t xml:space="preserve">Individual checking (FCB 7703)</w:t>
            </w:r>
          </w:p>
        </w:tc>
        <w:tc>
          <w:tcPr/>
          <w:p>
            <w:pPr>
              <w:pStyle w:val="Compact"/>
              <w:jc w:val="left"/>
            </w:pPr>
            <w:r>
              <w:t xml:space="preserve">$8,215</w:t>
            </w:r>
          </w:p>
        </w:tc>
        <w:tc>
          <w:tcPr/>
          <w:p>
            <w:pPr>
              <w:pStyle w:val="Compact"/>
              <w:jc w:val="left"/>
            </w:pPr>
            <w:r>
              <w:t xml:space="preserve">$8,215 (as of 8/1/24)</w:t>
            </w:r>
          </w:p>
        </w:tc>
        <w:tc>
          <w:tcPr/>
          <w:p>
            <w:pPr>
              <w:pStyle w:val="Compact"/>
              <w:jc w:val="left"/>
            </w:pPr>
            <w:r>
              <w:t xml:space="preserve">Balance is 8/1/24, not 6/1/24 separation date</w:t>
            </w:r>
          </w:p>
        </w:tc>
      </w:tr>
      <w:tr>
        <w:tc>
          <w:tcPr/>
          <w:p>
            <w:pPr>
              <w:pStyle w:val="Compact"/>
              <w:jc w:val="left"/>
            </w:pPr>
            <w:r>
              <w:t xml:space="preserve">Individual savings (FCB 7704)</w:t>
            </w:r>
          </w:p>
        </w:tc>
        <w:tc>
          <w:tcPr/>
          <w:p>
            <w:pPr>
              <w:pStyle w:val="Compact"/>
              <w:jc w:val="left"/>
            </w:pPr>
            <w:r>
              <w:t xml:space="preserve">$42,680</w:t>
            </w:r>
          </w:p>
        </w:tc>
        <w:tc>
          <w:tcPr/>
          <w:p>
            <w:pPr>
              <w:pStyle w:val="Compact"/>
              <w:jc w:val="left"/>
            </w:pPr>
            <w:r>
              <w:t xml:space="preserve">$42,680 (as of 8/1/24)</w:t>
            </w:r>
          </w:p>
        </w:tc>
        <w:tc>
          <w:tcPr/>
          <w:p>
            <w:pPr>
              <w:pStyle w:val="Compact"/>
              <w:jc w:val="left"/>
            </w:pPr>
            <w:r>
              <w:t xml:space="preserve">Balance is 8/1/24, not 6/1/24 separation date</w:t>
            </w:r>
          </w:p>
        </w:tc>
      </w:tr>
      <w:tr>
        <w:tc>
          <w:tcPr/>
          <w:p>
            <w:pPr>
              <w:pStyle w:val="Compact"/>
              <w:jc w:val="left"/>
            </w:pPr>
            <w:r>
              <w:t xml:space="preserve">Crestline brokerage (9956)</w:t>
            </w:r>
          </w:p>
        </w:tc>
        <w:tc>
          <w:tcPr/>
          <w:p>
            <w:pPr>
              <w:pStyle w:val="Compact"/>
              <w:jc w:val="left"/>
            </w:pPr>
            <w:r>
              <w:t xml:space="preserve">$387,450</w:t>
            </w:r>
          </w:p>
        </w:tc>
        <w:tc>
          <w:tcPr/>
          <w:p>
            <w:pPr>
              <w:pStyle w:val="Compact"/>
              <w:jc w:val="left"/>
            </w:pPr>
            <w:r>
              <w:t xml:space="preserve">$387,450 (as of 8/1/24);</w:t>
            </w:r>
            <w:r>
              <w:t xml:space="preserve"> </w:t>
            </w:r>
            <w:r>
              <w:rPr>
                <w:b/>
                <w:bCs/>
              </w:rPr>
              <w:t xml:space="preserve">~$468,695 on 6/1/24</w:t>
            </w:r>
          </w:p>
        </w:tc>
        <w:tc>
          <w:tcPr/>
          <w:p>
            <w:pPr>
              <w:pStyle w:val="Compact"/>
              <w:jc w:val="left"/>
            </w:pPr>
            <w:r>
              <w:t xml:space="preserve">Post-$85,000-wire value; see Issue A-2</w:t>
            </w:r>
          </w:p>
        </w:tc>
      </w:tr>
      <w:tr>
        <w:tc>
          <w:tcPr/>
          <w:p>
            <w:pPr>
              <w:pStyle w:val="Compact"/>
              <w:jc w:val="left"/>
            </w:pPr>
            <w:r>
              <w:t xml:space="preserve">401(k) — Pinnacle (3310)</w:t>
            </w:r>
          </w:p>
        </w:tc>
        <w:tc>
          <w:tcPr/>
          <w:p>
            <w:pPr>
              <w:pStyle w:val="Compact"/>
              <w:jc w:val="left"/>
            </w:pPr>
            <w:r>
              <w:t xml:space="preserve">$412,800</w:t>
            </w:r>
          </w:p>
        </w:tc>
        <w:tc>
          <w:tcPr/>
          <w:p>
            <w:pPr>
              <w:pStyle w:val="Compact"/>
              <w:jc w:val="left"/>
            </w:pPr>
            <w:r>
              <w:t xml:space="preserve">Statements</w:t>
            </w:r>
            <w:r>
              <w:t xml:space="preserve"> </w:t>
            </w:r>
            <w:r>
              <w:rPr>
                <w:b/>
                <w:bCs/>
              </w:rPr>
              <w:t xml:space="preserve">not produced</w:t>
            </w:r>
          </w:p>
        </w:tc>
        <w:tc>
          <w:tcPr/>
          <w:p>
            <w:pPr>
              <w:pStyle w:val="Compact"/>
              <w:jc w:val="left"/>
            </w:pPr>
            <w:r>
              <w:t xml:space="preserve">Ongoing ACH contributions + $14,644.60 transfer 8/1/24</w:t>
            </w:r>
          </w:p>
        </w:tc>
      </w:tr>
      <w:tr>
        <w:tc>
          <w:tcPr/>
          <w:p>
            <w:pPr>
              <w:pStyle w:val="Compact"/>
              <w:jc w:val="left"/>
            </w:pPr>
            <w:r>
              <w:t xml:space="preserve">Petitioner 403(b) (5587)</w:t>
            </w:r>
          </w:p>
        </w:tc>
        <w:tc>
          <w:tcPr/>
          <w:p>
            <w:pPr>
              <w:pStyle w:val="Compact"/>
              <w:jc w:val="left"/>
            </w:pPr>
            <w:r>
              <w:t xml:space="preserve">$89,200</w:t>
            </w:r>
          </w:p>
        </w:tc>
        <w:tc>
          <w:tcPr/>
          <w:p>
            <w:pPr>
              <w:pStyle w:val="Compact"/>
              <w:jc w:val="left"/>
            </w:pPr>
            <w:r>
              <w:t xml:space="preserve">Not produced (Respondent lacks access)</w:t>
            </w:r>
          </w:p>
        </w:tc>
        <w:tc>
          <w:tcPr/>
          <w:p>
            <w:pPr>
              <w:pStyle w:val="Compact"/>
              <w:jc w:val="left"/>
            </w:pPr>
            <w:r>
              <w:t xml:space="preserve">—</w:t>
            </w:r>
          </w:p>
        </w:tc>
      </w:tr>
      <w:tr>
        <w:tc>
          <w:tcPr/>
          <w:p>
            <w:pPr>
              <w:pStyle w:val="Compact"/>
              <w:jc w:val="left"/>
            </w:pPr>
            <w:r>
              <w:rPr>
                <w:b/>
                <w:bCs/>
              </w:rPr>
              <w:t xml:space="preserve">Harborstone Financial Group (acct. 2291)</w:t>
            </w:r>
          </w:p>
        </w:tc>
        <w:tc>
          <w:tcPr/>
          <w:p>
            <w:pPr>
              <w:pStyle w:val="Compact"/>
              <w:jc w:val="left"/>
            </w:pPr>
            <w:r>
              <w:rPr>
                <w:b/>
                <w:bCs/>
              </w:rPr>
              <w:t xml:space="preserve">Not disclosed</w:t>
            </w:r>
          </w:p>
        </w:tc>
        <w:tc>
          <w:tcPr/>
          <w:p>
            <w:pPr>
              <w:pStyle w:val="Compact"/>
              <w:jc w:val="left"/>
            </w:pPr>
            <w:r>
              <w:t xml:space="preserve">Recipient of</w:t>
            </w:r>
            <w:r>
              <w:t xml:space="preserve"> </w:t>
            </w:r>
            <w:r>
              <w:rPr>
                <w:b/>
                <w:bCs/>
              </w:rPr>
              <w:t xml:space="preserve">$85,000 outgoing wire, 6/15/24</w:t>
            </w:r>
            <w:r>
              <w:t xml:space="preserve"> </w:t>
            </w:r>
            <w:r>
              <w:t xml:space="preserve">(Crestline statement)</w:t>
            </w:r>
          </w:p>
        </w:tc>
        <w:tc>
          <w:tcPr/>
          <w:p>
            <w:pPr>
              <w:pStyle w:val="Compact"/>
              <w:jc w:val="left"/>
            </w:pPr>
            <w:r>
              <w:rPr>
                <w:b/>
                <w:bCs/>
              </w:rPr>
              <w:t xml:space="preserve">Undisclosed account; see Issue A-2</w:t>
            </w:r>
          </w:p>
        </w:tc>
      </w:tr>
      <w:tr>
        <w:tc>
          <w:tcPr/>
          <w:p>
            <w:pPr>
              <w:pStyle w:val="Compact"/>
              <w:jc w:val="left"/>
            </w:pPr>
            <w:r>
              <w:t xml:space="preserve">NovaBridge 60% interest</w:t>
            </w:r>
          </w:p>
        </w:tc>
        <w:tc>
          <w:tcPr/>
          <w:p>
            <w:pPr>
              <w:pStyle w:val="Compact"/>
              <w:jc w:val="left"/>
            </w:pPr>
            <w:r>
              <w:t xml:space="preserve">“</w:t>
            </w:r>
            <w:r>
              <w:t xml:space="preserve">Not formally appraised</w:t>
            </w:r>
            <w:r>
              <w:t xml:space="preserve">”</w:t>
            </w:r>
          </w:p>
        </w:tc>
        <w:tc>
          <w:tcPr/>
          <w:p>
            <w:pPr>
              <w:pStyle w:val="Compact"/>
              <w:jc w:val="left"/>
            </w:pPr>
            <w:r>
              <w:t xml:space="preserve">K-1 ending capital $675,800; 2023 retained share $193,200; recourse liabilities $36,400</w:t>
            </w:r>
          </w:p>
        </w:tc>
        <w:tc>
          <w:tcPr/>
          <w:p>
            <w:pPr>
              <w:pStyle w:val="Compact"/>
              <w:jc w:val="left"/>
            </w:pPr>
            <w:r>
              <w:t xml:space="preserve">Business valuation needed</w:t>
            </w:r>
          </w:p>
        </w:tc>
      </w:tr>
      <w:tr>
        <w:tc>
          <w:tcPr/>
          <w:p>
            <w:pPr>
              <w:pStyle w:val="Compact"/>
              <w:jc w:val="left"/>
            </w:pPr>
            <w:r>
              <w:t xml:space="preserve">2022 BMW X5</w:t>
            </w:r>
          </w:p>
        </w:tc>
        <w:tc>
          <w:tcPr/>
          <w:p>
            <w:pPr>
              <w:pStyle w:val="Compact"/>
              <w:jc w:val="left"/>
            </w:pPr>
            <w:r>
              <w:t xml:space="preserve">$48,500 value; $22,100 loan; $26,400 equity</w:t>
            </w:r>
          </w:p>
        </w:tc>
        <w:tc>
          <w:tcPr/>
          <w:p>
            <w:pPr>
              <w:pStyle w:val="Compact"/>
              <w:jc w:val="left"/>
            </w:pPr>
            <w:r>
              <w:t xml:space="preserve">—</w:t>
            </w:r>
          </w:p>
        </w:tc>
        <w:tc>
          <w:tcPr/>
          <w:p>
            <w:pPr>
              <w:pStyle w:val="Compact"/>
              <w:jc w:val="left"/>
            </w:pPr>
            <w:r>
              <w:t xml:space="preserve">Titled in Respondent</w:t>
            </w:r>
          </w:p>
        </w:tc>
      </w:tr>
      <w:tr>
        <w:tc>
          <w:tcPr/>
          <w:p>
            <w:pPr>
              <w:pStyle w:val="Compact"/>
              <w:jc w:val="left"/>
            </w:pPr>
            <w:r>
              <w:t xml:space="preserve">2020 Honda CR-V</w:t>
            </w:r>
          </w:p>
        </w:tc>
        <w:tc>
          <w:tcPr/>
          <w:p>
            <w:pPr>
              <w:pStyle w:val="Compact"/>
              <w:jc w:val="left"/>
            </w:pPr>
            <w:r>
              <w:t xml:space="preserve">$24,800 value; no loan</w:t>
            </w:r>
          </w:p>
        </w:tc>
        <w:tc>
          <w:tcPr/>
          <w:p>
            <w:pPr>
              <w:pStyle w:val="Compact"/>
              <w:jc w:val="left"/>
            </w:pPr>
            <w:r>
              <w:t xml:space="preserve">—</w:t>
            </w:r>
          </w:p>
        </w:tc>
        <w:tc>
          <w:tcPr/>
          <w:p>
            <w:pPr>
              <w:pStyle w:val="Compact"/>
              <w:jc w:val="left"/>
            </w:pPr>
            <w:r>
              <w:t xml:space="preserve">Titled in Petitioner</w:t>
            </w:r>
          </w:p>
        </w:tc>
      </w:tr>
      <w:tr>
        <w:tc>
          <w:tcPr/>
          <w:p>
            <w:pPr>
              <w:pStyle w:val="Compact"/>
              <w:jc w:val="left"/>
            </w:pPr>
            <w:r>
              <w:t xml:space="preserve">Household/personal property</w:t>
            </w:r>
          </w:p>
        </w:tc>
        <w:tc>
          <w:tcPr/>
          <w:p>
            <w:pPr>
              <w:pStyle w:val="Compact"/>
              <w:jc w:val="left"/>
            </w:pPr>
            <w:r>
              <w:t xml:space="preserve">~$30,000</w:t>
            </w:r>
          </w:p>
        </w:tc>
        <w:tc>
          <w:tcPr/>
          <w:p>
            <w:pPr>
              <w:pStyle w:val="Compact"/>
              <w:jc w:val="left"/>
            </w:pPr>
            <w:r>
              <w:t xml:space="preserve">—</w:t>
            </w:r>
          </w:p>
        </w:tc>
        <w:tc>
          <w:tcPr/>
          <w:p>
            <w:pPr>
              <w:pStyle w:val="Compact"/>
              <w:jc w:val="left"/>
            </w:pPr>
            <w:r>
              <w:t xml:space="preserve">—</w:t>
            </w:r>
          </w:p>
        </w:tc>
      </w:tr>
    </w:tbl>
    <w:bookmarkEnd w:id="24"/>
    <w:bookmarkStart w:id="25" w:name="c.-liabilities"/>
    <w:p>
      <w:pPr>
        <w:pStyle w:val="Heading3"/>
      </w:pPr>
      <w:r>
        <w:t xml:space="preserve">C. Liabilities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Liability</w:t>
            </w:r>
          </w:p>
        </w:tc>
        <w:tc>
          <w:tcPr/>
          <w:p>
            <w:pPr>
              <w:pStyle w:val="Compact"/>
              <w:jc w:val="left"/>
            </w:pPr>
            <w:r>
              <w:t xml:space="preserve">Declared (PROD-001)</w:t>
            </w:r>
          </w:p>
        </w:tc>
        <w:tc>
          <w:tcPr/>
          <w:p>
            <w:pPr>
              <w:pStyle w:val="Compact"/>
              <w:jc w:val="left"/>
            </w:pPr>
            <w:r>
              <w:t xml:space="preserve">Documented</w:t>
            </w:r>
          </w:p>
        </w:tc>
        <w:tc>
          <w:tcPr/>
          <w:p>
            <w:pPr>
              <w:pStyle w:val="Compact"/>
              <w:jc w:val="left"/>
            </w:pPr>
            <w:r>
              <w:t xml:space="preserve">Notes</w:t>
            </w:r>
          </w:p>
        </w:tc>
      </w:tr>
      <w:tr>
        <w:tc>
          <w:tcPr/>
          <w:p>
            <w:pPr>
              <w:pStyle w:val="Compact"/>
              <w:jc w:val="left"/>
            </w:pPr>
            <w:r>
              <w:t xml:space="preserve">Mortgage — 418 Birchwood (marital)</w:t>
            </w:r>
          </w:p>
        </w:tc>
        <w:tc>
          <w:tcPr/>
          <w:p>
            <w:pPr>
              <w:pStyle w:val="Compact"/>
              <w:jc w:val="left"/>
            </w:pPr>
            <w:r>
              <w:t xml:space="preserve">$218,400</w:t>
            </w:r>
          </w:p>
        </w:tc>
        <w:tc>
          <w:tcPr/>
          <w:p>
            <w:pPr>
              <w:pStyle w:val="Compact"/>
              <w:jc w:val="left"/>
            </w:pPr>
            <w:r>
              <w:t xml:space="preserve">Unverified (no statement produced)</w:t>
            </w:r>
          </w:p>
        </w:tc>
        <w:tc>
          <w:tcPr/>
          <w:p>
            <w:pPr>
              <w:pStyle w:val="Compact"/>
              <w:jc w:val="left"/>
            </w:pPr>
            <w:r>
              <w:t xml:space="preserve">Joint obligation</w:t>
            </w:r>
          </w:p>
        </w:tc>
      </w:tr>
      <w:tr>
        <w:tc>
          <w:tcPr/>
          <w:p>
            <w:pPr>
              <w:pStyle w:val="Compact"/>
              <w:jc w:val="left"/>
            </w:pPr>
            <w:r>
              <w:rPr>
                <w:b/>
                <w:bCs/>
              </w:rPr>
              <w:t xml:space="preserve">Mortgage — 1035 Elm St. (rental)</w:t>
            </w:r>
          </w:p>
        </w:tc>
        <w:tc>
          <w:tcPr/>
          <w:p>
            <w:pPr>
              <w:pStyle w:val="Compact"/>
              <w:jc w:val="left"/>
            </w:pPr>
            <w:r>
              <w:rPr>
                <w:b/>
                <w:bCs/>
              </w:rPr>
              <w:t xml:space="preserve">Not disclosed</w:t>
            </w:r>
          </w:p>
        </w:tc>
        <w:tc>
          <w:tcPr/>
          <w:p>
            <w:pPr>
              <w:pStyle w:val="Compact"/>
              <w:jc w:val="left"/>
            </w:pPr>
            <w:r>
              <w:t xml:space="preserve">~$241,281 (8/1/24); $1,680/mo PITI</w:t>
            </w:r>
          </w:p>
        </w:tc>
        <w:tc>
          <w:tcPr/>
          <w:p>
            <w:pPr>
              <w:pStyle w:val="Compact"/>
              <w:jc w:val="left"/>
            </w:pPr>
            <w:r>
              <w:rPr>
                <w:b/>
                <w:bCs/>
              </w:rPr>
              <w:t xml:space="preserve">Omitted</w:t>
            </w:r>
          </w:p>
        </w:tc>
      </w:tr>
      <w:tr>
        <w:tc>
          <w:tcPr/>
          <w:p>
            <w:pPr>
              <w:pStyle w:val="Compact"/>
              <w:jc w:val="left"/>
            </w:pPr>
            <w:r>
              <w:t xml:space="preserve">Auto loan — BMW X5</w:t>
            </w:r>
          </w:p>
        </w:tc>
        <w:tc>
          <w:tcPr/>
          <w:p>
            <w:pPr>
              <w:pStyle w:val="Compact"/>
              <w:jc w:val="left"/>
            </w:pPr>
            <w:r>
              <w:t xml:space="preserve">$22,100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Credit card —</w:t>
            </w:r>
            <w:r>
              <w:t xml:space="preserve"> </w:t>
            </w:r>
            <w:r>
              <w:t xml:space="preserve">“</w:t>
            </w:r>
            <w:r>
              <w:t xml:space="preserve">Platinum Visa</w:t>
            </w:r>
            <w:r>
              <w:t xml:space="preserve">”</w:t>
            </w:r>
          </w:p>
        </w:tc>
        <w:tc>
          <w:tcPr/>
          <w:p>
            <w:pPr>
              <w:pStyle w:val="Compact"/>
              <w:jc w:val="left"/>
            </w:pPr>
            <w:r>
              <w:t xml:space="preserve">$8,500</w:t>
            </w:r>
            <w:r>
              <w:t xml:space="preserve"> </w:t>
            </w:r>
            <w:r>
              <w:t xml:space="preserve">“</w:t>
            </w:r>
            <w:r>
              <w:t xml:space="preserve">revolving</w:t>
            </w:r>
            <w:r>
              <w:t xml:space="preserve">”</w:t>
            </w:r>
            <w:r>
              <w:t xml:space="preserve"> </w:t>
            </w:r>
            <w:r>
              <w:t xml:space="preserve">(creditor:</w:t>
            </w:r>
            <w:r>
              <w:t xml:space="preserve"> </w:t>
            </w:r>
            <w:r>
              <w:t xml:space="preserve">“</w:t>
            </w:r>
            <w:r>
              <w:t xml:space="preserve">First National Card Services</w:t>
            </w:r>
            <w:r>
              <w:t xml:space="preserve">”</w:t>
            </w:r>
            <w:r>
              <w:t xml:space="preserve">)</w:t>
            </w:r>
          </w:p>
        </w:tc>
        <w:tc>
          <w:tcPr/>
          <w:p>
            <w:pPr>
              <w:pStyle w:val="Compact"/>
              <w:jc w:val="left"/>
            </w:pPr>
            <w:r>
              <w:t xml:space="preserve">Creditor is</w:t>
            </w:r>
            <w:r>
              <w:t xml:space="preserve"> </w:t>
            </w:r>
            <w:r>
              <w:rPr>
                <w:b/>
                <w:bCs/>
              </w:rPr>
              <w:t xml:space="preserve">Fairview Community Bank</w:t>
            </w:r>
            <w:r>
              <w:t xml:space="preserve">; card</w:t>
            </w:r>
            <w:r>
              <w:t xml:space="preserve"> </w:t>
            </w:r>
            <w:r>
              <w:rPr>
                <w:b/>
                <w:bCs/>
              </w:rPr>
              <w:t xml:space="preserve">paid in full monthly</w:t>
            </w:r>
            <w:r>
              <w:t xml:space="preserve">; balances $6,418.50 (Aug.), $12,486.75 (July)</w:t>
            </w:r>
          </w:p>
        </w:tc>
        <w:tc>
          <w:tcPr/>
          <w:p>
            <w:pPr>
              <w:pStyle w:val="Compact"/>
              <w:jc w:val="left"/>
            </w:pPr>
            <w:r>
              <w:t xml:space="preserve">Creditor misidentified; no $8,500 revolving balance</w:t>
            </w:r>
          </w:p>
        </w:tc>
      </w:tr>
      <w:tr>
        <w:tc>
          <w:tcPr/>
          <w:p>
            <w:pPr>
              <w:pStyle w:val="Compact"/>
              <w:jc w:val="left"/>
            </w:pPr>
            <w:r>
              <w:rPr>
                <w:b/>
                <w:bCs/>
              </w:rPr>
              <w:t xml:space="preserve">Total liabilities (declared)</w:t>
            </w:r>
          </w:p>
        </w:tc>
        <w:tc>
          <w:tcPr/>
          <w:p>
            <w:pPr>
              <w:pStyle w:val="Compact"/>
              <w:jc w:val="left"/>
            </w:pPr>
            <w:r>
              <w:rPr>
                <w:b/>
                <w:bCs/>
              </w:rPr>
              <w:t xml:space="preserve">$249,000</w:t>
            </w:r>
          </w:p>
        </w:tc>
        <w:tc>
          <w:tcPr/>
          <w:p>
            <w:pPr>
              <w:pStyle w:val="Compact"/>
              <w:jc w:val="left"/>
            </w:pPr>
            <w:r>
              <w:rPr>
                <w:b/>
                <w:bCs/>
              </w:rPr>
              <w:t xml:space="preserve">~$488,200</w:t>
            </w:r>
            <w:r>
              <w:t xml:space="preserve"> </w:t>
            </w:r>
            <w:r>
              <w:t xml:space="preserve">(incl. Elm St. mortgage)</w:t>
            </w:r>
          </w:p>
        </w:tc>
        <w:tc>
          <w:tcPr/>
          <w:p>
            <w:pPr>
              <w:pStyle w:val="Compact"/>
              <w:jc w:val="left"/>
            </w:pPr>
            <w:r>
              <w:rPr>
                <w:b/>
                <w:bCs/>
              </w:rPr>
              <w:t xml:space="preserve">Understated by ~$241,281</w:t>
            </w:r>
          </w:p>
        </w:tc>
      </w:tr>
    </w:tbl>
    <w:bookmarkEnd w:id="25"/>
    <w:bookmarkStart w:id="26" w:name="d.-monthly-expenses-and-cash-flow"/>
    <w:p>
      <w:pPr>
        <w:pStyle w:val="Heading3"/>
      </w:pPr>
      <w:r>
        <w:t xml:space="preserve">D. Monthly Expenses and Cash Flow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Declared (PROD-001, § V)</w:t>
            </w:r>
          </w:p>
        </w:tc>
        <w:tc>
          <w:tcPr/>
          <w:p>
            <w:pPr>
              <w:pStyle w:val="Compact"/>
              <w:jc w:val="left"/>
            </w:pPr>
            <w:r>
              <w:t xml:space="preserve">Documented</w:t>
            </w:r>
          </w:p>
        </w:tc>
      </w:tr>
      <w:tr>
        <w:tc>
          <w:tcPr/>
          <w:p>
            <w:pPr>
              <w:pStyle w:val="Compact"/>
              <w:jc w:val="left"/>
            </w:pPr>
            <w:r>
              <w:t xml:space="preserve">Total personal monthly expenses</w:t>
            </w:r>
          </w:p>
        </w:tc>
        <w:tc>
          <w:tcPr/>
          <w:p>
            <w:pPr>
              <w:pStyle w:val="Compact"/>
              <w:jc w:val="left"/>
            </w:pPr>
            <w:r>
              <w:t xml:space="preserve">$8,885</w:t>
            </w:r>
          </w:p>
        </w:tc>
        <w:tc>
          <w:tcPr/>
          <w:p>
            <w:pPr>
              <w:pStyle w:val="Compact"/>
              <w:jc w:val="left"/>
            </w:pPr>
            <w:r>
              <w:t xml:space="preserve">Credit-card charges alone ran $7,038–$12,487/mo (May–Aug.)</w:t>
            </w:r>
          </w:p>
        </w:tc>
      </w:tr>
      <w:tr>
        <w:tc>
          <w:tcPr/>
          <w:p>
            <w:pPr>
              <w:pStyle w:val="Compact"/>
              <w:jc w:val="left"/>
            </w:pPr>
            <w:r>
              <w:t xml:space="preserve">Voluntary contribution to marital household</w:t>
            </w:r>
          </w:p>
        </w:tc>
        <w:tc>
          <w:tcPr/>
          <w:p>
            <w:pPr>
              <w:pStyle w:val="Compact"/>
              <w:jc w:val="left"/>
            </w:pPr>
            <w:r>
              <w:t xml:space="preserve">$3,500/mo (since ~June 2024)</w:t>
            </w:r>
          </w:p>
        </w:tc>
        <w:tc>
          <w:tcPr/>
          <w:p>
            <w:pPr>
              <w:pStyle w:val="Compact"/>
              <w:jc w:val="left"/>
            </w:pPr>
            <w:r>
              <w:rPr>
                <w:b/>
                <w:bCs/>
              </w:rPr>
              <w:t xml:space="preserve">Not corroborated</w:t>
            </w:r>
            <w:r>
              <w:t xml:space="preserve"> </w:t>
            </w:r>
            <w:r>
              <w:t xml:space="preserve">by produced bank records</w:t>
            </w:r>
          </w:p>
        </w:tc>
      </w:tr>
      <w:tr>
        <w:tc>
          <w:tcPr/>
          <w:p>
            <w:pPr>
              <w:pStyle w:val="Compact"/>
              <w:jc w:val="left"/>
            </w:pPr>
            <w:r>
              <w:t xml:space="preserve">Clothing</w:t>
            </w:r>
          </w:p>
        </w:tc>
        <w:tc>
          <w:tcPr/>
          <w:p>
            <w:pPr>
              <w:pStyle w:val="Compact"/>
              <w:jc w:val="left"/>
            </w:pPr>
            <w:r>
              <w:t xml:space="preserve">$200/mo</w:t>
            </w:r>
          </w:p>
        </w:tc>
        <w:tc>
          <w:tcPr/>
          <w:p>
            <w:pPr>
              <w:pStyle w:val="Compact"/>
              <w:jc w:val="left"/>
            </w:pPr>
            <w:r>
              <w:t xml:space="preserve">Monarch Fine Clothiers avg.</w:t>
            </w:r>
            <w:r>
              <w:t xml:space="preserve"> </w:t>
            </w:r>
            <w:r>
              <w:rPr>
                <w:b/>
                <w:bCs/>
              </w:rPr>
              <w:t xml:space="preserve">~$1,825/mo</w:t>
            </w:r>
            <w:r>
              <w:t xml:space="preserve"> </w:t>
            </w:r>
            <w:r>
              <w:t xml:space="preserve">(May–Aug.)</w:t>
            </w:r>
          </w:p>
        </w:tc>
      </w:tr>
      <w:tr>
        <w:tc>
          <w:tcPr/>
          <w:p>
            <w:pPr>
              <w:pStyle w:val="Compact"/>
              <w:jc w:val="left"/>
            </w:pPr>
            <w:r>
              <w:t xml:space="preserve">Dining/entertainment</w:t>
            </w:r>
          </w:p>
        </w:tc>
        <w:tc>
          <w:tcPr/>
          <w:p>
            <w:pPr>
              <w:pStyle w:val="Compact"/>
              <w:jc w:val="left"/>
            </w:pPr>
            <w:r>
              <w:t xml:space="preserve">$600/mo</w:t>
            </w:r>
          </w:p>
        </w:tc>
        <w:tc>
          <w:tcPr/>
          <w:p>
            <w:pPr>
              <w:pStyle w:val="Compact"/>
              <w:jc w:val="left"/>
            </w:pPr>
            <w:r>
              <w:t xml:space="preserve">Capital Grille + Ridgeline + Bella Notte avg.</w:t>
            </w:r>
            <w:r>
              <w:t xml:space="preserve"> </w:t>
            </w:r>
            <w:r>
              <w:rPr>
                <w:b/>
                <w:bCs/>
              </w:rPr>
              <w:t xml:space="preserve">~$1,400+/mo</w:t>
            </w:r>
            <w:r>
              <w:t xml:space="preserve">, plus country club</w:t>
            </w:r>
          </w:p>
        </w:tc>
      </w:tr>
      <w:tr>
        <w:tc>
          <w:tcPr/>
          <w:p>
            <w:pPr>
              <w:pStyle w:val="Compact"/>
              <w:jc w:val="left"/>
            </w:pPr>
            <w:r>
              <w:t xml:space="preserve">Personal care</w:t>
            </w:r>
          </w:p>
        </w:tc>
        <w:tc>
          <w:tcPr/>
          <w:p>
            <w:pPr>
              <w:pStyle w:val="Compact"/>
              <w:jc w:val="left"/>
            </w:pPr>
            <w:r>
              <w:t xml:space="preserve">$100/mo</w:t>
            </w:r>
          </w:p>
        </w:tc>
        <w:tc>
          <w:tcPr/>
          <w:p>
            <w:pPr>
              <w:pStyle w:val="Compact"/>
              <w:jc w:val="left"/>
            </w:pPr>
            <w:r>
              <w:t xml:space="preserve">Aura Salon &amp; Spa avg.</w:t>
            </w:r>
            <w:r>
              <w:t xml:space="preserve"> </w:t>
            </w:r>
            <w:r>
              <w:rPr>
                <w:b/>
                <w:bCs/>
              </w:rPr>
              <w:t xml:space="preserve">~$360/mo</w:t>
            </w:r>
          </w:p>
        </w:tc>
      </w:tr>
      <w:tr>
        <w:tc>
          <w:tcPr/>
          <w:p>
            <w:pPr>
              <w:pStyle w:val="Compact"/>
              <w:jc w:val="left"/>
            </w:pPr>
            <w:r>
              <w:t xml:space="preserve">Country club dues</w:t>
            </w:r>
          </w:p>
        </w:tc>
        <w:tc>
          <w:tcPr/>
          <w:p>
            <w:pPr>
              <w:pStyle w:val="Compact"/>
              <w:jc w:val="left"/>
            </w:pPr>
            <w:r>
              <w:t xml:space="preserve">Not listed</w:t>
            </w:r>
          </w:p>
        </w:tc>
        <w:tc>
          <w:tcPr/>
          <w:p>
            <w:pPr>
              <w:pStyle w:val="Compact"/>
              <w:jc w:val="left"/>
            </w:pPr>
            <w:r>
              <w:rPr>
                <w:b/>
                <w:bCs/>
              </w:rPr>
              <w:t xml:space="preserve">$425/mo</w:t>
            </w:r>
            <w:r>
              <w:t xml:space="preserve"> </w:t>
            </w:r>
            <w:r>
              <w:t xml:space="preserve">(every month, May–Aug.)</w:t>
            </w:r>
          </w:p>
        </w:tc>
      </w:tr>
      <w:tr>
        <w:tc>
          <w:tcPr/>
          <w:p>
            <w:pPr>
              <w:pStyle w:val="Compact"/>
              <w:jc w:val="left"/>
            </w:pPr>
            <w:r>
              <w:t xml:space="preserve">Recurring Venmo to</w:t>
            </w:r>
            <w:r>
              <w:t xml:space="preserve"> </w:t>
            </w:r>
            <w:r>
              <w:t xml:space="preserve">“</w:t>
            </w:r>
            <w:r>
              <w:t xml:space="preserve">Kiera M.</w:t>
            </w:r>
            <w:r>
              <w:t xml:space="preserve">”</w:t>
            </w:r>
          </w:p>
        </w:tc>
        <w:tc>
          <w:tcPr/>
          <w:p>
            <w:pPr>
              <w:pStyle w:val="Compact"/>
              <w:jc w:val="left"/>
            </w:pPr>
            <w:r>
              <w:t xml:space="preserve">Not disclosed</w:t>
            </w:r>
          </w:p>
        </w:tc>
        <w:tc>
          <w:tcPr/>
          <w:p>
            <w:pPr>
              <w:pStyle w:val="Compact"/>
              <w:jc w:val="left"/>
            </w:pPr>
            <w:r>
              <w:rPr>
                <w:b/>
                <w:bCs/>
              </w:rPr>
              <w:t xml:space="preserve">$2,800–$3,200/mo; ~$14,600 total (Mar.–Jul.)</w:t>
            </w:r>
            <w:r>
              <w:t xml:space="preserve"> </w:t>
            </w:r>
            <w:r>
              <w:t xml:space="preserve">— unidentified recipient</w:t>
            </w:r>
          </w:p>
        </w:tc>
      </w:tr>
      <w:tr>
        <w:tc>
          <w:tcPr/>
          <w:p>
            <w:pPr>
              <w:pStyle w:val="Compact"/>
              <w:jc w:val="left"/>
            </w:pPr>
            <w:r>
              <w:t xml:space="preserve">Total monthly outlay (declared)</w:t>
            </w:r>
          </w:p>
        </w:tc>
        <w:tc>
          <w:tcPr/>
          <w:p>
            <w:pPr>
              <w:pStyle w:val="Compact"/>
              <w:jc w:val="left"/>
            </w:pPr>
            <w:r>
              <w:t xml:space="preserve">$12,385</w:t>
            </w:r>
          </w:p>
        </w:tc>
        <w:tc>
          <w:tcPr/>
          <w:p>
            <w:pPr>
              <w:pStyle w:val="Compact"/>
              <w:jc w:val="left"/>
            </w:pPr>
            <w:r>
              <w:t xml:space="preserve">Materially higher and partly unexplained</w:t>
            </w:r>
          </w:p>
        </w:tc>
      </w:tr>
    </w:tbl>
    <w:p>
      <w:r>
        <w:pict>
          <v:rect style="width:0;height:1.5pt" o:hralign="center" o:hrstd="t" o:hr="t"/>
        </w:pict>
      </w:r>
    </w:p>
    <w:bookmarkEnd w:id="26"/>
    <w:bookmarkEnd w:id="27"/>
    <w:bookmarkStart w:id="35" w:name="X73e5ee25dd908e3461ff6450785fcee94406481"/>
    <w:p>
      <w:pPr>
        <w:pStyle w:val="Heading2"/>
      </w:pPr>
      <w:r>
        <w:t xml:space="preserve">V. Inconsistencies, Omissions, and Red Flags</w:t>
      </w:r>
    </w:p>
    <w:p>
      <w:pPr>
        <w:pStyle w:val="FirstParagraph"/>
      </w:pPr>
      <w:r>
        <w:t xml:space="preserve">Issues are grouped by theme. Each entry cites the source records, explains why it matters, and notes the recommended follow-up (consolidated in Part VI).</w:t>
      </w:r>
    </w:p>
    <w:bookmarkStart w:id="28" w:name="Xe604ddce541084d048159172df1ea36df50dafd"/>
    <w:p>
      <w:pPr>
        <w:pStyle w:val="Heading3"/>
      </w:pPr>
      <w:r>
        <w:t xml:space="preserve">A. Omitted or Undisclosed Assets and Income (Highest Priority)</w:t>
      </w:r>
    </w:p>
    <w:p>
      <w:pPr>
        <w:pStyle w:val="FirstParagraph"/>
      </w:pPr>
      <w:r>
        <w:rPr>
          <w:b/>
          <w:bCs/>
        </w:rPr>
        <w:t xml:space="preserve">A-1. Undisclosed rental property — 1035 Elm Street, Unit C.</w:t>
      </w:r>
      <w:r>
        <w:t xml:space="preserve"> </w:t>
      </w:r>
      <w:r>
        <w:t xml:space="preserve">The Financial Declaration states Respondent</w:t>
      </w:r>
      <w:r>
        <w:t xml:space="preserve"> </w:t>
      </w:r>
      <w:r>
        <w:t xml:space="preserve">“</w:t>
      </w:r>
      <w:r>
        <w:t xml:space="preserve">does not hold any ownership interest, whether sole or joint, in any other real property</w:t>
      </w:r>
      <w:r>
        <w:t xml:space="preserve">”</w:t>
      </w:r>
      <w:r>
        <w:t xml:space="preserve"> </w:t>
      </w:r>
      <w:r>
        <w:t xml:space="preserve">(¶ 23) and reports</w:t>
      </w:r>
      <w:r>
        <w:t xml:space="preserve"> </w:t>
      </w:r>
      <w:r>
        <w:t xml:space="preserve">“</w:t>
      </w:r>
      <w:r>
        <w:t xml:space="preserve">no … rental income … None</w:t>
      </w:r>
      <w:r>
        <w:t xml:space="preserve">”</w:t>
      </w:r>
      <w:r>
        <w:t xml:space="preserve"> </w:t>
      </w:r>
      <w:r>
        <w:t xml:space="preserve">(¶ 19). The 2023 tax return (PROD-002, Schedule E, Part I) and the Meridian mortgage statements (PROD-005) show Respondent</w:t>
      </w:r>
      <w:r>
        <w:t xml:space="preserve"> </w:t>
      </w:r>
      <w:r>
        <w:rPr>
          <w:b/>
          <w:bCs/>
        </w:rPr>
        <w:t xml:space="preserve">solely owns</w:t>
      </w:r>
      <w:r>
        <w:t xml:space="preserve"> </w:t>
      </w:r>
      <w:r>
        <w:t xml:space="preserve">a rental condominium at 1035 Elm Street, Unit C, Fairview, Columbia 20147, acquired with a $279,000 loan on October 8, 2019 (during the marriage), generating</w:t>
      </w:r>
      <w:r>
        <w:t xml:space="preserve"> </w:t>
      </w:r>
      <w:r>
        <w:rPr>
          <w:b/>
          <w:bCs/>
        </w:rPr>
        <w:t xml:space="preserve">$2,100/month ($25,200/year)</w:t>
      </w:r>
      <w:r>
        <w:t xml:space="preserve"> </w:t>
      </w:r>
      <w:r>
        <w:t xml:space="preserve">in rent and</w:t>
      </w:r>
      <w:r>
        <w:t xml:space="preserve"> </w:t>
      </w:r>
      <w:r>
        <w:rPr>
          <w:b/>
          <w:bCs/>
        </w:rPr>
        <w:t xml:space="preserve">$2,940 net rental income</w:t>
      </w:r>
      <w:r>
        <w:t xml:space="preserve"> </w:t>
      </w:r>
      <w:r>
        <w:t xml:space="preserve">in 2023, with a current mortgage balance of</w:t>
      </w:r>
      <w:r>
        <w:t xml:space="preserve"> </w:t>
      </w:r>
      <w:r>
        <w:rPr>
          <w:b/>
          <w:bCs/>
        </w:rPr>
        <w:t xml:space="preserve">~$241,281</w:t>
      </w:r>
      <w:r>
        <w:t xml:space="preserve"> </w:t>
      </w:r>
      <w:r>
        <w:t xml:space="preserve">(8/1/24) and $1,680/month PITI. The bank records (PROD-004) corroborate both the $1,680 Meridian ACH and the $2,100 tenant-rent deposits.</w:t>
      </w:r>
      <w:r>
        <w:t xml:space="preserve"> </w:t>
      </w:r>
      <w:r>
        <w:rPr>
          <w:b/>
          <w:bCs/>
        </w:rPr>
        <w:t xml:space="preserve">Why it matters:</w:t>
      </w:r>
      <w:r>
        <w:t xml:space="preserve"> </w:t>
      </w:r>
      <w:r>
        <w:t xml:space="preserve">A marital asset (real property, rental income stream, and its associated liability) is entirely omitted from the sworn declaration, materially distorting the marital estate and the support analysis. The property is presumptively marital (acquired during the marriage).</w:t>
      </w:r>
      <w:r>
        <w:t xml:space="preserve"> </w:t>
      </w:r>
      <w:r>
        <w:rPr>
          <w:b/>
          <w:bCs/>
        </w:rPr>
        <w:t xml:space="preserve">Follow-up:</w:t>
      </w:r>
      <w:r>
        <w:t xml:space="preserve"> </w:t>
      </w:r>
      <w:r>
        <w:t xml:space="preserve">Demand supplementation; obtain deed, purchase/refinance file, lease, rent rolls, and 2019–2024 mortgage statements; consider appraisal.</w:t>
      </w:r>
    </w:p>
    <w:p>
      <w:pPr>
        <w:pStyle w:val="BodyText"/>
      </w:pPr>
      <w:r>
        <w:rPr>
          <w:b/>
          <w:bCs/>
        </w:rPr>
        <w:t xml:space="preserve">A-2. $85,000 wire transfer to an undisclosed account (potential dissipation/concealment).</w:t>
      </w:r>
      <w:r>
        <w:t xml:space="preserve"> </w:t>
      </w:r>
      <w:r>
        <w:t xml:space="preserve">The Crestline statement for June 2024 (PROD-003, KWAN_PROD_00152) records an</w:t>
      </w:r>
      <w:r>
        <w:t xml:space="preserve"> </w:t>
      </w:r>
      <w:r>
        <w:rPr>
          <w:b/>
          <w:bCs/>
        </w:rPr>
        <w:t xml:space="preserve">$85,000 outgoing wire on June 15, 2024</w:t>
      </w:r>
      <w:r>
        <w:t xml:space="preserve"> </w:t>
      </w:r>
      <w:r>
        <w:t xml:space="preserve">to</w:t>
      </w:r>
      <w:r>
        <w:t xml:space="preserve"> </w:t>
      </w:r>
      <w:r>
        <w:t xml:space="preserve">“</w:t>
      </w:r>
      <w:r>
        <w:t xml:space="preserve">Harborstone Financial Group,</w:t>
      </w:r>
      <w:r>
        <w:t xml:space="preserve">”</w:t>
      </w:r>
      <w:r>
        <w:t xml:space="preserve"> </w:t>
      </w:r>
      <w:r>
        <w:t xml:space="preserve">account ending 2291 (Ref. WT-2024-061524-0087), initiated by the account holder. The Harborstone account is</w:t>
      </w:r>
      <w:r>
        <w:t xml:space="preserve"> </w:t>
      </w:r>
      <w:r>
        <w:rPr>
          <w:b/>
          <w:bCs/>
        </w:rPr>
        <w:t xml:space="preserve">not listed</w:t>
      </w:r>
      <w:r>
        <w:t xml:space="preserve"> </w:t>
      </w:r>
      <w:r>
        <w:t xml:space="preserve">in the Financial Declaration’s account schedule (¶¶ 24–33) and no statements for it were produced.</w:t>
      </w:r>
      <w:r>
        <w:t xml:space="preserve"> </w:t>
      </w:r>
      <w:r>
        <w:rPr>
          <w:b/>
          <w:bCs/>
        </w:rPr>
        <w:t xml:space="preserve">Why it matters:</w:t>
      </w:r>
      <w:r>
        <w:t xml:space="preserve"> </w:t>
      </w:r>
      <w:r>
        <w:t xml:space="preserve">The Crestline account is marital (¶ 29:</w:t>
      </w:r>
      <w:r>
        <w:t xml:space="preserve"> </w:t>
      </w:r>
      <w:r>
        <w:t xml:space="preserve">“</w:t>
      </w:r>
      <w:r>
        <w:t xml:space="preserve">opened during the marriage and … funded with marital earnings</w:t>
      </w:r>
      <w:r>
        <w:t xml:space="preserve">”</w:t>
      </w:r>
      <w:r>
        <w:t xml:space="preserve">). The wire occurred two weeks after Respondent’s stated June 1, 2024 separation date (and, per the privilege log, possibly during the marriage if separation was August 1 — see Issue B-2). The transfer moved $85,000 of marital funds to an undisclosed institution and is not reflected in the declared account balances. This is a strong candidate for a dissipation/concealment claim and warrants immediate preservation and tracing.</w:t>
      </w:r>
      <w:r>
        <w:t xml:space="preserve"> </w:t>
      </w:r>
      <w:r>
        <w:rPr>
          <w:b/>
          <w:bCs/>
        </w:rPr>
        <w:t xml:space="preserve">Follow-up:</w:t>
      </w:r>
      <w:r>
        <w:t xml:space="preserve"> </w:t>
      </w:r>
      <w:r>
        <w:t xml:space="preserve">Subpoena Harborstone Financial Group for account ending 2291 (all records from 2024); demand wire authorization, recipient identity, and current balance; consider emergency relief / asset-freeze if funds are being depleted.</w:t>
      </w:r>
    </w:p>
    <w:p>
      <w:pPr>
        <w:pStyle w:val="BodyText"/>
      </w:pPr>
      <w:r>
        <w:rPr>
          <w:b/>
          <w:bCs/>
        </w:rPr>
        <w:t xml:space="preserve">A-3. Investment and rental income omitted from the declaration.</w:t>
      </w:r>
      <w:r>
        <w:t xml:space="preserve"> </w:t>
      </w:r>
      <w:r>
        <w:t xml:space="preserve">As detailed in Part IV.A, the declaration’s ¶ 19 representation of</w:t>
      </w:r>
      <w:r>
        <w:t xml:space="preserve"> </w:t>
      </w:r>
      <w:r>
        <w:t xml:space="preserve">“</w:t>
      </w:r>
      <w:r>
        <w:t xml:space="preserve">no other sources of income, including … interest income, dividend income, rental income … None</w:t>
      </w:r>
      <w:r>
        <w:t xml:space="preserve">”</w:t>
      </w:r>
      <w:r>
        <w:t xml:space="preserve"> </w:t>
      </w:r>
      <w:r>
        <w:t xml:space="preserve">is directly contradicted by the 2023 tax return, which reports $2,940 net rental income, $6,310 ordinary dividends, $8,450 capital gains, $1,840 taxable interest, and $1,240 K-1 interest.</w:t>
      </w:r>
      <w:r>
        <w:t xml:space="preserve"> </w:t>
      </w:r>
      <w:r>
        <w:rPr>
          <w:b/>
          <w:bCs/>
        </w:rPr>
        <w:t xml:space="preserve">Why it matters:</w:t>
      </w:r>
      <w:r>
        <w:t xml:space="preserve"> </w:t>
      </w:r>
      <w:r>
        <w:t xml:space="preserve">The sworn</w:t>
      </w:r>
      <w:r>
        <w:t xml:space="preserve"> </w:t>
      </w:r>
      <w:r>
        <w:t xml:space="preserve">“</w:t>
      </w:r>
      <w:r>
        <w:t xml:space="preserve">None</w:t>
      </w:r>
      <w:r>
        <w:t xml:space="preserve">”</w:t>
      </w:r>
      <w:r>
        <w:t xml:space="preserve"> </w:t>
      </w:r>
      <w:r>
        <w:t xml:space="preserve">representation is inaccurate and understates income by ~$20,540 (in addition to the K-1 issue below).</w:t>
      </w:r>
      <w:r>
        <w:t xml:space="preserve"> </w:t>
      </w:r>
      <w:r>
        <w:rPr>
          <w:b/>
          <w:bCs/>
        </w:rPr>
        <w:t xml:space="preserve">Follow-up:</w:t>
      </w:r>
      <w:r>
        <w:t xml:space="preserve"> </w:t>
      </w:r>
      <w:r>
        <w:t xml:space="preserve">Confront in supplementation/ deposition; reconcile to Schedules B and D.</w:t>
      </w:r>
    </w:p>
    <w:p>
      <w:pPr>
        <w:pStyle w:val="BodyText"/>
      </w:pPr>
      <w:r>
        <w:rPr>
          <w:b/>
          <w:bCs/>
        </w:rPr>
        <w:t xml:space="preserve">A-4. Business income reported as cash distributions rather than taxable K-1 income.</w:t>
      </w:r>
      <w:r>
        <w:t xml:space="preserve"> </w:t>
      </w:r>
      <w:r>
        <w:t xml:space="preserve">The declaration reports</w:t>
      </w:r>
      <w:r>
        <w:t xml:space="preserve"> </w:t>
      </w:r>
      <w:r>
        <w:t xml:space="preserve">“</w:t>
      </w:r>
      <w:r>
        <w:t xml:space="preserve">$174,000</w:t>
      </w:r>
      <w:r>
        <w:t xml:space="preserve">”</w:t>
      </w:r>
      <w:r>
        <w:t xml:space="preserve"> </w:t>
      </w:r>
      <w:r>
        <w:t xml:space="preserve">as</w:t>
      </w:r>
      <w:r>
        <w:t xml:space="preserve"> </w:t>
      </w:r>
      <w:r>
        <w:t xml:space="preserve">“</w:t>
      </w:r>
      <w:r>
        <w:t xml:space="preserve">K-1 Income / Distributions</w:t>
      </w:r>
      <w:r>
        <w:t xml:space="preserve">”</w:t>
      </w:r>
      <w:r>
        <w:t xml:space="preserve"> </w:t>
      </w:r>
      <w:r>
        <w:t xml:space="preserve">(¶¶ 15–16), conflating cash distributions with taxable income. The K-1 (PROD-002) reports</w:t>
      </w:r>
      <w:r>
        <w:t xml:space="preserve"> </w:t>
      </w:r>
      <w:r>
        <w:rPr>
          <w:b/>
          <w:bCs/>
        </w:rPr>
        <w:t xml:space="preserve">$367,200 ordinary business income</w:t>
      </w:r>
      <w:r>
        <w:t xml:space="preserve"> </w:t>
      </w:r>
      <w:r>
        <w:t xml:space="preserve">(Box 1); the $193,200 difference is Respondent’s 60% share of 2023 entity retained earnings, reflected in his capital account growth ($482,600 → $675,800).</w:t>
      </w:r>
      <w:r>
        <w:t xml:space="preserve"> </w:t>
      </w:r>
      <w:r>
        <w:rPr>
          <w:b/>
          <w:bCs/>
        </w:rPr>
        <w:t xml:space="preserve">Why it matters:</w:t>
      </w:r>
      <w:r>
        <w:t xml:space="preserve"> </w:t>
      </w:r>
      <w:r>
        <w:t xml:space="preserve">For child-support and alimony purposes, using cash distributions rather than pass-through taxable/economic income understates Respondent’s income by ~$193,200 and ignores income he controls but elects not to distribute.</w:t>
      </w:r>
      <w:r>
        <w:t xml:space="preserve"> </w:t>
      </w:r>
      <w:r>
        <w:rPr>
          <w:b/>
          <w:bCs/>
        </w:rPr>
        <w:t xml:space="preserve">Follow-up:</w:t>
      </w:r>
      <w:r>
        <w:t xml:space="preserve"> </w:t>
      </w:r>
      <w:r>
        <w:t xml:space="preserve">Obtain NovaBridge financials, distribution minutes, and cash-flow schedules; retain forensic accountant; probe distribution policy at deposition.</w:t>
      </w:r>
    </w:p>
    <w:p>
      <w:pPr>
        <w:pStyle w:val="BodyText"/>
      </w:pPr>
      <w:r>
        <w:rPr>
          <w:b/>
          <w:bCs/>
        </w:rPr>
        <w:t xml:space="preserve">A-5. Vehicle allowance not disclosed.</w:t>
      </w:r>
      <w:r>
        <w:t xml:space="preserve"> </w:t>
      </w:r>
      <w:r>
        <w:t xml:space="preserve">The W-2 (PROD-002) Box 14 reports a</w:t>
      </w:r>
      <w:r>
        <w:t xml:space="preserve"> </w:t>
      </w:r>
      <w:r>
        <w:rPr>
          <w:b/>
          <w:bCs/>
        </w:rPr>
        <w:t xml:space="preserve">$9,600/year ($800/month) vehicle allowance</w:t>
      </w:r>
      <w:r>
        <w:t xml:space="preserve"> </w:t>
      </w:r>
      <w:r>
        <w:t xml:space="preserve">from NovaBridge. The declaration’s income section omits this, yet the expense section claims $210 auto insurance, $300 gas, and $425 auto loan (i.e., vehicle costs are expensed while the offsetting allowance is not reported as income).</w:t>
      </w:r>
      <w:r>
        <w:t xml:space="preserve"> </w:t>
      </w:r>
      <w:r>
        <w:rPr>
          <w:b/>
          <w:bCs/>
        </w:rPr>
        <w:t xml:space="preserve">Follow-up:</w:t>
      </w:r>
      <w:r>
        <w:t xml:space="preserve"> </w:t>
      </w:r>
      <w:r>
        <w:t xml:space="preserve">Add to income for support; obtain allowance policy.</w:t>
      </w:r>
    </w:p>
    <w:p>
      <w:pPr>
        <w:pStyle w:val="BodyText"/>
      </w:pPr>
      <w:r>
        <w:rPr>
          <w:b/>
          <w:bCs/>
        </w:rPr>
        <w:t xml:space="preserve">A-6. NovaBridge expense reimbursements not disclosed.</w:t>
      </w:r>
      <w:r>
        <w:t xml:space="preserve"> </w:t>
      </w:r>
      <w:r>
        <w:t xml:space="preserve">PROD-007 shows</w:t>
      </w:r>
      <w:r>
        <w:t xml:space="preserve"> </w:t>
      </w:r>
      <w:r>
        <w:rPr>
          <w:b/>
          <w:bCs/>
        </w:rPr>
        <w:t xml:space="preserve">$12,662</w:t>
      </w:r>
      <w:r>
        <w:t xml:space="preserve"> </w:t>
      </w:r>
      <w:r>
        <w:t xml:space="preserve">in reimbursements to Respondent in H1 2024 ($3,373 Q1; $9,289 Q2), deposited to his personal checking (confirmed by PROD-004 ACH credits of $3,400 on 4/10 and $2,150 on 5/20). These are not reflected in the declaration. While reimbursements are not strictly</w:t>
      </w:r>
      <w:r>
        <w:t xml:space="preserve"> </w:t>
      </w:r>
      <w:r>
        <w:t xml:space="preserve">“</w:t>
      </w:r>
      <w:r>
        <w:t xml:space="preserve">income,</w:t>
      </w:r>
      <w:r>
        <w:t xml:space="preserve">”</w:t>
      </w:r>
      <w:r>
        <w:t xml:space="preserve"> </w:t>
      </w:r>
      <w:r>
        <w:t xml:space="preserve">they fund personal spending and, given the self-approval structure (Issue E-1), may include personal items.</w:t>
      </w:r>
      <w:r>
        <w:t xml:space="preserve"> </w:t>
      </w:r>
      <w:r>
        <w:rPr>
          <w:b/>
          <w:bCs/>
        </w:rPr>
        <w:t xml:space="preserve">Follow-up:</w:t>
      </w:r>
      <w:r>
        <w:t xml:space="preserve"> </w:t>
      </w:r>
      <w:r>
        <w:t xml:space="preserve">See Issues E-1 to E-3.</w:t>
      </w:r>
    </w:p>
    <w:bookmarkEnd w:id="28"/>
    <w:bookmarkStart w:id="29" w:name="X627f6fb3abe01184209f52452f4403f3c720783"/>
    <w:p>
      <w:pPr>
        <w:pStyle w:val="Heading3"/>
      </w:pPr>
      <w:r>
        <w:t xml:space="preserve">B. Valuation-Date and Timeline Inconsistencies</w:t>
      </w:r>
    </w:p>
    <w:p>
      <w:pPr>
        <w:pStyle w:val="FirstParagraph"/>
      </w:pPr>
      <w:r>
        <w:rPr>
          <w:b/>
          <w:bCs/>
        </w:rPr>
        <w:t xml:space="preserve">B-1. Account balances reported as of August 1, 2024, not the stated June 1, 2024 separation date.</w:t>
      </w:r>
      <w:r>
        <w:t xml:space="preserve"> </w:t>
      </w:r>
      <w:r>
        <w:t xml:space="preserve">The declaration states all balances are</w:t>
      </w:r>
      <w:r>
        <w:t xml:space="preserve"> </w:t>
      </w:r>
      <w:r>
        <w:t xml:space="preserve">“</w:t>
      </w:r>
      <w:r>
        <w:t xml:space="preserve">approximate as of the date of separation, which Respondent identifies as on or about June 1, 2024</w:t>
      </w:r>
      <w:r>
        <w:t xml:space="preserve">”</w:t>
      </w:r>
      <w:r>
        <w:t xml:space="preserve"> </w:t>
      </w:r>
      <w:r>
        <w:t xml:space="preserve">(¶ 56). The bank and brokerage statements show the reported figures are actually the</w:t>
      </w:r>
      <w:r>
        <w:t xml:space="preserve"> </w:t>
      </w:r>
      <w:r>
        <w:rPr>
          <w:b/>
          <w:bCs/>
        </w:rPr>
        <w:t xml:space="preserve">August 1, 2024</w:t>
      </w:r>
      <w:r>
        <w:t xml:space="preserve"> </w:t>
      </w:r>
      <w:r>
        <w:t xml:space="preserve">values: individual checking $8,215 (was $26,869.56 on 6/1/24 — a ~$18,655 decline), individual savings $42,680 (was $40,547.96 on 6/1/24), and Crestline $387,450 (was ~$468,695 on 6/1/24 — a ~$81,245 decline, driven by the $85,000 wire).</w:t>
      </w:r>
      <w:r>
        <w:t xml:space="preserve"> </w:t>
      </w:r>
      <w:r>
        <w:rPr>
          <w:b/>
          <w:bCs/>
        </w:rPr>
        <w:t xml:space="preserve">Why it matters:</w:t>
      </w:r>
      <w:r>
        <w:t xml:space="preserve"> </w:t>
      </w:r>
      <w:r>
        <w:t xml:space="preserve">Using post-separation, post-transfer balances understates the marital estate and obscures post-separation spending/dissipation.</w:t>
      </w:r>
      <w:r>
        <w:t xml:space="preserve"> </w:t>
      </w:r>
      <w:r>
        <w:rPr>
          <w:b/>
          <w:bCs/>
        </w:rPr>
        <w:t xml:space="preserve">Follow-up:</w:t>
      </w:r>
      <w:r>
        <w:t xml:space="preserve"> </w:t>
      </w:r>
      <w:r>
        <w:t xml:space="preserve">Demand balances as of the true separation date; reconstruct 6/1/24 estate.</w:t>
      </w:r>
    </w:p>
    <w:p>
      <w:pPr>
        <w:pStyle w:val="BodyText"/>
      </w:pPr>
      <w:r>
        <w:rPr>
          <w:b/>
          <w:bCs/>
        </w:rPr>
        <w:t xml:space="preserve">B-2. Date of separation is internally inconsistent.</w:t>
      </w:r>
      <w:r>
        <w:t xml:space="preserve"> </w:t>
      </w:r>
      <w:r>
        <w:t xml:space="preserve">The declaration fixes separation at</w:t>
      </w:r>
      <w:r>
        <w:t xml:space="preserve"> </w:t>
      </w:r>
      <w:r>
        <w:rPr>
          <w:b/>
          <w:bCs/>
        </w:rPr>
        <w:t xml:space="preserve">June 1, 2024</w:t>
      </w:r>
      <w:r>
        <w:t xml:space="preserve"> </w:t>
      </w:r>
      <w:r>
        <w:t xml:space="preserve">(¶¶ 5, 56). The cover-letter privilege log, prepared by the same counsel, twice refers to</w:t>
      </w:r>
      <w:r>
        <w:t xml:space="preserve"> </w:t>
      </w:r>
      <w:r>
        <w:t xml:space="preserve">“</w:t>
      </w:r>
      <w:r>
        <w:t xml:space="preserve">the parties’ separation on</w:t>
      </w:r>
      <w:r>
        <w:t xml:space="preserve"> </w:t>
      </w:r>
      <w:r>
        <w:rPr>
          <w:b/>
          <w:bCs/>
        </w:rPr>
        <w:t xml:space="preserve">August 1, 2024</w:t>
      </w:r>
      <w:r>
        <w:t xml:space="preserve">”</w:t>
      </w:r>
      <w:r>
        <w:t xml:space="preserve"> </w:t>
      </w:r>
      <w:r>
        <w:t xml:space="preserve">(PRIV-001 and PRIV-002).</w:t>
      </w:r>
      <w:r>
        <w:t xml:space="preserve"> </w:t>
      </w:r>
      <w:r>
        <w:rPr>
          <w:b/>
          <w:bCs/>
        </w:rPr>
        <w:t xml:space="preserve">Why it matters:</w:t>
      </w:r>
      <w:r>
        <w:t xml:space="preserve"> </w:t>
      </w:r>
      <w:r>
        <w:t xml:space="preserve">The separation date is a threshold issue governing characterization of assets/income as marital vs. separate and the valuation date. A two-month discrepancy is significant and may reflect an effort to characterize post-June transfers (including the $85,000 wire) as post-separation.</w:t>
      </w:r>
      <w:r>
        <w:t xml:space="preserve"> </w:t>
      </w:r>
      <w:r>
        <w:rPr>
          <w:b/>
          <w:bCs/>
        </w:rPr>
        <w:t xml:space="preserve">Follow-up:</w:t>
      </w:r>
      <w:r>
        <w:t xml:space="preserve"> </w:t>
      </w:r>
      <w:r>
        <w:t xml:space="preserve">Pin down the date via interrogatory, deposition, and the withheld emails (challenge privilege where communications reveal facts, not legal advice); develop Petitioner’s evidence of when cohabitation ceased.</w:t>
      </w:r>
    </w:p>
    <w:p>
      <w:pPr>
        <w:pStyle w:val="BodyText"/>
      </w:pPr>
      <w:r>
        <w:rPr>
          <w:b/>
          <w:bCs/>
        </w:rPr>
        <w:t xml:space="preserve">B-3. Harbor Point lease/move timing inconsistent with June 1 separation.</w:t>
      </w:r>
      <w:r>
        <w:t xml:space="preserve"> </w:t>
      </w:r>
      <w:r>
        <w:t xml:space="preserve">The declaration states the Harbor Point condo lease commenced</w:t>
      </w:r>
      <w:r>
        <w:t xml:space="preserve"> </w:t>
      </w:r>
      <w:r>
        <w:t xml:space="preserve">“</w:t>
      </w:r>
      <w:r>
        <w:t xml:space="preserve">on or about June 1, 2024</w:t>
      </w:r>
      <w:r>
        <w:t xml:space="preserve">”</w:t>
      </w:r>
      <w:r>
        <w:t xml:space="preserve"> </w:t>
      </w:r>
      <w:r>
        <w:t xml:space="preserve">(¶ 2). The bank records show the</w:t>
      </w:r>
      <w:r>
        <w:t xml:space="preserve"> </w:t>
      </w:r>
      <w:r>
        <w:rPr>
          <w:b/>
          <w:bCs/>
        </w:rPr>
        <w:t xml:space="preserve">first</w:t>
      </w:r>
      <w:r>
        <w:t xml:space="preserve"> </w:t>
      </w:r>
      <w:r>
        <w:t xml:space="preserve">Harbor Point rent payment (Check #4038, Harbor Point Realty Mgmt, $4,750) on</w:t>
      </w:r>
      <w:r>
        <w:t xml:space="preserve"> </w:t>
      </w:r>
      <w:r>
        <w:rPr>
          <w:b/>
          <w:bCs/>
        </w:rPr>
        <w:t xml:space="preserve">July 30, 2024</w:t>
      </w:r>
      <w:r>
        <w:t xml:space="preserve">, with the next on August 1; there is</w:t>
      </w:r>
      <w:r>
        <w:t xml:space="preserve"> </w:t>
      </w:r>
      <w:r>
        <w:rPr>
          <w:b/>
          <w:bCs/>
        </w:rPr>
        <w:t xml:space="preserve">no June rent payment</w:t>
      </w:r>
      <w:r>
        <w:t xml:space="preserve">. The credit-card mailing address changed to Harbor Point only in the</w:t>
      </w:r>
      <w:r>
        <w:t xml:space="preserve"> </w:t>
      </w:r>
      <w:r>
        <w:rPr>
          <w:b/>
          <w:bCs/>
        </w:rPr>
        <w:t xml:space="preserve">July</w:t>
      </w:r>
      <w:r>
        <w:t xml:space="preserve"> </w:t>
      </w:r>
      <w:r>
        <w:t xml:space="preserve">statement cycle.</w:t>
      </w:r>
      <w:r>
        <w:t xml:space="preserve"> </w:t>
      </w:r>
      <w:r>
        <w:rPr>
          <w:b/>
          <w:bCs/>
        </w:rPr>
        <w:t xml:space="preserve">Why it matters:</w:t>
      </w:r>
      <w:r>
        <w:t xml:space="preserve"> </w:t>
      </w:r>
      <w:r>
        <w:t xml:space="preserve">The records suggest the actual move occurred in July, not June 1 — consistent with a later separation date and inconsistent with the declaration.</w:t>
      </w:r>
      <w:r>
        <w:t xml:space="preserve"> </w:t>
      </w:r>
      <w:r>
        <w:rPr>
          <w:b/>
          <w:bCs/>
        </w:rPr>
        <w:t xml:space="preserve">Follow-up:</w:t>
      </w:r>
      <w:r>
        <w:t xml:space="preserve"> </w:t>
      </w:r>
      <w:r>
        <w:t xml:space="preserve">Obtain lease document and move-in date; reconcile with B-2.</w:t>
      </w:r>
    </w:p>
    <w:p>
      <w:pPr>
        <w:pStyle w:val="BodyText"/>
      </w:pPr>
      <w:r>
        <w:rPr>
          <w:b/>
          <w:bCs/>
        </w:rPr>
        <w:t xml:space="preserve">B-4. Filing-date discrepancy for the Financial Declaration.</w:t>
      </w:r>
      <w:r>
        <w:t xml:space="preserve"> </w:t>
      </w:r>
      <w:r>
        <w:t xml:space="preserve">The declaration bears</w:t>
      </w:r>
      <w:r>
        <w:t xml:space="preserve"> </w:t>
      </w:r>
      <w:r>
        <w:t xml:space="preserve">“</w:t>
      </w:r>
      <w:r>
        <w:t xml:space="preserve">Filed: September 20, 2024,</w:t>
      </w:r>
      <w:r>
        <w:t xml:space="preserve">”</w:t>
      </w:r>
      <w:r>
        <w:t xml:space="preserve"> </w:t>
      </w:r>
      <w:r>
        <w:t xml:space="preserve">while the cover letter describes it as</w:t>
      </w:r>
      <w:r>
        <w:t xml:space="preserve"> </w:t>
      </w:r>
      <w:r>
        <w:t xml:space="preserve">“</w:t>
      </w:r>
      <w:r>
        <w:t xml:space="preserve">filed with the Court on or about October 4, 2024.</w:t>
      </w:r>
      <w:r>
        <w:t xml:space="preserve">”</w:t>
      </w:r>
      <w:r>
        <w:t xml:space="preserve"> </w:t>
      </w:r>
      <w:r>
        <w:rPr>
          <w:b/>
          <w:bCs/>
        </w:rPr>
        <w:t xml:space="preserve">Follow-up:</w:t>
      </w:r>
      <w:r>
        <w:t xml:space="preserve"> </w:t>
      </w:r>
      <w:r>
        <w:t xml:space="preserve">Confirm the actual filing date from the court docket; clarify which version is operative.</w:t>
      </w:r>
    </w:p>
    <w:bookmarkEnd w:id="29"/>
    <w:bookmarkStart w:id="30" w:name="Xb1a649b7f89bec0ec555825e4a3f7c8d497c916"/>
    <w:p>
      <w:pPr>
        <w:pStyle w:val="Heading3"/>
      </w:pPr>
      <w:r>
        <w:t xml:space="preserve">C. Liability and Creditor Inconsistencies</w:t>
      </w:r>
    </w:p>
    <w:p>
      <w:pPr>
        <w:pStyle w:val="FirstParagraph"/>
      </w:pPr>
      <w:r>
        <w:rPr>
          <w:b/>
          <w:bCs/>
        </w:rPr>
        <w:t xml:space="preserve">C-1. Credit-card creditor misidentified.</w:t>
      </w:r>
      <w:r>
        <w:t xml:space="preserve"> </w:t>
      </w:r>
      <w:r>
        <w:t xml:space="preserve">The declaration (¶ 46) lists the card creditor as</w:t>
      </w:r>
      <w:r>
        <w:t xml:space="preserve"> </w:t>
      </w:r>
      <w:r>
        <w:t xml:space="preserve">“</w:t>
      </w:r>
      <w:r>
        <w:t xml:space="preserve">First National Card Services.</w:t>
      </w:r>
      <w:r>
        <w:t xml:space="preserve">”</w:t>
      </w:r>
      <w:r>
        <w:t xml:space="preserve"> </w:t>
      </w:r>
      <w:r>
        <w:t xml:space="preserve">The produced statements (PROD-006) and the bank ACH payee (PROD-004) show the card is issued by</w:t>
      </w:r>
      <w:r>
        <w:t xml:space="preserve"> </w:t>
      </w:r>
      <w:r>
        <w:rPr>
          <w:b/>
          <w:bCs/>
        </w:rPr>
        <w:t xml:space="preserve">Fairview Community Bank</w:t>
      </w:r>
      <w:r>
        <w:t xml:space="preserve"> </w:t>
      </w:r>
      <w:r>
        <w:t xml:space="preserve">(account ending 8316).</w:t>
      </w:r>
      <w:r>
        <w:t xml:space="preserve"> </w:t>
      </w:r>
      <w:r>
        <w:rPr>
          <w:b/>
          <w:bCs/>
        </w:rPr>
        <w:t xml:space="preserve">Follow-up:</w:t>
      </w:r>
      <w:r>
        <w:t xml:space="preserve"> </w:t>
      </w:r>
      <w:r>
        <w:t xml:space="preserve">Confirm whether a separate</w:t>
      </w:r>
      <w:r>
        <w:t xml:space="preserve"> </w:t>
      </w:r>
      <w:r>
        <w:t xml:space="preserve">“</w:t>
      </w:r>
      <w:r>
        <w:t xml:space="preserve">First National Card Services</w:t>
      </w:r>
      <w:r>
        <w:t xml:space="preserve">”</w:t>
      </w:r>
      <w:r>
        <w:t xml:space="preserve"> </w:t>
      </w:r>
      <w:r>
        <w:t xml:space="preserve">account exists; if so, demand its statements.</w:t>
      </w:r>
    </w:p>
    <w:p>
      <w:pPr>
        <w:pStyle w:val="BodyText"/>
      </w:pPr>
      <w:r>
        <w:rPr>
          <w:b/>
          <w:bCs/>
        </w:rPr>
        <w:t xml:space="preserve">C-2. No $8,500</w:t>
      </w:r>
      <w:r>
        <w:rPr>
          <w:b/>
          <w:bCs/>
        </w:rPr>
        <w:t xml:space="preserve"> </w:t>
      </w:r>
      <w:r>
        <w:rPr>
          <w:b/>
          <w:bCs/>
        </w:rPr>
        <w:t xml:space="preserve">“</w:t>
      </w:r>
      <w:r>
        <w:rPr>
          <w:b/>
          <w:bCs/>
        </w:rPr>
        <w:t xml:space="preserve">revolving</w:t>
      </w:r>
      <w:r>
        <w:rPr>
          <w:b/>
          <w:bCs/>
        </w:rPr>
        <w:t xml:space="preserve">”</w:t>
      </w:r>
      <w:r>
        <w:rPr>
          <w:b/>
          <w:bCs/>
        </w:rPr>
        <w:t xml:space="preserve"> </w:t>
      </w:r>
      <w:r>
        <w:rPr>
          <w:b/>
          <w:bCs/>
        </w:rPr>
        <w:t xml:space="preserve">balance; card is paid in full monthly.</w:t>
      </w:r>
      <w:r>
        <w:t xml:space="preserve"> </w:t>
      </w:r>
      <w:r>
        <w:t xml:space="preserve">The declaration reports an</w:t>
      </w:r>
      <w:r>
        <w:t xml:space="preserve"> </w:t>
      </w:r>
      <w:r>
        <w:t xml:space="preserve">“</w:t>
      </w:r>
      <w:r>
        <w:t xml:space="preserve">~$8,500 approximate revolving balance</w:t>
      </w:r>
      <w:r>
        <w:t xml:space="preserve">”</w:t>
      </w:r>
      <w:r>
        <w:t xml:space="preserve"> </w:t>
      </w:r>
      <w:r>
        <w:t xml:space="preserve">(¶ 46). The statements show the card is</w:t>
      </w:r>
      <w:r>
        <w:t xml:space="preserve"> </w:t>
      </w:r>
      <w:r>
        <w:rPr>
          <w:b/>
          <w:bCs/>
        </w:rPr>
        <w:t xml:space="preserve">paid in full each month</w:t>
      </w:r>
      <w:r>
        <w:t xml:space="preserve"> </w:t>
      </w:r>
      <w:r>
        <w:t xml:space="preserve">(payment = prior balance; finance charges $0.00), with statement balances of $7,038.45 (May), $8,124.30 (June), $12,486.75 (July), and $6,418.50 (Aug.). No $8,500 revolving balance appears.</w:t>
      </w:r>
      <w:r>
        <w:t xml:space="preserve"> </w:t>
      </w:r>
      <w:r>
        <w:rPr>
          <w:b/>
          <w:bCs/>
        </w:rPr>
        <w:t xml:space="preserve">Why it matters:</w:t>
      </w:r>
      <w:r>
        <w:t xml:space="preserve"> </w:t>
      </w:r>
      <w:r>
        <w:t xml:space="preserve">The declared liability figure does not correspond to any produced statement and may be a placeholder.</w:t>
      </w:r>
      <w:r>
        <w:t xml:space="preserve"> </w:t>
      </w:r>
      <w:r>
        <w:rPr>
          <w:b/>
          <w:bCs/>
        </w:rPr>
        <w:t xml:space="preserve">Follow-up:</w:t>
      </w:r>
      <w:r>
        <w:t xml:space="preserve"> </w:t>
      </w:r>
      <w:r>
        <w:t xml:space="preserve">Reconcile; obtain current balance confirmation.</w:t>
      </w:r>
    </w:p>
    <w:p>
      <w:pPr>
        <w:pStyle w:val="BodyText"/>
      </w:pPr>
      <w:r>
        <w:rPr>
          <w:b/>
          <w:bCs/>
        </w:rPr>
        <w:t xml:space="preserve">C-3. Elm Street mortgage omitted from liabilities.</w:t>
      </w:r>
      <w:r>
        <w:t xml:space="preserve"> </w:t>
      </w:r>
      <w:r>
        <w:t xml:space="preserve">As noted in A-1, the ~$241,281 Elm Street mortgage is omitted from the liability schedule (¶¶ 43–48), which lists only the $218,400 marital mortgage, $22,100 auto loan, and the credit card.</w:t>
      </w:r>
      <w:r>
        <w:t xml:space="preserve"> </w:t>
      </w:r>
      <w:r>
        <w:rPr>
          <w:b/>
          <w:bCs/>
        </w:rPr>
        <w:t xml:space="preserve">Why it matters:</w:t>
      </w:r>
      <w:r>
        <w:t xml:space="preserve"> </w:t>
      </w:r>
      <w:r>
        <w:t xml:space="preserve">Total liabilities are understated by ~$241,281 (declared $249,000 vs. actual ~$488,200).</w:t>
      </w:r>
      <w:r>
        <w:t xml:space="preserve"> </w:t>
      </w:r>
      <w:r>
        <w:rPr>
          <w:b/>
          <w:bCs/>
        </w:rPr>
        <w:t xml:space="preserve">Follow-up:</w:t>
      </w:r>
      <w:r>
        <w:t xml:space="preserve"> </w:t>
      </w:r>
      <w:r>
        <w:t xml:space="preserve">Demand corrected liability schedule.</w:t>
      </w:r>
    </w:p>
    <w:bookmarkEnd w:id="30"/>
    <w:bookmarkStart w:id="31" w:name="d.-expense-and-spending-inconsistencies"/>
    <w:p>
      <w:pPr>
        <w:pStyle w:val="Heading3"/>
      </w:pPr>
      <w:r>
        <w:t xml:space="preserve">D. Expense and Spending Inconsistencies</w:t>
      </w:r>
    </w:p>
    <w:p>
      <w:pPr>
        <w:pStyle w:val="FirstParagraph"/>
      </w:pPr>
      <w:r>
        <w:rPr>
          <w:b/>
          <w:bCs/>
        </w:rPr>
        <w:t xml:space="preserve">D-1. Stated monthly expenses materially understated versus actual spending.</w:t>
      </w:r>
      <w:r>
        <w:t xml:space="preserve"> </w:t>
      </w:r>
      <w:r>
        <w:t xml:space="preserve">The declaration’s § V budget bears little relation to the credit-card activity: clothing is stated at $200/mo but Monarch Fine Clothiers charges averaged ~$1,825/mo; dining/entertainment at $600/mo versus ~$1,400+/mo at Capital Grille, Ridgeline Steakhouse, and Bella Notte; personal care at $100/mo versus ~$360/mo at Aura Salon &amp; Spa; and</w:t>
      </w:r>
      <w:r>
        <w:t xml:space="preserve"> </w:t>
      </w:r>
      <w:r>
        <w:rPr>
          <w:b/>
          <w:bCs/>
        </w:rPr>
        <w:t xml:space="preserve">$425/mo country-club dues</w:t>
      </w:r>
      <w:r>
        <w:t xml:space="preserve"> </w:t>
      </w:r>
      <w:r>
        <w:t xml:space="preserve">appear every month but are not listed at all.</w:t>
      </w:r>
      <w:r>
        <w:t xml:space="preserve"> </w:t>
      </w:r>
      <w:r>
        <w:rPr>
          <w:b/>
          <w:bCs/>
        </w:rPr>
        <w:t xml:space="preserve">Why it matters:</w:t>
      </w:r>
      <w:r>
        <w:t xml:space="preserve"> </w:t>
      </w:r>
      <w:r>
        <w:t xml:space="preserve">The understated expense budget can cut both ways (it understates both need and lifestyle), but more importantly it shows the declaration does not reflect actual spending — relevant to support, fee requests, and credibility.</w:t>
      </w:r>
      <w:r>
        <w:t xml:space="preserve"> </w:t>
      </w:r>
      <w:r>
        <w:rPr>
          <w:b/>
          <w:bCs/>
        </w:rPr>
        <w:t xml:space="preserve">Follow-up:</w:t>
      </w:r>
      <w:r>
        <w:t xml:space="preserve"> </w:t>
      </w:r>
      <w:r>
        <w:t xml:space="preserve">Build a 6–12 month actual-spending schedule from the card and bank records; use at deposition.</w:t>
      </w:r>
    </w:p>
    <w:p>
      <w:pPr>
        <w:pStyle w:val="BodyText"/>
      </w:pPr>
      <w:r>
        <w:rPr>
          <w:b/>
          <w:bCs/>
        </w:rPr>
        <w:t xml:space="preserve">D-2. $3,500/month</w:t>
      </w:r>
      <w:r>
        <w:rPr>
          <w:b/>
          <w:bCs/>
        </w:rPr>
        <w:t xml:space="preserve"> </w:t>
      </w:r>
      <w:r>
        <w:rPr>
          <w:b/>
          <w:bCs/>
        </w:rPr>
        <w:t xml:space="preserve">“</w:t>
      </w:r>
      <w:r>
        <w:rPr>
          <w:b/>
          <w:bCs/>
        </w:rPr>
        <w:t xml:space="preserve">voluntary contribution</w:t>
      </w:r>
      <w:r>
        <w:rPr>
          <w:b/>
          <w:bCs/>
        </w:rPr>
        <w:t xml:space="preserve">”</w:t>
      </w:r>
      <w:r>
        <w:rPr>
          <w:b/>
          <w:bCs/>
        </w:rPr>
        <w:t xml:space="preserve"> </w:t>
      </w:r>
      <w:r>
        <w:rPr>
          <w:b/>
          <w:bCs/>
        </w:rPr>
        <w:t xml:space="preserve">not corroborated.</w:t>
      </w:r>
      <w:r>
        <w:t xml:space="preserve"> </w:t>
      </w:r>
      <w:r>
        <w:t xml:space="preserve">The declaration (¶ 51) claims $3,500/month voluntary contributions to Petitioner/mortgage servicer since ~June 2024. The produced checking records show the $1,842 marital-mortgage ACH (which predated separation) but</w:t>
      </w:r>
      <w:r>
        <w:t xml:space="preserve"> </w:t>
      </w:r>
      <w:r>
        <w:rPr>
          <w:b/>
          <w:bCs/>
        </w:rPr>
        <w:t xml:space="preserve">no identifiable $3,500/month transfer to Petitioner</w:t>
      </w:r>
      <w:r>
        <w:t xml:space="preserve">.</w:t>
      </w:r>
      <w:r>
        <w:t xml:space="preserve"> </w:t>
      </w:r>
      <w:r>
        <w:rPr>
          <w:b/>
          <w:bCs/>
        </w:rPr>
        <w:t xml:space="preserve">Follow-up:</w:t>
      </w:r>
      <w:r>
        <w:t xml:space="preserve"> </w:t>
      </w:r>
      <w:r>
        <w:t xml:space="preserve">Demand documentation of each voluntary payment (date, payee, amount, source account); reconcile against bank records.</w:t>
      </w:r>
    </w:p>
    <w:p>
      <w:pPr>
        <w:pStyle w:val="BodyText"/>
      </w:pPr>
      <w:r>
        <w:rPr>
          <w:b/>
          <w:bCs/>
        </w:rPr>
        <w:t xml:space="preserve">D-3. Recurring Venmo transfers to</w:t>
      </w:r>
      <w:r>
        <w:rPr>
          <w:b/>
          <w:bCs/>
        </w:rPr>
        <w:t xml:space="preserve"> </w:t>
      </w:r>
      <w:r>
        <w:rPr>
          <w:b/>
          <w:bCs/>
        </w:rPr>
        <w:t xml:space="preserve">“</w:t>
      </w:r>
      <w:r>
        <w:rPr>
          <w:b/>
          <w:bCs/>
        </w:rPr>
        <w:t xml:space="preserve">Kiera M.</w:t>
      </w:r>
      <w:r>
        <w:rPr>
          <w:b/>
          <w:bCs/>
        </w:rPr>
        <w:t xml:space="preserve">”</w:t>
      </w:r>
      <w:r>
        <w:rPr>
          <w:b/>
          <w:bCs/>
        </w:rPr>
        <w:t xml:space="preserve"> </w:t>
      </w:r>
      <w:r>
        <w:rPr>
          <w:b/>
          <w:bCs/>
        </w:rPr>
        <w:t xml:space="preserve">(~$14,600).</w:t>
      </w:r>
      <w:r>
        <w:t xml:space="preserve"> </w:t>
      </w:r>
      <w:r>
        <w:t xml:space="preserve">The checking statements show recurring Venmo transfers to</w:t>
      </w:r>
      <w:r>
        <w:t xml:space="preserve"> </w:t>
      </w:r>
      <w:r>
        <w:t xml:space="preserve">“</w:t>
      </w:r>
      <w:r>
        <w:t xml:space="preserve">Kiera M.</w:t>
      </w:r>
      <w:r>
        <w:t xml:space="preserve">”</w:t>
      </w:r>
      <w:r>
        <w:t xml:space="preserve"> </w:t>
      </w:r>
      <w:r>
        <w:t xml:space="preserve">of $2,800 (3/15), $3,100 (4/22), $2,500 (5/10), $3,200 (6/18), and $3,000 (7/14) — ~$14,600 over five months, averaging ~$2,920/mo. The recipient and purpose are undisclosed.</w:t>
      </w:r>
      <w:r>
        <w:t xml:space="preserve"> </w:t>
      </w:r>
      <w:r>
        <w:rPr>
          <w:b/>
          <w:bCs/>
        </w:rPr>
        <w:t xml:space="preserve">Why it matters:</w:t>
      </w:r>
      <w:r>
        <w:t xml:space="preserve"> </w:t>
      </w:r>
      <w:r>
        <w:t xml:space="preserve">A substantial, recurring transfer to an unidentified third party during the separation period is a prime dissipation/third-party-support red flag and is not mentioned in the declaration.</w:t>
      </w:r>
      <w:r>
        <w:t xml:space="preserve"> </w:t>
      </w:r>
      <w:r>
        <w:rPr>
          <w:b/>
          <w:bCs/>
        </w:rPr>
        <w:t xml:space="preserve">Follow-up:</w:t>
      </w:r>
      <w:r>
        <w:t xml:space="preserve"> </w:t>
      </w:r>
      <w:r>
        <w:t xml:space="preserve">Identify</w:t>
      </w:r>
      <w:r>
        <w:t xml:space="preserve"> </w:t>
      </w:r>
      <w:r>
        <w:t xml:space="preserve">“</w:t>
      </w:r>
      <w:r>
        <w:t xml:space="preserve">Kiera M.</w:t>
      </w:r>
      <w:r>
        <w:t xml:space="preserve">”</w:t>
      </w:r>
      <w:r>
        <w:t xml:space="preserve"> </w:t>
      </w:r>
      <w:r>
        <w:t xml:space="preserve">by interrogatory; demand purpose and supporting records; consider subpoena of Venmo/Respondent’s Venmo records.</w:t>
      </w:r>
    </w:p>
    <w:p>
      <w:pPr>
        <w:pStyle w:val="BodyText"/>
      </w:pPr>
      <w:r>
        <w:rPr>
          <w:b/>
          <w:bCs/>
        </w:rPr>
        <w:t xml:space="preserve">D-4. Unusually large 401(k) transfer on August 1, 2024.</w:t>
      </w:r>
      <w:r>
        <w:t xml:space="preserve"> </w:t>
      </w:r>
      <w:r>
        <w:t xml:space="preserve">The checking statement shows an ACH to</w:t>
      </w:r>
      <w:r>
        <w:t xml:space="preserve"> </w:t>
      </w:r>
      <w:r>
        <w:t xml:space="preserve">“</w:t>
      </w:r>
      <w:r>
        <w:t xml:space="preserve">Pinnacle Retirement Services 401(k) — Early Month</w:t>
      </w:r>
      <w:r>
        <w:t xml:space="preserve">”</w:t>
      </w:r>
      <w:r>
        <w:t xml:space="preserve"> </w:t>
      </w:r>
      <w:r>
        <w:t xml:space="preserve">of</w:t>
      </w:r>
      <w:r>
        <w:t xml:space="preserve"> </w:t>
      </w:r>
      <w:r>
        <w:rPr>
          <w:b/>
          <w:bCs/>
        </w:rPr>
        <w:t xml:space="preserve">$14,644.60</w:t>
      </w:r>
      <w:r>
        <w:t xml:space="preserve"> </w:t>
      </w:r>
      <w:r>
        <w:t xml:space="preserve">on 8/1/24, far exceeding the regular $1,437.50 monthly contribution.</w:t>
      </w:r>
      <w:r>
        <w:t xml:space="preserve"> </w:t>
      </w:r>
      <w:r>
        <w:rPr>
          <w:b/>
          <w:bCs/>
        </w:rPr>
        <w:t xml:space="preserve">Why it matters:</w:t>
      </w:r>
      <w:r>
        <w:t xml:space="preserve"> </w:t>
      </w:r>
      <w:r>
        <w:t xml:space="preserve">A large, atypical retirement-account transfer near the declaration date may be an effort to shelter funds or a loan/withdrawal; it also contributed to the checking-balance decline.</w:t>
      </w:r>
      <w:r>
        <w:t xml:space="preserve"> </w:t>
      </w:r>
      <w:r>
        <w:rPr>
          <w:b/>
          <w:bCs/>
        </w:rPr>
        <w:t xml:space="preserve">Follow-up:</w:t>
      </w:r>
      <w:r>
        <w:t xml:space="preserve"> </w:t>
      </w:r>
      <w:r>
        <w:t xml:space="preserve">Obtain 401(k) statements and transaction detail; determine whether this is a contribution, loan, or rollover.</w:t>
      </w:r>
    </w:p>
    <w:bookmarkEnd w:id="31"/>
    <w:bookmarkStart w:id="32" w:name="X3266df28838a9f92f71f09f5385a4ee62a54aa1"/>
    <w:p>
      <w:pPr>
        <w:pStyle w:val="Heading3"/>
      </w:pPr>
      <w:r>
        <w:t xml:space="preserve">E. Business-Governance and Reimbursement Concerns</w:t>
      </w:r>
    </w:p>
    <w:p>
      <w:pPr>
        <w:pStyle w:val="FirstParagraph"/>
      </w:pPr>
      <w:r>
        <w:rPr>
          <w:b/>
          <w:bCs/>
        </w:rPr>
        <w:t xml:space="preserve">E-1. Self-approval of expense reimbursements; no co-member oversight.</w:t>
      </w:r>
      <w:r>
        <w:t xml:space="preserve"> </w:t>
      </w:r>
      <w:r>
        <w:t xml:space="preserve">Per PROD-007, Section 5.3 of the NovaBridge Operating Agreement permits a majority managing member (≥60%) to approve his own expense reimbursements</w:t>
      </w:r>
      <w:r>
        <w:t xml:space="preserve"> </w:t>
      </w:r>
      <w:r>
        <w:t xml:space="preserve">“</w:t>
      </w:r>
      <w:r>
        <w:t xml:space="preserve">without requirement of separate board or member approval.</w:t>
      </w:r>
      <w:r>
        <w:t xml:space="preserve">”</w:t>
      </w:r>
      <w:r>
        <w:t xml:space="preserve"> </w:t>
      </w:r>
      <w:r>
        <w:t xml:space="preserve">Darren Kwan is the sole approving authority for his own reimbursements; Jared Ostrowski’s review is marked</w:t>
      </w:r>
      <w:r>
        <w:t xml:space="preserve"> </w:t>
      </w:r>
      <w:r>
        <w:t xml:space="preserve">“</w:t>
      </w:r>
      <w:r>
        <w:t xml:space="preserve">N/A.</w:t>
      </w:r>
      <w:r>
        <w:t xml:space="preserve">”</w:t>
      </w:r>
      <w:r>
        <w:t xml:space="preserve"> </w:t>
      </w:r>
      <w:r>
        <w:rPr>
          <w:b/>
          <w:bCs/>
        </w:rPr>
        <w:t xml:space="preserve">Why it matters:</w:t>
      </w:r>
      <w:r>
        <w:t xml:space="preserve"> </w:t>
      </w:r>
      <w:r>
        <w:t xml:space="preserve">This structure allows Respondent to characterize personal spending as business expense and receive tax-free reimbursement with no check.</w:t>
      </w:r>
      <w:r>
        <w:t xml:space="preserve"> </w:t>
      </w:r>
      <w:r>
        <w:rPr>
          <w:b/>
          <w:bCs/>
        </w:rPr>
        <w:t xml:space="preserve">Follow-up:</w:t>
      </w:r>
      <w:r>
        <w:t xml:space="preserve"> </w:t>
      </w:r>
      <w:r>
        <w:t xml:space="preserve">Obtain the Operating Agreement (Req. 16–22, not yet produced) and the expense policy; depose on approval controls.</w:t>
      </w:r>
    </w:p>
    <w:p>
      <w:pPr>
        <w:pStyle w:val="BodyText"/>
      </w:pPr>
      <w:r>
        <w:rPr>
          <w:b/>
          <w:bCs/>
        </w:rPr>
        <w:t xml:space="preserve">E-2. Apparent personal purchase reimbursed as business expense (TechVault / Pinnacle Electronics).</w:t>
      </w:r>
      <w:r>
        <w:t xml:space="preserve"> </w:t>
      </w:r>
      <w:r>
        <w:t xml:space="preserve">On</w:t>
      </w:r>
      <w:r>
        <w:t xml:space="preserve"> </w:t>
      </w:r>
      <w:r>
        <w:rPr>
          <w:b/>
          <w:bCs/>
        </w:rPr>
        <w:t xml:space="preserve">5/17/2024</w:t>
      </w:r>
      <w:r>
        <w:t xml:space="preserve">, the credit card (PROD-006) shows</w:t>
      </w:r>
      <w:r>
        <w:t xml:space="preserve"> </w:t>
      </w:r>
      <w:r>
        <w:t xml:space="preserve">“</w:t>
      </w:r>
      <w:r>
        <w:t xml:space="preserve">Pinnacle Electronics …</w:t>
      </w:r>
      <w:r>
        <w:t xml:space="preserve"> </w:t>
      </w:r>
      <w:r>
        <w:rPr>
          <w:b/>
          <w:bCs/>
        </w:rPr>
        <w:t xml:space="preserve">Personal Devices</w:t>
      </w:r>
      <w:r>
        <w:t xml:space="preserve"> </w:t>
      </w:r>
      <w:r>
        <w:t xml:space="preserve">… $2,149.50,</w:t>
      </w:r>
      <w:r>
        <w:t xml:space="preserve">”</w:t>
      </w:r>
      <w:r>
        <w:t xml:space="preserve"> </w:t>
      </w:r>
      <w:r>
        <w:t xml:space="preserve">and the expense report (PROD-007) shows</w:t>
      </w:r>
      <w:r>
        <w:t xml:space="preserve"> </w:t>
      </w:r>
      <w:r>
        <w:t xml:space="preserve">“</w:t>
      </w:r>
      <w:r>
        <w:t xml:space="preserve">TechVault Solutions … Technology Equipment —</w:t>
      </w:r>
      <w:r>
        <w:t xml:space="preserve"> </w:t>
      </w:r>
      <w:r>
        <w:rPr>
          <w:b/>
          <w:bCs/>
        </w:rPr>
        <w:t xml:space="preserve">Personal Devices</w:t>
      </w:r>
      <w:r>
        <w:t xml:space="preserve"> </w:t>
      </w:r>
      <w:r>
        <w:t xml:space="preserve">… $2,150.00</w:t>
      </w:r>
      <w:r>
        <w:t xml:space="preserve">”</w:t>
      </w:r>
      <w:r>
        <w:t xml:space="preserve"> </w:t>
      </w:r>
      <w:r>
        <w:t xml:space="preserve">on the same date. Same date, near-identical amount, both labeled</w:t>
      </w:r>
      <w:r>
        <w:t xml:space="preserve"> </w:t>
      </w:r>
      <w:r>
        <w:t xml:space="preserve">“</w:t>
      </w:r>
      <w:r>
        <w:t xml:space="preserve">Personal Devices.</w:t>
      </w:r>
      <w:r>
        <w:t xml:space="preserve">”</w:t>
      </w:r>
      <w:r>
        <w:t xml:space="preserve"> </w:t>
      </w:r>
      <w:r>
        <w:rPr>
          <w:b/>
          <w:bCs/>
        </w:rPr>
        <w:t xml:space="preserve">Why it matters:</w:t>
      </w:r>
      <w:r>
        <w:t xml:space="preserve"> </w:t>
      </w:r>
      <w:r>
        <w:t xml:space="preserve">This strongly suggests a personal electronics purchase was submitted to NovaBridge for reimbursement as a business expense (and was reimbursed — $2,150 ACH credit on 5/20).</w:t>
      </w:r>
      <w:r>
        <w:t xml:space="preserve"> </w:t>
      </w:r>
      <w:r>
        <w:rPr>
          <w:b/>
          <w:bCs/>
        </w:rPr>
        <w:t xml:space="preserve">Follow-up:</w:t>
      </w:r>
      <w:r>
        <w:t xml:space="preserve"> </w:t>
      </w:r>
      <w:r>
        <w:t xml:space="preserve">Demand receipts for both items; depose on the nature of these</w:t>
      </w:r>
      <w:r>
        <w:t xml:space="preserve"> </w:t>
      </w:r>
      <w:r>
        <w:t xml:space="preserve">“</w:t>
      </w:r>
      <w:r>
        <w:t xml:space="preserve">Personal Devices.</w:t>
      </w:r>
      <w:r>
        <w:t xml:space="preserve">”</w:t>
      </w:r>
    </w:p>
    <w:p>
      <w:pPr>
        <w:pStyle w:val="BodyText"/>
      </w:pPr>
      <w:r>
        <w:rPr>
          <w:b/>
          <w:bCs/>
        </w:rPr>
        <w:t xml:space="preserve">E-3. Sapphire Sky Travel — overlapping business and personal charges.</w:t>
      </w:r>
      <w:r>
        <w:t xml:space="preserve"> </w:t>
      </w:r>
      <w:r>
        <w:t xml:space="preserve">The expense report (PROD-007) shows a</w:t>
      </w:r>
      <w:r>
        <w:t xml:space="preserve"> </w:t>
      </w:r>
      <w:r>
        <w:rPr>
          <w:b/>
          <w:bCs/>
        </w:rPr>
        <w:t xml:space="preserve">$3,400</w:t>
      </w:r>
      <w:r>
        <w:t xml:space="preserve"> </w:t>
      </w:r>
      <w:r>
        <w:t xml:space="preserve">“</w:t>
      </w:r>
      <w:r>
        <w:t xml:space="preserve">Sapphire Sky Travel</w:t>
      </w:r>
      <w:r>
        <w:t xml:space="preserve">”</w:t>
      </w:r>
      <w:r>
        <w:t xml:space="preserve"> </w:t>
      </w:r>
      <w:r>
        <w:t xml:space="preserve">charge on 4/3/2024 (</w:t>
      </w:r>
      <w:r>
        <w:t xml:space="preserve">“</w:t>
      </w:r>
      <w:r>
        <w:t xml:space="preserve">client appreciation event planning</w:t>
      </w:r>
      <w:r>
        <w:t xml:space="preserve">”</w:t>
      </w:r>
      <w:r>
        <w:t xml:space="preserve">), reimbursed via direct deposit on 4/10. The credit card (PROD-006) shows a separate</w:t>
      </w:r>
      <w:r>
        <w:t xml:space="preserve"> </w:t>
      </w:r>
      <w:r>
        <w:rPr>
          <w:b/>
          <w:bCs/>
        </w:rPr>
        <w:t xml:space="preserve">$6,200</w:t>
      </w:r>
      <w:r>
        <w:t xml:space="preserve"> </w:t>
      </w:r>
      <w:r>
        <w:t xml:space="preserve">“</w:t>
      </w:r>
      <w:r>
        <w:t xml:space="preserve">Sapphire Sky Travel</w:t>
      </w:r>
      <w:r>
        <w:t xml:space="preserve">”</w:t>
      </w:r>
      <w:r>
        <w:t xml:space="preserve"> </w:t>
      </w:r>
      <w:r>
        <w:t xml:space="preserve">personal charge on 7/8/2024.</w:t>
      </w:r>
      <w:r>
        <w:t xml:space="preserve"> </w:t>
      </w:r>
      <w:r>
        <w:rPr>
          <w:b/>
          <w:bCs/>
        </w:rPr>
        <w:t xml:space="preserve">Why it matters:</w:t>
      </w:r>
      <w:r>
        <w:t xml:space="preserve"> </w:t>
      </w:r>
      <w:r>
        <w:t xml:space="preserve">Use of the same vendor for both a reimbursed business expense and a large personal travel charge raises commingling/double-dipping concerns.</w:t>
      </w:r>
      <w:r>
        <w:t xml:space="preserve"> </w:t>
      </w:r>
      <w:r>
        <w:rPr>
          <w:b/>
          <w:bCs/>
        </w:rPr>
        <w:t xml:space="preserve">Follow-up:</w:t>
      </w:r>
      <w:r>
        <w:t xml:space="preserve"> </w:t>
      </w:r>
      <w:r>
        <w:t xml:space="preserve">Demand itineraries, receipts, and attendee lists for both charges.</w:t>
      </w:r>
    </w:p>
    <w:p>
      <w:pPr>
        <w:pStyle w:val="BodyText"/>
      </w:pPr>
      <w:r>
        <w:rPr>
          <w:b/>
          <w:bCs/>
        </w:rPr>
        <w:t xml:space="preserve">E-4. Business interest unvalued; retained earnings building; distributions controlled.</w:t>
      </w:r>
      <w:r>
        <w:t xml:space="preserve"> </w:t>
      </w:r>
      <w:r>
        <w:t xml:space="preserve">The declaration acknowledges no formal appraisal (¶ 37). The K-1 shows an ending capital account of $675,800 and 2023 retained earnings at the entity of $322,000 (Respondent’s share $193,200), with recourse liabilities of $36,400. As 60% managing member, Respondent controls distribution timing.</w:t>
      </w:r>
      <w:r>
        <w:t xml:space="preserve"> </w:t>
      </w:r>
      <w:r>
        <w:rPr>
          <w:b/>
          <w:bCs/>
        </w:rPr>
        <w:t xml:space="preserve">Follow-up:</w:t>
      </w:r>
      <w:r>
        <w:t xml:space="preserve"> </w:t>
      </w:r>
      <w:r>
        <w:t xml:space="preserve">Retain a business valuator; obtain 2020–2024 entity tax returns, financial statements, and operating agreement.</w:t>
      </w:r>
    </w:p>
    <w:p>
      <w:pPr>
        <w:pStyle w:val="BodyText"/>
      </w:pPr>
      <w:r>
        <w:rPr>
          <w:b/>
          <w:bCs/>
        </w:rPr>
        <w:t xml:space="preserve">E-5. Expense-report</w:t>
      </w:r>
      <w:r>
        <w:rPr>
          <w:b/>
          <w:bCs/>
        </w:rPr>
        <w:t xml:space="preserve"> </w:t>
      </w:r>
      <w:r>
        <w:rPr>
          <w:b/>
          <w:bCs/>
        </w:rPr>
        <w:t xml:space="preserve">“</w:t>
      </w:r>
      <w:r>
        <w:rPr>
          <w:b/>
          <w:bCs/>
        </w:rPr>
        <w:t xml:space="preserve">approval</w:t>
      </w:r>
      <w:r>
        <w:rPr>
          <w:b/>
          <w:bCs/>
        </w:rPr>
        <w:t xml:space="preserve">”</w:t>
      </w:r>
      <w:r>
        <w:rPr>
          <w:b/>
          <w:bCs/>
        </w:rPr>
        <w:t xml:space="preserve"> </w:t>
      </w:r>
      <w:r>
        <w:rPr>
          <w:b/>
          <w:bCs/>
        </w:rPr>
        <w:t xml:space="preserve">appears after-the-fact.</w:t>
      </w:r>
      <w:r>
        <w:t xml:space="preserve"> </w:t>
      </w:r>
      <w:r>
        <w:t xml:space="preserve">The Q2 2024 report states</w:t>
      </w:r>
      <w:r>
        <w:t xml:space="preserve"> </w:t>
      </w:r>
      <w:r>
        <w:t xml:space="preserve">“</w:t>
      </w:r>
      <w:r>
        <w:t xml:space="preserve">Date of Approval: July 3, 2024,</w:t>
      </w:r>
      <w:r>
        <w:t xml:space="preserve">”</w:t>
      </w:r>
      <w:r>
        <w:t xml:space="preserve"> </w:t>
      </w:r>
      <w:r>
        <w:t xml:space="preserve">yet the $3,400 and $2,150 reimbursements were deposited on 4/10 and 5/20 — before the stated approval date. This confirms approval is a post-hoc formality, reinforcing the no-oversight concern.</w:t>
      </w:r>
      <w:r>
        <w:t xml:space="preserve"> </w:t>
      </w:r>
      <w:r>
        <w:rPr>
          <w:b/>
          <w:bCs/>
        </w:rPr>
        <w:t xml:space="preserve">Follow-up:</w:t>
      </w:r>
      <w:r>
        <w:t xml:space="preserve"> </w:t>
      </w:r>
      <w:r>
        <w:t xml:space="preserve">Minor; fold into E-1 deposition topics.</w:t>
      </w:r>
    </w:p>
    <w:bookmarkEnd w:id="32"/>
    <w:bookmarkStart w:id="33" w:name="f.-production-gaps-and-missing-documents"/>
    <w:p>
      <w:pPr>
        <w:pStyle w:val="Heading3"/>
      </w:pPr>
      <w:r>
        <w:t xml:space="preserve">F. Production Gaps and Missing Documents</w:t>
      </w:r>
    </w:p>
    <w:p>
      <w:pPr>
        <w:pStyle w:val="FirstParagraph"/>
      </w:pPr>
      <w:r>
        <w:rPr>
          <w:b/>
          <w:bCs/>
        </w:rPr>
        <w:t xml:space="preserve">F-1. Marital-residence (418 Birchwood) mortgage statements not produced.</w:t>
      </w:r>
      <w:r>
        <w:t xml:space="preserve"> </w:t>
      </w:r>
      <w:r>
        <w:t xml:space="preserve">PROD-005 contains statements for</w:t>
      </w:r>
      <w:r>
        <w:t xml:space="preserve"> </w:t>
      </w:r>
      <w:r>
        <w:rPr>
          <w:b/>
          <w:bCs/>
        </w:rPr>
        <w:t xml:space="preserve">1035 Elm Street only</w:t>
      </w:r>
      <w:r>
        <w:t xml:space="preserve"> </w:t>
      </w:r>
      <w:r>
        <w:t xml:space="preserve">(the undisclosed rental), not the marital residence. The declared $218,400 marital mortgage balance and $1,842 payment are therefore</w:t>
      </w:r>
      <w:r>
        <w:t xml:space="preserve"> </w:t>
      </w:r>
      <w:r>
        <w:rPr>
          <w:b/>
          <w:bCs/>
        </w:rPr>
        <w:t xml:space="preserve">unverified</w:t>
      </w:r>
      <w:r>
        <w:t xml:space="preserve"> </w:t>
      </w:r>
      <w:r>
        <w:t xml:space="preserve">by any produced statement.</w:t>
      </w:r>
      <w:r>
        <w:t xml:space="preserve"> </w:t>
      </w:r>
      <w:r>
        <w:rPr>
          <w:b/>
          <w:bCs/>
        </w:rPr>
        <w:t xml:space="preserve">Follow-up:</w:t>
      </w:r>
      <w:r>
        <w:t xml:space="preserve"> </w:t>
      </w:r>
      <w:r>
        <w:t xml:space="preserve">Demand Meridian statements for 418 Birchwood (loan number, balance, payment history, escrow).</w:t>
      </w:r>
    </w:p>
    <w:p>
      <w:pPr>
        <w:pStyle w:val="BodyText"/>
      </w:pPr>
      <w:r>
        <w:rPr>
          <w:b/>
          <w:bCs/>
        </w:rPr>
        <w:t xml:space="preserve">F-2. Joint accounts (FCB 4821, 4822) not produced.</w:t>
      </w:r>
      <w:r>
        <w:t xml:space="preserve"> </w:t>
      </w:r>
      <w:r>
        <w:t xml:space="preserve">PROD-004 covers only the individual accounts (7703, 7704). The joint checking ($12,340) and joint savings ($28,750) — ~$41,090 — are not produced, although Respondent is a joint holder with full access. The cover letter’s objection to producing</w:t>
      </w:r>
      <w:r>
        <w:t xml:space="preserve"> </w:t>
      </w:r>
      <w:r>
        <w:t xml:space="preserve">“</w:t>
      </w:r>
      <w:r>
        <w:t xml:space="preserve">accounts held solely by Petitioner</w:t>
      </w:r>
      <w:r>
        <w:t xml:space="preserve">”</w:t>
      </w:r>
      <w:r>
        <w:t xml:space="preserve"> </w:t>
      </w:r>
      <w:r>
        <w:t xml:space="preserve">does not reach joint accounts.</w:t>
      </w:r>
      <w:r>
        <w:t xml:space="preserve"> </w:t>
      </w:r>
      <w:r>
        <w:rPr>
          <w:b/>
          <w:bCs/>
        </w:rPr>
        <w:t xml:space="preserve">Follow-up:</w:t>
      </w:r>
      <w:r>
        <w:t xml:space="preserve"> </w:t>
      </w:r>
      <w:r>
        <w:t xml:space="preserve">Demand joint-account statements (at minimum 1/1/24–present); these may also fund the credit-card payments (see F-9).</w:t>
      </w:r>
    </w:p>
    <w:p>
      <w:pPr>
        <w:pStyle w:val="BodyText"/>
      </w:pPr>
      <w:r>
        <w:rPr>
          <w:b/>
          <w:bCs/>
        </w:rPr>
        <w:t xml:space="preserve">F-3. 401(k) statements (Pinnacle, acct. 3310) not produced.</w:t>
      </w:r>
      <w:r>
        <w:t xml:space="preserve"> </w:t>
      </w:r>
      <w:r>
        <w:t xml:space="preserve">The $412,800 balance is unverified; ongoing contributions and the 8/1/24 $14,644.60 transfer are unexplained.</w:t>
      </w:r>
      <w:r>
        <w:t xml:space="preserve"> </w:t>
      </w:r>
      <w:r>
        <w:rPr>
          <w:b/>
          <w:bCs/>
        </w:rPr>
        <w:t xml:space="preserve">Follow-up:</w:t>
      </w:r>
      <w:r>
        <w:t xml:space="preserve"> </w:t>
      </w:r>
      <w:r>
        <w:t xml:space="preserve">Subpoena Pinnacle Retirement Services.</w:t>
      </w:r>
    </w:p>
    <w:p>
      <w:pPr>
        <w:pStyle w:val="BodyText"/>
      </w:pPr>
      <w:r>
        <w:rPr>
          <w:b/>
          <w:bCs/>
        </w:rPr>
        <w:t xml:space="preserve">F-4. Harborstone Financial Group account (ending 2291) not disclosed or produced.</w:t>
      </w:r>
      <w:r>
        <w:t xml:space="preserve"> </w:t>
      </w:r>
      <w:r>
        <w:t xml:space="preserve">Recipient of the $85,000 wire (Issue A-2).</w:t>
      </w:r>
      <w:r>
        <w:t xml:space="preserve"> </w:t>
      </w:r>
      <w:r>
        <w:rPr>
          <w:b/>
          <w:bCs/>
        </w:rPr>
        <w:t xml:space="preserve">Follow-up:</w:t>
      </w:r>
      <w:r>
        <w:t xml:space="preserve"> </w:t>
      </w:r>
      <w:r>
        <w:t xml:space="preserve">Subpoena immediately.</w:t>
      </w:r>
    </w:p>
    <w:p>
      <w:pPr>
        <w:pStyle w:val="BodyText"/>
      </w:pPr>
      <w:r>
        <w:rPr>
          <w:b/>
          <w:bCs/>
        </w:rPr>
        <w:t xml:space="preserve">F-5. Pay stubs not produced.</w:t>
      </w:r>
      <w:r>
        <w:t xml:space="preserve"> </w:t>
      </w:r>
      <w:r>
        <w:t xml:space="preserve">The declaration (¶ 57) states pay stubs</w:t>
      </w:r>
      <w:r>
        <w:t xml:space="preserve"> </w:t>
      </w:r>
      <w:r>
        <w:t xml:space="preserve">“</w:t>
      </w:r>
      <w:r>
        <w:t xml:space="preserve">have been or will be produced,</w:t>
      </w:r>
      <w:r>
        <w:t xml:space="preserve">”</w:t>
      </w:r>
      <w:r>
        <w:t xml:space="preserve"> </w:t>
      </w:r>
      <w:r>
        <w:t xml:space="preserve">but none appear. Pay stubs are needed to reconcile gross-to-net pay. Notably, the semimonthly net deposits of $7,115.38 (×24 = $170,769/yr) are difficult to reconcile against the $185,000 W-2 gross once federal withholding ($50,834.90), 401(k) deferrals ($22,500), and health premiums (~$7,800) are taken into account — the net deposits imply gross compensation materially above $185,000, or include non-W-2 amounts.</w:t>
      </w:r>
      <w:r>
        <w:t xml:space="preserve"> </w:t>
      </w:r>
      <w:r>
        <w:rPr>
          <w:b/>
          <w:bCs/>
        </w:rPr>
        <w:t xml:space="preserve">Follow-up:</w:t>
      </w:r>
      <w:r>
        <w:t xml:space="preserve"> </w:t>
      </w:r>
      <w:r>
        <w:t xml:space="preserve">Demand all 2023–2024 pay stubs and YTD earnings records.</w:t>
      </w:r>
    </w:p>
    <w:p>
      <w:pPr>
        <w:pStyle w:val="BodyText"/>
      </w:pPr>
      <w:r>
        <w:rPr>
          <w:b/>
          <w:bCs/>
        </w:rPr>
        <w:t xml:space="preserve">F-6. Complete 2023 tax return not produced.</w:t>
      </w:r>
      <w:r>
        <w:t xml:space="preserve"> </w:t>
      </w:r>
      <w:r>
        <w:t xml:space="preserve">Only excerpts (14 of 47 pages) were produced. Schedules A, B, D, SE, and Form 8995 are referenced but not included.</w:t>
      </w:r>
      <w:r>
        <w:t xml:space="preserve"> </w:t>
      </w:r>
      <w:r>
        <w:rPr>
          <w:b/>
          <w:bCs/>
        </w:rPr>
        <w:t xml:space="preserve">Follow-up:</w:t>
      </w:r>
      <w:r>
        <w:t xml:space="preserve"> </w:t>
      </w:r>
      <w:r>
        <w:t xml:space="preserve">Demand the complete return and all state returns.</w:t>
      </w:r>
    </w:p>
    <w:p>
      <w:pPr>
        <w:pStyle w:val="BodyText"/>
      </w:pPr>
      <w:r>
        <w:rPr>
          <w:b/>
          <w:bCs/>
        </w:rPr>
        <w:t xml:space="preserve">F-7. NovaBridge entity-level records (Req. 16–22) not yet produced.</w:t>
      </w:r>
      <w:r>
        <w:t xml:space="preserve"> </w:t>
      </w:r>
      <w:r>
        <w:t xml:space="preserve">Operating agreement, entity financials, tax returns, and related records are withheld pending</w:t>
      </w:r>
      <w:r>
        <w:t xml:space="preserve"> </w:t>
      </w:r>
      <w:r>
        <w:t xml:space="preserve">“</w:t>
      </w:r>
      <w:r>
        <w:t xml:space="preserve">coordination</w:t>
      </w:r>
      <w:r>
        <w:t xml:space="preserve">”</w:t>
      </w:r>
      <w:r>
        <w:t xml:space="preserve"> </w:t>
      </w:r>
      <w:r>
        <w:t xml:space="preserve">with co-member Jared Ostrowski.</w:t>
      </w:r>
      <w:r>
        <w:t xml:space="preserve"> </w:t>
      </w:r>
      <w:r>
        <w:rPr>
          <w:b/>
          <w:bCs/>
        </w:rPr>
        <w:t xml:space="preserve">Follow-up:</w:t>
      </w:r>
      <w:r>
        <w:t xml:space="preserve"> </w:t>
      </w:r>
      <w:r>
        <w:t xml:space="preserve">Set a firm supplementation deadline; consider subpoena to NovaBridge and a Rule 30(b)(6) deposition; meet-and-confer on the delay.</w:t>
      </w:r>
    </w:p>
    <w:p>
      <w:pPr>
        <w:pStyle w:val="BodyText"/>
      </w:pPr>
      <w:r>
        <w:rPr>
          <w:b/>
          <w:bCs/>
        </w:rPr>
        <w:t xml:space="preserve">F-8. Formal privilege log not yet provided.</w:t>
      </w:r>
      <w:r>
        <w:t xml:space="preserve"> </w:t>
      </w:r>
      <w:r>
        <w:t xml:space="preserve">Only a summary appears in the cover letter; a compliant log is</w:t>
      </w:r>
      <w:r>
        <w:t xml:space="preserve"> </w:t>
      </w:r>
      <w:r>
        <w:t xml:space="preserve">“</w:t>
      </w:r>
      <w:r>
        <w:t xml:space="preserve">forthcoming within ten (10) business days.</w:t>
      </w:r>
      <w:r>
        <w:t xml:space="preserve">”</w:t>
      </w:r>
      <w:r>
        <w:t xml:space="preserve"> </w:t>
      </w:r>
      <w:r>
        <w:rPr>
          <w:b/>
          <w:bCs/>
        </w:rPr>
        <w:t xml:space="preserve">Follow-up:</w:t>
      </w:r>
      <w:r>
        <w:t xml:space="preserve"> </w:t>
      </w:r>
      <w:r>
        <w:t xml:space="preserve">Hold counsel to the deadline; scrutinize PRIV-003 (</w:t>
      </w:r>
      <w:r>
        <w:t xml:space="preserve">“</w:t>
      </w:r>
      <w:r>
        <w:t xml:space="preserve">Preliminary analysis of marital estate</w:t>
      </w:r>
      <w:r>
        <w:t xml:space="preserve">”</w:t>
      </w:r>
      <w:r>
        <w:t xml:space="preserve">) for work-product limitations and any factual content not protected.</w:t>
      </w:r>
    </w:p>
    <w:p>
      <w:pPr>
        <w:pStyle w:val="BodyText"/>
      </w:pPr>
      <w:r>
        <w:rPr>
          <w:b/>
          <w:bCs/>
        </w:rPr>
        <w:t xml:space="preserve">F-9. Credit-card payment source not fully traced.</w:t>
      </w:r>
      <w:r>
        <w:t xml:space="preserve"> </w:t>
      </w:r>
      <w:r>
        <w:t xml:space="preserve">The checking ACH to</w:t>
      </w:r>
      <w:r>
        <w:t xml:space="preserve"> </w:t>
      </w:r>
      <w:r>
        <w:t xml:space="preserve">“</w:t>
      </w:r>
      <w:r>
        <w:t xml:space="preserve">Fairview Community Bank Visa</w:t>
      </w:r>
      <w:r>
        <w:t xml:space="preserve">”</w:t>
      </w:r>
      <w:r>
        <w:t xml:space="preserve"> </w:t>
      </w:r>
      <w:r>
        <w:t xml:space="preserve">($1,450–$5,480/mo) does not match the card payments received ($3,240–$12,487/mo), indicating the card is paid from another source (likely the joint account or savings).</w:t>
      </w:r>
      <w:r>
        <w:t xml:space="preserve"> </w:t>
      </w:r>
      <w:r>
        <w:rPr>
          <w:b/>
          <w:bCs/>
        </w:rPr>
        <w:t xml:space="preserve">Follow-up:</w:t>
      </w:r>
      <w:r>
        <w:t xml:space="preserve"> </w:t>
      </w:r>
      <w:r>
        <w:t xml:space="preserve">Trace payment source once joint-account statements are produced (F-2).</w:t>
      </w:r>
    </w:p>
    <w:bookmarkEnd w:id="33"/>
    <w:bookmarkStart w:id="34" w:name="Xc6efdaf3220ab72395edd8f758883933d21ee33"/>
    <w:p>
      <w:pPr>
        <w:pStyle w:val="Heading3"/>
      </w:pPr>
      <w:r>
        <w:t xml:space="preserve">G. Clerical / Production-Metadata and Data-Quality Issues</w:t>
      </w:r>
    </w:p>
    <w:p>
      <w:pPr>
        <w:pStyle w:val="FirstParagraph"/>
      </w:pPr>
      <w:r>
        <w:rPr>
          <w:b/>
          <w:bCs/>
        </w:rPr>
        <w:t xml:space="preserve">G-1. Inconsistent Bates conventions</w:t>
      </w:r>
      <w:r>
        <w:t xml:space="preserve"> </w:t>
      </w:r>
      <w:r>
        <w:t xml:space="preserve">across exhibits (</w:t>
      </w:r>
      <w:r>
        <w:rPr>
          <w:rStyle w:val="VerbatimChar"/>
        </w:rPr>
        <w:t xml:space="preserve">DK-PROD-####</w:t>
      </w:r>
      <w:r>
        <w:t xml:space="preserve">,</w:t>
      </w:r>
      <w:r>
        <w:t xml:space="preserve"> </w:t>
      </w:r>
      <w:r>
        <w:rPr>
          <w:rStyle w:val="VerbatimChar"/>
        </w:rPr>
        <w:t xml:space="preserve">KWAN_PROD_#####</w:t>
      </w:r>
      <w:r>
        <w:t xml:space="preserve">,</w:t>
      </w:r>
      <w:r>
        <w:t xml:space="preserve"> </w:t>
      </w:r>
      <w:r>
        <w:rPr>
          <w:rStyle w:val="VerbatimChar"/>
        </w:rPr>
        <w:t xml:space="preserve">KWAN*PROD*####</w:t>
      </w:r>
      <w:r>
        <w:t xml:space="preserve">).</w:t>
      </w:r>
      <w:r>
        <w:t xml:space="preserve"> </w:t>
      </w:r>
      <w:r>
        <w:rPr>
          <w:b/>
          <w:bCs/>
        </w:rPr>
        <w:t xml:space="preserve">G-2.</w:t>
      </w:r>
      <w:r>
        <w:t xml:space="preserve"> </w:t>
      </w:r>
      <w:r>
        <w:t xml:space="preserve">FCB footer</w:t>
      </w:r>
      <w:r>
        <w:t xml:space="preserve"> </w:t>
      </w:r>
      <w:r>
        <w:rPr>
          <w:b/>
          <w:bCs/>
        </w:rPr>
        <w:t xml:space="preserve">misstates the case number</w:t>
      </w:r>
      <w:r>
        <w:t xml:space="preserve"> </w:t>
      </w:r>
      <w:r>
        <w:t xml:space="preserve">(2024-DR-00847 vs. 2024-DR-01847) and</w:t>
      </w:r>
      <w:r>
        <w:t xml:space="preserve"> </w:t>
      </w:r>
      <w:r>
        <w:rPr>
          <w:b/>
          <w:bCs/>
        </w:rPr>
        <w:t xml:space="preserve">inverts the court name</w:t>
      </w:r>
      <w:r>
        <w:t xml:space="preserve">.</w:t>
      </w:r>
      <w:r>
        <w:t xml:space="preserve"> </w:t>
      </w:r>
      <w:r>
        <w:rPr>
          <w:b/>
          <w:bCs/>
        </w:rPr>
        <w:t xml:space="preserve">G-3.</w:t>
      </w:r>
      <w:r>
        <w:t xml:space="preserve"> </w:t>
      </w:r>
      <w:r>
        <w:t xml:space="preserve">Cover letter is</w:t>
      </w:r>
      <w:r>
        <w:t xml:space="preserve"> </w:t>
      </w:r>
      <w:r>
        <w:rPr>
          <w:b/>
          <w:bCs/>
        </w:rPr>
        <w:t xml:space="preserve">undated</w:t>
      </w:r>
      <w:r>
        <w:t xml:space="preserve">.</w:t>
      </w:r>
      <w:r>
        <w:t xml:space="preserve"> </w:t>
      </w:r>
      <w:r>
        <w:rPr>
          <w:b/>
          <w:bCs/>
        </w:rPr>
        <w:t xml:space="preserve">G-4.</w:t>
      </w:r>
      <w:r>
        <w:t xml:space="preserve"> </w:t>
      </w:r>
      <w:r>
        <w:t xml:space="preserve">Counsel’s</w:t>
      </w:r>
      <w:r>
        <w:t xml:space="preserve"> </w:t>
      </w:r>
      <w:r>
        <w:rPr>
          <w:b/>
          <w:bCs/>
        </w:rPr>
        <w:t xml:space="preserve">contact information differs</w:t>
      </w:r>
      <w:r>
        <w:t xml:space="preserve"> </w:t>
      </w:r>
      <w:r>
        <w:t xml:space="preserve">between the declaration (Tel. (571) 555-0184; email rfossett@hfylaw.com) and the cover letter (Tel. (571) 555-4200; email rfossett@hfy-law.com).</w:t>
      </w:r>
      <w:r>
        <w:t xml:space="preserve"> </w:t>
      </w:r>
      <w:r>
        <w:rPr>
          <w:b/>
          <w:bCs/>
        </w:rPr>
        <w:t xml:space="preserve">G-5. Crestline account Tax ID anomaly:</w:t>
      </w:r>
      <w:r>
        <w:t xml:space="preserve"> </w:t>
      </w:r>
      <w:r>
        <w:t xml:space="preserve">the brokerage statements list Tax ID</w:t>
      </w:r>
      <w:r>
        <w:t xml:space="preserve"> </w:t>
      </w:r>
      <w:r>
        <w:rPr>
          <w:rStyle w:val="VerbatimChar"/>
        </w:rPr>
        <w:t xml:space="preserve">●●●-●●-8341</w:t>
      </w:r>
      <w:r>
        <w:t xml:space="preserve">, whose last four digits (8341) match the SSN of the minor child</w:t>
      </w:r>
      <w:r>
        <w:t xml:space="preserve"> </w:t>
      </w:r>
      <w:r>
        <w:rPr>
          <w:b/>
          <w:bCs/>
        </w:rPr>
        <w:t xml:space="preserve">Ethan Kwan</w:t>
      </w:r>
      <w:r>
        <w:t xml:space="preserve"> </w:t>
      </w:r>
      <w:r>
        <w:t xml:space="preserve">(XXX-XX-8341), not Respondent’s (XXX-XX-4718). This may be a production/redaction artifact or may indicate a titling/registration issue (e.g., a custodial account).</w:t>
      </w:r>
      <w:r>
        <w:t xml:space="preserve"> </w:t>
      </w:r>
      <w:r>
        <w:rPr>
          <w:b/>
          <w:bCs/>
        </w:rPr>
        <w:t xml:space="preserve">Follow-up:</w:t>
      </w:r>
      <w:r>
        <w:t xml:space="preserve"> </w:t>
      </w:r>
      <w:r>
        <w:t xml:space="preserve">Confirm the account’s registered owner/TIN; raise G-1 through G-4 in meet-and-confer.</w:t>
      </w:r>
    </w:p>
    <w:p>
      <w:r>
        <w:pict>
          <v:rect style="width:0;height:1.5pt" o:hralign="center" o:hrstd="t" o:hr="t"/>
        </w:pict>
      </w:r>
    </w:p>
    <w:bookmarkEnd w:id="34"/>
    <w:bookmarkEnd w:id="35"/>
    <w:bookmarkStart w:id="36" w:name="vi.-recommended-follow-up-discovery"/>
    <w:p>
      <w:pPr>
        <w:pStyle w:val="Heading2"/>
      </w:pPr>
      <w:r>
        <w:t xml:space="preserve">VI. Recommended Follow-Up Discovery</w:t>
      </w:r>
    </w:p>
    <w:p>
      <w:pPr>
        <w:pStyle w:val="FirstParagraph"/>
      </w:pPr>
      <w:r>
        <w:t xml:space="preserve">The following actions are prioritized. Items marked</w:t>
      </w:r>
      <w:r>
        <w:t xml:space="preserve"> </w:t>
      </w:r>
      <w:r>
        <w:rPr>
          <w:b/>
          <w:bCs/>
        </w:rPr>
        <w:t xml:space="preserve">[URGENT]</w:t>
      </w:r>
      <w:r>
        <w:t xml:space="preserve"> </w:t>
      </w:r>
      <w:r>
        <w:t xml:space="preserve">concern potential dissipation or asset movement and should be addressed immediately.</w:t>
      </w:r>
    </w:p>
    <w:p>
      <w:pPr>
        <w:pStyle w:val="Compact"/>
        <w:numPr>
          <w:ilvl w:val="0"/>
          <w:numId w:val="1002"/>
        </w:numPr>
      </w:pPr>
      <w:r>
        <w:rPr>
          <w:b/>
          <w:bCs/>
        </w:rPr>
        <w:t xml:space="preserve">[URGENT] Subpoena Harborstone Financial Group</w:t>
      </w:r>
      <w:r>
        <w:t xml:space="preserve"> </w:t>
      </w:r>
      <w:r>
        <w:t xml:space="preserve">for account ending 2291 — all records from January 2024 to present, including the $85,000 wire (WT-2024-061524-0087), beneficiary/ownership, and current balance. Consider an ex parte restraining order / asset-freeze if funds are being depleted.</w:t>
      </w:r>
    </w:p>
    <w:p>
      <w:pPr>
        <w:pStyle w:val="Compact"/>
        <w:numPr>
          <w:ilvl w:val="0"/>
          <w:numId w:val="1002"/>
        </w:numPr>
      </w:pPr>
      <w:r>
        <w:rPr>
          <w:b/>
          <w:bCs/>
        </w:rPr>
        <w:t xml:space="preserve">[URGENT] Send a preservation / litigation-hold demand</w:t>
      </w:r>
      <w:r>
        <w:t xml:space="preserve"> </w:t>
      </w:r>
      <w:r>
        <w:t xml:space="preserve">to Respondent and NovaBridge covering the Harborstone account, Venmo records, and all 2024 financial records, and consider a motion to compel supplementation of the Financial Declaration given the omissions in Part V.A.</w:t>
      </w:r>
    </w:p>
    <w:p>
      <w:pPr>
        <w:pStyle w:val="Compact"/>
        <w:numPr>
          <w:ilvl w:val="0"/>
          <w:numId w:val="1002"/>
        </w:numPr>
      </w:pPr>
      <w:r>
        <w:rPr>
          <w:b/>
          <w:bCs/>
        </w:rPr>
        <w:t xml:space="preserve">Demand supplementation of the Financial Declaration</w:t>
      </w:r>
      <w:r>
        <w:t xml:space="preserve"> </w:t>
      </w:r>
      <w:r>
        <w:t xml:space="preserve">to (a) disclose the 1035 Elm Street property, rental income, and mortgage; (b) correct the income figure to reflect K-1 ordinary business income ($367,200) plus investment/rental income; (c) add the Elm Street mortgage to liabilities; (d) correct the credit-card creditor and balance; (e) restate account balances as of the true separation date; and (f) identify</w:t>
      </w:r>
      <w:r>
        <w:t xml:space="preserve"> </w:t>
      </w:r>
      <w:r>
        <w:t xml:space="preserve">“</w:t>
      </w:r>
      <w:r>
        <w:t xml:space="preserve">Kiera M.</w:t>
      </w:r>
      <w:r>
        <w:t xml:space="preserve">”</w:t>
      </w:r>
      <w:r>
        <w:t xml:space="preserve"> </w:t>
      </w:r>
      <w:r>
        <w:t xml:space="preserve">and the $3,500 voluntary-contribution recipients.</w:t>
      </w:r>
    </w:p>
    <w:p>
      <w:pPr>
        <w:pStyle w:val="Compact"/>
        <w:numPr>
          <w:ilvl w:val="0"/>
          <w:numId w:val="1002"/>
        </w:numPr>
      </w:pPr>
      <w:r>
        <w:rPr>
          <w:b/>
          <w:bCs/>
        </w:rPr>
        <w:t xml:space="preserve">Interrogatory on the date of separation</w:t>
      </w:r>
      <w:r>
        <w:t xml:space="preserve"> </w:t>
      </w:r>
      <w:r>
        <w:t xml:space="preserve">— require Respondent to state the precise date cohabitation ceased and identify all evidence supporting it; reconcile the June 1 vs. August 1 discrepancy (Issue B-2).</w:t>
      </w:r>
    </w:p>
    <w:p>
      <w:pPr>
        <w:pStyle w:val="Compact"/>
        <w:numPr>
          <w:ilvl w:val="0"/>
          <w:numId w:val="1002"/>
        </w:numPr>
      </w:pPr>
      <w:r>
        <w:rPr>
          <w:b/>
          <w:bCs/>
        </w:rPr>
        <w:t xml:space="preserve">Demand the marital-residence mortgage statements</w:t>
      </w:r>
      <w:r>
        <w:t xml:space="preserve"> </w:t>
      </w:r>
      <w:r>
        <w:t xml:space="preserve">(418 Birchwood, Meridian) for 2023–2024 to verify the $218,400 balance and $1,842 payment.</w:t>
      </w:r>
    </w:p>
    <w:p>
      <w:pPr>
        <w:pStyle w:val="Compact"/>
        <w:numPr>
          <w:ilvl w:val="0"/>
          <w:numId w:val="1002"/>
        </w:numPr>
      </w:pPr>
      <w:r>
        <w:rPr>
          <w:b/>
          <w:bCs/>
        </w:rPr>
        <w:t xml:space="preserve">Demand joint-account statements</w:t>
      </w:r>
      <w:r>
        <w:t xml:space="preserve"> </w:t>
      </w:r>
      <w:r>
        <w:t xml:space="preserve">(FCB 4821, 4822) for at least January 2024–present; use to trace credit-card payment sources and household cash flow.</w:t>
      </w:r>
    </w:p>
    <w:p>
      <w:pPr>
        <w:pStyle w:val="Compact"/>
        <w:numPr>
          <w:ilvl w:val="0"/>
          <w:numId w:val="1002"/>
        </w:numPr>
      </w:pPr>
      <w:r>
        <w:rPr>
          <w:b/>
          <w:bCs/>
        </w:rPr>
        <w:t xml:space="preserve">Subpoena Pinnacle Retirement Services</w:t>
      </w:r>
      <w:r>
        <w:t xml:space="preserve"> </w:t>
      </w:r>
      <w:r>
        <w:t xml:space="preserve">for the 401(k) (acct. 3310) — statements, contribution history, loans, and the 8/1/24 $14,644.60 transaction.</w:t>
      </w:r>
    </w:p>
    <w:p>
      <w:pPr>
        <w:pStyle w:val="Compact"/>
        <w:numPr>
          <w:ilvl w:val="0"/>
          <w:numId w:val="1002"/>
        </w:numPr>
      </w:pPr>
      <w:r>
        <w:rPr>
          <w:b/>
          <w:bCs/>
        </w:rPr>
        <w:t xml:space="preserve">Demand all 2023–2024 pay stubs</w:t>
      </w:r>
      <w:r>
        <w:t xml:space="preserve"> </w:t>
      </w:r>
      <w:r>
        <w:t xml:space="preserve">and year-to-date earnings records to reconcile gross-to-net pay and confirm the $185,000 W-2 figure.</w:t>
      </w:r>
    </w:p>
    <w:p>
      <w:pPr>
        <w:pStyle w:val="Compact"/>
        <w:numPr>
          <w:ilvl w:val="0"/>
          <w:numId w:val="1002"/>
        </w:numPr>
      </w:pPr>
      <w:r>
        <w:rPr>
          <w:b/>
          <w:bCs/>
        </w:rPr>
        <w:t xml:space="preserve">Demand the complete 2023 federal return</w:t>
      </w:r>
      <w:r>
        <w:t xml:space="preserve"> </w:t>
      </w:r>
      <w:r>
        <w:t xml:space="preserve">(all 47 pages, including Schedules A, B, D, SE, Form 8995) and all 2021–2023 state returns.</w:t>
      </w:r>
    </w:p>
    <w:p>
      <w:pPr>
        <w:pStyle w:val="Compact"/>
        <w:numPr>
          <w:ilvl w:val="0"/>
          <w:numId w:val="1002"/>
        </w:numPr>
      </w:pPr>
      <w:r>
        <w:rPr>
          <w:b/>
          <w:bCs/>
        </w:rPr>
        <w:t xml:space="preserve">Set a firm deadline and meet-and-confer on NovaBridge entity records</w:t>
      </w:r>
      <w:r>
        <w:t xml:space="preserve"> </w:t>
      </w:r>
      <w:r>
        <w:t xml:space="preserve">(Req. 16–22): operating agreement (with § 5.3), 2020–2024 entity tax returns (Form 1065), financial statements, distribution minutes, and the expense-reimbursement policy. Consider a subpoena to NovaBridge and a Rule 30(b)(6) deposition.</w:t>
      </w:r>
    </w:p>
    <w:p>
      <w:pPr>
        <w:pStyle w:val="Compact"/>
        <w:numPr>
          <w:ilvl w:val="0"/>
          <w:numId w:val="1002"/>
        </w:numPr>
      </w:pPr>
      <w:r>
        <w:rPr>
          <w:b/>
          <w:bCs/>
        </w:rPr>
        <w:t xml:space="preserve">Retain a forensic accountant / business valuator</w:t>
      </w:r>
      <w:r>
        <w:t xml:space="preserve"> </w:t>
      </w:r>
      <w:r>
        <w:t xml:space="preserve">to (a) reconstruct Respondent’s true 2023–2024 income (K-1 vs. distributions), (b) value the 60% NovaBridge interest, and (c) trace the $85,000 wire and the Venmo-to-</w:t>
      </w:r>
      <w:r>
        <w:t xml:space="preserve">“</w:t>
      </w:r>
      <w:r>
        <w:t xml:space="preserve">Kiera M.</w:t>
      </w:r>
      <w:r>
        <w:t xml:space="preserve">”</w:t>
      </w:r>
      <w:r>
        <w:t xml:space="preserve"> </w:t>
      </w:r>
      <w:r>
        <w:t xml:space="preserve">transfers.</w:t>
      </w:r>
    </w:p>
    <w:p>
      <w:pPr>
        <w:pStyle w:val="Compact"/>
        <w:numPr>
          <w:ilvl w:val="0"/>
          <w:numId w:val="1002"/>
        </w:numPr>
      </w:pPr>
      <w:r>
        <w:rPr>
          <w:b/>
          <w:bCs/>
        </w:rPr>
        <w:t xml:space="preserve">Deposition topics for Darren Kwan:</w:t>
      </w:r>
      <w:r>
        <w:t xml:space="preserve"> </w:t>
      </w:r>
      <w:r>
        <w:t xml:space="preserve">date of separation and move to Harbor Point; the Elm Street property (acquisition, title, lease, rent); the $85,000 wire and Harborstone account;</w:t>
      </w:r>
      <w:r>
        <w:t xml:space="preserve"> </w:t>
      </w:r>
      <w:r>
        <w:t xml:space="preserve">“</w:t>
      </w:r>
      <w:r>
        <w:t xml:space="preserve">Kiera M.</w:t>
      </w:r>
      <w:r>
        <w:t xml:space="preserve">”</w:t>
      </w:r>
      <w:r>
        <w:t xml:space="preserve"> </w:t>
      </w:r>
      <w:r>
        <w:t xml:space="preserve">and all Venmo transfers; the $3,500 voluntary contributions; the TechVault/Pinnacle</w:t>
      </w:r>
      <w:r>
        <w:t xml:space="preserve"> </w:t>
      </w:r>
      <w:r>
        <w:t xml:space="preserve">“</w:t>
      </w:r>
      <w:r>
        <w:t xml:space="preserve">Personal Devices</w:t>
      </w:r>
      <w:r>
        <w:t xml:space="preserve">”</w:t>
      </w:r>
      <w:r>
        <w:t xml:space="preserve"> </w:t>
      </w:r>
      <w:r>
        <w:t xml:space="preserve">and Sapphire Sky Travel reimbursements; distribution policy and self-approved expenses; the 8/1/24 401(k) transfer.</w:t>
      </w:r>
    </w:p>
    <w:p>
      <w:pPr>
        <w:pStyle w:val="Compact"/>
        <w:numPr>
          <w:ilvl w:val="0"/>
          <w:numId w:val="1002"/>
        </w:numPr>
      </w:pPr>
      <w:r>
        <w:rPr>
          <w:b/>
          <w:bCs/>
        </w:rPr>
        <w:t xml:space="preserve">Depose Jared Ostrowski</w:t>
      </w:r>
      <w:r>
        <w:t xml:space="preserve"> </w:t>
      </w:r>
      <w:r>
        <w:t xml:space="preserve">(co-member) on distributions, expense approvals, and Respondent’s compensation, subject to any entity privilege/work-product boundaries.</w:t>
      </w:r>
    </w:p>
    <w:p>
      <w:pPr>
        <w:pStyle w:val="Compact"/>
        <w:numPr>
          <w:ilvl w:val="0"/>
          <w:numId w:val="1002"/>
        </w:numPr>
      </w:pPr>
      <w:r>
        <w:rPr>
          <w:b/>
          <w:bCs/>
        </w:rPr>
        <w:t xml:space="preserve">Challenge the privilege log</w:t>
      </w:r>
      <w:r>
        <w:t xml:space="preserve"> </w:t>
      </w:r>
      <w:r>
        <w:t xml:space="preserve">where appropriate — particularly PRIV-003 (</w:t>
      </w:r>
      <w:r>
        <w:t xml:space="preserve">“</w:t>
      </w:r>
      <w:r>
        <w:t xml:space="preserve">Preliminary analysis of marital estate</w:t>
      </w:r>
      <w:r>
        <w:t xml:space="preserve">”</w:t>
      </w:r>
      <w:r>
        <w:t xml:space="preserve">) for work-product limitations, and seek in camera review if factual communications are withheld; hold counsel to the 10-business-day deadline for the formal log.</w:t>
      </w:r>
    </w:p>
    <w:p>
      <w:pPr>
        <w:pStyle w:val="Compact"/>
        <w:numPr>
          <w:ilvl w:val="0"/>
          <w:numId w:val="1002"/>
        </w:numPr>
      </w:pPr>
      <w:r>
        <w:rPr>
          <w:b/>
          <w:bCs/>
        </w:rPr>
        <w:t xml:space="preserve">Meet-and-confer letter</w:t>
      </w:r>
      <w:r>
        <w:t xml:space="preserve"> </w:t>
      </w:r>
      <w:r>
        <w:t xml:space="preserve">addressing the production-metadata defects (Part V.G) and demanding a corrected, consistently Bates-stamped, dated production.</w:t>
      </w:r>
    </w:p>
    <w:p>
      <w:r>
        <w:pict>
          <v:rect style="width:0;height:1.5pt" o:hralign="center" o:hrstd="t" o:hr="t"/>
        </w:pict>
      </w:r>
    </w:p>
    <w:bookmarkEnd w:id="36"/>
    <w:bookmarkStart w:id="37" w:name="vii.-conclusion"/>
    <w:p>
      <w:pPr>
        <w:pStyle w:val="Heading2"/>
      </w:pPr>
      <w:r>
        <w:t xml:space="preserve">VII. Conclusion</w:t>
      </w:r>
    </w:p>
    <w:p>
      <w:pPr>
        <w:pStyle w:val="FirstParagraph"/>
      </w:pPr>
      <w:r>
        <w:t xml:space="preserve">The production is facially responsive but substantively incomplete and, in several material respects, inconsistent with the underlying records. The most serious findings are: (1) the</w:t>
      </w:r>
      <w:r>
        <w:t xml:space="preserve"> </w:t>
      </w:r>
      <w:r>
        <w:rPr>
          <w:b/>
          <w:bCs/>
        </w:rPr>
        <w:t xml:space="preserve">complete omission of the 1035 Elm Street rental property</w:t>
      </w:r>
      <w:r>
        <w:t xml:space="preserve"> </w:t>
      </w:r>
      <w:r>
        <w:t xml:space="preserve">(asset, income, and liability) from the sworn declaration; (2) an</w:t>
      </w:r>
      <w:r>
        <w:t xml:space="preserve"> </w:t>
      </w:r>
      <w:r>
        <w:rPr>
          <w:b/>
          <w:bCs/>
        </w:rPr>
        <w:t xml:space="preserve">$85,000 wire transfer to an undisclosed Harborstone Financial Group account</w:t>
      </w:r>
      <w:r>
        <w:t xml:space="preserve"> </w:t>
      </w:r>
      <w:r>
        <w:t xml:space="preserve">two weeks after the stated separation date; (3) an</w:t>
      </w:r>
      <w:r>
        <w:t xml:space="preserve"> </w:t>
      </w:r>
      <w:r>
        <w:rPr>
          <w:b/>
          <w:bCs/>
        </w:rPr>
        <w:t xml:space="preserve">~$212,740 understatement of 2023 income</w:t>
      </w:r>
      <w:r>
        <w:t xml:space="preserve">, driven by reporting cash distributions ($174,000) instead of K-1 ordinary business income ($367,200) and omitting investment/rental income; (4) an</w:t>
      </w:r>
      <w:r>
        <w:t xml:space="preserve"> </w:t>
      </w:r>
      <w:r>
        <w:rPr>
          <w:b/>
          <w:bCs/>
        </w:rPr>
        <w:t xml:space="preserve">internal inconsistency in the date of separation</w:t>
      </w:r>
      <w:r>
        <w:t xml:space="preserve"> </w:t>
      </w:r>
      <w:r>
        <w:t xml:space="preserve">(June 1 vs. August 1, 2024); and (5)</w:t>
      </w:r>
      <w:r>
        <w:t xml:space="preserve"> </w:t>
      </w:r>
      <w:r>
        <w:rPr>
          <w:b/>
          <w:bCs/>
        </w:rPr>
        <w:t xml:space="preserve">recurring undisclosed transfers</w:t>
      </w:r>
      <w:r>
        <w:t xml:space="preserve"> </w:t>
      </w:r>
      <w:r>
        <w:t xml:space="preserve">to</w:t>
      </w:r>
      <w:r>
        <w:t xml:space="preserve"> </w:t>
      </w:r>
      <w:r>
        <w:t xml:space="preserve">“</w:t>
      </w:r>
      <w:r>
        <w:t xml:space="preserve">Kiera M.</w:t>
      </w:r>
      <w:r>
        <w:t xml:space="preserve">”</w:t>
      </w:r>
      <w:r>
        <w:t xml:space="preserve"> </w:t>
      </w:r>
      <w:r>
        <w:t xml:space="preserve">(~$14,600) and a self-approved expense-reimbursement structure that appears to have funded personal purchases. Several critical records — the marital-residence mortgage statements, joint-account statements, 401(k) statements, pay stubs, the complete tax return, and NovaBridge entity records — were not produced and must be pursued. I recommend we initiate the urgent items (1–2) this week and prepare a meet-and-confer and motion-to-compel framework for the remaining gaps.</w:t>
      </w:r>
    </w:p>
    <w:p>
      <w:pPr>
        <w:pStyle w:val="BodyText"/>
      </w:pPr>
      <w:r>
        <w:rPr>
          <w:i/>
          <w:iCs/>
        </w:rPr>
        <w:t xml:space="preserve">Prepared by Jordan Reeves for internal case use. Privileged and confidential — attorney work product.</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2026-06-27T20:25:46Z</dcterms:created>
  <dcterms:modified xsi:type="dcterms:W3CDTF">2026-06-27T20:25:46Z</dcterms:modified>
</cp:coreProperties>
</file>

<file path=docProps/custom.xml><?xml version="1.0" encoding="utf-8"?>
<Properties xmlns="http://schemas.openxmlformats.org/officeDocument/2006/custom-properties" xmlns:vt="http://schemas.openxmlformats.org/officeDocument/2006/docPropsVTypes"/>
</file>