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59" w:lineRule="auto"/>
        <w:jc w:val="center"/>
      </w:pPr>
      <w:r>
        <w:rPr>
          <w:rFonts w:ascii="Times New Roman" w:hAnsi="Times New Roman"/>
          <w:b/>
          <w:i w:val="0"/>
          <w:color w:val="1F2A44"/>
          <w:sz w:val="36"/>
        </w:rPr>
        <w:t>WHITFIELD &amp; CRANE LLP</w:t>
      </w:r>
    </w:p>
    <w:p>
      <w:pPr>
        <w:spacing w:after="0" w:line="259" w:lineRule="auto"/>
        <w:jc w:val="center"/>
      </w:pPr>
      <w:r>
        <w:rPr>
          <w:rFonts w:ascii="Times New Roman" w:hAnsi="Times New Roman"/>
          <w:b w:val="0"/>
          <w:i/>
          <w:color w:val="595959"/>
          <w:sz w:val="21"/>
        </w:rPr>
        <w:t>Attorneys at Law</w:t>
      </w:r>
    </w:p>
    <w:p>
      <w:pPr>
        <w:spacing w:after="40" w:line="259" w:lineRule="auto"/>
        <w:jc w:val="center"/>
      </w:pPr>
      <w:r>
        <w:rPr>
          <w:rFonts w:ascii="Times New Roman" w:hAnsi="Times New Roman"/>
          <w:b w:val="0"/>
          <w:i w:val="0"/>
          <w:color w:val="595959"/>
          <w:sz w:val="18"/>
        </w:rPr>
        <w:t>840 Third Avenue, 28th Floor  |  New York, NY 10022  |  Tel +1 (212) 555-0140  |  www.whitfieldcrane.com</w:t>
      </w:r>
    </w:p>
    <w:p>
      <w:pPr>
        <w:spacing w:after="40" w:line="259" w:lineRule="auto"/>
        <w:pBdr>
          <w:bottom w:val="single" w:sz="12" w:space="2" w:color="1F2A44"/>
        </w:pBdr>
      </w:pPr>
    </w:p>
    <w:p>
      <w:pPr>
        <w:spacing w:after="160" w:line="259" w:lineRule="auto" w:before="80"/>
        <w:jc w:val="center"/>
      </w:pPr>
      <w:r>
        <w:rPr>
          <w:rFonts w:ascii="Times New Roman" w:hAnsi="Times New Roman"/>
          <w:b/>
          <w:i w:val="0"/>
          <w:color w:val="A61C00"/>
          <w:sz w:val="20"/>
        </w:rPr>
        <w:t>PRIVILEGED &amp; CONFIDENTIAL  —  ATTORNEY-CLIENT COMMUNICATION / ATTORNEY WORK PRODUCT</w:t>
      </w:r>
    </w:p>
    <w:p>
      <w:pPr>
        <w:spacing w:after="160" w:line="259" w:lineRule="auto" w:before="40"/>
        <w:jc w:val="center"/>
      </w:pPr>
      <w:r>
        <w:rPr>
          <w:rFonts w:ascii="Times New Roman" w:hAnsi="Times New Roman"/>
          <w:b/>
          <w:i w:val="0"/>
          <w:color w:val="1F2A44"/>
          <w:sz w:val="32"/>
        </w:rPr>
        <w:t>MEMORANDUM</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1296"/>
        <w:gridCol w:w="8064"/>
      </w:tblGrid>
      <w:tr>
        <w:tc>
          <w:tcPr>
            <w:tcW w:type="dxa" w:w="1296"/>
            <w:tcMar>
              <w:top w:w="20" w:type="dxa"/>
              <w:bottom w:w="20" w:type="dxa"/>
              <w:start w:w="0" w:type="dxa"/>
              <w:end w:w="40" w:type="dxa"/>
            </w:tcMar>
          </w:tcPr>
          <w:p>
            <w:pPr>
              <w:spacing w:after="40"/>
            </w:pPr>
            <w:r>
              <w:rPr>
                <w:rFonts w:ascii="Times New Roman" w:hAnsi="Times New Roman"/>
                <w:b/>
                <w:i w:val="0"/>
                <w:color w:val="1F2A44"/>
                <w:sz w:val="21"/>
              </w:rPr>
              <w:t>TO:</w:t>
            </w:r>
          </w:p>
        </w:tc>
        <w:tc>
          <w:tcPr>
            <w:tcW w:type="dxa" w:w="8064"/>
            <w:tcMar>
              <w:top w:w="20" w:type="dxa"/>
              <w:bottom w:w="20" w:type="dxa"/>
              <w:start w:w="40" w:type="dxa"/>
              <w:end w:w="0" w:type="dxa"/>
            </w:tcMar>
          </w:tcPr>
          <w:p>
            <w:pPr>
              <w:spacing w:after="40"/>
            </w:pPr>
            <w:r>
              <w:rPr>
                <w:rFonts w:ascii="Times New Roman" w:hAnsi="Times New Roman"/>
                <w:b w:val="0"/>
                <w:i w:val="0"/>
                <w:color w:val="000000"/>
                <w:sz w:val="21"/>
              </w:rPr>
              <w:t>Angela R. Matsuda, General Counsel — Greenleaf Nutritionals, Inc.</w:t>
            </w:r>
          </w:p>
          <w:p>
            <w:pPr>
              <w:spacing w:after="40"/>
            </w:pPr>
            <w:r>
              <w:rPr>
                <w:rFonts w:ascii="Times New Roman" w:hAnsi="Times New Roman"/>
                <w:b w:val="0"/>
                <w:i w:val="0"/>
                <w:color w:val="000000"/>
                <w:sz w:val="21"/>
              </w:rPr>
              <w:t>David T. Heller, Chief Executive Officer — Greenleaf Nutritionals, Inc.</w:t>
            </w:r>
          </w:p>
          <w:p>
            <w:pPr>
              <w:spacing w:after="40"/>
            </w:pPr>
            <w:r>
              <w:rPr>
                <w:rFonts w:ascii="Times New Roman" w:hAnsi="Times New Roman"/>
                <w:b w:val="0"/>
                <w:i w:val="0"/>
                <w:color w:val="000000"/>
                <w:sz w:val="21"/>
              </w:rPr>
              <w:t>Jonathan F. Park, Deal Partner — Ridgeway Capital Partners</w:t>
            </w:r>
          </w:p>
        </w:tc>
      </w:tr>
      <w:tr>
        <w:tc>
          <w:tcPr>
            <w:tcW w:type="dxa" w:w="1296"/>
            <w:tcMar>
              <w:top w:w="20" w:type="dxa"/>
              <w:bottom w:w="20" w:type="dxa"/>
              <w:start w:w="0" w:type="dxa"/>
              <w:end w:w="40" w:type="dxa"/>
            </w:tcMar>
          </w:tcPr>
          <w:p>
            <w:pPr>
              <w:spacing w:after="40"/>
            </w:pPr>
            <w:r>
              <w:rPr>
                <w:rFonts w:ascii="Times New Roman" w:hAnsi="Times New Roman"/>
                <w:b/>
                <w:i w:val="0"/>
                <w:color w:val="1F2A44"/>
                <w:sz w:val="21"/>
              </w:rPr>
              <w:t>FROM:</w:t>
            </w:r>
          </w:p>
        </w:tc>
        <w:tc>
          <w:tcPr>
            <w:tcW w:type="dxa" w:w="8064"/>
            <w:tcMar>
              <w:top w:w="20" w:type="dxa"/>
              <w:bottom w:w="20" w:type="dxa"/>
              <w:start w:w="40" w:type="dxa"/>
              <w:end w:w="0" w:type="dxa"/>
            </w:tcMar>
          </w:tcPr>
          <w:p>
            <w:pPr>
              <w:spacing w:after="40"/>
            </w:pPr>
            <w:r>
              <w:rPr>
                <w:rFonts w:ascii="Times New Roman" w:hAnsi="Times New Roman"/>
                <w:b w:val="0"/>
                <w:i w:val="0"/>
                <w:color w:val="000000"/>
                <w:sz w:val="21"/>
              </w:rPr>
              <w:t>Marcus J. Elliott, Partner</w:t>
            </w:r>
          </w:p>
          <w:p>
            <w:pPr>
              <w:spacing w:after="40"/>
            </w:pPr>
            <w:r>
              <w:rPr>
                <w:rFonts w:ascii="Times New Roman" w:hAnsi="Times New Roman"/>
                <w:b w:val="0"/>
                <w:i w:val="0"/>
                <w:color w:val="000000"/>
                <w:sz w:val="21"/>
              </w:rPr>
              <w:t>Sophia Bransfield — Whitfield &amp; Crane LLP</w:t>
            </w:r>
          </w:p>
        </w:tc>
      </w:tr>
      <w:tr>
        <w:tc>
          <w:tcPr>
            <w:tcW w:type="dxa" w:w="1296"/>
            <w:tcMar>
              <w:top w:w="20" w:type="dxa"/>
              <w:bottom w:w="20" w:type="dxa"/>
              <w:start w:w="0" w:type="dxa"/>
              <w:end w:w="40" w:type="dxa"/>
            </w:tcMar>
          </w:tcPr>
          <w:p>
            <w:pPr>
              <w:spacing w:after="40"/>
            </w:pPr>
            <w:r>
              <w:rPr>
                <w:rFonts w:ascii="Times New Roman" w:hAnsi="Times New Roman"/>
                <w:b/>
                <w:i w:val="0"/>
                <w:color w:val="1F2A44"/>
                <w:sz w:val="21"/>
              </w:rPr>
              <w:t>DATE:</w:t>
            </w:r>
          </w:p>
        </w:tc>
        <w:tc>
          <w:tcPr>
            <w:tcW w:type="dxa" w:w="8064"/>
            <w:tcMar>
              <w:top w:w="20" w:type="dxa"/>
              <w:bottom w:w="20" w:type="dxa"/>
              <w:start w:w="40" w:type="dxa"/>
              <w:end w:w="0" w:type="dxa"/>
            </w:tcMar>
          </w:tcPr>
          <w:p>
            <w:pPr>
              <w:spacing w:after="40"/>
            </w:pPr>
            <w:r>
              <w:rPr>
                <w:rFonts w:ascii="Times New Roman" w:hAnsi="Times New Roman"/>
                <w:b w:val="0"/>
                <w:i w:val="0"/>
                <w:color w:val="000000"/>
                <w:sz w:val="21"/>
              </w:rPr>
              <w:t>July 8, 2025</w:t>
            </w:r>
          </w:p>
        </w:tc>
      </w:tr>
      <w:tr>
        <w:tc>
          <w:tcPr>
            <w:tcW w:type="dxa" w:w="1296"/>
            <w:tcMar>
              <w:top w:w="20" w:type="dxa"/>
              <w:bottom w:w="20" w:type="dxa"/>
              <w:start w:w="0" w:type="dxa"/>
              <w:end w:w="40" w:type="dxa"/>
            </w:tcMar>
          </w:tcPr>
          <w:p>
            <w:pPr>
              <w:spacing w:after="40"/>
            </w:pPr>
            <w:r>
              <w:rPr>
                <w:rFonts w:ascii="Times New Roman" w:hAnsi="Times New Roman"/>
                <w:b/>
                <w:i w:val="0"/>
                <w:color w:val="1F2A44"/>
                <w:sz w:val="21"/>
              </w:rPr>
              <w:t>RE:</w:t>
            </w:r>
          </w:p>
        </w:tc>
        <w:tc>
          <w:tcPr>
            <w:tcW w:type="dxa" w:w="8064"/>
            <w:tcMar>
              <w:top w:w="20" w:type="dxa"/>
              <w:bottom w:w="20" w:type="dxa"/>
              <w:start w:w="40" w:type="dxa"/>
              <w:end w:w="0" w:type="dxa"/>
            </w:tcMar>
          </w:tcPr>
          <w:p>
            <w:pPr>
              <w:spacing w:after="40"/>
            </w:pPr>
            <w:r>
              <w:rPr>
                <w:rFonts w:ascii="Times New Roman" w:hAnsi="Times New Roman"/>
                <w:b w:val="0"/>
                <w:i w:val="0"/>
                <w:color w:val="000000"/>
                <w:sz w:val="21"/>
              </w:rPr>
              <w:t>Severity-Rated Issues Memo — Arbitration and Dispute Resolution Provisions Across the Pacifica Botanics / Greenleaf Nutritionals Transaction Documents (Exclusive Supply Agreement, Quality Assurance Side Letter, and IP License Agreement)</w:t>
            </w:r>
          </w:p>
        </w:tc>
      </w:tr>
    </w:tbl>
    <w:p>
      <w:pPr>
        <w:spacing w:after="40" w:line="259" w:lineRule="auto" w:before="80"/>
        <w:pBdr>
          <w:bottom w:val="single" w:sz="6" w:space="2" w:color="BFBFBF"/>
        </w:pBdr>
      </w:pPr>
    </w:p>
    <w:p>
      <w:pPr>
        <w:spacing w:after="80" w:line="259" w:lineRule="auto" w:before="280"/>
        <w:pBdr>
          <w:bottom w:val="single" w:sz="6" w:space="2" w:color="1F2A44"/>
        </w:pBdr>
      </w:pPr>
      <w:r>
        <w:rPr>
          <w:rFonts w:ascii="Times New Roman" w:hAnsi="Times New Roman"/>
          <w:b/>
          <w:i w:val="0"/>
          <w:color w:val="1F2A44"/>
          <w:sz w:val="25"/>
        </w:rPr>
        <w:t>I.  Introduction and Scope</w:t>
      </w:r>
    </w:p>
    <w:p>
      <w:pPr>
        <w:spacing w:after="120" w:line="259" w:lineRule="auto"/>
      </w:pPr>
      <w:r>
        <w:rPr>
          <w:rFonts w:ascii="Times New Roman" w:hAnsi="Times New Roman"/>
          <w:b w:val="0"/>
          <w:i w:val="0"/>
          <w:color w:val="000000"/>
          <w:sz w:val="22"/>
        </w:rPr>
        <w:t>This memorandum sets forth our severity-rated review of the arbitration and dispute resolution provisions across the three principal transaction documents (collectively, the “Transaction Documents”) comprising the strategic supply relationship between Pacifica Botanics Pte. Ltd. (“Pacifica”) and Greenleaf Nutritionals, Inc. (“Greenleaf”): (i) the Exclusive Supply Agreement (the “SA”); (ii) the Quality Assurance Side Letter (the “QA Letter”); and (iii) the IP License Agreement (the “IPLA”). Our review also considers the July 3, 2025 summary memorandum from Harmon &amp; Grey LLP (“Harmon &amp; Grey”), Pacifica’s counsel, explaining the rationale for the dispute resolution architecture, and the internal Greenleaf / Ridgeway Capital Partners (“Ridgeway”) email chain dated June 30–July 1, 2025 identifying Greenleaf’s negotiating priorities.</w:t>
      </w:r>
    </w:p>
    <w:p>
      <w:pPr>
        <w:spacing w:after="120" w:line="259" w:lineRule="auto"/>
      </w:pPr>
      <w:r>
        <w:rPr>
          <w:rFonts w:ascii="Times New Roman" w:hAnsi="Times New Roman"/>
          <w:b w:val="0"/>
          <w:i w:val="0"/>
          <w:color w:val="000000"/>
          <w:sz w:val="22"/>
        </w:rPr>
        <w:t>The Transaction Documents establish a seven-year exclusive supply relationship (with two automatic three-year renewals, potentially extending to thirteen years through July 31, 2038) and aggregate minimum purchase commitments of approximately USD $178 million over the initial term, with total commitments potentially exceeding $250 million including renewals. Given the scale, duration, and exclusivity of the relationship, the enforceability and workability of the dispute resolution framework is a threshold concern. This memorandum is delivered in advance of the July 11, 2025 review deadline and the anticipated July 18, 2025 signing.</w:t>
      </w:r>
    </w:p>
    <w:p>
      <w:pPr>
        <w:spacing w:after="120" w:line="259" w:lineRule="auto"/>
      </w:pPr>
      <w:r>
        <w:rPr>
          <w:rFonts w:ascii="Times New Roman" w:hAnsi="Times New Roman"/>
          <w:b w:val="0"/>
          <w:i w:val="0"/>
          <w:color w:val="000000"/>
          <w:sz w:val="22"/>
        </w:rPr>
        <w:t>We have identified eighteen discrete issues, rated by severity. Three are Critical and should be resolved before signing; five are High and require negotiation; five are Medium drafting inconsistencies; and five are Low / informational. A consolidated severity table appears in Section III, followed by detailed analysis and recommendations. Section VIII sets out cross-cutting recommendations, and Section IX proposes a negotiating sequence.</w:t>
      </w:r>
    </w:p>
    <w:p>
      <w:pPr>
        <w:spacing w:after="80" w:line="259" w:lineRule="auto" w:before="280"/>
        <w:pBdr>
          <w:bottom w:val="single" w:sz="6" w:space="2" w:color="1F2A44"/>
        </w:pBdr>
      </w:pPr>
      <w:r>
        <w:rPr>
          <w:rFonts w:ascii="Times New Roman" w:hAnsi="Times New Roman"/>
          <w:b/>
          <w:i w:val="0"/>
          <w:color w:val="1F2A44"/>
          <w:sz w:val="25"/>
        </w:rPr>
        <w:t>II.  Documents Reviewed</w:t>
      </w:r>
    </w:p>
    <w:p>
      <w:pPr>
        <w:pStyle w:val="ListBullet"/>
        <w:spacing w:after="80" w:line="259" w:lineRule="auto"/>
      </w:pPr>
      <w:r>
        <w:rPr>
          <w:rFonts w:ascii="Times New Roman" w:hAnsi="Times New Roman"/>
          <w:b/>
          <w:i w:val="0"/>
          <w:color w:val="000000"/>
          <w:sz w:val="22"/>
        </w:rPr>
        <w:t xml:space="preserve">SA:  </w:t>
      </w:r>
      <w:r>
        <w:rPr>
          <w:rFonts w:ascii="Times New Roman" w:hAnsi="Times New Roman"/>
          <w:b w:val="0"/>
          <w:i w:val="0"/>
          <w:color w:val="000000"/>
          <w:sz w:val="22"/>
        </w:rPr>
        <w:t>Exclusive Supply Agreement (execution draft, July 18, 2025) — Article 14 (Dispute Resolution) and related provisions (Articles 2, 7, 10, 11, 13, 15).</w:t>
      </w:r>
    </w:p>
    <w:p>
      <w:pPr>
        <w:pStyle w:val="ListBullet"/>
        <w:spacing w:after="80" w:line="259" w:lineRule="auto"/>
      </w:pPr>
      <w:r>
        <w:rPr>
          <w:rFonts w:ascii="Times New Roman" w:hAnsi="Times New Roman"/>
          <w:b/>
          <w:i w:val="0"/>
          <w:color w:val="000000"/>
          <w:sz w:val="22"/>
        </w:rPr>
        <w:t xml:space="preserve">QA Letter:  </w:t>
      </w:r>
      <w:r>
        <w:rPr>
          <w:rFonts w:ascii="Times New Roman" w:hAnsi="Times New Roman"/>
          <w:b w:val="0"/>
          <w:i w:val="0"/>
          <w:color w:val="000000"/>
          <w:sz w:val="22"/>
        </w:rPr>
        <w:t>Quality Assurance Side Letter (dated August 1, 2025) — Section 7 (Dispute Resolution) and related provisions (Sections 3, 4, 5, 6, 8).</w:t>
      </w:r>
    </w:p>
    <w:p>
      <w:pPr>
        <w:pStyle w:val="ListBullet"/>
        <w:spacing w:after="80" w:line="259" w:lineRule="auto"/>
      </w:pPr>
      <w:r>
        <w:rPr>
          <w:rFonts w:ascii="Times New Roman" w:hAnsi="Times New Roman"/>
          <w:b/>
          <w:i w:val="0"/>
          <w:color w:val="000000"/>
          <w:sz w:val="22"/>
        </w:rPr>
        <w:t xml:space="preserve">IPLA:  </w:t>
      </w:r>
      <w:r>
        <w:rPr>
          <w:rFonts w:ascii="Times New Roman" w:hAnsi="Times New Roman"/>
          <w:b w:val="0"/>
          <w:i w:val="0"/>
          <w:color w:val="000000"/>
          <w:sz w:val="22"/>
        </w:rPr>
        <w:t>IP License Agreement (execution draft, July 18, 2025) — Section 9 (Dispute Resolution) and related provisions (Sections 2, 6, 8, 10).</w:t>
      </w:r>
    </w:p>
    <w:p>
      <w:pPr>
        <w:pStyle w:val="ListBullet"/>
        <w:spacing w:after="80" w:line="259" w:lineRule="auto"/>
      </w:pPr>
      <w:r>
        <w:rPr>
          <w:rFonts w:ascii="Times New Roman" w:hAnsi="Times New Roman"/>
          <w:b/>
          <w:i w:val="0"/>
          <w:color w:val="000000"/>
          <w:sz w:val="22"/>
        </w:rPr>
        <w:t xml:space="preserve">H&amp;G Memo:  </w:t>
      </w:r>
      <w:r>
        <w:rPr>
          <w:rFonts w:ascii="Times New Roman" w:hAnsi="Times New Roman"/>
          <w:b w:val="0"/>
          <w:i w:val="0"/>
          <w:color w:val="000000"/>
          <w:sz w:val="22"/>
        </w:rPr>
        <w:t>Harmon &amp; Grey LLP summary memorandum dated July 3, 2025 (“Dispute Resolution Architecture” rationale).</w:t>
      </w:r>
    </w:p>
    <w:p>
      <w:pPr>
        <w:pStyle w:val="ListBullet"/>
        <w:spacing w:after="80" w:line="259" w:lineRule="auto"/>
      </w:pPr>
      <w:r>
        <w:rPr>
          <w:rFonts w:ascii="Times New Roman" w:hAnsi="Times New Roman"/>
          <w:b/>
          <w:i w:val="0"/>
          <w:color w:val="000000"/>
          <w:sz w:val="22"/>
        </w:rPr>
        <w:t xml:space="preserve">Email Chain:  </w:t>
      </w:r>
      <w:r>
        <w:rPr>
          <w:rFonts w:ascii="Times New Roman" w:hAnsi="Times New Roman"/>
          <w:b w:val="0"/>
          <w:i w:val="0"/>
          <w:color w:val="000000"/>
          <w:sz w:val="22"/>
        </w:rPr>
        <w:t>Internal Greenleaf / Ridgeway email chain dated June 30–July 1, 2025 (dispute resolution priorities for W&amp;C review).</w:t>
      </w:r>
    </w:p>
    <w:p>
      <w:pPr>
        <w:spacing w:after="80" w:line="259" w:lineRule="auto" w:before="280"/>
        <w:pBdr>
          <w:bottom w:val="single" w:sz="6" w:space="2" w:color="1F2A44"/>
        </w:pBdr>
      </w:pPr>
      <w:r>
        <w:rPr>
          <w:rFonts w:ascii="Times New Roman" w:hAnsi="Times New Roman"/>
          <w:b/>
          <w:i w:val="0"/>
          <w:color w:val="1F2A44"/>
          <w:sz w:val="25"/>
        </w:rPr>
        <w:t>III.  Executive Summary — Severity-Rated Issue Register</w:t>
      </w:r>
    </w:p>
    <w:p>
      <w:pPr>
        <w:spacing w:after="120" w:line="259" w:lineRule="auto"/>
      </w:pPr>
      <w:r>
        <w:rPr>
          <w:rFonts w:ascii="Times New Roman" w:hAnsi="Times New Roman"/>
          <w:b w:val="0"/>
          <w:i w:val="0"/>
          <w:color w:val="000000"/>
          <w:sz w:val="22"/>
        </w:rPr>
        <w:t>The following table summarizes all identified issues. “Severity” reflects the degree of legal or commercial risk and the urgency of remediation. Detailed analysis and recommendations follow in Sections IV–VII.</w:t>
      </w:r>
    </w:p>
    <w:tbl>
      <w:tblPr>
        <w:tblW w:type="auto" w:w="0"/>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2A44"/>
            <w:tcMar>
              <w:top w:w="40" w:type="dxa"/>
              <w:bottom w:w="40" w:type="dxa"/>
              <w:start w:w="80" w:type="dxa"/>
              <w:end w:w="80" w:type="dxa"/>
            </w:tcMar>
          </w:tcPr>
          <w:p>
            <w:pPr>
              <w:spacing w:after="0"/>
              <w:jc w:val="center"/>
            </w:pPr>
            <w:r>
              <w:rPr>
                <w:rFonts w:ascii="Times New Roman" w:hAnsi="Times New Roman"/>
                <w:b/>
                <w:i w:val="0"/>
                <w:color w:val="FFFFFF"/>
                <w:sz w:val="19"/>
              </w:rPr>
              <w:t>No.</w:t>
            </w:r>
          </w:p>
        </w:tc>
        <w:tc>
          <w:tcPr>
            <w:tcW w:type="dxa" w:w="2340"/>
            <w:shd w:val="clear" w:color="auto" w:fill="1F2A44"/>
            <w:tcMar>
              <w:top w:w="40" w:type="dxa"/>
              <w:bottom w:w="40" w:type="dxa"/>
              <w:start w:w="80" w:type="dxa"/>
              <w:end w:w="80" w:type="dxa"/>
            </w:tcMar>
          </w:tcPr>
          <w:p>
            <w:pPr>
              <w:spacing w:after="0"/>
              <w:jc w:val="center"/>
            </w:pPr>
            <w:r>
              <w:rPr>
                <w:rFonts w:ascii="Times New Roman" w:hAnsi="Times New Roman"/>
                <w:b/>
                <w:i w:val="0"/>
                <w:color w:val="FFFFFF"/>
                <w:sz w:val="19"/>
              </w:rPr>
              <w:t>Severity</w:t>
            </w:r>
          </w:p>
        </w:tc>
        <w:tc>
          <w:tcPr>
            <w:tcW w:type="dxa" w:w="2340"/>
            <w:shd w:val="clear" w:color="auto" w:fill="1F2A44"/>
            <w:tcMar>
              <w:top w:w="40" w:type="dxa"/>
              <w:bottom w:w="40" w:type="dxa"/>
              <w:start w:w="80" w:type="dxa"/>
              <w:end w:w="80" w:type="dxa"/>
            </w:tcMar>
          </w:tcPr>
          <w:p>
            <w:pPr>
              <w:spacing w:after="0"/>
              <w:jc w:val="left"/>
            </w:pPr>
            <w:r>
              <w:rPr>
                <w:rFonts w:ascii="Times New Roman" w:hAnsi="Times New Roman"/>
                <w:b/>
                <w:i w:val="0"/>
                <w:color w:val="FFFFFF"/>
                <w:sz w:val="19"/>
              </w:rPr>
              <w:t>Issue</w:t>
            </w:r>
          </w:p>
        </w:tc>
        <w:tc>
          <w:tcPr>
            <w:tcW w:type="dxa" w:w="2340"/>
            <w:shd w:val="clear" w:color="auto" w:fill="1F2A44"/>
            <w:tcMar>
              <w:top w:w="40" w:type="dxa"/>
              <w:bottom w:w="40" w:type="dxa"/>
              <w:start w:w="80" w:type="dxa"/>
              <w:end w:w="80" w:type="dxa"/>
            </w:tcMar>
          </w:tcPr>
          <w:p>
            <w:pPr>
              <w:spacing w:after="0"/>
              <w:jc w:val="left"/>
            </w:pPr>
            <w:r>
              <w:rPr>
                <w:rFonts w:ascii="Times New Roman" w:hAnsi="Times New Roman"/>
                <w:b/>
                <w:i w:val="0"/>
                <w:color w:val="FFFFFF"/>
                <w:sz w:val="19"/>
              </w:rPr>
              <w:t>Key Provision(s)</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A61C00"/>
                <w:sz w:val="19"/>
              </w:rPr>
              <w:t>C1</w:t>
            </w:r>
          </w:p>
        </w:tc>
        <w:tc>
          <w:tcPr>
            <w:tcW w:type="dxa" w:w="1368"/>
            <w:shd w:val="clear" w:color="auto" w:fill="F4CCCC"/>
            <w:tcMar>
              <w:top w:w="40" w:type="dxa"/>
              <w:bottom w:w="40" w:type="dxa"/>
              <w:start w:w="80" w:type="dxa"/>
              <w:end w:w="80" w:type="dxa"/>
            </w:tcMar>
          </w:tcPr>
          <w:p>
            <w:pPr>
              <w:spacing w:after="0"/>
              <w:jc w:val="center"/>
            </w:pPr>
            <w:r>
              <w:rPr>
                <w:rFonts w:ascii="Times New Roman" w:hAnsi="Times New Roman"/>
                <w:b/>
                <w:i w:val="0"/>
                <w:color w:val="A61C00"/>
                <w:sz w:val="19"/>
              </w:rPr>
              <w:t>Critical</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Conflicting consolidation / coordination provisions across the three documents (pathological-clause risk)</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IPLA §9.3; SA §15.8; QA §8.1; IPLA §10.3</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A61C00"/>
                <w:sz w:val="19"/>
              </w:rPr>
              <w:t>C2</w:t>
            </w:r>
          </w:p>
        </w:tc>
        <w:tc>
          <w:tcPr>
            <w:tcW w:type="dxa" w:w="1368"/>
            <w:shd w:val="clear" w:color="auto" w:fill="F4CCCC"/>
            <w:tcMar>
              <w:top w:w="40" w:type="dxa"/>
              <w:bottom w:w="40" w:type="dxa"/>
              <w:start w:w="80" w:type="dxa"/>
              <w:end w:w="80" w:type="dxa"/>
            </w:tcMar>
          </w:tcPr>
          <w:p>
            <w:pPr>
              <w:spacing w:after="0"/>
              <w:jc w:val="center"/>
            </w:pPr>
            <w:r>
              <w:rPr>
                <w:rFonts w:ascii="Times New Roman" w:hAnsi="Times New Roman"/>
                <w:b/>
                <w:i w:val="0"/>
                <w:color w:val="A61C00"/>
                <w:sz w:val="19"/>
              </w:rPr>
              <w:t>Critical</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Consequential damages waiver combined with exclusivity, recall-cost subordination, and internal inconsistency</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SA §14.11; SA §11.2; SA §2.1; QA §6.1, §6.6; IPLA §8.3</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A61C00"/>
                <w:sz w:val="19"/>
              </w:rPr>
              <w:t>C3</w:t>
            </w:r>
          </w:p>
        </w:tc>
        <w:tc>
          <w:tcPr>
            <w:tcW w:type="dxa" w:w="1368"/>
            <w:shd w:val="clear" w:color="auto" w:fill="F4CCCC"/>
            <w:tcMar>
              <w:top w:w="40" w:type="dxa"/>
              <w:bottom w:w="40" w:type="dxa"/>
              <w:start w:w="80" w:type="dxa"/>
              <w:end w:w="80" w:type="dxa"/>
            </w:tcMar>
          </w:tcPr>
          <w:p>
            <w:pPr>
              <w:spacing w:after="0"/>
              <w:jc w:val="center"/>
            </w:pPr>
            <w:r>
              <w:rPr>
                <w:rFonts w:ascii="Times New Roman" w:hAnsi="Times New Roman"/>
                <w:b/>
                <w:i w:val="0"/>
                <w:color w:val="A61C00"/>
                <w:sz w:val="19"/>
              </w:rPr>
              <w:t>Critical</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Appeal on questions of law to the High Court of Singapore — legal error and curial-regime ambiguity</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SA §14.6; SA §14.2; SA §14.4</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C45A11"/>
                <w:sz w:val="19"/>
              </w:rPr>
              <w:t>H1</w:t>
            </w:r>
          </w:p>
        </w:tc>
        <w:tc>
          <w:tcPr>
            <w:tcW w:type="dxa" w:w="1368"/>
            <w:shd w:val="clear" w:color="auto" w:fill="FCE5CD"/>
            <w:tcMar>
              <w:top w:w="40" w:type="dxa"/>
              <w:bottom w:w="40" w:type="dxa"/>
              <w:start w:w="80" w:type="dxa"/>
              <w:end w:w="80" w:type="dxa"/>
            </w:tcMar>
          </w:tcPr>
          <w:p>
            <w:pPr>
              <w:spacing w:after="0"/>
              <w:jc w:val="center"/>
            </w:pPr>
            <w:r>
              <w:rPr>
                <w:rFonts w:ascii="Times New Roman" w:hAnsi="Times New Roman"/>
                <w:b/>
                <w:i w:val="0"/>
                <w:color w:val="C45A11"/>
                <w:sz w:val="19"/>
              </w:rPr>
              <w:t>High</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Fragmented architecture — three institutions, three seats, three governing laws</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SA Art. 14; QA §7; IPLA §9</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C45A11"/>
                <w:sz w:val="19"/>
              </w:rPr>
              <w:t>H2</w:t>
            </w:r>
          </w:p>
        </w:tc>
        <w:tc>
          <w:tcPr>
            <w:tcW w:type="dxa" w:w="1368"/>
            <w:shd w:val="clear" w:color="auto" w:fill="FCE5CD"/>
            <w:tcMar>
              <w:top w:w="40" w:type="dxa"/>
              <w:bottom w:w="40" w:type="dxa"/>
              <w:start w:w="80" w:type="dxa"/>
              <w:end w:w="80" w:type="dxa"/>
            </w:tcMar>
          </w:tcPr>
          <w:p>
            <w:pPr>
              <w:spacing w:after="0"/>
              <w:jc w:val="center"/>
            </w:pPr>
            <w:r>
              <w:rPr>
                <w:rFonts w:ascii="Times New Roman" w:hAnsi="Times New Roman"/>
                <w:b/>
                <w:i w:val="0"/>
                <w:color w:val="C45A11"/>
                <w:sz w:val="19"/>
              </w:rPr>
              <w:t>High</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No joinder / multi-party mechanism for non-signatory co-manufacturers</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SA Art. 14; QA §7; IPLA §9; SA §10.2</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C45A11"/>
                <w:sz w:val="19"/>
              </w:rPr>
              <w:t>H3</w:t>
            </w:r>
          </w:p>
        </w:tc>
        <w:tc>
          <w:tcPr>
            <w:tcW w:type="dxa" w:w="1368"/>
            <w:shd w:val="clear" w:color="auto" w:fill="FCE5CD"/>
            <w:tcMar>
              <w:top w:w="40" w:type="dxa"/>
              <w:bottom w:w="40" w:type="dxa"/>
              <w:start w:w="80" w:type="dxa"/>
              <w:end w:w="80" w:type="dxa"/>
            </w:tcMar>
          </w:tcPr>
          <w:p>
            <w:pPr>
              <w:spacing w:after="0"/>
              <w:jc w:val="center"/>
            </w:pPr>
            <w:r>
              <w:rPr>
                <w:rFonts w:ascii="Times New Roman" w:hAnsi="Times New Roman"/>
                <w:b/>
                <w:i w:val="0"/>
                <w:color w:val="C45A11"/>
                <w:sz w:val="19"/>
              </w:rPr>
              <w:t>High</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Blanket prohibition on discovery — enforceability, due process, and evidentiary access</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SA §14.5; QA §4.4, §6.4</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C45A11"/>
                <w:sz w:val="19"/>
              </w:rPr>
              <w:t>H4</w:t>
            </w:r>
          </w:p>
        </w:tc>
        <w:tc>
          <w:tcPr>
            <w:tcW w:type="dxa" w:w="1368"/>
            <w:shd w:val="clear" w:color="auto" w:fill="FCE5CD"/>
            <w:tcMar>
              <w:top w:w="40" w:type="dxa"/>
              <w:bottom w:w="40" w:type="dxa"/>
              <w:start w:w="80" w:type="dxa"/>
              <w:end w:w="80" w:type="dxa"/>
            </w:tcMar>
          </w:tcPr>
          <w:p>
            <w:pPr>
              <w:spacing w:after="0"/>
              <w:jc w:val="center"/>
            </w:pPr>
            <w:r>
              <w:rPr>
                <w:rFonts w:ascii="Times New Roman" w:hAnsi="Times New Roman"/>
                <w:b/>
                <w:i w:val="0"/>
                <w:color w:val="C45A11"/>
                <w:sz w:val="19"/>
              </w:rPr>
              <w:t>High</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One-year limitation period — aggressive, inconsistent with UCC accrual, cutoff of latent-defect and indemnification claims</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SA §14.9; SA §7.3; QA §3.5, §5.1; SA §13.5, Art. 10</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C45A11"/>
                <w:sz w:val="19"/>
              </w:rPr>
              <w:t>H5</w:t>
            </w:r>
          </w:p>
        </w:tc>
        <w:tc>
          <w:tcPr>
            <w:tcW w:type="dxa" w:w="1368"/>
            <w:shd w:val="clear" w:color="auto" w:fill="FCE5CD"/>
            <w:tcMar>
              <w:top w:w="40" w:type="dxa"/>
              <w:bottom w:w="40" w:type="dxa"/>
              <w:start w:w="80" w:type="dxa"/>
              <w:end w:w="80" w:type="dxa"/>
            </w:tcMar>
          </w:tcPr>
          <w:p>
            <w:pPr>
              <w:spacing w:after="0"/>
              <w:jc w:val="center"/>
            </w:pPr>
            <w:r>
              <w:rPr>
                <w:rFonts w:ascii="Times New Roman" w:hAnsi="Times New Roman"/>
                <w:b/>
                <w:i w:val="0"/>
                <w:color w:val="C45A11"/>
                <w:sz w:val="19"/>
              </w:rPr>
              <w:t>High</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Expert determination “challenge” trigger undermines finality</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QA §7.1, §7.2</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9C6A00"/>
                <w:sz w:val="19"/>
              </w:rPr>
              <w:t>M1</w:t>
            </w:r>
          </w:p>
        </w:tc>
        <w:tc>
          <w:tcPr>
            <w:tcW w:type="dxa" w:w="1368"/>
            <w:shd w:val="clear" w:color="auto" w:fill="FFF2CC"/>
            <w:tcMar>
              <w:top w:w="40" w:type="dxa"/>
              <w:bottom w:w="40" w:type="dxa"/>
              <w:start w:w="80" w:type="dxa"/>
              <w:end w:w="80" w:type="dxa"/>
            </w:tcMar>
          </w:tcPr>
          <w:p>
            <w:pPr>
              <w:spacing w:after="0"/>
              <w:jc w:val="center"/>
            </w:pPr>
            <w:r>
              <w:rPr>
                <w:rFonts w:ascii="Times New Roman" w:hAnsi="Times New Roman"/>
                <w:b/>
                <w:i w:val="0"/>
                <w:color w:val="9C6A00"/>
                <w:sz w:val="19"/>
              </w:rPr>
              <w:t>Medium</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Inconsistent cost allocation across the documents</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SA §14.8; IPLA §9.4; QA §7.1</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9C6A00"/>
                <w:sz w:val="19"/>
              </w:rPr>
              <w:t>M2</w:t>
            </w:r>
          </w:p>
        </w:tc>
        <w:tc>
          <w:tcPr>
            <w:tcW w:type="dxa" w:w="1368"/>
            <w:shd w:val="clear" w:color="auto" w:fill="FFF2CC"/>
            <w:tcMar>
              <w:top w:w="40" w:type="dxa"/>
              <w:bottom w:w="40" w:type="dxa"/>
              <w:start w:w="80" w:type="dxa"/>
              <w:end w:w="80" w:type="dxa"/>
            </w:tcMar>
          </w:tcPr>
          <w:p>
            <w:pPr>
              <w:spacing w:after="0"/>
              <w:jc w:val="center"/>
            </w:pPr>
            <w:r>
              <w:rPr>
                <w:rFonts w:ascii="Times New Roman" w:hAnsi="Times New Roman"/>
                <w:b/>
                <w:i w:val="0"/>
                <w:color w:val="9C6A00"/>
                <w:sz w:val="19"/>
              </w:rPr>
              <w:t>Medium</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Number of arbitrators — inconsistency and unilateral three-arbitrator trigger</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SA §14.3; QA §7.2; IPLA §9.1</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9C6A00"/>
                <w:sz w:val="19"/>
              </w:rPr>
              <w:t>M3</w:t>
            </w:r>
          </w:p>
        </w:tc>
        <w:tc>
          <w:tcPr>
            <w:tcW w:type="dxa" w:w="1368"/>
            <w:shd w:val="clear" w:color="auto" w:fill="FFF2CC"/>
            <w:tcMar>
              <w:top w:w="40" w:type="dxa"/>
              <w:bottom w:w="40" w:type="dxa"/>
              <w:start w:w="80" w:type="dxa"/>
              <w:end w:w="80" w:type="dxa"/>
            </w:tcMar>
          </w:tcPr>
          <w:p>
            <w:pPr>
              <w:spacing w:after="0"/>
              <w:jc w:val="center"/>
            </w:pPr>
            <w:r>
              <w:rPr>
                <w:rFonts w:ascii="Times New Roman" w:hAnsi="Times New Roman"/>
                <w:b/>
                <w:i w:val="0"/>
                <w:color w:val="9C6A00"/>
                <w:sz w:val="19"/>
              </w:rPr>
              <w:t>Medium</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Interim relief — overbroad in the SA, absent in the IPLA and QA Letter</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SA §14.7; IPLA §9; QA §7</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9C6A00"/>
                <w:sz w:val="19"/>
              </w:rPr>
              <w:t>M4</w:t>
            </w:r>
          </w:p>
        </w:tc>
        <w:tc>
          <w:tcPr>
            <w:tcW w:type="dxa" w:w="1368"/>
            <w:shd w:val="clear" w:color="auto" w:fill="FFF2CC"/>
            <w:tcMar>
              <w:top w:w="40" w:type="dxa"/>
              <w:bottom w:w="40" w:type="dxa"/>
              <w:start w:w="80" w:type="dxa"/>
              <w:end w:w="80" w:type="dxa"/>
            </w:tcMar>
          </w:tcPr>
          <w:p>
            <w:pPr>
              <w:spacing w:after="0"/>
              <w:jc w:val="center"/>
            </w:pPr>
            <w:r>
              <w:rPr>
                <w:rFonts w:ascii="Times New Roman" w:hAnsi="Times New Roman"/>
                <w:b/>
                <w:i w:val="0"/>
                <w:color w:val="9C6A00"/>
                <w:sz w:val="19"/>
              </w:rPr>
              <w:t>Medium</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Expert determination scope includes “recall obligations” and legal allocation</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QA §7.1, §6.3</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9C6A00"/>
                <w:sz w:val="19"/>
              </w:rPr>
              <w:t>M5</w:t>
            </w:r>
          </w:p>
        </w:tc>
        <w:tc>
          <w:tcPr>
            <w:tcW w:type="dxa" w:w="1368"/>
            <w:shd w:val="clear" w:color="auto" w:fill="FFF2CC"/>
            <w:tcMar>
              <w:top w:w="40" w:type="dxa"/>
              <w:bottom w:w="40" w:type="dxa"/>
              <w:start w:w="80" w:type="dxa"/>
              <w:end w:w="80" w:type="dxa"/>
            </w:tcMar>
          </w:tcPr>
          <w:p>
            <w:pPr>
              <w:spacing w:after="0"/>
              <w:jc w:val="center"/>
            </w:pPr>
            <w:r>
              <w:rPr>
                <w:rFonts w:ascii="Times New Roman" w:hAnsi="Times New Roman"/>
                <w:b/>
                <w:i w:val="0"/>
                <w:color w:val="9C6A00"/>
                <w:sz w:val="19"/>
              </w:rPr>
              <w:t>Medium</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Governing law of the arbitration agreement itself is unspecified (SA)</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SA §14.4; SA §14.2</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2E6B2E"/>
                <w:sz w:val="19"/>
              </w:rPr>
              <w:t>L1</w:t>
            </w:r>
          </w:p>
        </w:tc>
        <w:tc>
          <w:tcPr>
            <w:tcW w:type="dxa" w:w="1368"/>
            <w:shd w:val="clear" w:color="auto" w:fill="D9EAD3"/>
            <w:tcMar>
              <w:top w:w="40" w:type="dxa"/>
              <w:bottom w:w="40" w:type="dxa"/>
              <w:start w:w="80" w:type="dxa"/>
              <w:end w:w="80" w:type="dxa"/>
            </w:tcMar>
          </w:tcPr>
          <w:p>
            <w:pPr>
              <w:spacing w:after="0"/>
              <w:jc w:val="center"/>
            </w:pPr>
            <w:r>
              <w:rPr>
                <w:rFonts w:ascii="Times New Roman" w:hAnsi="Times New Roman"/>
                <w:b/>
                <w:i w:val="0"/>
                <w:color w:val="2E6B2E"/>
                <w:sz w:val="19"/>
              </w:rPr>
              <w:t>Low</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Confidentiality of proceedings addressed only in the SA</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SA §14.10; IPLA §9; QA §7</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2E6B2E"/>
                <w:sz w:val="19"/>
              </w:rPr>
              <w:t>L2</w:t>
            </w:r>
          </w:p>
        </w:tc>
        <w:tc>
          <w:tcPr>
            <w:tcW w:type="dxa" w:w="1368"/>
            <w:shd w:val="clear" w:color="auto" w:fill="D9EAD3"/>
            <w:tcMar>
              <w:top w:w="40" w:type="dxa"/>
              <w:bottom w:w="40" w:type="dxa"/>
              <w:start w:w="80" w:type="dxa"/>
              <w:end w:w="80" w:type="dxa"/>
            </w:tcMar>
          </w:tcPr>
          <w:p>
            <w:pPr>
              <w:spacing w:after="0"/>
              <w:jc w:val="center"/>
            </w:pPr>
            <w:r>
              <w:rPr>
                <w:rFonts w:ascii="Times New Roman" w:hAnsi="Times New Roman"/>
                <w:b/>
                <w:i w:val="0"/>
                <w:color w:val="2E6B2E"/>
                <w:sz w:val="19"/>
              </w:rPr>
              <w:t>Low</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“General principles of international commercial law” gap-filler</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SA §14.4</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2E6B2E"/>
                <w:sz w:val="19"/>
              </w:rPr>
              <w:t>L3</w:t>
            </w:r>
          </w:p>
        </w:tc>
        <w:tc>
          <w:tcPr>
            <w:tcW w:type="dxa" w:w="1368"/>
            <w:shd w:val="clear" w:color="auto" w:fill="D9EAD3"/>
            <w:tcMar>
              <w:top w:w="40" w:type="dxa"/>
              <w:bottom w:w="40" w:type="dxa"/>
              <w:start w:w="80" w:type="dxa"/>
              <w:end w:w="80" w:type="dxa"/>
            </w:tcMar>
          </w:tcPr>
          <w:p>
            <w:pPr>
              <w:spacing w:after="0"/>
              <w:jc w:val="center"/>
            </w:pPr>
            <w:r>
              <w:rPr>
                <w:rFonts w:ascii="Times New Roman" w:hAnsi="Times New Roman"/>
                <w:b/>
                <w:i w:val="0"/>
                <w:color w:val="2E6B2E"/>
                <w:sz w:val="19"/>
              </w:rPr>
              <w:t>Low</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Survival of the QA Letter dispute resolution provision not expressly stated</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QA §9; cf. SA §13.5; IPLA §6.5</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2E6B2E"/>
                <w:sz w:val="19"/>
              </w:rPr>
              <w:t>L4</w:t>
            </w:r>
          </w:p>
        </w:tc>
        <w:tc>
          <w:tcPr>
            <w:tcW w:type="dxa" w:w="1368"/>
            <w:shd w:val="clear" w:color="auto" w:fill="D9EAD3"/>
            <w:tcMar>
              <w:top w:w="40" w:type="dxa"/>
              <w:bottom w:w="40" w:type="dxa"/>
              <w:start w:w="80" w:type="dxa"/>
              <w:end w:w="80" w:type="dxa"/>
            </w:tcMar>
          </w:tcPr>
          <w:p>
            <w:pPr>
              <w:spacing w:after="0"/>
              <w:jc w:val="center"/>
            </w:pPr>
            <w:r>
              <w:rPr>
                <w:rFonts w:ascii="Times New Roman" w:hAnsi="Times New Roman"/>
                <w:b/>
                <w:i w:val="0"/>
                <w:color w:val="2E6B2E"/>
                <w:sz w:val="19"/>
              </w:rPr>
              <w:t>Low</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Seat / venue / governing-law triple split (SA) — workable but complex</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SA §14.2, §14.4</w:t>
            </w:r>
          </w:p>
        </w:tc>
      </w:tr>
      <w:tr>
        <w:tc>
          <w:tcPr>
            <w:tcW w:type="dxa" w:w="720"/>
            <w:tcMar>
              <w:top w:w="40" w:type="dxa"/>
              <w:bottom w:w="40" w:type="dxa"/>
              <w:start w:w="80" w:type="dxa"/>
              <w:end w:w="80" w:type="dxa"/>
            </w:tcMar>
          </w:tcPr>
          <w:p>
            <w:pPr>
              <w:spacing w:after="0"/>
              <w:jc w:val="center"/>
            </w:pPr>
            <w:r>
              <w:rPr>
                <w:rFonts w:ascii="Times New Roman" w:hAnsi="Times New Roman"/>
                <w:b/>
                <w:i w:val="0"/>
                <w:color w:val="2E6B2E"/>
                <w:sz w:val="19"/>
              </w:rPr>
              <w:t>L5</w:t>
            </w:r>
          </w:p>
        </w:tc>
        <w:tc>
          <w:tcPr>
            <w:tcW w:type="dxa" w:w="1368"/>
            <w:shd w:val="clear" w:color="auto" w:fill="D9EAD3"/>
            <w:tcMar>
              <w:top w:w="40" w:type="dxa"/>
              <w:bottom w:w="40" w:type="dxa"/>
              <w:start w:w="80" w:type="dxa"/>
              <w:end w:w="80" w:type="dxa"/>
            </w:tcMar>
          </w:tcPr>
          <w:p>
            <w:pPr>
              <w:spacing w:after="0"/>
              <w:jc w:val="center"/>
            </w:pPr>
            <w:r>
              <w:rPr>
                <w:rFonts w:ascii="Times New Roman" w:hAnsi="Times New Roman"/>
                <w:b/>
                <w:i w:val="0"/>
                <w:color w:val="2E6B2E"/>
                <w:sz w:val="19"/>
              </w:rPr>
              <w:t>Low</w:t>
            </w:r>
          </w:p>
        </w:tc>
        <w:tc>
          <w:tcPr>
            <w:tcW w:type="dxa" w:w="5112"/>
            <w:tcMar>
              <w:top w:w="40" w:type="dxa"/>
              <w:bottom w:w="40" w:type="dxa"/>
              <w:start w:w="80" w:type="dxa"/>
              <w:end w:w="80" w:type="dxa"/>
            </w:tcMar>
          </w:tcPr>
          <w:p>
            <w:pPr>
              <w:spacing w:after="0"/>
            </w:pPr>
            <w:r>
              <w:rPr>
                <w:rFonts w:ascii="Times New Roman" w:hAnsi="Times New Roman"/>
                <w:b w:val="0"/>
                <w:i w:val="0"/>
                <w:color w:val="000000"/>
                <w:sz w:val="19"/>
              </w:rPr>
              <w:t>Service and notice mechanics for the Request for Arbitration</w:t>
            </w:r>
          </w:p>
        </w:tc>
        <w:tc>
          <w:tcPr>
            <w:tcW w:type="dxa" w:w="2160"/>
            <w:tcMar>
              <w:top w:w="40" w:type="dxa"/>
              <w:bottom w:w="40" w:type="dxa"/>
              <w:start w:w="80" w:type="dxa"/>
              <w:end w:w="80" w:type="dxa"/>
            </w:tcMar>
          </w:tcPr>
          <w:p>
            <w:pPr>
              <w:spacing w:after="0"/>
            </w:pPr>
            <w:r>
              <w:rPr>
                <w:rFonts w:ascii="Times New Roman" w:hAnsi="Times New Roman"/>
                <w:b w:val="0"/>
                <w:i w:val="0"/>
                <w:color w:val="595959"/>
                <w:sz w:val="18"/>
              </w:rPr>
              <w:t>SA §15.1; SA §14.1</w:t>
            </w:r>
          </w:p>
        </w:tc>
      </w:tr>
    </w:tbl>
    <w:p>
      <w:pPr>
        <w:spacing w:after="120" w:line="259" w:lineRule="auto"/>
      </w:pPr>
    </w:p>
    <w:p>
      <w:pPr>
        <w:spacing w:after="60" w:line="259" w:lineRule="auto" w:before="160"/>
      </w:pPr>
      <w:r>
        <w:rPr>
          <w:rFonts w:ascii="Times New Roman" w:hAnsi="Times New Roman"/>
          <w:b/>
          <w:i/>
          <w:color w:val="1F2A44"/>
          <w:sz w:val="22"/>
        </w:rPr>
        <w:t>Severity Scale</w:t>
      </w:r>
    </w:p>
    <w:p>
      <w:pPr>
        <w:pStyle w:val="ListBullet"/>
        <w:spacing w:after="80" w:line="259" w:lineRule="auto"/>
      </w:pPr>
      <w:r>
        <w:rPr>
          <w:rFonts w:ascii="Times New Roman" w:hAnsi="Times New Roman"/>
          <w:b/>
          <w:i w:val="0"/>
          <w:color w:val="000000"/>
          <w:sz w:val="22"/>
        </w:rPr>
        <w:t xml:space="preserve">Critical — </w:t>
      </w:r>
      <w:r>
        <w:rPr>
          <w:rFonts w:ascii="Times New Roman" w:hAnsi="Times New Roman"/>
          <w:b w:val="0"/>
          <w:i w:val="0"/>
          <w:color w:val="000000"/>
          <w:sz w:val="22"/>
        </w:rPr>
        <w:t>Fundamental defect threatening enforceability, creating high risk of pathological-clause challenges, parallel proceedings, or unenforceable provisions; or deal-level commercial risk identified as a potential walk-away point. Resolve before signing.</w:t>
      </w:r>
    </w:p>
    <w:p>
      <w:pPr>
        <w:pStyle w:val="ListBullet"/>
        <w:spacing w:after="80" w:line="259" w:lineRule="auto"/>
      </w:pPr>
      <w:r>
        <w:rPr>
          <w:rFonts w:ascii="Times New Roman" w:hAnsi="Times New Roman"/>
          <w:b/>
          <w:i w:val="0"/>
          <w:color w:val="000000"/>
          <w:sz w:val="22"/>
        </w:rPr>
        <w:t xml:space="preserve">High — </w:t>
      </w:r>
      <w:r>
        <w:rPr>
          <w:rFonts w:ascii="Times New Roman" w:hAnsi="Times New Roman"/>
          <w:b w:val="0"/>
          <w:i w:val="0"/>
          <w:color w:val="000000"/>
          <w:sz w:val="22"/>
        </w:rPr>
        <w:t>Significant legal or commercial risk requiring negotiation before signing; likely to affect dispute outcomes or costs materially.</w:t>
      </w:r>
    </w:p>
    <w:p>
      <w:pPr>
        <w:pStyle w:val="ListBullet"/>
        <w:spacing w:after="80" w:line="259" w:lineRule="auto"/>
      </w:pPr>
      <w:r>
        <w:rPr>
          <w:rFonts w:ascii="Times New Roman" w:hAnsi="Times New Roman"/>
          <w:b/>
          <w:i w:val="0"/>
          <w:color w:val="000000"/>
          <w:sz w:val="22"/>
        </w:rPr>
        <w:t xml:space="preserve">Medium — </w:t>
      </w:r>
      <w:r>
        <w:rPr>
          <w:rFonts w:ascii="Times New Roman" w:hAnsi="Times New Roman"/>
          <w:b w:val="0"/>
          <w:i w:val="0"/>
          <w:color w:val="000000"/>
          <w:sz w:val="22"/>
        </w:rPr>
        <w:t>Drafting inconsistency or gap that should be corrected but is not deal-breaking.</w:t>
      </w:r>
    </w:p>
    <w:p>
      <w:pPr>
        <w:pStyle w:val="ListBullet"/>
        <w:spacing w:after="80" w:line="259" w:lineRule="auto"/>
      </w:pPr>
      <w:r>
        <w:rPr>
          <w:rFonts w:ascii="Times New Roman" w:hAnsi="Times New Roman"/>
          <w:b/>
          <w:i w:val="0"/>
          <w:color w:val="000000"/>
          <w:sz w:val="22"/>
        </w:rPr>
        <w:t xml:space="preserve">Low — </w:t>
      </w:r>
      <w:r>
        <w:rPr>
          <w:rFonts w:ascii="Times New Roman" w:hAnsi="Times New Roman"/>
          <w:b w:val="0"/>
          <w:i w:val="0"/>
          <w:color w:val="000000"/>
          <w:sz w:val="22"/>
        </w:rPr>
        <w:t>Minor drafting point or informational observation.</w:t>
      </w:r>
    </w:p>
    <w:p>
      <w:pPr>
        <w:spacing w:after="80" w:line="259" w:lineRule="auto" w:before="280"/>
        <w:pBdr>
          <w:bottom w:val="single" w:sz="6" w:space="2" w:color="1F2A44"/>
        </w:pBdr>
      </w:pPr>
      <w:r>
        <w:rPr>
          <w:rFonts w:ascii="Times New Roman" w:hAnsi="Times New Roman"/>
          <w:b/>
          <w:i w:val="0"/>
          <w:color w:val="1F2A44"/>
          <w:sz w:val="25"/>
        </w:rPr>
        <w:t>IV.  Critical Issues</w:t>
      </w:r>
    </w:p>
    <w:p>
      <w:pPr>
        <w:spacing w:after="80" w:line="259" w:lineRule="auto" w:before="240"/>
      </w:pPr>
      <w:r>
        <w:rPr>
          <w:rFonts w:ascii="Times New Roman" w:hAnsi="Times New Roman"/>
          <w:b/>
          <w:i w:val="0"/>
          <w:color w:val="A61C00"/>
          <w:sz w:val="24"/>
        </w:rPr>
        <w:t xml:space="preserve">C1  </w:t>
      </w:r>
      <w:r>
        <w:rPr>
          <w:rFonts w:ascii="Times New Roman" w:hAnsi="Times New Roman"/>
          <w:b/>
          <w:i w:val="0"/>
          <w:color w:val="A61C00"/>
          <w:sz w:val="24"/>
        </w:rPr>
        <w:t xml:space="preserve">[CRITICAL]  </w:t>
      </w:r>
      <w:r>
        <w:rPr>
          <w:rFonts w:ascii="Times New Roman" w:hAnsi="Times New Roman"/>
          <w:b/>
          <w:i w:val="0"/>
          <w:color w:val="000000"/>
          <w:sz w:val="24"/>
        </w:rPr>
        <w:t>Conflicting Consolidation and Coordination Provisions Across the Transaction Documents</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IPLA §9.3; SA §15.8; QA Letter §8.1; IPLA §10.3</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The three documents contain mutually contradictory provisions purporting to allocate overlapping disputes among three different arbitral institutions, seats, and governing laws. This is the single most serious structural defect in the dispute resolution architecture and recreates the precise “pathological clause” risk that caused the 14-month enforcement delay in Pacifica’s 2023 Hong Kong arbitration.</w:t>
      </w:r>
    </w:p>
    <w:p>
      <w:pPr>
        <w:spacing w:after="60" w:line="259" w:lineRule="auto" w:before="160"/>
      </w:pPr>
      <w:r>
        <w:rPr>
          <w:rFonts w:ascii="Times New Roman" w:hAnsi="Times New Roman"/>
          <w:b/>
          <w:i/>
          <w:color w:val="1F2A44"/>
          <w:sz w:val="22"/>
        </w:rPr>
        <w:t>Analysis</w:t>
      </w:r>
    </w:p>
    <w:p>
      <w:pPr>
        <w:spacing w:after="120" w:line="259" w:lineRule="auto"/>
      </w:pPr>
      <w:r>
        <w:rPr>
          <w:rFonts w:ascii="Times New Roman" w:hAnsi="Times New Roman"/>
          <w:b/>
          <w:i w:val="0"/>
          <w:color w:val="000000"/>
          <w:sz w:val="22"/>
        </w:rPr>
        <w:t xml:space="preserve">Competing directives. </w:t>
      </w:r>
      <w:r>
        <w:rPr>
          <w:rFonts w:ascii="Times New Roman" w:hAnsi="Times New Roman"/>
          <w:b w:val="0"/>
          <w:i w:val="0"/>
          <w:color w:val="000000"/>
          <w:sz w:val="22"/>
        </w:rPr>
        <w:t>IPLA §9.3 provides that claims arising under the IPLA that “also relate to obligations under the Supply Agreement shall be heard jointly in a single arbitration proceeding under this Section 9” — i.e., before the LCIA, seated in London, under English law. SA §15.8 provides that, in the event of a conflict between the SA and the QA Letter or IPLA, “this Agreement shall control” — i.e., the SA’s ICC / Singapore / New York regime prevails. QA Letter §8.1 provides that the SA controls in case of conflict, except that “with respect to the subject matters specifically addressed in this Side Letter — including … the dispute resolution mechanism set forth in Section 7 — this Side Letter shall control” — i.e., the QA Letter’s SIAC / Singapore / Singapore-law regime prevails for quality disputes. IPLA §10.3 independently provides that the SA controls “except with respect to matters specifically and exclusively addressed by this Agreement,” which would include the IPLA’s own dispute resolution provisions, pulling such matters back to the LCIA.</w:t>
      </w:r>
    </w:p>
    <w:p>
      <w:pPr>
        <w:spacing w:after="120" w:line="259" w:lineRule="auto"/>
      </w:pPr>
      <w:r>
        <w:rPr>
          <w:rFonts w:ascii="Times New Roman" w:hAnsi="Times New Roman"/>
          <w:b/>
          <w:i w:val="0"/>
          <w:color w:val="000000"/>
          <w:sz w:val="22"/>
        </w:rPr>
        <w:t xml:space="preserve">Irreconcilable by construction. </w:t>
      </w:r>
      <w:r>
        <w:rPr>
          <w:rFonts w:ascii="Times New Roman" w:hAnsi="Times New Roman"/>
          <w:b w:val="0"/>
          <w:i w:val="0"/>
          <w:color w:val="000000"/>
          <w:sz w:val="22"/>
        </w:rPr>
        <w:t>These provisions cannot be reconciled by ordinary interpretation. A dispute touching both the SA and the IPLA (e.g., a claim that Pacifica supplied defective extract and failed to update Licensed IP used in FDA filings) is directed to the LCIA by IPLA §9.3 but to the ICC by SA §15.8 (and by IPLA §10.3’s general rule). A dispute touching the SA and the QA Letter is directed to SIAC by QA §8.1 but to the ICC by SA §15.8. The result is a textbook pathological arbitration clause: competing, irreconcilable forum-selection directives that invite jurisdictional objections, parallel proceedings, and enforcement challenges.</w:t>
      </w:r>
    </w:p>
    <w:p>
      <w:pPr>
        <w:spacing w:after="120" w:line="259" w:lineRule="auto"/>
      </w:pPr>
      <w:r>
        <w:rPr>
          <w:rFonts w:ascii="Times New Roman" w:hAnsi="Times New Roman"/>
          <w:b/>
          <w:i w:val="0"/>
          <w:color w:val="000000"/>
          <w:sz w:val="22"/>
        </w:rPr>
        <w:t xml:space="preserve">Mechanically unworkable. </w:t>
      </w:r>
      <w:r>
        <w:rPr>
          <w:rFonts w:ascii="Times New Roman" w:hAnsi="Times New Roman"/>
          <w:b w:val="0"/>
          <w:i w:val="0"/>
          <w:color w:val="000000"/>
          <w:sz w:val="22"/>
        </w:rPr>
        <w:t>There is no automatic mechanism to consolidate an ICC arbitration (Singapore seat) with an LCIA arbitration (London seat) under different governing laws. Cross-institution consolidation requires the consent of all parties and both tribunals, which the clause does not provide for. IPLA §9.3’s unilateral directive to “hear jointly” in the LCIA cannot override the SA’s ICC commitment.</w:t>
      </w:r>
    </w:p>
    <w:p>
      <w:pPr>
        <w:spacing w:after="120" w:line="259" w:lineRule="auto"/>
      </w:pPr>
      <w:r>
        <w:rPr>
          <w:rFonts w:ascii="Times New Roman" w:hAnsi="Times New Roman"/>
          <w:b/>
          <w:i w:val="0"/>
          <w:color w:val="000000"/>
          <w:sz w:val="22"/>
        </w:rPr>
        <w:t xml:space="preserve">Contradicts the stated objective. </w:t>
      </w:r>
      <w:r>
        <w:rPr>
          <w:rFonts w:ascii="Times New Roman" w:hAnsi="Times New Roman"/>
          <w:b w:val="0"/>
          <w:i w:val="0"/>
          <w:color w:val="000000"/>
          <w:sz w:val="22"/>
        </w:rPr>
        <w:t>This defect directly contradicts the objective stated in Harmon &amp; Grey’s summary memorandum (Section V) of drafting clauses that are “clear, specific, and enforceable” to “minimize the risk of post-award challenge and enforcement delay.” The provision does the opposite.</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Preferred — adopt a single, unified dispute resolution clause across all three Transaction Documents: one institution, one seat, one governing law, and one set of procedural defaults, with a single master clause cross-referenced in each document. This eliminates the conflict at its source.</w:t>
      </w:r>
    </w:p>
    <w:p>
      <w:pPr>
        <w:pStyle w:val="ListBullet"/>
        <w:spacing w:after="80" w:line="259" w:lineRule="auto"/>
      </w:pPr>
      <w:r>
        <w:rPr>
          <w:rFonts w:ascii="Times New Roman" w:hAnsi="Times New Roman"/>
          <w:b w:val="0"/>
          <w:i w:val="0"/>
          <w:color w:val="000000"/>
          <w:sz w:val="22"/>
        </w:rPr>
        <w:t>If separate forums are retained: (i) delete IPLA §9.3 in its entirety; (ii) replace the conflicting hierarchy provisions (SA §15.8, QA §8.1, IPLA §10.3) with a single, consistently worded coordination clause stating which forum hears which category of dispute and how overlapping disputes are allocated (e.g., a “dominant forum” rule with a mandatory stay of related proceedings in the other forum); and (iii) add an express consent-to-consolidation mechanism specifying the institution and procedure for consolidating related disputes.</w:t>
      </w:r>
    </w:p>
    <w:p>
      <w:pPr>
        <w:pStyle w:val="ListBullet"/>
        <w:spacing w:after="80" w:line="259" w:lineRule="auto"/>
      </w:pPr>
      <w:r>
        <w:rPr>
          <w:rFonts w:ascii="Times New Roman" w:hAnsi="Times New Roman"/>
          <w:b w:val="0"/>
          <w:i w:val="0"/>
          <w:color w:val="000000"/>
          <w:sz w:val="22"/>
        </w:rPr>
        <w:t>At minimum, reconcile the hierarchy clauses so that all three documents state the identical rule for resolving overlapping disputes. The current three-way contradiction must be eliminated before signing.</w:t>
      </w:r>
    </w:p>
    <w:p>
      <w:pPr>
        <w:spacing w:after="80" w:line="259" w:lineRule="auto" w:before="240"/>
      </w:pPr>
      <w:r>
        <w:rPr>
          <w:rFonts w:ascii="Times New Roman" w:hAnsi="Times New Roman"/>
          <w:b/>
          <w:i w:val="0"/>
          <w:color w:val="A61C00"/>
          <w:sz w:val="24"/>
        </w:rPr>
        <w:t xml:space="preserve">C2  </w:t>
      </w:r>
      <w:r>
        <w:rPr>
          <w:rFonts w:ascii="Times New Roman" w:hAnsi="Times New Roman"/>
          <w:b/>
          <w:i w:val="0"/>
          <w:color w:val="A61C00"/>
          <w:sz w:val="24"/>
        </w:rPr>
        <w:t xml:space="preserve">[CRITICAL]  </w:t>
      </w:r>
      <w:r>
        <w:rPr>
          <w:rFonts w:ascii="Times New Roman" w:hAnsi="Times New Roman"/>
          <w:b/>
          <w:i w:val="0"/>
          <w:color w:val="000000"/>
          <w:sz w:val="24"/>
        </w:rPr>
        <w:t>Consequential Damages Waiver Combined with Exclusivity, Recall-Cost Subordination, and Internal Inconsistency</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SA §14.11; SA §11.2; SA §2.1; QA Letter §6.1, §6.6; IPLA §8.3</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SA §14.11 strips the tribunal of authority to award consequential damages. Combined with the exclusive supply structure (no backup supplier), a potential 13-year term and $178M+ in commitments, and the QA Letter’s express subordination of its recall-cost allocation to this bar, the provision presents deal-level commercial risk that Greenleaf’s management has identified as a potential walk-away point. It is also internally inconsistent with the SA’s own limitation-of-liability regime.</w:t>
      </w:r>
    </w:p>
    <w:p>
      <w:pPr>
        <w:spacing w:after="60" w:line="259" w:lineRule="auto" w:before="160"/>
      </w:pPr>
      <w:r>
        <w:rPr>
          <w:rFonts w:ascii="Times New Roman" w:hAnsi="Times New Roman"/>
          <w:b/>
          <w:i/>
          <w:color w:val="1F2A44"/>
          <w:sz w:val="22"/>
        </w:rPr>
        <w:t>Analysis</w:t>
      </w:r>
    </w:p>
    <w:p>
      <w:pPr>
        <w:spacing w:after="120" w:line="259" w:lineRule="auto"/>
      </w:pPr>
      <w:r>
        <w:rPr>
          <w:rFonts w:ascii="Times New Roman" w:hAnsi="Times New Roman"/>
          <w:b/>
          <w:i w:val="0"/>
          <w:color w:val="000000"/>
          <w:sz w:val="22"/>
        </w:rPr>
        <w:t xml:space="preserve">Commercial exposure. </w:t>
      </w:r>
      <w:r>
        <w:rPr>
          <w:rFonts w:ascii="Times New Roman" w:hAnsi="Times New Roman"/>
          <w:b w:val="0"/>
          <w:i w:val="0"/>
          <w:color w:val="000000"/>
          <w:sz w:val="22"/>
        </w:rPr>
        <w:t>In the most probable dispute scenario — contaminated or off-spec extract entering finished product and triggering an FDA recall — Greenleaf’s direct damages (cost of the ingredient) are dwarfed by its consequential losses: recall costs, lost retail shelf placements and slotting fees, retailer penalties, crisis communications, consumer refund programs, business interruption, and the cost of sourcing replacement ingredient. Ridgeway’s portfolio experience (cited in the email chain) illustrates the asymmetry: $1.8M direct versus $14M consequential in a comparable recall. A blanket waiver would cap recovery at a fraction of actual loss.</w:t>
      </w:r>
    </w:p>
    <w:p>
      <w:pPr>
        <w:spacing w:after="120" w:line="259" w:lineRule="auto"/>
      </w:pPr>
      <w:r>
        <w:rPr>
          <w:rFonts w:ascii="Times New Roman" w:hAnsi="Times New Roman"/>
          <w:b/>
          <w:i w:val="0"/>
          <w:color w:val="000000"/>
          <w:sz w:val="22"/>
        </w:rPr>
        <w:t xml:space="preserve">Exclusivity amplification. </w:t>
      </w:r>
      <w:r>
        <w:rPr>
          <w:rFonts w:ascii="Times New Roman" w:hAnsi="Times New Roman"/>
          <w:b w:val="0"/>
          <w:i w:val="0"/>
          <w:color w:val="000000"/>
          <w:sz w:val="22"/>
        </w:rPr>
        <w:t>Because SA §2.1 grants Greenleaf exclusive supply within the Exclusivity Territory, Greenleaf has no alternative source. Consequential losses from a supply disruption are therefore not mitigable by switching suppliers, making the waiver materially more burdensome to Greenleaf than to Pacifica, whose primary exposure (payment and price claims) is recoverable as direct damages.</w:t>
      </w:r>
    </w:p>
    <w:p>
      <w:pPr>
        <w:spacing w:after="120" w:line="259" w:lineRule="auto"/>
      </w:pPr>
      <w:r>
        <w:rPr>
          <w:rFonts w:ascii="Times New Roman" w:hAnsi="Times New Roman"/>
          <w:b/>
          <w:i w:val="0"/>
          <w:color w:val="000000"/>
          <w:sz w:val="22"/>
        </w:rPr>
        <w:t xml:space="preserve">Duration and embedding. </w:t>
      </w:r>
      <w:r>
        <w:rPr>
          <w:rFonts w:ascii="Times New Roman" w:hAnsi="Times New Roman"/>
          <w:b w:val="0"/>
          <w:i w:val="0"/>
          <w:color w:val="000000"/>
          <w:sz w:val="22"/>
        </w:rPr>
        <w:t>The relationship may extend 13 years (through July 31, 2038), with total commitments potentially exceeding $250 million. As Greenleaf’s CEO notes, by Year 10 Greenleaf’s curcumin and ashwagandha product lines will be built around Pacifica’s extracts, deepening the dependency and the consequential exposure.</w:t>
      </w:r>
    </w:p>
    <w:p>
      <w:pPr>
        <w:spacing w:after="120" w:line="259" w:lineRule="auto"/>
      </w:pPr>
      <w:r>
        <w:rPr>
          <w:rFonts w:ascii="Times New Roman" w:hAnsi="Times New Roman"/>
          <w:b/>
          <w:i w:val="0"/>
          <w:color w:val="000000"/>
          <w:sz w:val="22"/>
        </w:rPr>
        <w:t xml:space="preserve">Internal inconsistency. </w:t>
      </w:r>
      <w:r>
        <w:rPr>
          <w:rFonts w:ascii="Times New Roman" w:hAnsi="Times New Roman"/>
          <w:b w:val="0"/>
          <w:i w:val="0"/>
          <w:color w:val="000000"/>
          <w:sz w:val="22"/>
        </w:rPr>
        <w:t>SA §11.2 excludes consequential damages “EXCEPT FOR INDEMNIFICATION OBLIGATIONS UNDER ARTICLE 10” — i.e., the limitation-of-liability article preserves consequential damages for indemnification claims. SA §14.11, by contrast, provides that the tribunal “shall not have the authority to award punitive, exemplary, or consequential damages” with no indemnification carve-out. The two provisions directly conflict on whether consequential damages are recoverable on indemnification claims. A tribunal could read §14.11 (in the dispute resolution article) to override the §11.2 carve-out, defeating the indemnification remedy for third-party claims (e.g., consumer injury from contaminated product).</w:t>
      </w:r>
    </w:p>
    <w:p>
      <w:pPr>
        <w:spacing w:after="120" w:line="259" w:lineRule="auto"/>
      </w:pPr>
      <w:r>
        <w:rPr>
          <w:rFonts w:ascii="Times New Roman" w:hAnsi="Times New Roman"/>
          <w:b/>
          <w:i w:val="0"/>
          <w:color w:val="000000"/>
          <w:sz w:val="22"/>
        </w:rPr>
        <w:t xml:space="preserve">Cross-document inconsistency. </w:t>
      </w:r>
      <w:r>
        <w:rPr>
          <w:rFonts w:ascii="Times New Roman" w:hAnsi="Times New Roman"/>
          <w:b w:val="0"/>
          <w:i w:val="0"/>
          <w:color w:val="000000"/>
          <w:sz w:val="22"/>
        </w:rPr>
        <w:t>IPLA §8.3 excludes consequential damages except for breaches of confidentiality and indemnification — i.e., the IPLA preserves an indemnification carve-out that SA §14.11 omits. The treatment of consequential damages for indemnification thus differs across the Transaction Documents.</w:t>
      </w:r>
    </w:p>
    <w:p>
      <w:pPr>
        <w:spacing w:after="120" w:line="259" w:lineRule="auto"/>
      </w:pPr>
      <w:r>
        <w:rPr>
          <w:rFonts w:ascii="Times New Roman" w:hAnsi="Times New Roman"/>
          <w:b/>
          <w:i w:val="0"/>
          <w:color w:val="000000"/>
          <w:sz w:val="22"/>
        </w:rPr>
        <w:t xml:space="preserve">Recall-cost subordination. </w:t>
      </w:r>
      <w:r>
        <w:rPr>
          <w:rFonts w:ascii="Times New Roman" w:hAnsi="Times New Roman"/>
          <w:b w:val="0"/>
          <w:i w:val="0"/>
          <w:color w:val="000000"/>
          <w:sz w:val="22"/>
        </w:rPr>
        <w:t>QA Letter §6.1 obligates Pacifica to bear “all direct costs and expenses” of a recall attributable to defective product, and §6.6 provides that nothing in Section 6 limits Greenleaf’s rights to consequential damages “except to the extent expressly limited by the dispute resolution provisions of Article 14 of the Supply Agreement.” This expressly subordinates the recall-cost allocation to SA §14.11. If a tribunal characterizes recall costs as “consequential” rather than “direct,” §14.11 could bar recovery of costs that QA §6.1 ostensibly allocates to Pacifica — undermining the primary remedy Greenleaf cares about in a quality dispute.</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Restructure SA §14.11 to carve out from the consequential damages waiver, at minimum: (i) recall-related costs; (ii) lost profits directly attributable to supply failure or defective product; (iii) third-party claims against Greenleaf arising from defective ingredients; and (iv) indemnification claims (to align §14.11 with §11.2). Punitive and exemplary damages may remain waived.</w:t>
      </w:r>
    </w:p>
    <w:p>
      <w:pPr>
        <w:pStyle w:val="ListBullet"/>
        <w:spacing w:after="80" w:line="259" w:lineRule="auto"/>
      </w:pPr>
      <w:r>
        <w:rPr>
          <w:rFonts w:ascii="Times New Roman" w:hAnsi="Times New Roman"/>
          <w:b w:val="0"/>
          <w:i w:val="0"/>
          <w:color w:val="000000"/>
          <w:sz w:val="22"/>
        </w:rPr>
        <w:t>Alternatively, replace the waiver with a damages cap (e.g., a defined multiple of the annual Minimum Annual Commitment, or a fixed aggregate sum) calibrated to the relationship’s value.</w:t>
      </w:r>
    </w:p>
    <w:p>
      <w:pPr>
        <w:pStyle w:val="ListBullet"/>
        <w:spacing w:after="80" w:line="259" w:lineRule="auto"/>
      </w:pPr>
      <w:r>
        <w:rPr>
          <w:rFonts w:ascii="Times New Roman" w:hAnsi="Times New Roman"/>
          <w:b w:val="0"/>
          <w:i w:val="0"/>
          <w:color w:val="000000"/>
          <w:sz w:val="22"/>
        </w:rPr>
        <w:t>Reconcile §14.11 with §11.2 by adding an express indemnification carve-out to §14.11, or by relocating the damages limitation to the liability article and removing the duplicative tribunal-authority restriction.</w:t>
      </w:r>
    </w:p>
    <w:p>
      <w:pPr>
        <w:pStyle w:val="ListBullet"/>
        <w:spacing w:after="80" w:line="259" w:lineRule="auto"/>
      </w:pPr>
      <w:r>
        <w:rPr>
          <w:rFonts w:ascii="Times New Roman" w:hAnsi="Times New Roman"/>
          <w:b w:val="0"/>
          <w:i w:val="0"/>
          <w:color w:val="000000"/>
          <w:sz w:val="22"/>
        </w:rPr>
        <w:t>Amend QA §6.6 so that the recall-cost allocation in QA §6.1 is not subordinated to the SA §14.11 bar; recall costs should be treated as a contractual / direct remedy, not consequential damages.</w:t>
      </w:r>
    </w:p>
    <w:p>
      <w:pPr>
        <w:pStyle w:val="ListBullet"/>
        <w:spacing w:after="80" w:line="259" w:lineRule="auto"/>
      </w:pPr>
      <w:r>
        <w:rPr>
          <w:rFonts w:ascii="Times New Roman" w:hAnsi="Times New Roman"/>
          <w:b w:val="0"/>
          <w:i w:val="0"/>
          <w:color w:val="000000"/>
          <w:sz w:val="22"/>
        </w:rPr>
        <w:t>Harmonize the consequential-damages treatment across all three documents so the indemnification carve-out is consistent.</w:t>
      </w:r>
    </w:p>
    <w:p>
      <w:pPr>
        <w:spacing w:after="80" w:line="259" w:lineRule="auto" w:before="240"/>
      </w:pPr>
      <w:r>
        <w:rPr>
          <w:rFonts w:ascii="Times New Roman" w:hAnsi="Times New Roman"/>
          <w:b/>
          <w:i w:val="0"/>
          <w:color w:val="A61C00"/>
          <w:sz w:val="24"/>
        </w:rPr>
        <w:t xml:space="preserve">C3  </w:t>
      </w:r>
      <w:r>
        <w:rPr>
          <w:rFonts w:ascii="Times New Roman" w:hAnsi="Times New Roman"/>
          <w:b/>
          <w:i w:val="0"/>
          <w:color w:val="A61C00"/>
          <w:sz w:val="24"/>
        </w:rPr>
        <w:t xml:space="preserve">[CRITICAL]  </w:t>
      </w:r>
      <w:r>
        <w:rPr>
          <w:rFonts w:ascii="Times New Roman" w:hAnsi="Times New Roman"/>
          <w:b/>
          <w:i w:val="0"/>
          <w:color w:val="000000"/>
          <w:sz w:val="24"/>
        </w:rPr>
        <w:t>Appeal on Questions of Law to the High Court of Singapore — Legal Error and Curial-Regime Ambiguity</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SA §14.6; SA §14.2 (seat); SA §14.4 (governing law)</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SA §14.6 purports to grant either party a right to “appeal the award on questions of law to the High Court of Singapore.” Harmon &amp; Grey’s summary memorandum states this was “modeled on the approach under the English Arbitration Act 1996, specifically Section 69.” That model does not translate to Singapore law. As drafted, the appeal right is likely a nullity, and the provision creates ambiguity about the applicable curial regime — the very kind of defect that invites post-award challenge.</w:t>
      </w:r>
    </w:p>
    <w:p>
      <w:pPr>
        <w:spacing w:after="60" w:line="259" w:lineRule="auto" w:before="160"/>
      </w:pPr>
      <w:r>
        <w:rPr>
          <w:rFonts w:ascii="Times New Roman" w:hAnsi="Times New Roman"/>
          <w:b/>
          <w:i/>
          <w:color w:val="1F2A44"/>
          <w:sz w:val="22"/>
        </w:rPr>
        <w:t>Analysis</w:t>
      </w:r>
    </w:p>
    <w:p>
      <w:pPr>
        <w:spacing w:after="120" w:line="259" w:lineRule="auto"/>
      </w:pPr>
      <w:r>
        <w:rPr>
          <w:rFonts w:ascii="Times New Roman" w:hAnsi="Times New Roman"/>
          <w:b/>
          <w:i w:val="0"/>
          <w:color w:val="000000"/>
          <w:sz w:val="22"/>
        </w:rPr>
        <w:t xml:space="preserve">Singapore’s default regime. </w:t>
      </w:r>
      <w:r>
        <w:rPr>
          <w:rFonts w:ascii="Times New Roman" w:hAnsi="Times New Roman"/>
          <w:b w:val="0"/>
          <w:i w:val="0"/>
          <w:color w:val="000000"/>
          <w:sz w:val="22"/>
        </w:rPr>
        <w:t>Singapore’s default regime for international arbitration is the UNCITRAL Model Law, given force of law by the International Arbitration Act (Cap. 143A). Under the Model Law, there is no general right of appeal on questions of law. Article 34 permits setting aside an award only on narrow, enumerated grounds (e.g., incapacity, invalidity of the arbitration agreement, lack of proper notice or inability to present one’s case, excess of authority, procedural irregularity, public policy). There is no merits review and no appeal on questions of law.</w:t>
      </w:r>
    </w:p>
    <w:p>
      <w:pPr>
        <w:spacing w:after="120" w:line="259" w:lineRule="auto"/>
      </w:pPr>
      <w:r>
        <w:rPr>
          <w:rFonts w:ascii="Times New Roman" w:hAnsi="Times New Roman"/>
          <w:b/>
          <w:i w:val="0"/>
          <w:color w:val="000000"/>
          <w:sz w:val="22"/>
        </w:rPr>
        <w:t xml:space="preserve">No English s.69 equivalent by default. </w:t>
      </w:r>
      <w:r>
        <w:rPr>
          <w:rFonts w:ascii="Times New Roman" w:hAnsi="Times New Roman"/>
          <w:b w:val="0"/>
          <w:i w:val="0"/>
          <w:color w:val="000000"/>
          <w:sz w:val="22"/>
        </w:rPr>
        <w:t>A right of appeal on questions of law analogous to section 69 of the English Arbitration Act 1996 is available in Singapore only if the parties expressly agree in writing to “opt out” of the Model Law and into the IAA’s appeal provisions. SA §14.6 contains no such opt-out; it simply asserts an appeal right without specifying any statutory basis.</w:t>
      </w:r>
    </w:p>
    <w:p>
      <w:pPr>
        <w:spacing w:after="120" w:line="259" w:lineRule="auto"/>
      </w:pPr>
      <w:r>
        <w:rPr>
          <w:rFonts w:ascii="Times New Roman" w:hAnsi="Times New Roman"/>
          <w:b/>
          <w:i w:val="0"/>
          <w:color w:val="000000"/>
          <w:sz w:val="22"/>
        </w:rPr>
        <w:t xml:space="preserve">Consequences. </w:t>
      </w:r>
      <w:r>
        <w:rPr>
          <w:rFonts w:ascii="Times New Roman" w:hAnsi="Times New Roman"/>
          <w:b w:val="0"/>
          <w:i w:val="0"/>
          <w:color w:val="000000"/>
          <w:sz w:val="22"/>
        </w:rPr>
        <w:t>(i) The appeal right is likely unenforceable as drafted — a Singapore court would apply the Model Law and decline to hear a merits appeal; (ii) the provision creates ambiguity as to whether the parties intended to opt out of the Model Law (which would have significant consequences, including the loss of Model Law protections and application of the IAA’s fuller supervisory regime); and (iii) a losing party could invoke this ambiguity to challenge the award or resist enforcement, arguing the clause is internally inconsistent or that the parties’ curial intent is unclear.</w:t>
      </w:r>
    </w:p>
    <w:p>
      <w:pPr>
        <w:spacing w:after="120" w:line="259" w:lineRule="auto"/>
      </w:pPr>
      <w:r>
        <w:rPr>
          <w:rFonts w:ascii="Times New Roman" w:hAnsi="Times New Roman"/>
          <w:b/>
          <w:i w:val="0"/>
          <w:color w:val="000000"/>
          <w:sz w:val="22"/>
        </w:rPr>
        <w:t xml:space="preserve">Undermines the stated objective. </w:t>
      </w:r>
      <w:r>
        <w:rPr>
          <w:rFonts w:ascii="Times New Roman" w:hAnsi="Times New Roman"/>
          <w:b w:val="0"/>
          <w:i w:val="0"/>
          <w:color w:val="000000"/>
          <w:sz w:val="22"/>
        </w:rPr>
        <w:t>This directly undermines Pacifica’s stated objective (per Harmon &amp; Grey’s memorandum, Sections III.B and V) of channeling post-award review through “a single, clearly defined appellate procedure” to avoid the kind of enforcement delay experienced in the 2023 Hong Kong matter. The provision imports an English-law concept that Singapore law does not support by default, creating a new vector for challenge.</w:t>
      </w:r>
    </w:p>
    <w:p>
      <w:pPr>
        <w:spacing w:after="120" w:line="259" w:lineRule="auto"/>
      </w:pPr>
      <w:r>
        <w:rPr>
          <w:rFonts w:ascii="Times New Roman" w:hAnsi="Times New Roman"/>
          <w:b/>
          <w:i w:val="0"/>
          <w:color w:val="000000"/>
          <w:sz w:val="22"/>
        </w:rPr>
        <w:t xml:space="preserve">Additional complexity. </w:t>
      </w:r>
      <w:r>
        <w:rPr>
          <w:rFonts w:ascii="Times New Roman" w:hAnsi="Times New Roman"/>
          <w:b w:val="0"/>
          <w:i w:val="0"/>
          <w:color w:val="000000"/>
          <w:sz w:val="22"/>
        </w:rPr>
        <w:t>The governing law is New York (SA §14.4), so any appeal on “questions of law” would require the Singapore High Court to apply and interpret New York substantive law — an unusual and procedurally awkward posture.</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Preferred — delete the appeal provision in §14.6 and rely on the Model Law’s limited setting-aside grounds (Article 34). This is consistent with Singapore’s default regime, with Pacifica’s finality objective, and with international best practice for Singapore-seated arbitration. Retain standard final-and-binding language and the right to enter judgment on the award in any court of competent jurisdiction.</w:t>
      </w:r>
    </w:p>
    <w:p>
      <w:pPr>
        <w:pStyle w:val="ListBullet"/>
        <w:spacing w:after="80" w:line="259" w:lineRule="auto"/>
      </w:pPr>
      <w:r>
        <w:rPr>
          <w:rFonts w:ascii="Times New Roman" w:hAnsi="Times New Roman"/>
          <w:b w:val="0"/>
          <w:i w:val="0"/>
          <w:color w:val="000000"/>
          <w:sz w:val="22"/>
        </w:rPr>
        <w:t>If an appeal on questions of law is genuinely desired, expressly opt out of the Model Law and into the IAA’s appeal provisions by clear, specific written agreement, and specify the grounds and procedure. Note that this is unusual for international commercial arbitration and would remove Model Law protections; it is not recommended.</w:t>
      </w:r>
    </w:p>
    <w:p>
      <w:pPr>
        <w:pStyle w:val="ListBullet"/>
        <w:spacing w:after="80" w:line="259" w:lineRule="auto"/>
      </w:pPr>
      <w:r>
        <w:rPr>
          <w:rFonts w:ascii="Times New Roman" w:hAnsi="Times New Roman"/>
          <w:b w:val="0"/>
          <w:i w:val="0"/>
          <w:color w:val="000000"/>
          <w:sz w:val="22"/>
        </w:rPr>
        <w:t>In either case, remove the reference to the English Arbitration Act 1996 rationale, which is legally inapplicable to a Singapore seat.</w:t>
      </w:r>
    </w:p>
    <w:p>
      <w:pPr>
        <w:spacing w:after="80" w:line="259" w:lineRule="auto" w:before="280"/>
        <w:pBdr>
          <w:bottom w:val="single" w:sz="6" w:space="2" w:color="1F2A44"/>
        </w:pBdr>
      </w:pPr>
      <w:r>
        <w:rPr>
          <w:rFonts w:ascii="Times New Roman" w:hAnsi="Times New Roman"/>
          <w:b/>
          <w:i w:val="0"/>
          <w:color w:val="1F2A44"/>
          <w:sz w:val="25"/>
        </w:rPr>
        <w:t>V.  High-Severity Issues</w:t>
      </w:r>
    </w:p>
    <w:p>
      <w:pPr>
        <w:spacing w:after="80" w:line="259" w:lineRule="auto" w:before="240"/>
      </w:pPr>
      <w:r>
        <w:rPr>
          <w:rFonts w:ascii="Times New Roman" w:hAnsi="Times New Roman"/>
          <w:b/>
          <w:i w:val="0"/>
          <w:color w:val="C45A11"/>
          <w:sz w:val="24"/>
        </w:rPr>
        <w:t xml:space="preserve">H1  </w:t>
      </w:r>
      <w:r>
        <w:rPr>
          <w:rFonts w:ascii="Times New Roman" w:hAnsi="Times New Roman"/>
          <w:b/>
          <w:i w:val="0"/>
          <w:color w:val="C45A11"/>
          <w:sz w:val="24"/>
        </w:rPr>
        <w:t xml:space="preserve">[HIGH]  </w:t>
      </w:r>
      <w:r>
        <w:rPr>
          <w:rFonts w:ascii="Times New Roman" w:hAnsi="Times New Roman"/>
          <w:b/>
          <w:i w:val="0"/>
          <w:color w:val="000000"/>
          <w:sz w:val="24"/>
        </w:rPr>
        <w:t>Fragmented Dispute Resolution Architecture — Three Institutions, Three Seats, Three Governing Laws</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SA Art. 14 (ICC; Singapore seat; London venue; New York law); QA §7 (SIAC; Singapore seat; Singapore law); IPLA §9 (LCIA; London seat; English law)</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Each Transaction Document designates a different administering institution, a different seat (or venue), and a different governing law. While Harmon &amp; Grey defends this as subject-matter tailoring, the fragmentation multiplies cost, creates parallel-proceeding risk, and complicates enforcement — independent of the direct conflict addressed in C1.</w:t>
      </w:r>
    </w:p>
    <w:p>
      <w:pPr>
        <w:spacing w:after="60" w:line="259" w:lineRule="auto" w:before="160"/>
      </w:pPr>
      <w:r>
        <w:rPr>
          <w:rFonts w:ascii="Times New Roman" w:hAnsi="Times New Roman"/>
          <w:b/>
          <w:i/>
          <w:color w:val="1F2A44"/>
          <w:sz w:val="22"/>
        </w:rPr>
        <w:t>Analysis</w:t>
      </w:r>
    </w:p>
    <w:p>
      <w:pPr>
        <w:spacing w:after="120" w:line="259" w:lineRule="auto"/>
      </w:pPr>
      <w:r>
        <w:rPr>
          <w:rFonts w:ascii="Times New Roman" w:hAnsi="Times New Roman"/>
          <w:b/>
          <w:i w:val="0"/>
          <w:color w:val="000000"/>
          <w:sz w:val="22"/>
        </w:rPr>
        <w:t xml:space="preserve">Three of everything. </w:t>
      </w:r>
      <w:r>
        <w:rPr>
          <w:rFonts w:ascii="Times New Roman" w:hAnsi="Times New Roman"/>
          <w:b w:val="0"/>
          <w:i w:val="0"/>
          <w:color w:val="000000"/>
          <w:sz w:val="22"/>
        </w:rPr>
        <w:t>Three institutions (ICC, SIAC, LCIA), three seats (Singapore, Singapore, London), and three governing laws (New York, Singapore, England &amp; Wales) across a single integrated transaction. A dispute touching multiple documents — common in supply / quality / IP matters — could generate proceedings in two or three forums simultaneously.</w:t>
      </w:r>
    </w:p>
    <w:p>
      <w:pPr>
        <w:spacing w:after="120" w:line="259" w:lineRule="auto"/>
      </w:pPr>
      <w:r>
        <w:rPr>
          <w:rFonts w:ascii="Times New Roman" w:hAnsi="Times New Roman"/>
          <w:b/>
          <w:i w:val="0"/>
          <w:color w:val="000000"/>
          <w:sz w:val="22"/>
        </w:rPr>
        <w:t xml:space="preserve">Divergent procedural defaults. </w:t>
      </w:r>
      <w:r>
        <w:rPr>
          <w:rFonts w:ascii="Times New Roman" w:hAnsi="Times New Roman"/>
          <w:b w:val="0"/>
          <w:i w:val="0"/>
          <w:color w:val="000000"/>
          <w:sz w:val="22"/>
        </w:rPr>
        <w:t>Different procedural defaults apply in each forum: limitation periods, cost allocation, confidentiality, interim relief, arbitrator selection, and evidentiary rules all differ (see H3, H4, H5, M1, M2, M3). Parties cannot predict which rules govern a given dispute until the forum is determined — and, per C1, the forum may itself be contested.</w:t>
      </w:r>
    </w:p>
    <w:p>
      <w:pPr>
        <w:spacing w:after="120" w:line="259" w:lineRule="auto"/>
      </w:pPr>
      <w:r>
        <w:rPr>
          <w:rFonts w:ascii="Times New Roman" w:hAnsi="Times New Roman"/>
          <w:b/>
          <w:i w:val="0"/>
          <w:color w:val="000000"/>
          <w:sz w:val="22"/>
        </w:rPr>
        <w:t xml:space="preserve">Enforcement and inconsistency. </w:t>
      </w:r>
      <w:r>
        <w:rPr>
          <w:rFonts w:ascii="Times New Roman" w:hAnsi="Times New Roman"/>
          <w:b w:val="0"/>
          <w:i w:val="0"/>
          <w:color w:val="000000"/>
          <w:sz w:val="22"/>
        </w:rPr>
        <w:t>While all three seats are New York Convention signatories, fragmenting dispute resolution increases the number of awards and enforcement actions and the risk of inconsistent findings of fact across forums.</w:t>
      </w:r>
    </w:p>
    <w:p>
      <w:pPr>
        <w:spacing w:after="120" w:line="259" w:lineRule="auto"/>
      </w:pPr>
      <w:r>
        <w:rPr>
          <w:rFonts w:ascii="Times New Roman" w:hAnsi="Times New Roman"/>
          <w:b/>
          <w:i w:val="0"/>
          <w:color w:val="000000"/>
          <w:sz w:val="22"/>
        </w:rPr>
        <w:t xml:space="preserve">Acknowledged but unresolved. </w:t>
      </w:r>
      <w:r>
        <w:rPr>
          <w:rFonts w:ascii="Times New Roman" w:hAnsi="Times New Roman"/>
          <w:b w:val="0"/>
          <w:i w:val="0"/>
          <w:color w:val="000000"/>
          <w:sz w:val="22"/>
        </w:rPr>
        <w:t>The Harmon &amp; Grey memorandum (Section IV) acknowledges the potential for overlap and offers to “harmonize certain procedural aspects,” but treats the core structure as “workable.” Given the conflicts identified in C1, the structure is not workable as drafted.</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Consolidate to a single institution, seat, and governing law across all three documents (preferred). This resolves C1, H1, and the procedural-default inconsistencies in one stroke.</w:t>
      </w:r>
    </w:p>
    <w:p>
      <w:pPr>
        <w:pStyle w:val="ListBullet"/>
        <w:spacing w:after="80" w:line="259" w:lineRule="auto"/>
      </w:pPr>
      <w:r>
        <w:rPr>
          <w:rFonts w:ascii="Times New Roman" w:hAnsi="Times New Roman"/>
          <w:b w:val="0"/>
          <w:i w:val="0"/>
          <w:color w:val="000000"/>
          <w:sz w:val="22"/>
        </w:rPr>
        <w:t>If separate forums are retained, align all procedural defaults (limitation period, costs, confidentiality, interim relief, arbitrator number) and implement the master coordination clause described in C1.</w:t>
      </w:r>
    </w:p>
    <w:p>
      <w:pPr>
        <w:spacing w:after="80" w:line="259" w:lineRule="auto" w:before="240"/>
      </w:pPr>
      <w:r>
        <w:rPr>
          <w:rFonts w:ascii="Times New Roman" w:hAnsi="Times New Roman"/>
          <w:b/>
          <w:i w:val="0"/>
          <w:color w:val="C45A11"/>
          <w:sz w:val="24"/>
        </w:rPr>
        <w:t xml:space="preserve">H2  </w:t>
      </w:r>
      <w:r>
        <w:rPr>
          <w:rFonts w:ascii="Times New Roman" w:hAnsi="Times New Roman"/>
          <w:b/>
          <w:i w:val="0"/>
          <w:color w:val="C45A11"/>
          <w:sz w:val="24"/>
        </w:rPr>
        <w:t xml:space="preserve">[HIGH]  </w:t>
      </w:r>
      <w:r>
        <w:rPr>
          <w:rFonts w:ascii="Times New Roman" w:hAnsi="Times New Roman"/>
          <w:b/>
          <w:i w:val="0"/>
          <w:color w:val="000000"/>
          <w:sz w:val="24"/>
        </w:rPr>
        <w:t>No Joinder or Multi-Party Mechanism for Non-Signatory Co-Manufacturers</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SA Art. 14; QA §7; IPLA §9 (none contain a joinder provision); SA §10.2</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None of the three arbitration clauses provides any mechanism for joinder of non-signatories. Greenleaf’s co-manufacturers — who blend, encapsulate, and package finished product using Pacifica’s extracts — are not parties to any Transaction Document. In a quality dispute, Greenleaf will likely need to pursue both Pacifica (defective ingredient) and the co-manufacturer (failure to detect or contribution to the defect), but cannot consolidate those claims in a single forum.</w:t>
      </w:r>
    </w:p>
    <w:p>
      <w:pPr>
        <w:spacing w:after="60" w:line="259" w:lineRule="auto" w:before="160"/>
      </w:pPr>
      <w:r>
        <w:rPr>
          <w:rFonts w:ascii="Times New Roman" w:hAnsi="Times New Roman"/>
          <w:b/>
          <w:i/>
          <w:color w:val="1F2A44"/>
          <w:sz w:val="22"/>
        </w:rPr>
        <w:t>Analysis</w:t>
      </w:r>
    </w:p>
    <w:p>
      <w:pPr>
        <w:spacing w:after="120" w:line="259" w:lineRule="auto"/>
      </w:pPr>
      <w:r>
        <w:rPr>
          <w:rFonts w:ascii="Times New Roman" w:hAnsi="Times New Roman"/>
          <w:b/>
          <w:i w:val="0"/>
          <w:color w:val="000000"/>
          <w:sz w:val="22"/>
        </w:rPr>
        <w:t xml:space="preserve">No consent, no joinder. </w:t>
      </w:r>
      <w:r>
        <w:rPr>
          <w:rFonts w:ascii="Times New Roman" w:hAnsi="Times New Roman"/>
          <w:b w:val="0"/>
          <w:i w:val="0"/>
          <w:color w:val="000000"/>
          <w:sz w:val="22"/>
        </w:rPr>
        <w:t>Under the ICC, SIAC, and LCIA Rules, joinder of a non-signatory requires the non-signatory’s consent. Greenleaf’s co-manufacturers, governed by standard purchase orders with North Carolina choice-of-law and forum-selection clauses (state court), have no incentive to consent to arbitration in Singapore or London.</w:t>
      </w:r>
    </w:p>
    <w:p>
      <w:pPr>
        <w:spacing w:after="120" w:line="259" w:lineRule="auto"/>
      </w:pPr>
      <w:r>
        <w:rPr>
          <w:rFonts w:ascii="Times New Roman" w:hAnsi="Times New Roman"/>
          <w:b/>
          <w:i w:val="0"/>
          <w:color w:val="000000"/>
          <w:sz w:val="22"/>
        </w:rPr>
        <w:t xml:space="preserve">Parallel proceedings. </w:t>
      </w:r>
      <w:r>
        <w:rPr>
          <w:rFonts w:ascii="Times New Roman" w:hAnsi="Times New Roman"/>
          <w:b w:val="0"/>
          <w:i w:val="0"/>
          <w:color w:val="000000"/>
          <w:sz w:val="22"/>
        </w:rPr>
        <w:t>Greenleaf would arbitrate against Pacifica (ICC / Singapore or SIAC / Singapore) while simultaneously litigating against its co-manufacturer in Mecklenburg County Superior Court (or federal court). This produces parallel proceedings, duplicative evidence-gathering, inconsistent findings of fact (e.g., one tribunal finding the extract defective while the court finds the co-man’s process at fault), and materially increased cost.</w:t>
      </w:r>
    </w:p>
    <w:p>
      <w:pPr>
        <w:spacing w:after="120" w:line="259" w:lineRule="auto"/>
      </w:pPr>
      <w:r>
        <w:rPr>
          <w:rFonts w:ascii="Times New Roman" w:hAnsi="Times New Roman"/>
          <w:b/>
          <w:i w:val="0"/>
          <w:color w:val="000000"/>
          <w:sz w:val="22"/>
        </w:rPr>
        <w:t xml:space="preserve">Imminent and worsening. </w:t>
      </w:r>
      <w:r>
        <w:rPr>
          <w:rFonts w:ascii="Times New Roman" w:hAnsi="Times New Roman"/>
          <w:b w:val="0"/>
          <w:i w:val="0"/>
          <w:color w:val="000000"/>
          <w:sz w:val="22"/>
        </w:rPr>
        <w:t>Greenleaf is in discussions to add a new co-manufacturer for its encapsulation line, expected online Q1 2026 — within six months of the Target Effective Date. The joinder gap will only widen.</w:t>
      </w:r>
    </w:p>
    <w:p>
      <w:pPr>
        <w:spacing w:after="120" w:line="259" w:lineRule="auto"/>
      </w:pPr>
      <w:r>
        <w:rPr>
          <w:rFonts w:ascii="Times New Roman" w:hAnsi="Times New Roman"/>
          <w:b/>
          <w:i w:val="0"/>
          <w:color w:val="000000"/>
          <w:sz w:val="22"/>
        </w:rPr>
        <w:t xml:space="preserve">Related-party gap. </w:t>
      </w:r>
      <w:r>
        <w:rPr>
          <w:rFonts w:ascii="Times New Roman" w:hAnsi="Times New Roman"/>
          <w:b w:val="0"/>
          <w:i w:val="0"/>
          <w:color w:val="000000"/>
          <w:sz w:val="22"/>
        </w:rPr>
        <w:t>Ridgeway (62% equity holder, an “Affiliate” under the IPLA) may also have interests in major disputes, but no intervention mechanism exists (IPLA §10.8 disclaims third-party beneficiaries).</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Add a contractual joinder / consent-to-joinder mechanism permitting non-signatory co-manufacturers and other necessary third parties to be joined in the arbitration, conditioned on their consent, with a defined procedure.</w:t>
      </w:r>
    </w:p>
    <w:p>
      <w:pPr>
        <w:pStyle w:val="ListBullet"/>
        <w:spacing w:after="80" w:line="259" w:lineRule="auto"/>
      </w:pPr>
      <w:r>
        <w:rPr>
          <w:rFonts w:ascii="Times New Roman" w:hAnsi="Times New Roman"/>
          <w:b w:val="0"/>
          <w:i w:val="0"/>
          <w:color w:val="000000"/>
          <w:sz w:val="22"/>
        </w:rPr>
        <w:t>Alternatively (or additionally), add a carve-out permitting quality disputes involving necessary third parties to be litigated in court (e.g., North Carolina) rather than arbitrated, so all related claims can be resolved together.</w:t>
      </w:r>
    </w:p>
    <w:p>
      <w:pPr>
        <w:pStyle w:val="ListBullet"/>
        <w:spacing w:after="80" w:line="259" w:lineRule="auto"/>
      </w:pPr>
      <w:r>
        <w:rPr>
          <w:rFonts w:ascii="Times New Roman" w:hAnsi="Times New Roman"/>
          <w:b w:val="0"/>
          <w:i w:val="0"/>
          <w:color w:val="000000"/>
          <w:sz w:val="22"/>
        </w:rPr>
        <w:t>Going forward, Greenleaf should require its co-manufacturing agreements to include arbitration clauses compatible with the SA’s forum (same institution and seat), enabling consolidation.</w:t>
      </w:r>
    </w:p>
    <w:p>
      <w:pPr>
        <w:pStyle w:val="ListBullet"/>
        <w:spacing w:after="80" w:line="259" w:lineRule="auto"/>
      </w:pPr>
      <w:r>
        <w:rPr>
          <w:rFonts w:ascii="Times New Roman" w:hAnsi="Times New Roman"/>
          <w:b w:val="0"/>
          <w:i w:val="0"/>
          <w:color w:val="000000"/>
          <w:sz w:val="22"/>
        </w:rPr>
        <w:t>Consider an “umbrella” or ecosystem arbitration clause covering the supply chain.</w:t>
      </w:r>
    </w:p>
    <w:p>
      <w:pPr>
        <w:spacing w:after="80" w:line="259" w:lineRule="auto" w:before="240"/>
      </w:pPr>
      <w:r>
        <w:rPr>
          <w:rFonts w:ascii="Times New Roman" w:hAnsi="Times New Roman"/>
          <w:b/>
          <w:i w:val="0"/>
          <w:color w:val="C45A11"/>
          <w:sz w:val="24"/>
        </w:rPr>
        <w:t xml:space="preserve">H3  </w:t>
      </w:r>
      <w:r>
        <w:rPr>
          <w:rFonts w:ascii="Times New Roman" w:hAnsi="Times New Roman"/>
          <w:b/>
          <w:i w:val="0"/>
          <w:color w:val="C45A11"/>
          <w:sz w:val="24"/>
        </w:rPr>
        <w:t xml:space="preserve">[HIGH]  </w:t>
      </w:r>
      <w:r>
        <w:rPr>
          <w:rFonts w:ascii="Times New Roman" w:hAnsi="Times New Roman"/>
          <w:b/>
          <w:i w:val="0"/>
          <w:color w:val="000000"/>
          <w:sz w:val="24"/>
        </w:rPr>
        <w:t>Blanket Prohibition on Discovery — Enforceability, Due Process, and Evidentiary Access</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SA §14.5; QA Letter §4.4 (audit rights), §6.4 (recall cooperation)</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SA §14.5 provides that “[n]o discovery shall be permitted in the arbitration.” An absolute bar is overbroad, may be unenforceable in part, and — critically for Greenleaf — would cripple its ability to prove contamination, adulteration, or specification claims, which depend on access to Pacifica’s manufacturing records, batch testing data, and Certificates of Analysis.</w:t>
      </w:r>
    </w:p>
    <w:p>
      <w:pPr>
        <w:spacing w:after="60" w:line="259" w:lineRule="auto" w:before="160"/>
      </w:pPr>
      <w:r>
        <w:rPr>
          <w:rFonts w:ascii="Times New Roman" w:hAnsi="Times New Roman"/>
          <w:b/>
          <w:i/>
          <w:color w:val="1F2A44"/>
          <w:sz w:val="22"/>
        </w:rPr>
        <w:t>Analysis</w:t>
      </w:r>
    </w:p>
    <w:p>
      <w:pPr>
        <w:spacing w:after="120" w:line="259" w:lineRule="auto"/>
      </w:pPr>
      <w:r>
        <w:rPr>
          <w:rFonts w:ascii="Times New Roman" w:hAnsi="Times New Roman"/>
          <w:b/>
          <w:i w:val="0"/>
          <w:color w:val="000000"/>
          <w:sz w:val="22"/>
        </w:rPr>
        <w:t xml:space="preserve">Enforceability and due process. </w:t>
      </w:r>
      <w:r>
        <w:rPr>
          <w:rFonts w:ascii="Times New Roman" w:hAnsi="Times New Roman"/>
          <w:b w:val="0"/>
          <w:i w:val="0"/>
          <w:color w:val="000000"/>
          <w:sz w:val="22"/>
        </w:rPr>
        <w:t>Parties may agree to limit document production, but an absolute prohibition risks conflicting with the tribunal’s duty to ensure each party has a reasonable opportunity to present its case. Under the Model Law (Article 34(2)(b)(ii)), an award may be set aside if a party was “unable to present its case.” If the bar prevents a party from obtaining documents essential to its claim or defense, the award is vulnerable to challenge. Institutional rules (including the ICC Rules) confer case-management discretion on the tribunal, which may order limited production notwithstanding a blanket bar — creating uncertainty as to whether the clause will be given effect.</w:t>
      </w:r>
    </w:p>
    <w:p>
      <w:pPr>
        <w:spacing w:after="120" w:line="259" w:lineRule="auto"/>
      </w:pPr>
      <w:r>
        <w:rPr>
          <w:rFonts w:ascii="Times New Roman" w:hAnsi="Times New Roman"/>
          <w:b/>
          <w:i w:val="0"/>
          <w:color w:val="000000"/>
          <w:sz w:val="22"/>
        </w:rPr>
        <w:t xml:space="preserve">Terminology. </w:t>
      </w:r>
      <w:r>
        <w:rPr>
          <w:rFonts w:ascii="Times New Roman" w:hAnsi="Times New Roman"/>
          <w:b w:val="0"/>
          <w:i w:val="0"/>
          <w:color w:val="000000"/>
          <w:sz w:val="22"/>
        </w:rPr>
        <w:t>“Discovery” is a U.S.-style concept (broad, party-driven pre-hearing production). International arbitration employs narrower, tribunal-controlled “document production” (typically via Redfern Schedules under the IBA Rules on the Taking of Evidence). A blanket “no discovery” bar is ambiguous: it may be read to prohibit all compelled document production, or only U.S.-style broad discovery. Harmon &amp; Grey’s memorandum (Section III.C) frames it as barring “compelled pre-hearing production” while preserving voluntary submission — but the clause text does not say this, and the tribunal’s view may differ.</w:t>
      </w:r>
    </w:p>
    <w:p>
      <w:pPr>
        <w:spacing w:after="120" w:line="259" w:lineRule="auto"/>
      </w:pPr>
      <w:r>
        <w:rPr>
          <w:rFonts w:ascii="Times New Roman" w:hAnsi="Times New Roman"/>
          <w:b/>
          <w:i w:val="0"/>
          <w:color w:val="000000"/>
          <w:sz w:val="22"/>
        </w:rPr>
        <w:t xml:space="preserve">Practical impact on Greenleaf. </w:t>
      </w:r>
      <w:r>
        <w:rPr>
          <w:rFonts w:ascii="Times New Roman" w:hAnsi="Times New Roman"/>
          <w:b w:val="0"/>
          <w:i w:val="0"/>
          <w:color w:val="000000"/>
          <w:sz w:val="22"/>
        </w:rPr>
        <w:t>In a quality dispute, Greenleaf’s ability to establish that Pacifica’s extract was contaminated or off-spec depends on Pacifica’s internal records: batch manufacturing records, testing data, out-of-specification investigations, reserve-sample results, and COAs. A blanket production bar would leave Greenleaf unable to develop its claim. The QA Letter’s audit rights (§4.4) and recall-cooperation obligations (§6.4) provide some access to records, but audit rights are not a substitute for arbitration-stage document production, and the interplay with the §14.5 bar is unspecified.</w:t>
      </w:r>
    </w:p>
    <w:p>
      <w:pPr>
        <w:spacing w:after="120" w:line="259" w:lineRule="auto"/>
      </w:pPr>
      <w:r>
        <w:rPr>
          <w:rFonts w:ascii="Times New Roman" w:hAnsi="Times New Roman"/>
          <w:b/>
          <w:i w:val="0"/>
          <w:color w:val="000000"/>
          <w:sz w:val="22"/>
        </w:rPr>
        <w:t xml:space="preserve">Trade-secret concern is addressable. </w:t>
      </w:r>
      <w:r>
        <w:rPr>
          <w:rFonts w:ascii="Times New Roman" w:hAnsi="Times New Roman"/>
          <w:b w:val="0"/>
          <w:i w:val="0"/>
          <w:color w:val="000000"/>
          <w:sz w:val="22"/>
        </w:rPr>
        <w:t>Pacifica’s confidentiality concern (protecting trade secrets from fishing expeditions) is legitimate but is better addressed through a protective-order / confidentiality regime than through an absolute production bar.</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Replace the blanket bar with a measured document-production provision modeled on the IBA Rules on the Taking of Evidence: limited, targeted, proportionate production tied to specific issues, with the tribunal retaining case-management discretion.</w:t>
      </w:r>
    </w:p>
    <w:p>
      <w:pPr>
        <w:pStyle w:val="ListBullet"/>
        <w:spacing w:after="80" w:line="259" w:lineRule="auto"/>
      </w:pPr>
      <w:r>
        <w:rPr>
          <w:rFonts w:ascii="Times New Roman" w:hAnsi="Times New Roman"/>
          <w:b w:val="0"/>
          <w:i w:val="0"/>
          <w:color w:val="000000"/>
          <w:sz w:val="22"/>
        </w:rPr>
        <w:t>Expressly preserve Greenleaf’s right to obtain Pacifica’s manufacturing records, batch testing data, COAs, and reserve-sample results in quality, contamination, and specification disputes (consistent with the QA audit rights).</w:t>
      </w:r>
    </w:p>
    <w:p>
      <w:pPr>
        <w:pStyle w:val="ListBullet"/>
        <w:spacing w:after="80" w:line="259" w:lineRule="auto"/>
      </w:pPr>
      <w:r>
        <w:rPr>
          <w:rFonts w:ascii="Times New Roman" w:hAnsi="Times New Roman"/>
          <w:b w:val="0"/>
          <w:i w:val="0"/>
          <w:color w:val="000000"/>
          <w:sz w:val="22"/>
        </w:rPr>
        <w:t>Clarify that the restriction addresses U.S.-style broad discovery, not targeted international document production.</w:t>
      </w:r>
    </w:p>
    <w:p>
      <w:pPr>
        <w:pStyle w:val="ListBullet"/>
        <w:spacing w:after="80" w:line="259" w:lineRule="auto"/>
      </w:pPr>
      <w:r>
        <w:rPr>
          <w:rFonts w:ascii="Times New Roman" w:hAnsi="Times New Roman"/>
          <w:b w:val="0"/>
          <w:i w:val="0"/>
          <w:color w:val="000000"/>
          <w:sz w:val="22"/>
        </w:rPr>
        <w:t>Add a confidentiality / protective-order regime (e.g., counsel-only eyes, redaction, club rules) to protect Pacifica’s trade secrets — addressing the underlying concern without an absolute bar.</w:t>
      </w:r>
    </w:p>
    <w:p>
      <w:pPr>
        <w:spacing w:after="80" w:line="259" w:lineRule="auto" w:before="240"/>
      </w:pPr>
      <w:r>
        <w:rPr>
          <w:rFonts w:ascii="Times New Roman" w:hAnsi="Times New Roman"/>
          <w:b/>
          <w:i w:val="0"/>
          <w:color w:val="C45A11"/>
          <w:sz w:val="24"/>
        </w:rPr>
        <w:t xml:space="preserve">H4  </w:t>
      </w:r>
      <w:r>
        <w:rPr>
          <w:rFonts w:ascii="Times New Roman" w:hAnsi="Times New Roman"/>
          <w:b/>
          <w:i w:val="0"/>
          <w:color w:val="C45A11"/>
          <w:sz w:val="24"/>
        </w:rPr>
        <w:t xml:space="preserve">[HIGH]  </w:t>
      </w:r>
      <w:r>
        <w:rPr>
          <w:rFonts w:ascii="Times New Roman" w:hAnsi="Times New Roman"/>
          <w:b/>
          <w:i w:val="0"/>
          <w:color w:val="000000"/>
          <w:sz w:val="24"/>
        </w:rPr>
        <w:t>One-Year Limitation Period — Aggressive, Inconsistent with UCC Accrual, and Cutoff of Latent-Defect and Indemnification Claims</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SA §14.9; SA §7.3 (latent defects); QA §3.5, §5.1 (latent defects); SA §13.5, Art. 10 (survival / indemnification)</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SA §14.9 imposes a one-year limitation period for commencing arbitration, running from when the claimant “knew or should have known of the facts giving rise to the claim.” This sits at the statutory floor permitted for sale-of-goods claims under New York’s UCC, uses a discovery trigger inconsistent with UCC accrual, and risks cutting off latent-defect and indemnification claims in a relationship that may run 13 years.</w:t>
      </w:r>
    </w:p>
    <w:p>
      <w:pPr>
        <w:spacing w:after="60" w:line="259" w:lineRule="auto" w:before="160"/>
      </w:pPr>
      <w:r>
        <w:rPr>
          <w:rFonts w:ascii="Times New Roman" w:hAnsi="Times New Roman"/>
          <w:b/>
          <w:i/>
          <w:color w:val="1F2A44"/>
          <w:sz w:val="22"/>
        </w:rPr>
        <w:t>Analysis</w:t>
      </w:r>
    </w:p>
    <w:p>
      <w:pPr>
        <w:spacing w:after="120" w:line="259" w:lineRule="auto"/>
      </w:pPr>
      <w:r>
        <w:rPr>
          <w:rFonts w:ascii="Times New Roman" w:hAnsi="Times New Roman"/>
          <w:b/>
          <w:i w:val="0"/>
          <w:color w:val="000000"/>
          <w:sz w:val="22"/>
        </w:rPr>
        <w:t xml:space="preserve">UCC floor. </w:t>
      </w:r>
      <w:r>
        <w:rPr>
          <w:rFonts w:ascii="Times New Roman" w:hAnsi="Times New Roman"/>
          <w:b w:val="0"/>
          <w:i w:val="0"/>
          <w:color w:val="000000"/>
          <w:sz w:val="22"/>
        </w:rPr>
        <w:t>The SA is a contract for the sale of goods (botanical extracts) governed by New York law, so UCC Article 2 applies. UCC § 2-725(1) permits parties to reduce the limitations period “to not less than one year.” A one-year period is therefore at the absolute statutory minimum — technically permissible but aggressive, and subject to close scrutiny.</w:t>
      </w:r>
    </w:p>
    <w:p>
      <w:pPr>
        <w:spacing w:after="120" w:line="259" w:lineRule="auto"/>
      </w:pPr>
      <w:r>
        <w:rPr>
          <w:rFonts w:ascii="Times New Roman" w:hAnsi="Times New Roman"/>
          <w:b/>
          <w:i w:val="0"/>
          <w:color w:val="000000"/>
          <w:sz w:val="22"/>
        </w:rPr>
        <w:t xml:space="preserve">Accrual inconsistency. </w:t>
      </w:r>
      <w:r>
        <w:rPr>
          <w:rFonts w:ascii="Times New Roman" w:hAnsi="Times New Roman"/>
          <w:b w:val="0"/>
          <w:i w:val="0"/>
          <w:color w:val="000000"/>
          <w:sz w:val="22"/>
        </w:rPr>
        <w:t>UCC § 2-725(2) provides that a cause of action accrues upon tender of delivery (not discovery), except for warranties explicitly extending to future performance. SA §14.9’s discovery trigger (“knew or should have known”) is inconsistent with the UCC’s tender-of-delivery accrual for ordinary warranty claims, creating ambiguity as to when the one-year clock starts.</w:t>
      </w:r>
    </w:p>
    <w:p>
      <w:pPr>
        <w:spacing w:after="120" w:line="259" w:lineRule="auto"/>
      </w:pPr>
      <w:r>
        <w:rPr>
          <w:rFonts w:ascii="Times New Roman" w:hAnsi="Times New Roman"/>
          <w:b/>
          <w:i w:val="0"/>
          <w:color w:val="000000"/>
          <w:sz w:val="22"/>
        </w:rPr>
        <w:t xml:space="preserve">Latent defects. </w:t>
      </w:r>
      <w:r>
        <w:rPr>
          <w:rFonts w:ascii="Times New Roman" w:hAnsi="Times New Roman"/>
          <w:b w:val="0"/>
          <w:i w:val="0"/>
          <w:color w:val="000000"/>
          <w:sz w:val="22"/>
        </w:rPr>
        <w:t>Botanical-extract defects — contamination, adulteration, stability / degradation failures, or heavy-metals exceedances that manifest only after incorporation into finished product or after consumer use — may not be discovered for years. A one-year-from-discovery period may bar claims for latent defects that surface after the window, even though the QA Letter (§3.5, §5.1) purports to preserve latent-defect claims and SA §7.3 allows latent-defect notice within 12 months of delivery. The interplay with §14.9 is unresolved.</w:t>
      </w:r>
    </w:p>
    <w:p>
      <w:pPr>
        <w:spacing w:after="120" w:line="259" w:lineRule="auto"/>
      </w:pPr>
      <w:r>
        <w:rPr>
          <w:rFonts w:ascii="Times New Roman" w:hAnsi="Times New Roman"/>
          <w:b/>
          <w:i w:val="0"/>
          <w:color w:val="000000"/>
          <w:sz w:val="22"/>
        </w:rPr>
        <w:t xml:space="preserve">Indemnification and survival. </w:t>
      </w:r>
      <w:r>
        <w:rPr>
          <w:rFonts w:ascii="Times New Roman" w:hAnsi="Times New Roman"/>
          <w:b w:val="0"/>
          <w:i w:val="0"/>
          <w:color w:val="000000"/>
          <w:sz w:val="22"/>
        </w:rPr>
        <w:t>Article 10 (indemnification) and Article 12 (confidentiality) survive termination (§13.5). It is unclear whether the one-year limitation applies to indemnification claims — including third-party claims that may arise years after delivery or after termination. If it does, Greenleaf’s indemnification remedy for latent consumer-injury claims could be time-barred before the claim arises.</w:t>
      </w:r>
    </w:p>
    <w:p>
      <w:pPr>
        <w:spacing w:after="120" w:line="259" w:lineRule="auto"/>
      </w:pPr>
      <w:r>
        <w:rPr>
          <w:rFonts w:ascii="Times New Roman" w:hAnsi="Times New Roman"/>
          <w:b/>
          <w:i w:val="0"/>
          <w:color w:val="000000"/>
          <w:sz w:val="22"/>
        </w:rPr>
        <w:t xml:space="preserve">Non-UCC claims. </w:t>
      </w:r>
      <w:r>
        <w:rPr>
          <w:rFonts w:ascii="Times New Roman" w:hAnsi="Times New Roman"/>
          <w:b w:val="0"/>
          <w:i w:val="0"/>
          <w:color w:val="000000"/>
          <w:sz w:val="22"/>
        </w:rPr>
        <w:t>To the extent any claims sound in tort or other non-UCC theories, a contractual one-year limitation may be unenforceable as against New York public policy (the CPLR imposes longer default periods, e.g., three years for tort, six years for contract).</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Lengthen the limitation period to a commercially reasonable term — at minimum four years (aligning with the UCC § 2-725 default), or a longer period for latent defects given the 13-year relationship and the nature of botanical-extract quality risks.</w:t>
      </w:r>
    </w:p>
    <w:p>
      <w:pPr>
        <w:pStyle w:val="ListBullet"/>
        <w:spacing w:after="80" w:line="259" w:lineRule="auto"/>
      </w:pPr>
      <w:r>
        <w:rPr>
          <w:rFonts w:ascii="Times New Roman" w:hAnsi="Times New Roman"/>
          <w:b w:val="0"/>
          <w:i w:val="0"/>
          <w:color w:val="000000"/>
          <w:sz w:val="22"/>
        </w:rPr>
        <w:t>Reconcile the accrual trigger with UCC § 2-725 (tender of delivery), or expressly provide a discovery-based accrual for latent defects only, consistent with the QA Letter’s latent-defect regime.</w:t>
      </w:r>
    </w:p>
    <w:p>
      <w:pPr>
        <w:pStyle w:val="ListBullet"/>
        <w:spacing w:after="80" w:line="259" w:lineRule="auto"/>
      </w:pPr>
      <w:r>
        <w:rPr>
          <w:rFonts w:ascii="Times New Roman" w:hAnsi="Times New Roman"/>
          <w:b w:val="0"/>
          <w:i w:val="0"/>
          <w:color w:val="000000"/>
          <w:sz w:val="22"/>
        </w:rPr>
        <w:t>Expressly provide that the limitation period does not apply to (or runs separately for) indemnification claims and other claims that survive termination, with a reasonable period measured from accrual of the indemnification claim.</w:t>
      </w:r>
    </w:p>
    <w:p>
      <w:pPr>
        <w:pStyle w:val="ListBullet"/>
        <w:spacing w:after="80" w:line="259" w:lineRule="auto"/>
      </w:pPr>
      <w:r>
        <w:rPr>
          <w:rFonts w:ascii="Times New Roman" w:hAnsi="Times New Roman"/>
          <w:b w:val="0"/>
          <w:i w:val="0"/>
          <w:color w:val="000000"/>
          <w:sz w:val="22"/>
        </w:rPr>
        <w:t>Harmonize the limitation period with the QA Letter’s latent-defect notice provisions and the SA’s §7.3 latent-defect window.</w:t>
      </w:r>
    </w:p>
    <w:p>
      <w:pPr>
        <w:spacing w:after="80" w:line="259" w:lineRule="auto" w:before="240"/>
      </w:pPr>
      <w:r>
        <w:rPr>
          <w:rFonts w:ascii="Times New Roman" w:hAnsi="Times New Roman"/>
          <w:b/>
          <w:i w:val="0"/>
          <w:color w:val="C45A11"/>
          <w:sz w:val="24"/>
        </w:rPr>
        <w:t xml:space="preserve">H5  </w:t>
      </w:r>
      <w:r>
        <w:rPr>
          <w:rFonts w:ascii="Times New Roman" w:hAnsi="Times New Roman"/>
          <w:b/>
          <w:i w:val="0"/>
          <w:color w:val="C45A11"/>
          <w:sz w:val="24"/>
        </w:rPr>
        <w:t xml:space="preserve">[HIGH]  </w:t>
      </w:r>
      <w:r>
        <w:rPr>
          <w:rFonts w:ascii="Times New Roman" w:hAnsi="Times New Roman"/>
          <w:b/>
          <w:i w:val="0"/>
          <w:color w:val="000000"/>
          <w:sz w:val="24"/>
        </w:rPr>
        <w:t>Expert Determination “Challenge” Trigger Undermines Finality</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QA Letter §7.1, §7.2</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QA §7.1 provides that the Expert’s determination “shall be final and binding on the Parties, subject to Section 7.2.” QA §7.2 escalates to full arbitration if the dispute exceeds $5 million “or if the expert determination rendered pursuant to Section 7.1 is challenged by either Party.” The “challenge” trigger effectively makes expert determination non-final, defeating its purpose of quick, inexpensive resolution and creating uncertainty.</w:t>
      </w:r>
    </w:p>
    <w:p>
      <w:pPr>
        <w:spacing w:after="60" w:line="259" w:lineRule="auto" w:before="160"/>
      </w:pPr>
      <w:r>
        <w:rPr>
          <w:rFonts w:ascii="Times New Roman" w:hAnsi="Times New Roman"/>
          <w:b/>
          <w:i/>
          <w:color w:val="1F2A44"/>
          <w:sz w:val="22"/>
        </w:rPr>
        <w:t>Analysis</w:t>
      </w:r>
    </w:p>
    <w:p>
      <w:pPr>
        <w:spacing w:after="120" w:line="259" w:lineRule="auto"/>
      </w:pPr>
      <w:r>
        <w:rPr>
          <w:rFonts w:ascii="Times New Roman" w:hAnsi="Times New Roman"/>
          <w:b/>
          <w:i w:val="0"/>
          <w:color w:val="000000"/>
          <w:sz w:val="22"/>
        </w:rPr>
        <w:t xml:space="preserve">Finality defeated. </w:t>
      </w:r>
      <w:r>
        <w:rPr>
          <w:rFonts w:ascii="Times New Roman" w:hAnsi="Times New Roman"/>
          <w:b w:val="0"/>
          <w:i w:val="0"/>
          <w:color w:val="000000"/>
          <w:sz w:val="22"/>
        </w:rPr>
        <w:t>If either party may “challenge” the determination and thereby trigger full arbitration, the determination is not final and binding in any meaningful sense. Harmon &amp; Grey’s memorandum (Section II.B) describes expert determination as a “streamlined, cost-effective resolution pathway” for the majority of quality disagreements, but the challenge trigger allows any dissatisfied party to escalate, converting every expert determination into a preliminary step rather than a resolution.</w:t>
      </w:r>
    </w:p>
    <w:p>
      <w:pPr>
        <w:spacing w:after="120" w:line="259" w:lineRule="auto"/>
      </w:pPr>
      <w:r>
        <w:rPr>
          <w:rFonts w:ascii="Times New Roman" w:hAnsi="Times New Roman"/>
          <w:b/>
          <w:i w:val="0"/>
          <w:color w:val="000000"/>
          <w:sz w:val="22"/>
        </w:rPr>
        <w:t xml:space="preserve">Undefined “challenge.” </w:t>
      </w:r>
      <w:r>
        <w:rPr>
          <w:rFonts w:ascii="Times New Roman" w:hAnsi="Times New Roman"/>
          <w:b w:val="0"/>
          <w:i w:val="0"/>
          <w:color w:val="000000"/>
          <w:sz w:val="22"/>
        </w:rPr>
        <w:t>The clause does not define what constitutes a “challenge,” the standard for challenge, or any time limit. This invites disputes about whether and when a challenge was properly made, and could be used tactically to delay.</w:t>
      </w:r>
    </w:p>
    <w:p>
      <w:pPr>
        <w:spacing w:after="120" w:line="259" w:lineRule="auto"/>
      </w:pPr>
      <w:r>
        <w:rPr>
          <w:rFonts w:ascii="Times New Roman" w:hAnsi="Times New Roman"/>
          <w:b/>
          <w:i w:val="0"/>
          <w:color w:val="000000"/>
          <w:sz w:val="22"/>
        </w:rPr>
        <w:t xml:space="preserve">$5M threshold ambiguity. </w:t>
      </w:r>
      <w:r>
        <w:rPr>
          <w:rFonts w:ascii="Times New Roman" w:hAnsi="Times New Roman"/>
          <w:b w:val="0"/>
          <w:i w:val="0"/>
          <w:color w:val="000000"/>
          <w:sz w:val="22"/>
        </w:rPr>
        <w:t>For non-monetary quality disputes (e.g., whether a testing methodology is valid, or whether a Batch conforms to Specifications), the “amount in dispute” may be difficult to quantify, making the $5M threshold uncertain in application.</w:t>
      </w:r>
    </w:p>
    <w:p>
      <w:pPr>
        <w:spacing w:after="120" w:line="259" w:lineRule="auto"/>
      </w:pPr>
      <w:r>
        <w:rPr>
          <w:rFonts w:ascii="Times New Roman" w:hAnsi="Times New Roman"/>
          <w:b/>
          <w:i w:val="0"/>
          <w:color w:val="000000"/>
          <w:sz w:val="22"/>
        </w:rPr>
        <w:t xml:space="preserve">Scope concern. </w:t>
      </w:r>
      <w:r>
        <w:rPr>
          <w:rFonts w:ascii="Times New Roman" w:hAnsi="Times New Roman"/>
          <w:b w:val="0"/>
          <w:i w:val="0"/>
          <w:color w:val="000000"/>
          <w:sz w:val="22"/>
        </w:rPr>
        <w:t>QA §7.1 submits disputes “relating to … recall obligations” to expert determination. Recall-cost allocation under §6.3 (proportional allocation based on each party’s contribution) is a legal / allocation question, not a technical one. An expert in “botanical extract manufacturing, analytical chemistry, food safety, or dietary supplement quality assurance” may lack the mandate to resolve legal liability allocation.</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Make expert determination genuinely final and binding except on narrow, specified grounds (e.g., fraud, manifest error, lack of jurisdiction, breach of natural justice), with a short, defined challenge window (e.g., 30 days).</w:t>
      </w:r>
    </w:p>
    <w:p>
      <w:pPr>
        <w:pStyle w:val="ListBullet"/>
        <w:spacing w:after="80" w:line="259" w:lineRule="auto"/>
      </w:pPr>
      <w:r>
        <w:rPr>
          <w:rFonts w:ascii="Times New Roman" w:hAnsi="Times New Roman"/>
          <w:b w:val="0"/>
          <w:i w:val="0"/>
          <w:color w:val="000000"/>
          <w:sz w:val="22"/>
        </w:rPr>
        <w:t>Remove or tightly cabin the open-ended “if challenged by either Party” trigger. Permit escalation to arbitration only for disputes exceeding the $5M threshold (with a defined valuation method for non-monetary disputes) or on the specified narrow grounds.</w:t>
      </w:r>
    </w:p>
    <w:p>
      <w:pPr>
        <w:pStyle w:val="ListBullet"/>
        <w:spacing w:after="80" w:line="259" w:lineRule="auto"/>
      </w:pPr>
      <w:r>
        <w:rPr>
          <w:rFonts w:ascii="Times New Roman" w:hAnsi="Times New Roman"/>
          <w:b w:val="0"/>
          <w:i w:val="0"/>
          <w:color w:val="000000"/>
          <w:sz w:val="22"/>
        </w:rPr>
        <w:t>Exclude legal / allocation questions (e.g., recall-cost allocation under §6.3) from expert determination; route them to arbitration.</w:t>
      </w:r>
    </w:p>
    <w:p>
      <w:pPr>
        <w:spacing w:after="80" w:line="259" w:lineRule="auto" w:before="280"/>
        <w:pBdr>
          <w:bottom w:val="single" w:sz="6" w:space="2" w:color="1F2A44"/>
        </w:pBdr>
      </w:pPr>
      <w:r>
        <w:rPr>
          <w:rFonts w:ascii="Times New Roman" w:hAnsi="Times New Roman"/>
          <w:b/>
          <w:i w:val="0"/>
          <w:color w:val="1F2A44"/>
          <w:sz w:val="25"/>
        </w:rPr>
        <w:t>VI.  Medium-Severity Issues</w:t>
      </w:r>
    </w:p>
    <w:p>
      <w:pPr>
        <w:spacing w:after="80" w:line="259" w:lineRule="auto" w:before="240"/>
      </w:pPr>
      <w:r>
        <w:rPr>
          <w:rFonts w:ascii="Times New Roman" w:hAnsi="Times New Roman"/>
          <w:b/>
          <w:i w:val="0"/>
          <w:color w:val="9C6A00"/>
          <w:sz w:val="24"/>
        </w:rPr>
        <w:t xml:space="preserve">M1  </w:t>
      </w:r>
      <w:r>
        <w:rPr>
          <w:rFonts w:ascii="Times New Roman" w:hAnsi="Times New Roman"/>
          <w:b/>
          <w:i w:val="0"/>
          <w:color w:val="9C6A00"/>
          <w:sz w:val="24"/>
        </w:rPr>
        <w:t xml:space="preserve">[MEDIUM]  </w:t>
      </w:r>
      <w:r>
        <w:rPr>
          <w:rFonts w:ascii="Times New Roman" w:hAnsi="Times New Roman"/>
          <w:b/>
          <w:i w:val="0"/>
          <w:color w:val="000000"/>
          <w:sz w:val="24"/>
        </w:rPr>
        <w:t>Inconsistent Cost Allocation Across the Transaction Documents</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SA §14.8 (loser-pays); IPLA §9.4 (each bears own, tribunal discretion); QA §7.1 (each bears own)</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The cost regimes differ: the SA imposes full loser-pays fee-shifting; the IPLA and QA Letter provide that each party bears its own costs (with tribunal discretion under the IPLA). The applicable cost rule therefore depends on which forum hears the dispute, creating unpredictability and tactical incentives.</w:t>
      </w:r>
    </w:p>
    <w:p>
      <w:pPr>
        <w:spacing w:after="60" w:line="259" w:lineRule="auto" w:before="160"/>
      </w:pPr>
      <w:r>
        <w:rPr>
          <w:rFonts w:ascii="Times New Roman" w:hAnsi="Times New Roman"/>
          <w:b/>
          <w:i/>
          <w:color w:val="1F2A44"/>
          <w:sz w:val="22"/>
        </w:rPr>
        <w:t>Analysis</w:t>
      </w:r>
    </w:p>
    <w:p>
      <w:pPr>
        <w:spacing w:after="120" w:line="259" w:lineRule="auto"/>
      </w:pPr>
      <w:r>
        <w:rPr>
          <w:rFonts w:ascii="Times New Roman" w:hAnsi="Times New Roman"/>
          <w:b/>
          <w:i w:val="0"/>
          <w:color w:val="000000"/>
          <w:sz w:val="22"/>
        </w:rPr>
        <w:t xml:space="preserve">Divergent regimes. </w:t>
      </w:r>
      <w:r>
        <w:rPr>
          <w:rFonts w:ascii="Times New Roman" w:hAnsi="Times New Roman"/>
          <w:b w:val="0"/>
          <w:i w:val="0"/>
          <w:color w:val="000000"/>
          <w:sz w:val="22"/>
        </w:rPr>
        <w:t>SA §14.8: “The losing party shall bear all costs of the arbitration, including the reasonable attorneys’ fees of the prevailing party” — an aggressive, automatic loser-pays rule. IPLA §9.4: each party bears its own costs; arbitrator / LCIA costs shared equally unless the tribunal decides otherwise — tribunal discretion, the international norm. QA §7.1: each party bears its own costs; expert fees shared — no fee-shifting.</w:t>
      </w:r>
    </w:p>
    <w:p>
      <w:pPr>
        <w:spacing w:after="120" w:line="259" w:lineRule="auto"/>
      </w:pPr>
      <w:r>
        <w:rPr>
          <w:rFonts w:ascii="Times New Roman" w:hAnsi="Times New Roman"/>
          <w:b/>
          <w:i w:val="0"/>
          <w:color w:val="000000"/>
          <w:sz w:val="22"/>
        </w:rPr>
        <w:t xml:space="preserve">Forum-dependent outcome. </w:t>
      </w:r>
      <w:r>
        <w:rPr>
          <w:rFonts w:ascii="Times New Roman" w:hAnsi="Times New Roman"/>
          <w:b w:val="0"/>
          <w:i w:val="0"/>
          <w:color w:val="000000"/>
          <w:sz w:val="22"/>
        </w:rPr>
        <w:t>The inconsistency means the cost outcome turns on forum selection, which (per C1) may itself be contested. The SA’s automatic loser-pays is more aggressive than typical international practice and may deter meritorious but uncertain claims.</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Harmonize cost allocation across all three documents. Recommend the tribunal-discretion approach (each bears own, with tribunal authority to apportion) as the default, consistent with international practice and the IPLA / QA regime.</w:t>
      </w:r>
    </w:p>
    <w:p>
      <w:pPr>
        <w:pStyle w:val="ListBullet"/>
        <w:spacing w:after="80" w:line="259" w:lineRule="auto"/>
      </w:pPr>
      <w:r>
        <w:rPr>
          <w:rFonts w:ascii="Times New Roman" w:hAnsi="Times New Roman"/>
          <w:b w:val="0"/>
          <w:i w:val="0"/>
          <w:color w:val="000000"/>
          <w:sz w:val="22"/>
        </w:rPr>
        <w:t>If loser-pays is retained in the SA, apply it consistently throughout all three documents.</w:t>
      </w:r>
    </w:p>
    <w:p>
      <w:pPr>
        <w:spacing w:after="80" w:line="259" w:lineRule="auto" w:before="240"/>
      </w:pPr>
      <w:r>
        <w:rPr>
          <w:rFonts w:ascii="Times New Roman" w:hAnsi="Times New Roman"/>
          <w:b/>
          <w:i w:val="0"/>
          <w:color w:val="9C6A00"/>
          <w:sz w:val="24"/>
        </w:rPr>
        <w:t xml:space="preserve">M2  </w:t>
      </w:r>
      <w:r>
        <w:rPr>
          <w:rFonts w:ascii="Times New Roman" w:hAnsi="Times New Roman"/>
          <w:b/>
          <w:i w:val="0"/>
          <w:color w:val="9C6A00"/>
          <w:sz w:val="24"/>
        </w:rPr>
        <w:t xml:space="preserve">[MEDIUM]  </w:t>
      </w:r>
      <w:r>
        <w:rPr>
          <w:rFonts w:ascii="Times New Roman" w:hAnsi="Times New Roman"/>
          <w:b/>
          <w:i w:val="0"/>
          <w:color w:val="000000"/>
          <w:sz w:val="24"/>
        </w:rPr>
        <w:t>Number of Arbitrators — Inconsistency and Unilateral Three-Arbitrator Trigger</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SA §14.3 (1, unless either party requests 3 within 15 days); QA §7.2 (3); IPLA §9.1 (1)</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Tribunal size differs across documents (1 vs. 3), and the SA’s mechanism allowing either party to unilaterally demand three arbitrators within 15 days of the Request for Arbitration is unusual and tactically exploitable.</w:t>
      </w:r>
    </w:p>
    <w:p>
      <w:pPr>
        <w:spacing w:after="60" w:line="259" w:lineRule="auto" w:before="160"/>
      </w:pPr>
      <w:r>
        <w:rPr>
          <w:rFonts w:ascii="Times New Roman" w:hAnsi="Times New Roman"/>
          <w:b/>
          <w:i/>
          <w:color w:val="1F2A44"/>
          <w:sz w:val="22"/>
        </w:rPr>
        <w:t>Analysis</w:t>
      </w:r>
    </w:p>
    <w:p>
      <w:pPr>
        <w:spacing w:after="120" w:line="259" w:lineRule="auto"/>
      </w:pPr>
      <w:r>
        <w:rPr>
          <w:rFonts w:ascii="Times New Roman" w:hAnsi="Times New Roman"/>
          <w:b/>
          <w:i w:val="0"/>
          <w:color w:val="000000"/>
          <w:sz w:val="22"/>
        </w:rPr>
        <w:t xml:space="preserve">Unilateral trigger. </w:t>
      </w:r>
      <w:r>
        <w:rPr>
          <w:rFonts w:ascii="Times New Roman" w:hAnsi="Times New Roman"/>
          <w:b w:val="0"/>
          <w:i w:val="0"/>
          <w:color w:val="000000"/>
          <w:sz w:val="22"/>
        </w:rPr>
        <w:t>The SA’s unilateral trigger lets either party convert a one-arbitrator proceeding to a three-arbitrator panel by a unilateral request within 15 days. This can be used tactically to increase cost and complexity, and the 15-day trigger (measured from the Request for Arbitration) is ambiguous as to whether it runs from filing or receipt.</w:t>
      </w:r>
    </w:p>
    <w:p>
      <w:pPr>
        <w:spacing w:after="120" w:line="259" w:lineRule="auto"/>
      </w:pPr>
      <w:r>
        <w:rPr>
          <w:rFonts w:ascii="Times New Roman" w:hAnsi="Times New Roman"/>
          <w:b/>
          <w:i w:val="0"/>
          <w:color w:val="000000"/>
          <w:sz w:val="22"/>
        </w:rPr>
        <w:t xml:space="preserve">Value mismatch. </w:t>
      </w:r>
      <w:r>
        <w:rPr>
          <w:rFonts w:ascii="Times New Roman" w:hAnsi="Times New Roman"/>
          <w:b w:val="0"/>
          <w:i w:val="0"/>
          <w:color w:val="000000"/>
          <w:sz w:val="22"/>
        </w:rPr>
        <w:t>For a relationship with $178M+ in commitments and potential disputes well into eight figures, a three-arbitrator panel may be more appropriate as the default for high-value matters, but the unilateral mechanism is not the right way to get there.</w:t>
      </w:r>
    </w:p>
    <w:p>
      <w:pPr>
        <w:spacing w:after="120" w:line="259" w:lineRule="auto"/>
      </w:pPr>
      <w:r>
        <w:rPr>
          <w:rFonts w:ascii="Times New Roman" w:hAnsi="Times New Roman"/>
          <w:b/>
          <w:i w:val="0"/>
          <w:color w:val="000000"/>
          <w:sz w:val="22"/>
        </w:rPr>
        <w:t xml:space="preserve">Cross-document inconsistency. </w:t>
      </w:r>
      <w:r>
        <w:rPr>
          <w:rFonts w:ascii="Times New Roman" w:hAnsi="Times New Roman"/>
          <w:b w:val="0"/>
          <w:i w:val="0"/>
          <w:color w:val="000000"/>
          <w:sz w:val="22"/>
        </w:rPr>
        <w:t>Inconsistency with the QA Letter (3 arbitrators) and IPLA (1) adds to the fragmentation.</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Reconsider the unilateral trigger. Recommend a default of three arbitrators for disputes above a defined value threshold (appropriate given the relationship scale), or one arbitrator by default with expansion only by mutual agreement or tribunal / institution decision.</w:t>
      </w:r>
    </w:p>
    <w:p>
      <w:pPr>
        <w:pStyle w:val="ListBullet"/>
        <w:spacing w:after="80" w:line="259" w:lineRule="auto"/>
      </w:pPr>
      <w:r>
        <w:rPr>
          <w:rFonts w:ascii="Times New Roman" w:hAnsi="Times New Roman"/>
          <w:b w:val="0"/>
          <w:i w:val="0"/>
          <w:color w:val="000000"/>
          <w:sz w:val="22"/>
        </w:rPr>
        <w:t>Align tribunal size across documents (or tie it consistently to dispute value).</w:t>
      </w:r>
    </w:p>
    <w:p>
      <w:pPr>
        <w:pStyle w:val="ListBullet"/>
        <w:spacing w:after="80" w:line="259" w:lineRule="auto"/>
      </w:pPr>
      <w:r>
        <w:rPr>
          <w:rFonts w:ascii="Times New Roman" w:hAnsi="Times New Roman"/>
          <w:b w:val="0"/>
          <w:i w:val="0"/>
          <w:color w:val="000000"/>
          <w:sz w:val="22"/>
        </w:rPr>
        <w:t>Clarify the 15-day trigger (from receipt of the Request).</w:t>
      </w:r>
    </w:p>
    <w:p>
      <w:pPr>
        <w:spacing w:after="80" w:line="259" w:lineRule="auto" w:before="240"/>
      </w:pPr>
      <w:r>
        <w:rPr>
          <w:rFonts w:ascii="Times New Roman" w:hAnsi="Times New Roman"/>
          <w:b/>
          <w:i w:val="0"/>
          <w:color w:val="9C6A00"/>
          <w:sz w:val="24"/>
        </w:rPr>
        <w:t xml:space="preserve">M3  </w:t>
      </w:r>
      <w:r>
        <w:rPr>
          <w:rFonts w:ascii="Times New Roman" w:hAnsi="Times New Roman"/>
          <w:b/>
          <w:i w:val="0"/>
          <w:color w:val="9C6A00"/>
          <w:sz w:val="24"/>
        </w:rPr>
        <w:t xml:space="preserve">[MEDIUM]  </w:t>
      </w:r>
      <w:r>
        <w:rPr>
          <w:rFonts w:ascii="Times New Roman" w:hAnsi="Times New Roman"/>
          <w:b/>
          <w:i w:val="0"/>
          <w:color w:val="000000"/>
          <w:sz w:val="24"/>
        </w:rPr>
        <w:t>Interim Relief — Overbroad in the SA, Absent in the IPLA and QA Letter</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SA §14.7 (interim relief from “any court of competent jurisdiction worldwide”); IPLA §9 (none); QA §7 (none)</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Only the SA addresses interim relief, and it does so broadly (“any court of competent jurisdiction worldwide”). The IPLA — which governs IP rights where injunctive relief is often critical — and the QA Letter contain no interim-relief carve-out.</w:t>
      </w:r>
    </w:p>
    <w:p>
      <w:pPr>
        <w:spacing w:after="60" w:line="259" w:lineRule="auto" w:before="160"/>
      </w:pPr>
      <w:r>
        <w:rPr>
          <w:rFonts w:ascii="Times New Roman" w:hAnsi="Times New Roman"/>
          <w:b/>
          <w:i/>
          <w:color w:val="1F2A44"/>
          <w:sz w:val="22"/>
        </w:rPr>
        <w:t>Analysis</w:t>
      </w:r>
    </w:p>
    <w:p>
      <w:pPr>
        <w:spacing w:after="120" w:line="259" w:lineRule="auto"/>
      </w:pPr>
      <w:r>
        <w:rPr>
          <w:rFonts w:ascii="Times New Roman" w:hAnsi="Times New Roman"/>
          <w:b/>
          <w:i w:val="0"/>
          <w:color w:val="000000"/>
          <w:sz w:val="22"/>
        </w:rPr>
        <w:t xml:space="preserve">Overbroad SA language. </w:t>
      </w:r>
      <w:r>
        <w:rPr>
          <w:rFonts w:ascii="Times New Roman" w:hAnsi="Times New Roman"/>
          <w:b w:val="0"/>
          <w:i w:val="0"/>
          <w:color w:val="000000"/>
          <w:sz w:val="22"/>
        </w:rPr>
        <w:t>The SA’s “any court worldwide” language is unusually broad and could encourage forum-shopping for interim measures. While courts can grant interim relief in aid of arbitration under the FAA and New York Convention, narrowing the provision to courts at the seat or where assets are located would reduce tactical use.</w:t>
      </w:r>
    </w:p>
    <w:p>
      <w:pPr>
        <w:spacing w:after="120" w:line="259" w:lineRule="auto"/>
      </w:pPr>
      <w:r>
        <w:rPr>
          <w:rFonts w:ascii="Times New Roman" w:hAnsi="Times New Roman"/>
          <w:b/>
          <w:i w:val="0"/>
          <w:color w:val="000000"/>
          <w:sz w:val="22"/>
        </w:rPr>
        <w:t xml:space="preserve">IPLA gap. </w:t>
      </w:r>
      <w:r>
        <w:rPr>
          <w:rFonts w:ascii="Times New Roman" w:hAnsi="Times New Roman"/>
          <w:b w:val="0"/>
          <w:i w:val="0"/>
          <w:color w:val="000000"/>
          <w:sz w:val="22"/>
        </w:rPr>
        <w:t>The IPLA’s omission is the more significant gap. IP disputes frequently require urgent injunctive relief (e.g., to restrain misuse of Licensed IP or unauthorized disclosure). Without an interim-relief carve-out, a party must rely on the LCIA Rules’ emergency-relief provisions and the general powers of the English courts, which is less clear than an express contractual right.</w:t>
      </w:r>
    </w:p>
    <w:p>
      <w:pPr>
        <w:spacing w:after="120" w:line="259" w:lineRule="auto"/>
      </w:pPr>
      <w:r>
        <w:rPr>
          <w:rFonts w:ascii="Times New Roman" w:hAnsi="Times New Roman"/>
          <w:b/>
          <w:i w:val="0"/>
          <w:color w:val="000000"/>
          <w:sz w:val="22"/>
        </w:rPr>
        <w:t xml:space="preserve">QA Letter gap. </w:t>
      </w:r>
      <w:r>
        <w:rPr>
          <w:rFonts w:ascii="Times New Roman" w:hAnsi="Times New Roman"/>
          <w:b w:val="0"/>
          <w:i w:val="0"/>
          <w:color w:val="000000"/>
          <w:sz w:val="22"/>
        </w:rPr>
        <w:t>The QA Letter similarly lacks an interim-relief provision, though quality disputes less often require injunctive relief.</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Add interim-relief carve-outs to the IPLA (priority, given the IP subject matter) and the QA Letter, consistent with the SA.</w:t>
      </w:r>
    </w:p>
    <w:p>
      <w:pPr>
        <w:pStyle w:val="ListBullet"/>
        <w:spacing w:after="80" w:line="259" w:lineRule="auto"/>
      </w:pPr>
      <w:r>
        <w:rPr>
          <w:rFonts w:ascii="Times New Roman" w:hAnsi="Times New Roman"/>
          <w:b w:val="0"/>
          <w:i w:val="0"/>
          <w:color w:val="000000"/>
          <w:sz w:val="22"/>
        </w:rPr>
        <w:t>Narrow the SA’s “any court worldwide” to courts of competent jurisdiction at the seat or where assets or evidence are located, to reduce forum-shopping while preserving urgent relief.</w:t>
      </w:r>
    </w:p>
    <w:p>
      <w:pPr>
        <w:spacing w:after="80" w:line="259" w:lineRule="auto" w:before="240"/>
      </w:pPr>
      <w:r>
        <w:rPr>
          <w:rFonts w:ascii="Times New Roman" w:hAnsi="Times New Roman"/>
          <w:b/>
          <w:i w:val="0"/>
          <w:color w:val="9C6A00"/>
          <w:sz w:val="24"/>
        </w:rPr>
        <w:t xml:space="preserve">M4  </w:t>
      </w:r>
      <w:r>
        <w:rPr>
          <w:rFonts w:ascii="Times New Roman" w:hAnsi="Times New Roman"/>
          <w:b/>
          <w:i w:val="0"/>
          <w:color w:val="9C6A00"/>
          <w:sz w:val="24"/>
        </w:rPr>
        <w:t xml:space="preserve">[MEDIUM]  </w:t>
      </w:r>
      <w:r>
        <w:rPr>
          <w:rFonts w:ascii="Times New Roman" w:hAnsi="Times New Roman"/>
          <w:b/>
          <w:i w:val="0"/>
          <w:color w:val="000000"/>
          <w:sz w:val="24"/>
        </w:rPr>
        <w:t>Expert Determination Scope Includes “Recall Obligations” and Legal Allocation</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QA §7.1, §6.3</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QA §7.1 submits disputes “relating to … recall obligations” to expert determination. Recall-cost allocation under §6.3 (proportional allocation based on each party’s contribution to the cause) is a legal / liability-allocation question that may exceed a technical expert’s mandate.</w:t>
      </w:r>
    </w:p>
    <w:p>
      <w:pPr>
        <w:spacing w:after="60" w:line="259" w:lineRule="auto" w:before="160"/>
      </w:pPr>
      <w:r>
        <w:rPr>
          <w:rFonts w:ascii="Times New Roman" w:hAnsi="Times New Roman"/>
          <w:b/>
          <w:i/>
          <w:color w:val="1F2A44"/>
          <w:sz w:val="22"/>
        </w:rPr>
        <w:t>Analysis</w:t>
      </w:r>
    </w:p>
    <w:p>
      <w:pPr>
        <w:spacing w:after="120" w:line="259" w:lineRule="auto"/>
      </w:pPr>
      <w:r>
        <w:rPr>
          <w:rFonts w:ascii="Times New Roman" w:hAnsi="Times New Roman"/>
          <w:b/>
          <w:i w:val="0"/>
          <w:color w:val="000000"/>
          <w:sz w:val="22"/>
        </w:rPr>
        <w:t xml:space="preserve">Mandate mismatch. </w:t>
      </w:r>
      <w:r>
        <w:rPr>
          <w:rFonts w:ascii="Times New Roman" w:hAnsi="Times New Roman"/>
          <w:b w:val="0"/>
          <w:i w:val="0"/>
          <w:color w:val="000000"/>
          <w:sz w:val="22"/>
        </w:rPr>
        <w:t>An expert qualified in “botanical extract manufacturing, analytical chemistry, food safety, or dietary supplement quality assurance” is well-suited to resolve technical questions (e.g., whether a Batch conforms to Specifications, whether a testing methodology is valid). Such an expert is not necessarily equipped to apportion legal liability and costs between the parties under §6.3, which involves concepts of causation, contribution, and contractual allocation.</w:t>
      </w:r>
    </w:p>
    <w:p>
      <w:pPr>
        <w:spacing w:after="120" w:line="259" w:lineRule="auto"/>
      </w:pPr>
      <w:r>
        <w:rPr>
          <w:rFonts w:ascii="Times New Roman" w:hAnsi="Times New Roman"/>
          <w:b/>
          <w:i w:val="0"/>
          <w:color w:val="000000"/>
          <w:sz w:val="22"/>
        </w:rPr>
        <w:t xml:space="preserve">Ultra vires risk. </w:t>
      </w:r>
      <w:r>
        <w:rPr>
          <w:rFonts w:ascii="Times New Roman" w:hAnsi="Times New Roman"/>
          <w:b w:val="0"/>
          <w:i w:val="0"/>
          <w:color w:val="000000"/>
          <w:sz w:val="22"/>
        </w:rPr>
        <w:t>Routing legal / allocation questions to expert determination risks an ultra vires determination and challenges to its binding effect.</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Narrow QA §7.1 expert determination to technical / scientific questions (product quality, Nonconformity, testing methodology, Specifications compliance).</w:t>
      </w:r>
    </w:p>
    <w:p>
      <w:pPr>
        <w:pStyle w:val="ListBullet"/>
        <w:spacing w:after="80" w:line="259" w:lineRule="auto"/>
      </w:pPr>
      <w:r>
        <w:rPr>
          <w:rFonts w:ascii="Times New Roman" w:hAnsi="Times New Roman"/>
          <w:b w:val="0"/>
          <w:i w:val="0"/>
          <w:color w:val="000000"/>
          <w:sz w:val="22"/>
        </w:rPr>
        <w:t>Route recall-cost allocation and other legal / liability questions (§6.3) to arbitration.</w:t>
      </w:r>
    </w:p>
    <w:p>
      <w:pPr>
        <w:spacing w:after="80" w:line="259" w:lineRule="auto" w:before="240"/>
      </w:pPr>
      <w:r>
        <w:rPr>
          <w:rFonts w:ascii="Times New Roman" w:hAnsi="Times New Roman"/>
          <w:b/>
          <w:i w:val="0"/>
          <w:color w:val="9C6A00"/>
          <w:sz w:val="24"/>
        </w:rPr>
        <w:t xml:space="preserve">M5  </w:t>
      </w:r>
      <w:r>
        <w:rPr>
          <w:rFonts w:ascii="Times New Roman" w:hAnsi="Times New Roman"/>
          <w:b/>
          <w:i w:val="0"/>
          <w:color w:val="9C6A00"/>
          <w:sz w:val="24"/>
        </w:rPr>
        <w:t xml:space="preserve">[MEDIUM]  </w:t>
      </w:r>
      <w:r>
        <w:rPr>
          <w:rFonts w:ascii="Times New Roman" w:hAnsi="Times New Roman"/>
          <w:b/>
          <w:i w:val="0"/>
          <w:color w:val="000000"/>
          <w:sz w:val="24"/>
        </w:rPr>
        <w:t>Governing Law of the Arbitration Agreement Itself Is Unspecified (SA)</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SA §14.4 (substantive New York law); SA §14.2 (Singapore seat)</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The SA specifies New York law as the substantive governing law and Singapore as the seat, but does not specify the law governing the arbitration agreement itself (as distinct from the substantive contract). Under prevailing authority, the law of the seat (Singapore) would likely govern the arbitration agreement absent clear contrary indication, but the ambiguity invites dispute.</w:t>
      </w:r>
    </w:p>
    <w:p>
      <w:pPr>
        <w:spacing w:after="60" w:line="259" w:lineRule="auto" w:before="160"/>
      </w:pPr>
      <w:r>
        <w:rPr>
          <w:rFonts w:ascii="Times New Roman" w:hAnsi="Times New Roman"/>
          <w:b/>
          <w:i/>
          <w:color w:val="1F2A44"/>
          <w:sz w:val="22"/>
        </w:rPr>
        <w:t>Analysis</w:t>
      </w:r>
    </w:p>
    <w:p>
      <w:pPr>
        <w:spacing w:after="120" w:line="259" w:lineRule="auto"/>
      </w:pPr>
      <w:r>
        <w:rPr>
          <w:rFonts w:ascii="Times New Roman" w:hAnsi="Times New Roman"/>
          <w:b/>
          <w:i w:val="0"/>
          <w:color w:val="000000"/>
          <w:sz w:val="22"/>
        </w:rPr>
        <w:t xml:space="preserve">Distinct question. </w:t>
      </w:r>
      <w:r>
        <w:rPr>
          <w:rFonts w:ascii="Times New Roman" w:hAnsi="Times New Roman"/>
          <w:b w:val="0"/>
          <w:i w:val="0"/>
          <w:color w:val="000000"/>
          <w:sz w:val="22"/>
        </w:rPr>
        <w:t>The law of the arbitration agreement governs its validity, scope, and interpretation — distinct from the substantive law governing the merits. Under the approach reflected in English authority (Enka Insaat ve Sanayi AS v OOO Insurance Company Chubb [2020] UKSC 38) and followed in Singapore, the law of the seat is presumed to govern the arbitration agreement unless the parties clearly indicate otherwise.</w:t>
      </w:r>
    </w:p>
    <w:p>
      <w:pPr>
        <w:spacing w:after="120" w:line="259" w:lineRule="auto"/>
      </w:pPr>
      <w:r>
        <w:rPr>
          <w:rFonts w:ascii="Times New Roman" w:hAnsi="Times New Roman"/>
          <w:b/>
          <w:i w:val="0"/>
          <w:color w:val="000000"/>
          <w:sz w:val="22"/>
        </w:rPr>
        <w:t xml:space="preserve">Ambiguity and challenge risk. </w:t>
      </w:r>
      <w:r>
        <w:rPr>
          <w:rFonts w:ascii="Times New Roman" w:hAnsi="Times New Roman"/>
          <w:b w:val="0"/>
          <w:i w:val="0"/>
          <w:color w:val="000000"/>
          <w:sz w:val="22"/>
        </w:rPr>
        <w:t>Because the SA pairs a New York substantive choice with a Singapore seat, the governing law of the arbitration agreement is ambiguous. A party could argue New York law governs the arbitration agreement (by extension of the substantive choice), while the other argues Singapore law governs (by reference to the seat). This could affect the validity and scope of the arbitration clause itself — a threshold issue in any jurisdictional challenge.</w:t>
      </w:r>
    </w:p>
    <w:p>
      <w:pPr>
        <w:spacing w:after="120" w:line="259" w:lineRule="auto"/>
      </w:pPr>
      <w:r>
        <w:rPr>
          <w:rFonts w:ascii="Times New Roman" w:hAnsi="Times New Roman"/>
          <w:b/>
          <w:i w:val="0"/>
          <w:color w:val="000000"/>
          <w:sz w:val="22"/>
        </w:rPr>
        <w:t xml:space="preserve">Other documents consistent. </w:t>
      </w:r>
      <w:r>
        <w:rPr>
          <w:rFonts w:ascii="Times New Roman" w:hAnsi="Times New Roman"/>
          <w:b w:val="0"/>
          <w:i w:val="0"/>
          <w:color w:val="000000"/>
          <w:sz w:val="22"/>
        </w:rPr>
        <w:t>The IPLA (English law, London seat) and QA Letter (Singapore law, Singapore seat) are internally consistent and present less risk.</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Specify the law governing the arbitration agreement. Recommend Singapore law (consistent with the seat) for the SA, to align with the curial framework and reduce jurisdictional-challenge risk. Add an express statement that the arbitration agreement is governed by the law of the seat.</w:t>
      </w:r>
    </w:p>
    <w:p>
      <w:pPr>
        <w:spacing w:after="80" w:line="259" w:lineRule="auto" w:before="280"/>
        <w:pBdr>
          <w:bottom w:val="single" w:sz="6" w:space="2" w:color="1F2A44"/>
        </w:pBdr>
      </w:pPr>
      <w:r>
        <w:rPr>
          <w:rFonts w:ascii="Times New Roman" w:hAnsi="Times New Roman"/>
          <w:b/>
          <w:i w:val="0"/>
          <w:color w:val="1F2A44"/>
          <w:sz w:val="25"/>
        </w:rPr>
        <w:t>VII.  Low-Severity Issues</w:t>
      </w:r>
    </w:p>
    <w:p>
      <w:pPr>
        <w:spacing w:after="80" w:line="259" w:lineRule="auto" w:before="240"/>
      </w:pPr>
      <w:r>
        <w:rPr>
          <w:rFonts w:ascii="Times New Roman" w:hAnsi="Times New Roman"/>
          <w:b/>
          <w:i w:val="0"/>
          <w:color w:val="2E6B2E"/>
          <w:sz w:val="24"/>
        </w:rPr>
        <w:t xml:space="preserve">L1  </w:t>
      </w:r>
      <w:r>
        <w:rPr>
          <w:rFonts w:ascii="Times New Roman" w:hAnsi="Times New Roman"/>
          <w:b/>
          <w:i w:val="0"/>
          <w:color w:val="2E6B2E"/>
          <w:sz w:val="24"/>
        </w:rPr>
        <w:t xml:space="preserve">[LOW]  </w:t>
      </w:r>
      <w:r>
        <w:rPr>
          <w:rFonts w:ascii="Times New Roman" w:hAnsi="Times New Roman"/>
          <w:b/>
          <w:i w:val="0"/>
          <w:color w:val="000000"/>
          <w:sz w:val="24"/>
        </w:rPr>
        <w:t>Confidentiality of Proceedings Addressed Only in the SA</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SA §14.10; IPLA §9 (none); QA §7 (none)</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Only the SA addresses confidentiality of arbitral proceedings. The IPLA — governing highly confidential Licensed IP — and the QA Letter contain no equivalent provision.</w:t>
      </w:r>
    </w:p>
    <w:p>
      <w:pPr>
        <w:spacing w:after="60" w:line="259" w:lineRule="auto" w:before="160"/>
      </w:pPr>
      <w:r>
        <w:rPr>
          <w:rFonts w:ascii="Times New Roman" w:hAnsi="Times New Roman"/>
          <w:b/>
          <w:i/>
          <w:color w:val="1F2A44"/>
          <w:sz w:val="22"/>
        </w:rPr>
        <w:t>Analysis</w:t>
      </w:r>
    </w:p>
    <w:p>
      <w:pPr>
        <w:spacing w:after="120" w:line="259" w:lineRule="auto"/>
      </w:pPr>
      <w:r>
        <w:rPr>
          <w:rFonts w:ascii="Times New Roman" w:hAnsi="Times New Roman"/>
          <w:b/>
          <w:i w:val="0"/>
          <w:color w:val="000000"/>
          <w:sz w:val="22"/>
        </w:rPr>
        <w:t xml:space="preserve">Gap. </w:t>
      </w:r>
      <w:r>
        <w:rPr>
          <w:rFonts w:ascii="Times New Roman" w:hAnsi="Times New Roman"/>
          <w:b w:val="0"/>
          <w:i w:val="0"/>
          <w:color w:val="000000"/>
          <w:sz w:val="22"/>
        </w:rPr>
        <w:t>The IPLA’s general confidentiality section (§5) concerns confidential information, not arbitration proceedings. For IP disputes, confidentiality of the proceeding itself is important given the sensitivity of the Licensed IP.</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Add confidentiality-of-proceedings provisions to the IPLA (priority, given the sensitivity of the Licensed IP) and the QA Letter, consistent with SA §14.10, including carve-outs for legally required disclosures.</w:t>
      </w:r>
    </w:p>
    <w:p>
      <w:pPr>
        <w:spacing w:after="80" w:line="259" w:lineRule="auto" w:before="240"/>
      </w:pPr>
      <w:r>
        <w:rPr>
          <w:rFonts w:ascii="Times New Roman" w:hAnsi="Times New Roman"/>
          <w:b/>
          <w:i w:val="0"/>
          <w:color w:val="2E6B2E"/>
          <w:sz w:val="24"/>
        </w:rPr>
        <w:t xml:space="preserve">L2  </w:t>
      </w:r>
      <w:r>
        <w:rPr>
          <w:rFonts w:ascii="Times New Roman" w:hAnsi="Times New Roman"/>
          <w:b/>
          <w:i w:val="0"/>
          <w:color w:val="2E6B2E"/>
          <w:sz w:val="24"/>
        </w:rPr>
        <w:t xml:space="preserve">[LOW]  </w:t>
      </w:r>
      <w:r>
        <w:rPr>
          <w:rFonts w:ascii="Times New Roman" w:hAnsi="Times New Roman"/>
          <w:b/>
          <w:i w:val="0"/>
          <w:color w:val="000000"/>
          <w:sz w:val="24"/>
        </w:rPr>
        <w:t>“General Principles of International Commercial Law” Gap-Filler</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SA §14.4</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SA §14.4 directs the tribunal to “apply general principles of international commercial law” where New York law “does not address an issue.” This amorphous fallback introduces uncertainty and could be invoked to override New York law on points where the parties expected New York law to apply. New York commercial law is comprehensive, making the fallback largely unnecessary.</w:t>
      </w:r>
    </w:p>
    <w:p>
      <w:pPr>
        <w:spacing w:after="60" w:line="259" w:lineRule="auto" w:before="160"/>
      </w:pPr>
      <w:r>
        <w:rPr>
          <w:rFonts w:ascii="Times New Roman" w:hAnsi="Times New Roman"/>
          <w:b/>
          <w:i/>
          <w:color w:val="1F2A44"/>
          <w:sz w:val="22"/>
        </w:rPr>
        <w:t>Analysis</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Consider deleting the fallback, or narrowing it to a directive to apply New York’s default / gap-filling principles. If retained, define the scope to avoid unintended displacement of New York law.</w:t>
      </w:r>
    </w:p>
    <w:p>
      <w:pPr>
        <w:spacing w:after="80" w:line="259" w:lineRule="auto" w:before="240"/>
      </w:pPr>
      <w:r>
        <w:rPr>
          <w:rFonts w:ascii="Times New Roman" w:hAnsi="Times New Roman"/>
          <w:b/>
          <w:i w:val="0"/>
          <w:color w:val="2E6B2E"/>
          <w:sz w:val="24"/>
        </w:rPr>
        <w:t xml:space="preserve">L3  </w:t>
      </w:r>
      <w:r>
        <w:rPr>
          <w:rFonts w:ascii="Times New Roman" w:hAnsi="Times New Roman"/>
          <w:b/>
          <w:i w:val="0"/>
          <w:color w:val="2E6B2E"/>
          <w:sz w:val="24"/>
        </w:rPr>
        <w:t xml:space="preserve">[LOW]  </w:t>
      </w:r>
      <w:r>
        <w:rPr>
          <w:rFonts w:ascii="Times New Roman" w:hAnsi="Times New Roman"/>
          <w:b/>
          <w:i w:val="0"/>
          <w:color w:val="000000"/>
          <w:sz w:val="24"/>
        </w:rPr>
        <w:t>Survival of the QA Letter Dispute Resolution Provision Not Expressly Stated</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QA §9 (general provisions); cf. SA §13.5; IPLA §6.5</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The SA (§13.5) and IPLA (§6.5) expressly provide that their dispute resolution provisions survive termination. The QA Letter’s general provisions do not expressly list §7 among surviving provisions, creating a minor gap as to the enforceability of the dispute resolution mechanism after termination.</w:t>
      </w:r>
    </w:p>
    <w:p>
      <w:pPr>
        <w:spacing w:after="60" w:line="259" w:lineRule="auto" w:before="160"/>
      </w:pPr>
      <w:r>
        <w:rPr>
          <w:rFonts w:ascii="Times New Roman" w:hAnsi="Times New Roman"/>
          <w:b/>
          <w:i/>
          <w:color w:val="1F2A44"/>
          <w:sz w:val="22"/>
        </w:rPr>
        <w:t>Analysis</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Add an express survival provision to the QA Letter confirming that §7 (and the related quality, rejection, and recall provisions) survive termination.</w:t>
      </w:r>
    </w:p>
    <w:p>
      <w:pPr>
        <w:spacing w:after="80" w:line="259" w:lineRule="auto" w:before="240"/>
      </w:pPr>
      <w:r>
        <w:rPr>
          <w:rFonts w:ascii="Times New Roman" w:hAnsi="Times New Roman"/>
          <w:b/>
          <w:i w:val="0"/>
          <w:color w:val="2E6B2E"/>
          <w:sz w:val="24"/>
        </w:rPr>
        <w:t xml:space="preserve">L4  </w:t>
      </w:r>
      <w:r>
        <w:rPr>
          <w:rFonts w:ascii="Times New Roman" w:hAnsi="Times New Roman"/>
          <w:b/>
          <w:i w:val="0"/>
          <w:color w:val="2E6B2E"/>
          <w:sz w:val="24"/>
        </w:rPr>
        <w:t xml:space="preserve">[LOW]  </w:t>
      </w:r>
      <w:r>
        <w:rPr>
          <w:rFonts w:ascii="Times New Roman" w:hAnsi="Times New Roman"/>
          <w:b/>
          <w:i w:val="0"/>
          <w:color w:val="000000"/>
          <w:sz w:val="24"/>
        </w:rPr>
        <w:t>Seat / Venue / Governing-Law Triple Split (SA) — Workable but Complex</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SA §14.2, §14.4</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The SA pairs a Singapore seat, a London hearing venue, and New York substantive law. The seat / venue distinction is legitimate and common, and the clause is sufficiently clear that the seat (Singapore) determines the curial law and supervisory jurisdiction. The arrangement is workable but adds complexity, and the Harmon &amp; Grey rationale describing London as the “geographic midpoint” between Charlotte and Singapore is inaccurate (London is well west of the true midpoint), though this is not a legal defect.</w:t>
      </w:r>
    </w:p>
    <w:p>
      <w:pPr>
        <w:spacing w:after="60" w:line="259" w:lineRule="auto" w:before="160"/>
      </w:pPr>
      <w:r>
        <w:rPr>
          <w:rFonts w:ascii="Times New Roman" w:hAnsi="Times New Roman"/>
          <w:b/>
          <w:i/>
          <w:color w:val="1F2A44"/>
          <w:sz w:val="22"/>
        </w:rPr>
        <w:t>Analysis</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Confirm the clause clearly states that the seat governs curial law and post-award challenges (it does). No change required as a legal matter; the complexity is resolved if the architecture is unified per C1 / H1.</w:t>
      </w:r>
    </w:p>
    <w:p>
      <w:pPr>
        <w:spacing w:after="80" w:line="259" w:lineRule="auto" w:before="240"/>
      </w:pPr>
      <w:r>
        <w:rPr>
          <w:rFonts w:ascii="Times New Roman" w:hAnsi="Times New Roman"/>
          <w:b/>
          <w:i w:val="0"/>
          <w:color w:val="2E6B2E"/>
          <w:sz w:val="24"/>
        </w:rPr>
        <w:t xml:space="preserve">L5  </w:t>
      </w:r>
      <w:r>
        <w:rPr>
          <w:rFonts w:ascii="Times New Roman" w:hAnsi="Times New Roman"/>
          <w:b/>
          <w:i w:val="0"/>
          <w:color w:val="2E6B2E"/>
          <w:sz w:val="24"/>
        </w:rPr>
        <w:t xml:space="preserve">[LOW]  </w:t>
      </w:r>
      <w:r>
        <w:rPr>
          <w:rFonts w:ascii="Times New Roman" w:hAnsi="Times New Roman"/>
          <w:b/>
          <w:i w:val="0"/>
          <w:color w:val="000000"/>
          <w:sz w:val="24"/>
        </w:rPr>
        <w:t>Service and Notice Mechanics for the Request for Arbitration</w:t>
      </w:r>
    </w:p>
    <w:p>
      <w:pPr>
        <w:spacing w:after="80" w:line="259" w:lineRule="auto"/>
        <w:ind w:left="0"/>
      </w:pPr>
      <w:r>
        <w:rPr>
          <w:rFonts w:ascii="Times New Roman" w:hAnsi="Times New Roman"/>
          <w:b/>
          <w:i/>
          <w:color w:val="595959"/>
          <w:sz w:val="20"/>
        </w:rPr>
        <w:t xml:space="preserve">Provision(s):  </w:t>
      </w:r>
      <w:r>
        <w:rPr>
          <w:rFonts w:ascii="Times New Roman" w:hAnsi="Times New Roman"/>
          <w:b w:val="0"/>
          <w:i/>
          <w:color w:val="595959"/>
          <w:sz w:val="20"/>
        </w:rPr>
        <w:t>SA §15.1 (contractual notices); SA §14.1</w:t>
      </w:r>
    </w:p>
    <w:p>
      <w:pPr>
        <w:spacing w:after="60" w:line="259" w:lineRule="auto" w:before="160"/>
      </w:pPr>
      <w:r>
        <w:rPr>
          <w:rFonts w:ascii="Times New Roman" w:hAnsi="Times New Roman"/>
          <w:b/>
          <w:i/>
          <w:color w:val="1F2A44"/>
          <w:sz w:val="22"/>
        </w:rPr>
        <w:t>Summary</w:t>
      </w:r>
    </w:p>
    <w:p>
      <w:pPr>
        <w:spacing w:after="100" w:line="259" w:lineRule="auto"/>
      </w:pPr>
      <w:r>
        <w:rPr>
          <w:rFonts w:ascii="Times New Roman" w:hAnsi="Times New Roman"/>
          <w:b w:val="0"/>
          <w:i w:val="0"/>
          <w:color w:val="000000"/>
          <w:sz w:val="22"/>
        </w:rPr>
        <w:t>The SA’s arbitration clause does not specify service mechanics for the Request for Arbitration (the §15.1 notice provisions address contractual notices, not arbitral commencement). Institutional rules address service, but ensuring consistency is prudent.</w:t>
      </w:r>
    </w:p>
    <w:p>
      <w:pPr>
        <w:spacing w:after="60" w:line="259" w:lineRule="auto" w:before="160"/>
      </w:pPr>
      <w:r>
        <w:rPr>
          <w:rFonts w:ascii="Times New Roman" w:hAnsi="Times New Roman"/>
          <w:b/>
          <w:i/>
          <w:color w:val="1F2A44"/>
          <w:sz w:val="22"/>
        </w:rPr>
        <w:t>Analysis</w:t>
      </w:r>
    </w:p>
    <w:p>
      <w:pPr>
        <w:spacing w:after="60" w:line="259" w:lineRule="auto" w:before="160"/>
      </w:pPr>
      <w:r>
        <w:rPr>
          <w:rFonts w:ascii="Times New Roman" w:hAnsi="Times New Roman"/>
          <w:b/>
          <w:i/>
          <w:color w:val="1F2A44"/>
          <w:sz w:val="22"/>
        </w:rPr>
        <w:t>Recommendation</w:t>
      </w:r>
    </w:p>
    <w:p>
      <w:pPr>
        <w:pStyle w:val="ListBullet"/>
        <w:spacing w:after="80" w:line="259" w:lineRule="auto"/>
      </w:pPr>
      <w:r>
        <w:rPr>
          <w:rFonts w:ascii="Times New Roman" w:hAnsi="Times New Roman"/>
          <w:b w:val="0"/>
          <w:i w:val="0"/>
          <w:color w:val="000000"/>
          <w:sz w:val="22"/>
        </w:rPr>
        <w:t>Specify that the Request for Arbitration is to be served in accordance with the applicable institutional rules and the §15.1 notice addresses (or add a dedicated arbitration-notice provision).</w:t>
      </w:r>
    </w:p>
    <w:p>
      <w:pPr>
        <w:spacing w:after="80" w:line="259" w:lineRule="auto" w:before="280"/>
        <w:pBdr>
          <w:bottom w:val="single" w:sz="6" w:space="2" w:color="1F2A44"/>
        </w:pBdr>
      </w:pPr>
      <w:r>
        <w:rPr>
          <w:rFonts w:ascii="Times New Roman" w:hAnsi="Times New Roman"/>
          <w:b/>
          <w:i w:val="0"/>
          <w:color w:val="1F2A44"/>
          <w:sz w:val="25"/>
        </w:rPr>
        <w:t>VIII.  Cross-Cutting Recommendations</w:t>
      </w:r>
    </w:p>
    <w:p>
      <w:pPr>
        <w:spacing w:after="80" w:line="259" w:lineRule="auto"/>
        <w:ind w:left="504" w:hanging="504"/>
      </w:pPr>
      <w:r>
        <w:rPr>
          <w:rFonts w:ascii="Times New Roman" w:hAnsi="Times New Roman"/>
          <w:b w:val="0"/>
          <w:i w:val="0"/>
          <w:color w:val="000000"/>
          <w:sz w:val="22"/>
        </w:rPr>
        <w:t xml:space="preserve">1.  </w:t>
      </w:r>
      <w:r>
        <w:rPr>
          <w:rFonts w:ascii="Times New Roman" w:hAnsi="Times New Roman"/>
          <w:b/>
          <w:i w:val="0"/>
          <w:color w:val="000000"/>
          <w:sz w:val="22"/>
        </w:rPr>
        <w:t xml:space="preserve">Unify the architecture.  </w:t>
      </w:r>
      <w:r>
        <w:rPr>
          <w:rFonts w:ascii="Times New Roman" w:hAnsi="Times New Roman"/>
          <w:b w:val="0"/>
          <w:i w:val="0"/>
          <w:color w:val="000000"/>
          <w:sz w:val="22"/>
        </w:rPr>
        <w:t>Adopt a single, unified dispute resolution architecture — one institution, one seat, one governing law, and one set of procedural defaults across all three Transaction Documents, with a single master clause cross-referenced in each. This single change resolves C1, H1, and the procedural-default inconsistencies (M1, M2, M3, M5, L1, L4) simultaneously and is the most effective way to eliminate the pathological-clause risk.</w:t>
      </w:r>
    </w:p>
    <w:p>
      <w:pPr>
        <w:spacing w:after="80" w:line="259" w:lineRule="auto"/>
        <w:ind w:left="504" w:hanging="504"/>
      </w:pPr>
      <w:r>
        <w:rPr>
          <w:rFonts w:ascii="Times New Roman" w:hAnsi="Times New Roman"/>
          <w:b w:val="0"/>
          <w:i w:val="0"/>
          <w:color w:val="000000"/>
          <w:sz w:val="22"/>
        </w:rPr>
        <w:t xml:space="preserve">2.  </w:t>
      </w:r>
      <w:r>
        <w:rPr>
          <w:rFonts w:ascii="Times New Roman" w:hAnsi="Times New Roman"/>
          <w:b/>
          <w:i w:val="0"/>
          <w:color w:val="000000"/>
          <w:sz w:val="22"/>
        </w:rPr>
        <w:t xml:space="preserve">If not unified, coordinate.  </w:t>
      </w:r>
      <w:r>
        <w:rPr>
          <w:rFonts w:ascii="Times New Roman" w:hAnsi="Times New Roman"/>
          <w:b w:val="0"/>
          <w:i w:val="0"/>
          <w:color w:val="000000"/>
          <w:sz w:val="22"/>
        </w:rPr>
        <w:t>If unification is not achievable, implement a master coordination clause with: (a) a single, consistent hierarchy rule (replacing the contradictory SA §15.8 / QA §8.1 / IPLA §10.3 / IPLA §9.3 provisions); (b) a defined dominant forum for overlapping disputes; (c) a mandatory stay of related proceedings in the non-dominant forum; and (d) aligned procedural defaults across all documents.</w:t>
      </w:r>
    </w:p>
    <w:p>
      <w:pPr>
        <w:spacing w:after="80" w:line="259" w:lineRule="auto"/>
        <w:ind w:left="504" w:hanging="504"/>
      </w:pPr>
      <w:r>
        <w:rPr>
          <w:rFonts w:ascii="Times New Roman" w:hAnsi="Times New Roman"/>
          <w:b w:val="0"/>
          <w:i w:val="0"/>
          <w:color w:val="000000"/>
          <w:sz w:val="22"/>
        </w:rPr>
        <w:t xml:space="preserve">3.  </w:t>
      </w:r>
      <w:r>
        <w:rPr>
          <w:rFonts w:ascii="Times New Roman" w:hAnsi="Times New Roman"/>
          <w:b/>
          <w:i w:val="0"/>
          <w:color w:val="000000"/>
          <w:sz w:val="22"/>
        </w:rPr>
        <w:t xml:space="preserve">Reconcile internals.  </w:t>
      </w:r>
      <w:r>
        <w:rPr>
          <w:rFonts w:ascii="Times New Roman" w:hAnsi="Times New Roman"/>
          <w:b w:val="0"/>
          <w:i w:val="0"/>
          <w:color w:val="000000"/>
          <w:sz w:val="22"/>
        </w:rPr>
        <w:t>Reconcile all internal inconsistencies: consequential damages (C2: §14.11 vs. §11.2; cross-document), limitation period (H4: §14.9 vs. latent-defect and indemnification survival), and expert-determination scope / finality (H5, M4).</w:t>
      </w:r>
    </w:p>
    <w:p>
      <w:pPr>
        <w:spacing w:after="80" w:line="259" w:lineRule="auto"/>
        <w:ind w:left="504" w:hanging="504"/>
      </w:pPr>
      <w:r>
        <w:rPr>
          <w:rFonts w:ascii="Times New Roman" w:hAnsi="Times New Roman"/>
          <w:b w:val="0"/>
          <w:i w:val="0"/>
          <w:color w:val="000000"/>
          <w:sz w:val="22"/>
        </w:rPr>
        <w:t xml:space="preserve">4.  </w:t>
      </w:r>
      <w:r>
        <w:rPr>
          <w:rFonts w:ascii="Times New Roman" w:hAnsi="Times New Roman"/>
          <w:b/>
          <w:i w:val="0"/>
          <w:color w:val="000000"/>
          <w:sz w:val="22"/>
        </w:rPr>
        <w:t xml:space="preserve">Stress-test against the 2023 experience.  </w:t>
      </w:r>
      <w:r>
        <w:rPr>
          <w:rFonts w:ascii="Times New Roman" w:hAnsi="Times New Roman"/>
          <w:b w:val="0"/>
          <w:i w:val="0"/>
          <w:color w:val="000000"/>
          <w:sz w:val="22"/>
        </w:rPr>
        <w:t>Stress-test every clause against Pacifica’s 2023 “pathological clause” experience. Several current provisions — the consolidation conflict (C1), the appeal provision (C3), the fragmented architecture (H1), and the expert-determination challenge trigger (H5) — recreate the ambiguity that caused the 14-month enforcement delay. The objective stated in Harmon &amp; Grey’s memorandum (clear, specific, enforceable clauses) is not met as drafted.</w:t>
      </w:r>
    </w:p>
    <w:p>
      <w:pPr>
        <w:spacing w:after="80" w:line="259" w:lineRule="auto"/>
        <w:ind w:left="504" w:hanging="504"/>
      </w:pPr>
      <w:r>
        <w:rPr>
          <w:rFonts w:ascii="Times New Roman" w:hAnsi="Times New Roman"/>
          <w:b w:val="0"/>
          <w:i w:val="0"/>
          <w:color w:val="000000"/>
          <w:sz w:val="22"/>
        </w:rPr>
        <w:t xml:space="preserve">5.  </w:t>
      </w:r>
      <w:r>
        <w:rPr>
          <w:rFonts w:ascii="Times New Roman" w:hAnsi="Times New Roman"/>
          <w:b/>
          <w:i w:val="0"/>
          <w:color w:val="000000"/>
          <w:sz w:val="22"/>
        </w:rPr>
        <w:t xml:space="preserve">Address the ecosystem.  </w:t>
      </w:r>
      <w:r>
        <w:rPr>
          <w:rFonts w:ascii="Times New Roman" w:hAnsi="Times New Roman"/>
          <w:b w:val="0"/>
          <w:i w:val="0"/>
          <w:color w:val="000000"/>
          <w:sz w:val="22"/>
        </w:rPr>
        <w:t>Address Greenleaf’s supply-chain ecosystem: add a joinder mechanism (H2) and align co-manufacturing agreements’ dispute resolution going forward.</w:t>
      </w:r>
    </w:p>
    <w:p>
      <w:pPr>
        <w:spacing w:after="80" w:line="259" w:lineRule="auto"/>
        <w:ind w:left="504" w:hanging="504"/>
      </w:pPr>
      <w:r>
        <w:rPr>
          <w:rFonts w:ascii="Times New Roman" w:hAnsi="Times New Roman"/>
          <w:b w:val="0"/>
          <w:i w:val="0"/>
          <w:color w:val="000000"/>
          <w:sz w:val="22"/>
        </w:rPr>
        <w:t xml:space="preserve">6.  </w:t>
      </w:r>
      <w:r>
        <w:rPr>
          <w:rFonts w:ascii="Times New Roman" w:hAnsi="Times New Roman"/>
          <w:b/>
          <w:i w:val="0"/>
          <w:color w:val="000000"/>
          <w:sz w:val="22"/>
        </w:rPr>
        <w:t xml:space="preserve">Balance evidence and secrecy.  </w:t>
      </w:r>
      <w:r>
        <w:rPr>
          <w:rFonts w:ascii="Times New Roman" w:hAnsi="Times New Roman"/>
          <w:b w:val="0"/>
          <w:i w:val="0"/>
          <w:color w:val="000000"/>
          <w:sz w:val="22"/>
        </w:rPr>
        <w:t>Preserve evidentiary access in quality disputes (H3) while protecting Pacifica’s trade secrets through a protective-order regime rather than an absolute discovery bar.</w:t>
      </w:r>
    </w:p>
    <w:p>
      <w:pPr>
        <w:spacing w:after="80" w:line="259" w:lineRule="auto" w:before="280"/>
        <w:pBdr>
          <w:bottom w:val="single" w:sz="6" w:space="2" w:color="1F2A44"/>
        </w:pBdr>
      </w:pPr>
      <w:r>
        <w:rPr>
          <w:rFonts w:ascii="Times New Roman" w:hAnsi="Times New Roman"/>
          <w:b/>
          <w:i w:val="0"/>
          <w:color w:val="1F2A44"/>
          <w:sz w:val="25"/>
        </w:rPr>
        <w:t>IX.  Recommended Negotiating Sequence</w:t>
      </w:r>
    </w:p>
    <w:p>
      <w:pPr>
        <w:spacing w:after="120" w:line="259" w:lineRule="auto"/>
      </w:pPr>
      <w:r>
        <w:rPr>
          <w:rFonts w:ascii="Times New Roman" w:hAnsi="Times New Roman"/>
          <w:b w:val="0"/>
          <w:i w:val="0"/>
          <w:color w:val="000000"/>
          <w:sz w:val="22"/>
        </w:rPr>
        <w:t>We recommend addressing the issues in the following order, reflecting both severity and the extent to which earlier decisions drive later ones:</w:t>
      </w:r>
    </w:p>
    <w:p>
      <w:pPr>
        <w:spacing w:after="80" w:line="259" w:lineRule="auto"/>
        <w:ind w:left="504" w:hanging="504"/>
      </w:pPr>
      <w:r>
        <w:rPr>
          <w:rFonts w:ascii="Times New Roman" w:hAnsi="Times New Roman"/>
          <w:b w:val="0"/>
          <w:i w:val="0"/>
          <w:color w:val="000000"/>
          <w:sz w:val="22"/>
        </w:rPr>
        <w:t xml:space="preserve">1.  </w:t>
      </w:r>
      <w:r>
        <w:rPr>
          <w:rFonts w:ascii="Times New Roman" w:hAnsi="Times New Roman"/>
          <w:b/>
          <w:i w:val="0"/>
          <w:color w:val="000000"/>
          <w:sz w:val="22"/>
        </w:rPr>
        <w:t xml:space="preserve">C2 — </w:t>
      </w:r>
      <w:r>
        <w:rPr>
          <w:rFonts w:ascii="Times New Roman" w:hAnsi="Times New Roman"/>
          <w:b w:val="0"/>
          <w:i w:val="0"/>
          <w:color w:val="000000"/>
          <w:sz w:val="22"/>
        </w:rPr>
        <w:t>Consequential damages (deal-level; Greenleaf’s stated walk-away point). Restructure SA §14.11; reconcile with §11.2 and QA §6.6.</w:t>
      </w:r>
    </w:p>
    <w:p>
      <w:pPr>
        <w:spacing w:after="80" w:line="259" w:lineRule="auto"/>
        <w:ind w:left="504" w:hanging="504"/>
      </w:pPr>
      <w:r>
        <w:rPr>
          <w:rFonts w:ascii="Times New Roman" w:hAnsi="Times New Roman"/>
          <w:b w:val="0"/>
          <w:i w:val="0"/>
          <w:color w:val="000000"/>
          <w:sz w:val="22"/>
        </w:rPr>
        <w:t xml:space="preserve">2.  </w:t>
      </w:r>
      <w:r>
        <w:rPr>
          <w:rFonts w:ascii="Times New Roman" w:hAnsi="Times New Roman"/>
          <w:b/>
          <w:i w:val="0"/>
          <w:color w:val="000000"/>
          <w:sz w:val="22"/>
        </w:rPr>
        <w:t xml:space="preserve">C1 + H1 — </w:t>
      </w:r>
      <w:r>
        <w:rPr>
          <w:rFonts w:ascii="Times New Roman" w:hAnsi="Times New Roman"/>
          <w:b w:val="0"/>
          <w:i w:val="0"/>
          <w:color w:val="000000"/>
          <w:sz w:val="22"/>
        </w:rPr>
        <w:t>Consolidation conflict and architecture. Decide unify vs. coordinate; eliminate the contradictory hierarchy / consolidation provisions.</w:t>
      </w:r>
    </w:p>
    <w:p>
      <w:pPr>
        <w:spacing w:after="80" w:line="259" w:lineRule="auto"/>
        <w:ind w:left="504" w:hanging="504"/>
      </w:pPr>
      <w:r>
        <w:rPr>
          <w:rFonts w:ascii="Times New Roman" w:hAnsi="Times New Roman"/>
          <w:b w:val="0"/>
          <w:i w:val="0"/>
          <w:color w:val="000000"/>
          <w:sz w:val="22"/>
        </w:rPr>
        <w:t xml:space="preserve">3.  </w:t>
      </w:r>
      <w:r>
        <w:rPr>
          <w:rFonts w:ascii="Times New Roman" w:hAnsi="Times New Roman"/>
          <w:b/>
          <w:i w:val="0"/>
          <w:color w:val="000000"/>
          <w:sz w:val="22"/>
        </w:rPr>
        <w:t xml:space="preserve">C3 — </w:t>
      </w:r>
      <w:r>
        <w:rPr>
          <w:rFonts w:ascii="Times New Roman" w:hAnsi="Times New Roman"/>
          <w:b w:val="0"/>
          <w:i w:val="0"/>
          <w:color w:val="000000"/>
          <w:sz w:val="22"/>
        </w:rPr>
        <w:t>Appeal provision. Delete or properly opt out of the Model Law.</w:t>
      </w:r>
    </w:p>
    <w:p>
      <w:pPr>
        <w:spacing w:after="80" w:line="259" w:lineRule="auto"/>
        <w:ind w:left="504" w:hanging="504"/>
      </w:pPr>
      <w:r>
        <w:rPr>
          <w:rFonts w:ascii="Times New Roman" w:hAnsi="Times New Roman"/>
          <w:b w:val="0"/>
          <w:i w:val="0"/>
          <w:color w:val="000000"/>
          <w:sz w:val="22"/>
        </w:rPr>
        <w:t xml:space="preserve">4.  </w:t>
      </w:r>
      <w:r>
        <w:rPr>
          <w:rFonts w:ascii="Times New Roman" w:hAnsi="Times New Roman"/>
          <w:b/>
          <w:i w:val="0"/>
          <w:color w:val="000000"/>
          <w:sz w:val="22"/>
        </w:rPr>
        <w:t xml:space="preserve">H2 — </w:t>
      </w:r>
      <w:r>
        <w:rPr>
          <w:rFonts w:ascii="Times New Roman" w:hAnsi="Times New Roman"/>
          <w:b w:val="0"/>
          <w:i w:val="0"/>
          <w:color w:val="000000"/>
          <w:sz w:val="22"/>
        </w:rPr>
        <w:t>Joinder / multi-party mechanism.</w:t>
      </w:r>
    </w:p>
    <w:p>
      <w:pPr>
        <w:spacing w:after="80" w:line="259" w:lineRule="auto"/>
        <w:ind w:left="504" w:hanging="504"/>
      </w:pPr>
      <w:r>
        <w:rPr>
          <w:rFonts w:ascii="Times New Roman" w:hAnsi="Times New Roman"/>
          <w:b w:val="0"/>
          <w:i w:val="0"/>
          <w:color w:val="000000"/>
          <w:sz w:val="22"/>
        </w:rPr>
        <w:t xml:space="preserve">5.  </w:t>
      </w:r>
      <w:r>
        <w:rPr>
          <w:rFonts w:ascii="Times New Roman" w:hAnsi="Times New Roman"/>
          <w:b/>
          <w:i w:val="0"/>
          <w:color w:val="000000"/>
          <w:sz w:val="22"/>
        </w:rPr>
        <w:t xml:space="preserve">H3 — </w:t>
      </w:r>
      <w:r>
        <w:rPr>
          <w:rFonts w:ascii="Times New Roman" w:hAnsi="Times New Roman"/>
          <w:b w:val="0"/>
          <w:i w:val="0"/>
          <w:color w:val="000000"/>
          <w:sz w:val="22"/>
        </w:rPr>
        <w:t>Discovery / document production.</w:t>
      </w:r>
    </w:p>
    <w:p>
      <w:pPr>
        <w:spacing w:after="80" w:line="259" w:lineRule="auto"/>
        <w:ind w:left="504" w:hanging="504"/>
      </w:pPr>
      <w:r>
        <w:rPr>
          <w:rFonts w:ascii="Times New Roman" w:hAnsi="Times New Roman"/>
          <w:b w:val="0"/>
          <w:i w:val="0"/>
          <w:color w:val="000000"/>
          <w:sz w:val="22"/>
        </w:rPr>
        <w:t xml:space="preserve">6.  </w:t>
      </w:r>
      <w:r>
        <w:rPr>
          <w:rFonts w:ascii="Times New Roman" w:hAnsi="Times New Roman"/>
          <w:b/>
          <w:i w:val="0"/>
          <w:color w:val="000000"/>
          <w:sz w:val="22"/>
        </w:rPr>
        <w:t xml:space="preserve">H4 — </w:t>
      </w:r>
      <w:r>
        <w:rPr>
          <w:rFonts w:ascii="Times New Roman" w:hAnsi="Times New Roman"/>
          <w:b w:val="0"/>
          <w:i w:val="0"/>
          <w:color w:val="000000"/>
          <w:sz w:val="22"/>
        </w:rPr>
        <w:t>Limitation period.</w:t>
      </w:r>
    </w:p>
    <w:p>
      <w:pPr>
        <w:spacing w:after="80" w:line="259" w:lineRule="auto"/>
        <w:ind w:left="504" w:hanging="504"/>
      </w:pPr>
      <w:r>
        <w:rPr>
          <w:rFonts w:ascii="Times New Roman" w:hAnsi="Times New Roman"/>
          <w:b w:val="0"/>
          <w:i w:val="0"/>
          <w:color w:val="000000"/>
          <w:sz w:val="22"/>
        </w:rPr>
        <w:t xml:space="preserve">7.  </w:t>
      </w:r>
      <w:r>
        <w:rPr>
          <w:rFonts w:ascii="Times New Roman" w:hAnsi="Times New Roman"/>
          <w:b/>
          <w:i w:val="0"/>
          <w:color w:val="000000"/>
          <w:sz w:val="22"/>
        </w:rPr>
        <w:t xml:space="preserve">H5 — </w:t>
      </w:r>
      <w:r>
        <w:rPr>
          <w:rFonts w:ascii="Times New Roman" w:hAnsi="Times New Roman"/>
          <w:b w:val="0"/>
          <w:i w:val="0"/>
          <w:color w:val="000000"/>
          <w:sz w:val="22"/>
        </w:rPr>
        <w:t>Expert-determination finality.</w:t>
      </w:r>
    </w:p>
    <w:p>
      <w:pPr>
        <w:spacing w:after="80" w:line="259" w:lineRule="auto"/>
        <w:ind w:left="504" w:hanging="504"/>
      </w:pPr>
      <w:r>
        <w:rPr>
          <w:rFonts w:ascii="Times New Roman" w:hAnsi="Times New Roman"/>
          <w:b w:val="0"/>
          <w:i w:val="0"/>
          <w:color w:val="000000"/>
          <w:sz w:val="22"/>
        </w:rPr>
        <w:t xml:space="preserve">8.  </w:t>
      </w:r>
      <w:r>
        <w:rPr>
          <w:rFonts w:ascii="Times New Roman" w:hAnsi="Times New Roman"/>
          <w:b/>
          <w:i w:val="0"/>
          <w:color w:val="000000"/>
          <w:sz w:val="22"/>
        </w:rPr>
        <w:t xml:space="preserve">Medium / Low — </w:t>
      </w:r>
      <w:r>
        <w:rPr>
          <w:rFonts w:ascii="Times New Roman" w:hAnsi="Times New Roman"/>
          <w:b w:val="0"/>
          <w:i w:val="0"/>
          <w:color w:val="000000"/>
          <w:sz w:val="22"/>
        </w:rPr>
        <w:t>Procedural harmonization and drafting clean-up (M1–M5, L1–L5).</w:t>
      </w:r>
    </w:p>
    <w:p>
      <w:pPr>
        <w:spacing w:after="80" w:line="259" w:lineRule="auto" w:before="280"/>
        <w:pBdr>
          <w:bottom w:val="single" w:sz="6" w:space="2" w:color="1F2A44"/>
        </w:pBdr>
      </w:pPr>
      <w:r>
        <w:rPr>
          <w:rFonts w:ascii="Times New Roman" w:hAnsi="Times New Roman"/>
          <w:b/>
          <w:i w:val="0"/>
          <w:color w:val="1F2A44"/>
          <w:sz w:val="25"/>
        </w:rPr>
        <w:t>X.  Conclusion</w:t>
      </w:r>
    </w:p>
    <w:p>
      <w:pPr>
        <w:spacing w:after="160" w:line="259" w:lineRule="auto"/>
      </w:pPr>
      <w:r>
        <w:rPr>
          <w:rFonts w:ascii="Times New Roman" w:hAnsi="Times New Roman"/>
          <w:b w:val="0"/>
          <w:i w:val="0"/>
          <w:color w:val="000000"/>
          <w:sz w:val="22"/>
        </w:rPr>
        <w:t>The dispute resolution framework reflects thoughtful subject-matter tailoring, but contains several provisions that, as drafted, are internally contradictory, legally flawed, or commercially one-sided in ways that create material risk for both parties — and that recreate the “pathological clause” risk Pacifica’s own 2023 experience counsels against. The three Critical issues (the consolidation conflict, the consequential-damages waiver, and the appeal provision) should be resolved before signing. We recommend beginning with the architectural decision (unify or coordinate) and the consequential-damages restructuring, as these drive the remaining issues. We are available to discuss these recommendations and to prepare revised drafting for negotiation with Harmon &amp; Grey.</w:t>
      </w:r>
    </w:p>
    <w:p>
      <w:pPr>
        <w:spacing w:after="0" w:line="259" w:lineRule="auto" w:before="120"/>
      </w:pPr>
      <w:r>
        <w:rPr>
          <w:rFonts w:ascii="Times New Roman" w:hAnsi="Times New Roman"/>
          <w:b w:val="0"/>
          <w:i w:val="0"/>
          <w:color w:val="000000"/>
          <w:sz w:val="22"/>
        </w:rPr>
        <w:t>Respectfully submitted,</w:t>
      </w:r>
    </w:p>
    <w:p>
      <w:pPr>
        <w:spacing w:after="200" w:line="259" w:lineRule="auto"/>
      </w:pPr>
    </w:p>
    <w:p>
      <w:pPr>
        <w:spacing w:after="0" w:line="259" w:lineRule="auto"/>
      </w:pPr>
      <w:r>
        <w:rPr>
          <w:rFonts w:ascii="Times New Roman" w:hAnsi="Times New Roman"/>
          <w:b/>
          <w:i w:val="0"/>
          <w:color w:val="000000"/>
          <w:sz w:val="22"/>
        </w:rPr>
        <w:t>Marcus J. Elliott</w:t>
      </w:r>
    </w:p>
    <w:p>
      <w:pPr>
        <w:spacing w:after="0" w:line="259" w:lineRule="auto"/>
      </w:pPr>
      <w:r>
        <w:rPr>
          <w:rFonts w:ascii="Times New Roman" w:hAnsi="Times New Roman"/>
          <w:b w:val="0"/>
          <w:i w:val="0"/>
          <w:color w:val="595959"/>
          <w:sz w:val="21"/>
        </w:rPr>
        <w:t>Partner, Whitfield &amp; Crane LLP</w:t>
      </w:r>
    </w:p>
    <w:p>
      <w:pPr>
        <w:spacing w:after="0" w:line="259" w:lineRule="auto"/>
      </w:pPr>
      <w:r>
        <w:rPr>
          <w:rFonts w:ascii="Times New Roman" w:hAnsi="Times New Roman"/>
          <w:b/>
          <w:i w:val="0"/>
          <w:color w:val="000000"/>
          <w:sz w:val="22"/>
        </w:rPr>
        <w:t>Sophia Bransfield</w:t>
      </w:r>
    </w:p>
    <w:p>
      <w:pPr>
        <w:spacing w:after="0" w:line="259" w:lineRule="auto"/>
      </w:pPr>
      <w:r>
        <w:rPr>
          <w:rFonts w:ascii="Times New Roman" w:hAnsi="Times New Roman"/>
          <w:b w:val="0"/>
          <w:i w:val="0"/>
          <w:color w:val="595959"/>
          <w:sz w:val="21"/>
        </w:rPr>
        <w:t>Whitfield &amp; Crane LLP</w:t>
      </w:r>
    </w:p>
    <w:p>
      <w:pPr>
        <w:spacing w:after="120" w:line="259" w:lineRule="auto"/>
      </w:pPr>
    </w:p>
    <w:p>
      <w:pPr>
        <w:spacing w:after="40" w:line="259" w:lineRule="auto"/>
        <w:pBdr>
          <w:bottom w:val="single" w:sz="6" w:space="2" w:color="BFBFBF"/>
        </w:pBdr>
      </w:pPr>
    </w:p>
    <w:p>
      <w:pPr>
        <w:spacing w:after="0" w:line="259" w:lineRule="auto"/>
      </w:pPr>
      <w:r>
        <w:rPr>
          <w:rFonts w:ascii="Times New Roman" w:hAnsi="Times New Roman"/>
          <w:b w:val="0"/>
          <w:i/>
          <w:color w:val="595959"/>
          <w:sz w:val="17"/>
        </w:rPr>
        <w:t>This memorandum is privileged and confidential, prepared in anticipation of litigation and for the purpose of facilitating legal-negotiation advice to Greenleaf Nutritionals, Inc. and Ridgeway Capital Partners. It should not be shared with Pacifica Botanics Pte. Ltd. or its counsel except through directed negotiation. Distribution is limited to the named recipients.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595959"/>
        <w:sz w:val="16"/>
      </w:rPr>
      <w:t xml:space="preserve">PRIVILEGED &amp; CONFIDENTIAL  |  ATTORNEY-CLIENT COMMUNICATION / ATTORNEY WORK PRODUCT  |  Page </w:t>
    </w:r>
    <w:r>
      <w:rPr>
        <w:rFonts w:ascii="Times New Roman" w:hAnsi="Times New Roman"/>
        <w:color w:val="595959"/>
        <w:sz w:val="16"/>
      </w:rPr>
      <w:fldChar w:fldCharType="begin"/>
      <w:instrText xml:space="preserve">PAGE</w:instrText>
      <w:fldChar w:fldCharType="end"/>
    </w:r>
    <w:r>
      <w:rPr>
        <w:rFonts w:ascii="Times New Roman" w:hAnsi="Times New Roman"/>
        <w:b w:val="0"/>
        <w:i w:val="0"/>
        <w:color w:val="595959"/>
        <w:sz w:val="16"/>
      </w:rPr>
      <w:t xml:space="preserve"> of </w:t>
    </w:r>
    <w:r>
      <w:rPr>
        <w:rFonts w:ascii="Times New Roman" w:hAnsi="Times New Roman"/>
        <w:color w:val="595959"/>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