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9092779eae0ca57705dede95c2ab5939f8b8355"/>
    <w:p>
      <w:pPr>
        <w:pStyle w:val="Heading1"/>
      </w:pPr>
      <w:r>
        <w:t xml:space="preserve">PRIVILEGED &amp; CONFIDENTIAL — ATTORNEY WORK PRODUCT</w:t>
      </w:r>
    </w:p>
    <w:bookmarkStart w:id="20" w:name="X5d466bc7994be4c8fef3a7a34511e42193a93d2"/>
    <w:p>
      <w:pPr>
        <w:pStyle w:val="Heading2"/>
      </w:pPr>
      <w:r>
        <w:t xml:space="preserve">Arbitration &amp; Dispute Resolution Issues Memo</w:t>
      </w:r>
    </w:p>
    <w:p>
      <w:pPr>
        <w:pStyle w:val="FirstParagraph"/>
      </w:pPr>
      <w:r>
        <w:rPr>
          <w:b/>
          <w:bCs/>
        </w:rPr>
        <w:t xml:space="preserve">Transaction:</w:t>
      </w:r>
      <w:r>
        <w:t xml:space="preserve"> </w:t>
      </w:r>
      <w:r>
        <w:t xml:space="preserve">Pacifica Botanics Pte. Ltd. / Greenleaf Nutritionals, Inc. Strategic Supply Relationship</w:t>
      </w:r>
    </w:p>
    <w:p>
      <w:pPr>
        <w:pStyle w:val="BodyText"/>
      </w:pPr>
      <w:r>
        <w:rPr>
          <w:b/>
          <w:bCs/>
        </w:rPr>
        <w:t xml:space="preserve">Re:</w:t>
      </w:r>
      <w:r>
        <w:t xml:space="preserve"> </w:t>
      </w:r>
      <w:r>
        <w:t xml:space="preserve">Review of Arbitration and Dispute Resolution Provisions Across the Transaction Document Suite</w:t>
      </w:r>
    </w:p>
    <w:p>
      <w:pPr>
        <w:pStyle w:val="BodyText"/>
      </w:pPr>
      <w:r>
        <w:rPr>
          <w:b/>
          <w:bCs/>
        </w:rPr>
        <w:t xml:space="preserve">Date:</w:t>
      </w:r>
      <w:r>
        <w:t xml:space="preserve"> </w:t>
      </w:r>
      <w:r>
        <w:t xml:space="preserve">July 7, 2025</w:t>
      </w:r>
    </w:p>
    <w:p>
      <w:pPr>
        <w:pStyle w:val="BodyText"/>
      </w:pPr>
      <w:r>
        <w:rPr>
          <w:b/>
          <w:bCs/>
        </w:rPr>
        <w:t xml:space="preserve">Prepared for:</w:t>
      </w:r>
      <w:r>
        <w:t xml:space="preserve"> </w:t>
      </w:r>
      <w:r>
        <w:t xml:space="preserve">Angela R. Matsuda, General Counsel, Greenleaf Nutritionals, Inc.; Marcus J. Elliott, Whitfield &amp; Crane LLP</w:t>
      </w:r>
    </w:p>
    <w:p>
      <w:r>
        <w:pict>
          <v:rect style="width:0;height:1.5pt" o:hralign="center" o:hrstd="t" o:hr="t"/>
        </w:pict>
      </w:r>
    </w:p>
    <w:bookmarkEnd w:id="20"/>
    <w:bookmarkStart w:id="21" w:name="i.-introduction-and-scope"/>
    <w:p>
      <w:pPr>
        <w:pStyle w:val="Heading2"/>
      </w:pPr>
      <w:r>
        <w:t xml:space="preserve">I. Introduction and Scope</w:t>
      </w:r>
    </w:p>
    <w:p>
      <w:pPr>
        <w:pStyle w:val="FirstParagraph"/>
      </w:pPr>
      <w:r>
        <w:t xml:space="preserve">This memorandum identifies and severity-rates the issues presented by the arbitration and dispute resolution provisions across the five documents that comprise, or that bear upon, the Pacifica Botanics Pte. Ltd. (</w:t>
      </w:r>
      <w:r>
        <w:t xml:space="preserve">“</w:t>
      </w:r>
      <w:r>
        <w:t xml:space="preserve">Pacifica</w:t>
      </w:r>
      <w:r>
        <w:t xml:space="preserve">”</w:t>
      </w:r>
      <w:r>
        <w:t xml:space="preserve">) / Greenleaf Nutritionals, Inc. (</w:t>
      </w:r>
      <w:r>
        <w:t xml:space="preserve">“</w:t>
      </w:r>
      <w:r>
        <w:t xml:space="preserve">Greenleaf</w:t>
      </w:r>
      <w:r>
        <w:t xml:space="preserve">”</w:t>
      </w:r>
      <w:r>
        <w:t xml:space="preserve">) transaction: (1) the Exclusive Supply Agreement (</w:t>
      </w:r>
      <w:r>
        <w:t xml:space="preserve">“</w:t>
      </w:r>
      <w:r>
        <w:t xml:space="preserve">SA</w:t>
      </w:r>
      <w:r>
        <w:t xml:space="preserve">”</w:t>
      </w:r>
      <w:r>
        <w:t xml:space="preserve">), (2) the Quality Assurance Side Letter (</w:t>
      </w:r>
      <w:r>
        <w:t xml:space="preserve">“</w:t>
      </w:r>
      <w:r>
        <w:t xml:space="preserve">QA Side Letter</w:t>
      </w:r>
      <w:r>
        <w:t xml:space="preserve">”</w:t>
      </w:r>
      <w:r>
        <w:t xml:space="preserve">), (3) the IP License Agreement (</w:t>
      </w:r>
      <w:r>
        <w:t xml:space="preserve">“</w:t>
      </w:r>
      <w:r>
        <w:t xml:space="preserve">IPLA</w:t>
      </w:r>
      <w:r>
        <w:t xml:space="preserve">”</w:t>
      </w:r>
      <w:r>
        <w:t xml:space="preserve">), (4) the Harmon &amp; Grey LLP dispute-resolution rationale memorandum (</w:t>
      </w:r>
      <w:r>
        <w:t xml:space="preserve">“</w:t>
      </w:r>
      <w:r>
        <w:t xml:space="preserve">HG Memo</w:t>
      </w:r>
      <w:r>
        <w:t xml:space="preserve">”</w:t>
      </w:r>
      <w:r>
        <w:t xml:space="preserve">), and (5) the internal Greenleaf email chain concerning dispute-resolution priorities (</w:t>
      </w:r>
      <w:r>
        <w:t xml:space="preserve">“</w:t>
      </w:r>
      <w:r>
        <w:t xml:space="preserve">Greenleaf Emails</w:t>
      </w:r>
      <w:r>
        <w:t xml:space="preserve">”</w:t>
      </w:r>
      <w:r>
        <w:t xml:space="preserve">).</w:t>
      </w:r>
    </w:p>
    <w:p>
      <w:pPr>
        <w:pStyle w:val="BodyText"/>
      </w:pPr>
      <w:r>
        <w:t xml:space="preserve">The three operative agreements were drafted by Harmon &amp; Grey LLP on Pacifica’s behalf and employ a</w:t>
      </w:r>
      <w:r>
        <w:t xml:space="preserve"> </w:t>
      </w:r>
      <w:r>
        <w:t xml:space="preserve">“</w:t>
      </w:r>
      <w:r>
        <w:t xml:space="preserve">three-tier</w:t>
      </w:r>
      <w:r>
        <w:t xml:space="preserve">”</w:t>
      </w:r>
      <w:r>
        <w:t xml:space="preserve"> </w:t>
      </w:r>
      <w:r>
        <w:t xml:space="preserve">dispute resolution architecture under which each agreement routes disputes to a different arbitral institution, a different seat, and a different governing law. As the Greenleaf Emails reflect, Greenleaf’s internal stakeholders (management, the General Counsel, and Ridgeway Capital Partners as 62% equity holder) have already flagged several of the most serious concerns. This memo consolidates those concerns, identifies additional issues surfaced by a close reading of the clauses themselves, and provides a concrete recommendation for each.</w:t>
      </w:r>
    </w:p>
    <w:p>
      <w:pPr>
        <w:pStyle w:val="BodyText"/>
      </w:pPr>
      <w:r>
        <w:t xml:space="preserve">The signing target is July 18, 2025, with a Target Effective Date of August 1, 2025. Whitfield &amp; Crane LLP’s review deadline is July 11, 2025. Time is short; the recommendations below are prioritized accordingly.</w:t>
      </w:r>
    </w:p>
    <w:p>
      <w:pPr>
        <w:pStyle w:val="BodyText"/>
      </w:pPr>
      <w:r>
        <w:t xml:space="preserve">A threshold point of context: the HG Memo and the Greenleaf Emails both emphasize Pacifica’s 2023 ICC arbitration, seated in Hong Kong, against a Korean buyer, in which Pacifica recovered approximately USD $8,200,000 on rejected-shipment claims but then endured a 14-month enforcement delay because the losing party challenged the arbitration clause as</w:t>
      </w:r>
      <w:r>
        <w:t xml:space="preserve"> </w:t>
      </w:r>
      <w:r>
        <w:t xml:space="preserve">“</w:t>
      </w:r>
      <w:r>
        <w:t xml:space="preserve">pathological.</w:t>
      </w:r>
      <w:r>
        <w:t xml:space="preserve">”</w:t>
      </w:r>
      <w:r>
        <w:t xml:space="preserve"> </w:t>
      </w:r>
      <w:r>
        <w:t xml:space="preserve">Several of the issues below (C3, C4, H1) are pathological-clause risks of the same genus, and the architecture should be cured against that specific failure mode.</w:t>
      </w:r>
    </w:p>
    <w:bookmarkEnd w:id="21"/>
    <w:bookmarkStart w:id="22" w:name="ii.-documents-reviewed"/>
    <w:p>
      <w:pPr>
        <w:pStyle w:val="Heading2"/>
      </w:pPr>
      <w:r>
        <w:t xml:space="preserve">II. Documents Reviewed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Document</w:t>
            </w:r>
          </w:p>
        </w:tc>
        <w:tc>
          <w:tcPr/>
          <w:p>
            <w:pPr>
              <w:pStyle w:val="Compact"/>
              <w:jc w:val="left"/>
            </w:pPr>
            <w:r>
              <w:t xml:space="preserve">Dispute Resolution Provision(s)</w:t>
            </w:r>
          </w:p>
        </w:tc>
        <w:tc>
          <w:tcPr/>
          <w:p>
            <w:pPr>
              <w:pStyle w:val="Compact"/>
              <w:jc w:val="left"/>
            </w:pPr>
            <w:r>
              <w:t xml:space="preserve">Institution</w:t>
            </w:r>
          </w:p>
        </w:tc>
        <w:tc>
          <w:tcPr/>
          <w:p>
            <w:pPr>
              <w:pStyle w:val="Compact"/>
              <w:jc w:val="left"/>
            </w:pPr>
            <w:r>
              <w:t xml:space="preserve">Seat</w:t>
            </w:r>
          </w:p>
        </w:tc>
        <w:tc>
          <w:tcPr/>
          <w:p>
            <w:pPr>
              <w:pStyle w:val="Compact"/>
              <w:jc w:val="left"/>
            </w:pPr>
            <w:r>
              <w:t xml:space="preserve">Governing Law</w:t>
            </w:r>
          </w:p>
        </w:tc>
      </w:tr>
      <w:tr>
        <w:tc>
          <w:tcPr/>
          <w:p>
            <w:pPr>
              <w:pStyle w:val="Compact"/>
              <w:jc w:val="left"/>
            </w:pPr>
            <w:r>
              <w:t xml:space="preserve">Exclusive Supply Agreement (SA)</w:t>
            </w:r>
          </w:p>
        </w:tc>
        <w:tc>
          <w:tcPr/>
          <w:p>
            <w:pPr>
              <w:pStyle w:val="Compact"/>
              <w:jc w:val="left"/>
            </w:pPr>
            <w:r>
              <w:t xml:space="preserve">Article 14 (§§ 14.1–14.11); § 15.11</w:t>
            </w:r>
          </w:p>
        </w:tc>
        <w:tc>
          <w:tcPr/>
          <w:p>
            <w:pPr>
              <w:pStyle w:val="Compact"/>
              <w:jc w:val="left"/>
            </w:pPr>
            <w:r>
              <w:t xml:space="preserve">ICC</w:t>
            </w:r>
          </w:p>
        </w:tc>
        <w:tc>
          <w:tcPr/>
          <w:p>
            <w:pPr>
              <w:pStyle w:val="Compact"/>
              <w:jc w:val="left"/>
            </w:pPr>
            <w:r>
              <w:t xml:space="preserve">Singapore (hearings in London)</w:t>
            </w:r>
          </w:p>
        </w:tc>
        <w:tc>
          <w:tcPr/>
          <w:p>
            <w:pPr>
              <w:pStyle w:val="Compact"/>
              <w:jc w:val="left"/>
            </w:pPr>
            <w:r>
              <w:t xml:space="preserve">New York</w:t>
            </w:r>
          </w:p>
        </w:tc>
      </w:tr>
      <w:tr>
        <w:tc>
          <w:tcPr/>
          <w:p>
            <w:pPr>
              <w:pStyle w:val="Compact"/>
              <w:jc w:val="left"/>
            </w:pPr>
            <w:r>
              <w:t xml:space="preserve">Quality Assurance Side Letter (QA)</w:t>
            </w:r>
          </w:p>
        </w:tc>
        <w:tc>
          <w:tcPr/>
          <w:p>
            <w:pPr>
              <w:pStyle w:val="Compact"/>
              <w:jc w:val="left"/>
            </w:pPr>
            <w:r>
              <w:t xml:space="preserve">Section 7 (§§ 7.1–7.3); § 8.1</w:t>
            </w:r>
          </w:p>
        </w:tc>
        <w:tc>
          <w:tcPr/>
          <w:p>
            <w:pPr>
              <w:pStyle w:val="Compact"/>
              <w:jc w:val="left"/>
            </w:pPr>
            <w:r>
              <w:t xml:space="preserve">SIAC (expert determination / arbitration)</w:t>
            </w:r>
          </w:p>
        </w:tc>
        <w:tc>
          <w:tcPr/>
          <w:p>
            <w:pPr>
              <w:pStyle w:val="Compact"/>
              <w:jc w:val="left"/>
            </w:pPr>
            <w:r>
              <w:t xml:space="preserve">Singapore</w:t>
            </w:r>
          </w:p>
        </w:tc>
        <w:tc>
          <w:tcPr/>
          <w:p>
            <w:pPr>
              <w:pStyle w:val="Compact"/>
              <w:jc w:val="left"/>
            </w:pPr>
            <w:r>
              <w:t xml:space="preserve">Singapore</w:t>
            </w:r>
          </w:p>
        </w:tc>
      </w:tr>
      <w:tr>
        <w:tc>
          <w:tcPr/>
          <w:p>
            <w:pPr>
              <w:pStyle w:val="Compact"/>
              <w:jc w:val="left"/>
            </w:pPr>
            <w:r>
              <w:t xml:space="preserve">IP License Agreement (IPLA)</w:t>
            </w:r>
          </w:p>
        </w:tc>
        <w:tc>
          <w:tcPr/>
          <w:p>
            <w:pPr>
              <w:pStyle w:val="Compact"/>
              <w:jc w:val="left"/>
            </w:pPr>
            <w:r>
              <w:t xml:space="preserve">Section 9 (§§ 9.1–9.4); § 10.3</w:t>
            </w:r>
          </w:p>
        </w:tc>
        <w:tc>
          <w:tcPr/>
          <w:p>
            <w:pPr>
              <w:pStyle w:val="Compact"/>
              <w:jc w:val="left"/>
            </w:pPr>
            <w:r>
              <w:t xml:space="preserve">LCIA</w:t>
            </w:r>
          </w:p>
        </w:tc>
        <w:tc>
          <w:tcPr/>
          <w:p>
            <w:pPr>
              <w:pStyle w:val="Compact"/>
              <w:jc w:val="left"/>
            </w:pPr>
            <w:r>
              <w:t xml:space="preserve">London</w:t>
            </w:r>
          </w:p>
        </w:tc>
        <w:tc>
          <w:tcPr/>
          <w:p>
            <w:pPr>
              <w:pStyle w:val="Compact"/>
              <w:jc w:val="left"/>
            </w:pPr>
            <w:r>
              <w:t xml:space="preserve">England &amp; Wales</w:t>
            </w:r>
          </w:p>
        </w:tc>
      </w:tr>
      <w:tr>
        <w:tc>
          <w:tcPr/>
          <w:p>
            <w:pPr>
              <w:pStyle w:val="Compact"/>
              <w:jc w:val="left"/>
            </w:pPr>
            <w:r>
              <w:t xml:space="preserve">Harmon &amp; Grey Memo (HG Memo)</w:t>
            </w:r>
          </w:p>
        </w:tc>
        <w:tc>
          <w:tcPr/>
          <w:p>
            <w:pPr>
              <w:pStyle w:val="Compact"/>
              <w:jc w:val="left"/>
            </w:pPr>
            <w:r>
              <w:t xml:space="preserve">Rationale for the above</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Greenleaf Emails</w:t>
            </w:r>
          </w:p>
        </w:tc>
        <w:tc>
          <w:tcPr/>
          <w:p>
            <w:pPr>
              <w:pStyle w:val="Compact"/>
              <w:jc w:val="left"/>
            </w:pPr>
            <w:r>
              <w:t xml:space="preserve">Internal priorities and concerns</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bl>
    <w:bookmarkEnd w:id="22"/>
    <w:bookmarkStart w:id="23" w:name="iii.-severity-rating-key"/>
    <w:p>
      <w:pPr>
        <w:pStyle w:val="Heading2"/>
      </w:pPr>
      <w:r>
        <w:t xml:space="preserve">III. Severity Rating Key</w:t>
      </w:r>
    </w:p>
    <w:p>
      <w:pPr>
        <w:pStyle w:val="Compact"/>
        <w:numPr>
          <w:ilvl w:val="0"/>
          <w:numId w:val="1001"/>
        </w:numPr>
      </w:pPr>
      <w:r>
        <w:rPr>
          <w:b/>
          <w:bCs/>
        </w:rPr>
        <w:t xml:space="preserve">Critical</w:t>
      </w:r>
      <w:r>
        <w:t xml:space="preserve"> </w:t>
      </w:r>
      <w:r>
        <w:t xml:space="preserve">— Defects that materially threaten enforceability, create a serious risk of parallel/inconsistent proceedings, or substantially impair Greenleaf’s ability to recover on its most likely high-stakes claims. Must be resolved before signing.</w:t>
      </w:r>
    </w:p>
    <w:p>
      <w:pPr>
        <w:pStyle w:val="Compact"/>
        <w:numPr>
          <w:ilvl w:val="0"/>
          <w:numId w:val="1001"/>
        </w:numPr>
      </w:pPr>
      <w:r>
        <w:rPr>
          <w:b/>
          <w:bCs/>
        </w:rPr>
        <w:t xml:space="preserve">High</w:t>
      </w:r>
      <w:r>
        <w:t xml:space="preserve"> </w:t>
      </w:r>
      <w:r>
        <w:t xml:space="preserve">— Defects that create meaningful litigation/arbitration risk, internal inconsistency, or unenforceability of a specific mechanism. Should be resolved before signing.</w:t>
      </w:r>
    </w:p>
    <w:p>
      <w:pPr>
        <w:pStyle w:val="Compact"/>
        <w:numPr>
          <w:ilvl w:val="0"/>
          <w:numId w:val="1001"/>
        </w:numPr>
      </w:pPr>
      <w:r>
        <w:rPr>
          <w:b/>
          <w:bCs/>
        </w:rPr>
        <w:t xml:space="preserve">Medium</w:t>
      </w:r>
      <w:r>
        <w:t xml:space="preserve"> </w:t>
      </w:r>
      <w:r>
        <w:t xml:space="preserve">— Gaps or inconsistencies that increase cost, delay, or unpredictability but are not deal-breakers standing alone. Resolve if leverage permits.</w:t>
      </w:r>
    </w:p>
    <w:p>
      <w:pPr>
        <w:pStyle w:val="Compact"/>
        <w:numPr>
          <w:ilvl w:val="0"/>
          <w:numId w:val="1001"/>
        </w:numPr>
      </w:pPr>
      <w:r>
        <w:rPr>
          <w:b/>
          <w:bCs/>
        </w:rPr>
        <w:t xml:space="preserve">Low</w:t>
      </w:r>
      <w:r>
        <w:t xml:space="preserve"> </w:t>
      </w:r>
      <w:r>
        <w:t xml:space="preserve">— Drafting refinements and minor inconsistencies. Address opportunistically.</w:t>
      </w:r>
    </w:p>
    <w:bookmarkEnd w:id="23"/>
    <w:bookmarkStart w:id="31" w:name="iv.-critical-issues"/>
    <w:p>
      <w:pPr>
        <w:pStyle w:val="Heading2"/>
      </w:pPr>
      <w:r>
        <w:t xml:space="preserve">IV. Critical Issues</w:t>
      </w:r>
    </w:p>
    <w:bookmarkStart w:id="24" w:name="X31d539318d41e98a0b7b21653c1521ef62748b3"/>
    <w:p>
      <w:pPr>
        <w:pStyle w:val="Heading3"/>
      </w:pPr>
      <w:r>
        <w:t xml:space="preserve">C1. Fragmented arbitral institutions across the transaction suite (ICC / SIAC / LCIA)</w:t>
      </w:r>
    </w:p>
    <w:p>
      <w:pPr>
        <w:pStyle w:val="FirstParagraph"/>
      </w:pPr>
      <w:r>
        <w:rPr>
          <w:b/>
          <w:bCs/>
        </w:rPr>
        <w:t xml:space="preserve">Severity: Critical</w:t>
      </w:r>
    </w:p>
    <w:p>
      <w:pPr>
        <w:pStyle w:val="BodyText"/>
      </w:pPr>
      <w:r>
        <w:rPr>
          <w:b/>
          <w:bCs/>
        </w:rPr>
        <w:t xml:space="preserve">Provision(s):</w:t>
      </w:r>
      <w:r>
        <w:t xml:space="preserve"> </w:t>
      </w:r>
      <w:r>
        <w:t xml:space="preserve">SA § 14.1 (ICC); QA Side Letter §§ 7.1, 7.2 (SIAC); IPLA § 9.1 (LCIA); HG Memo Part II; Greenleaf Emails (Park, Matsuda).</w:t>
      </w:r>
    </w:p>
    <w:p>
      <w:pPr>
        <w:pStyle w:val="BodyText"/>
      </w:pPr>
      <w:r>
        <w:rPr>
          <w:b/>
          <w:bCs/>
        </w:rPr>
        <w:t xml:space="preserve">Issue:</w:t>
      </w:r>
      <w:r>
        <w:t xml:space="preserve"> </w:t>
      </w:r>
      <w:r>
        <w:t xml:space="preserve">The three integrated transaction documents each designate a different administering institution — the ICC for the SA, SIAC for the QA Side Letter, and the LCIA for the IPLA. The HG Memo characterizes this as a deliberate</w:t>
      </w:r>
      <w:r>
        <w:t xml:space="preserve"> </w:t>
      </w:r>
      <w:r>
        <w:t xml:space="preserve">“</w:t>
      </w:r>
      <w:r>
        <w:t xml:space="preserve">matching</w:t>
      </w:r>
      <w:r>
        <w:t xml:space="preserve">”</w:t>
      </w:r>
      <w:r>
        <w:t xml:space="preserve"> </w:t>
      </w:r>
      <w:r>
        <w:t xml:space="preserve">of institution to subject matter. The Greenleaf Emails (Park:</w:t>
      </w:r>
      <w:r>
        <w:t xml:space="preserve"> </w:t>
      </w:r>
      <w:r>
        <w:t xml:space="preserve">“</w:t>
      </w:r>
      <w:r>
        <w:t xml:space="preserve">three different arbitral institutions and three different governing laws… intentional or a drafting oversight?</w:t>
      </w:r>
      <w:r>
        <w:t xml:space="preserve">”</w:t>
      </w:r>
      <w:r>
        <w:t xml:space="preserve">; Matsuda:</w:t>
      </w:r>
      <w:r>
        <w:t xml:space="preserve"> </w:t>
      </w:r>
      <w:r>
        <w:t xml:space="preserve">“</w:t>
      </w:r>
      <w:r>
        <w:t xml:space="preserve">comprehensive scrub</w:t>
      </w:r>
      <w:r>
        <w:t xml:space="preserve">”</w:t>
      </w:r>
      <w:r>
        <w:t xml:space="preserve">) flag it as a principal concern.</w:t>
      </w:r>
    </w:p>
    <w:p>
      <w:pPr>
        <w:pStyle w:val="BodyText"/>
      </w:pPr>
      <w:r>
        <w:rPr>
          <w:b/>
          <w:bCs/>
        </w:rPr>
        <w:t xml:space="preserve">Analysis:</w:t>
      </w:r>
      <w:r>
        <w:t xml:space="preserve"> </w:t>
      </w:r>
      <w:r>
        <w:t xml:space="preserve">Because the three agreements are expressly integrated (SA § 15.8; QA § 8.1; IPLA § 10.3) and govern a single commercial relationship, real-world disputes will frequently implicate more than one document. A defective-ingredient claim, for example, touches the SA (supply/warranty), the QA Side Letter (quality/recall), and potentially the IPLA (use of licensed data in the affected regulatory filings). Routing such a dispute to three different institutions guarantees procedural fragmentation, duplicative case management, and a real risk of inconsistent findings of fact and law. The fragmentation is compounded by the QA Side Letter’s expert-determination tier (§ 7.1), which adds a</w:t>
      </w:r>
      <w:r>
        <w:t xml:space="preserve"> </w:t>
      </w:r>
      <w:r>
        <w:rPr>
          <w:i/>
          <w:iCs/>
        </w:rPr>
        <w:t xml:space="preserve">fourth</w:t>
      </w:r>
      <w:r>
        <w:t xml:space="preserve"> </w:t>
      </w:r>
      <w:r>
        <w:t xml:space="preserve">distinct procedural mechanism (SIAC expert determination) on top of the three arbitration tracks — the very</w:t>
      </w:r>
      <w:r>
        <w:t xml:space="preserve"> </w:t>
      </w:r>
      <w:r>
        <w:t xml:space="preserve">“</w:t>
      </w:r>
      <w:r>
        <w:t xml:space="preserve">additional procedural layer</w:t>
      </w:r>
      <w:r>
        <w:t xml:space="preserve">”</w:t>
      </w:r>
      <w:r>
        <w:t xml:space="preserve"> </w:t>
      </w:r>
      <w:r>
        <w:t xml:space="preserve">Heller asks about in the Greenleaf Emails (</w:t>
      </w:r>
      <w:r>
        <w:t xml:space="preserve">“</w:t>
      </w:r>
      <w:r>
        <w:t xml:space="preserve">does the QA Side Letter’s expert determination process… help at all on this, or does it actually make the problem worse by adding yet another procedural layer?</w:t>
      </w:r>
      <w:r>
        <w:t xml:space="preserve">”</w:t>
      </w:r>
      <w:r>
        <w:t xml:space="preserve">). The HG Memo itself concedes the parties</w:t>
      </w:r>
      <w:r>
        <w:t xml:space="preserve"> </w:t>
      </w:r>
      <w:r>
        <w:t xml:space="preserve">“</w:t>
      </w:r>
      <w:r>
        <w:t xml:space="preserve">may wish to discuss whether to harmonize certain procedural aspects.</w:t>
      </w:r>
      <w:r>
        <w:t xml:space="preserve">”</w:t>
      </w:r>
      <w:r>
        <w:t xml:space="preserve"> </w:t>
      </w:r>
      <w:r>
        <w:t xml:space="preserve">The fragmentation is the root cause of several downstream issues (C3, C4, H4, H6, H7).</w:t>
      </w:r>
    </w:p>
    <w:p>
      <w:pPr>
        <w:pStyle w:val="BodyText"/>
      </w:pPr>
      <w:r>
        <w:rPr>
          <w:b/>
          <w:bCs/>
        </w:rPr>
        <w:t xml:space="preserve">Recommendation:</w:t>
      </w:r>
      <w:r>
        <w:t xml:space="preserve"> </w:t>
      </w:r>
      <w:r>
        <w:t xml:space="preserve">Negotiate a single administering institution and a single seat for all three documents. Given Pacifica’s stated preference for a Singapore-connected forum and Singapore’s pro-arbitration regime (New York Convention signatory; UNCITRAL Model Law via the International Arbitration Act, Cap. 143A), SIAC with a Singapore seat is the most defensible compromise and would also align the QA Side Letter’s existing SIAC mechanism. Alternatively, ICC with a Singapore seat would preserve the SA’s existing framework. Either way, all three documents should reference the same institution, the same seat, and consistent procedural rules, and the expert-determination tier should be expressly subordinated to (or folded into) the unified arbitration track so that it does not operate as a free-standing fourth forum.</w:t>
      </w:r>
    </w:p>
    <w:bookmarkEnd w:id="24"/>
    <w:bookmarkStart w:id="25" w:name="X16d9eaadcfeda643e4d9becb6176dbb85d35b90"/>
    <w:p>
      <w:pPr>
        <w:pStyle w:val="Heading3"/>
      </w:pPr>
      <w:r>
        <w:t xml:space="preserve">C2. Fragmented governing laws across the transaction suite (New York / Singapore / England &amp; Wales)</w:t>
      </w:r>
    </w:p>
    <w:p>
      <w:pPr>
        <w:pStyle w:val="FirstParagraph"/>
      </w:pPr>
      <w:r>
        <w:rPr>
          <w:b/>
          <w:bCs/>
        </w:rPr>
        <w:t xml:space="preserve">Severity: Critical</w:t>
      </w:r>
    </w:p>
    <w:p>
      <w:pPr>
        <w:pStyle w:val="BodyText"/>
      </w:pPr>
      <w:r>
        <w:rPr>
          <w:b/>
          <w:bCs/>
        </w:rPr>
        <w:t xml:space="preserve">Provision(s):</w:t>
      </w:r>
      <w:r>
        <w:t xml:space="preserve"> </w:t>
      </w:r>
      <w:r>
        <w:t xml:space="preserve">SA §§ 14.4, 15.11 (New York); QA Side Letter § 7.3 (Singapore); IPLA § 9.2 (England &amp; Wales); Greenleaf Emails (Park, Matsuda).</w:t>
      </w:r>
    </w:p>
    <w:p>
      <w:pPr>
        <w:pStyle w:val="BodyText"/>
      </w:pPr>
      <w:r>
        <w:rPr>
          <w:b/>
          <w:bCs/>
        </w:rPr>
        <w:t xml:space="preserve">Issue:</w:t>
      </w:r>
      <w:r>
        <w:t xml:space="preserve"> </w:t>
      </w:r>
      <w:r>
        <w:t xml:space="preserve">The three agreements are governed by three different substantive laws. The SA is governed by New York law; the QA Side Letter by Singapore law; the IPLA by the laws of England and Wales.</w:t>
      </w:r>
    </w:p>
    <w:p>
      <w:pPr>
        <w:pStyle w:val="BodyText"/>
      </w:pPr>
      <w:r>
        <w:rPr>
          <w:b/>
          <w:bCs/>
        </w:rPr>
        <w:t xml:space="preserve">Analysis:</w:t>
      </w:r>
      <w:r>
        <w:t xml:space="preserve"> </w:t>
      </w:r>
      <w:r>
        <w:t xml:space="preserve">For an integrated transaction, three governing laws mean that the same commercial relationship is interpreted under three different substantive regimes. A supply-failure claim, for example, could be analyzed under New York’s UCC (SA), Singapore contract law (QA Side Letter recall obligations), and English law (IPLA license scope) — potentially yielding different results on warranty scope, remedies, causation, and limitation. The IPLA’s selection of English law is additionally awkward because the IPLA concerns IP licensed solely for U.S. FDA regulatory use within the U.S. Territory (IPLA §§ 1, 2.1), so the governing law has little connection to the territory of performance. The Greenleaf Emails identify this three-law structure as a top</w:t>
      </w:r>
      <w:r>
        <w:t xml:space="preserve"> </w:t>
      </w:r>
      <w:r>
        <w:t xml:space="preserve">“</w:t>
      </w:r>
      <w:r>
        <w:t xml:space="preserve">cross-document consistency</w:t>
      </w:r>
      <w:r>
        <w:t xml:space="preserve">”</w:t>
      </w:r>
      <w:r>
        <w:t xml:space="preserve"> </w:t>
      </w:r>
      <w:r>
        <w:t xml:space="preserve">priority.</w:t>
      </w:r>
    </w:p>
    <w:p>
      <w:pPr>
        <w:pStyle w:val="BodyText"/>
      </w:pPr>
      <w:r>
        <w:rPr>
          <w:b/>
          <w:bCs/>
        </w:rPr>
        <w:t xml:space="preserve">Recommendation:</w:t>
      </w:r>
      <w:r>
        <w:t xml:space="preserve"> </w:t>
      </w:r>
      <w:r>
        <w:t xml:space="preserve">Harmonize to a single governing law across all three documents. New York law is the most commercially appropriate given Greenleaf’s U.S. operations, the UCC’s applicability to the sale of goods, and the parties’ existing selection of New York for the SA. If Pacifica will not accept New York for the QA Side Letter and IPLA, Singapore law is the fallback that at least aligns with a Singapore seat. English law for the IPLA should be reconsidered given the U.S. territorial focus of the license.</w:t>
      </w:r>
    </w:p>
    <w:bookmarkEnd w:id="25"/>
    <w:bookmarkStart w:id="26" w:name="X4ba11b0d59ff0d359e1a54978009d737ad6bcc1"/>
    <w:p>
      <w:pPr>
        <w:pStyle w:val="Heading3"/>
      </w:pPr>
      <w:r>
        <w:t xml:space="preserve">C3. Mutually inconsistent conflict-priority (hierarchy) clauses create circularity and forum uncertainty</w:t>
      </w:r>
    </w:p>
    <w:p>
      <w:pPr>
        <w:pStyle w:val="FirstParagraph"/>
      </w:pPr>
      <w:r>
        <w:rPr>
          <w:b/>
          <w:bCs/>
        </w:rPr>
        <w:t xml:space="preserve">Severity: Critical</w:t>
      </w:r>
    </w:p>
    <w:p>
      <w:pPr>
        <w:pStyle w:val="BodyText"/>
      </w:pPr>
      <w:r>
        <w:rPr>
          <w:b/>
          <w:bCs/>
        </w:rPr>
        <w:t xml:space="preserve">Provision(s):</w:t>
      </w:r>
      <w:r>
        <w:t xml:space="preserve"> </w:t>
      </w:r>
      <w:r>
        <w:t xml:space="preserve">SA § 15.8; QA Side Letter § 8.1; IPLA § 10.3.</w:t>
      </w:r>
    </w:p>
    <w:p>
      <w:pPr>
        <w:pStyle w:val="BodyText"/>
      </w:pPr>
      <w:r>
        <w:rPr>
          <w:b/>
          <w:bCs/>
        </w:rPr>
        <w:t xml:space="preserve">Issue:</w:t>
      </w:r>
      <w:r>
        <w:t xml:space="preserve"> </w:t>
      </w:r>
      <w:r>
        <w:t xml:space="preserve">The three documents contain three different — and mutually inconsistent — rules for resolving conflicts among them:</w:t>
      </w:r>
      <w:r>
        <w:t xml:space="preserve"> </w:t>
      </w:r>
      <w:r>
        <w:t xml:space="preserve">-</w:t>
      </w:r>
      <w:r>
        <w:t xml:space="preserve"> </w:t>
      </w:r>
      <w:r>
        <w:rPr>
          <w:b/>
          <w:bCs/>
        </w:rPr>
        <w:t xml:space="preserve">SA § 15.8:</w:t>
      </w:r>
      <w:r>
        <w:t xml:space="preserve"> </w:t>
      </w:r>
      <w:r>
        <w:t xml:space="preserve">the SA</w:t>
      </w:r>
      <w:r>
        <w:t xml:space="preserve"> </w:t>
      </w:r>
      <w:r>
        <w:t xml:space="preserve">“</w:t>
      </w:r>
      <w:r>
        <w:t xml:space="preserve">shall control</w:t>
      </w:r>
      <w:r>
        <w:t xml:space="preserve">”</w:t>
      </w:r>
      <w:r>
        <w:t xml:space="preserve"> </w:t>
      </w:r>
      <w:r>
        <w:t xml:space="preserve">in any conflict with the QA Side Letter or IPLA (no exception).</w:t>
      </w:r>
      <w:r>
        <w:t xml:space="preserve"> </w:t>
      </w:r>
      <w:r>
        <w:t xml:space="preserve">-</w:t>
      </w:r>
      <w:r>
        <w:t xml:space="preserve"> </w:t>
      </w:r>
      <w:r>
        <w:rPr>
          <w:b/>
          <w:bCs/>
        </w:rPr>
        <w:t xml:space="preserve">QA Side Letter § 8.1:</w:t>
      </w:r>
      <w:r>
        <w:t xml:space="preserve"> </w:t>
      </w:r>
      <w:r>
        <w:t xml:space="preserve">the SA controls,</w:t>
      </w:r>
      <w:r>
        <w:t xml:space="preserve"> </w:t>
      </w:r>
      <w:r>
        <w:rPr>
          <w:i/>
          <w:iCs/>
        </w:rPr>
        <w:t xml:space="preserve">except</w:t>
      </w:r>
      <w:r>
        <w:t xml:space="preserve"> </w:t>
      </w:r>
      <w:r>
        <w:t xml:space="preserve">that for subject matters</w:t>
      </w:r>
      <w:r>
        <w:t xml:space="preserve"> </w:t>
      </w:r>
      <w:r>
        <w:t xml:space="preserve">“</w:t>
      </w:r>
      <w:r>
        <w:t xml:space="preserve">specifically addressed in this Side Letter — including… the dispute resolution mechanism set forth in Section 7 — this Side Letter shall control.</w:t>
      </w:r>
      <w:r>
        <w:t xml:space="preserve">”</w:t>
      </w:r>
      <w:r>
        <w:t xml:space="preserve"> </w:t>
      </w:r>
      <w:r>
        <w:t xml:space="preserve">-</w:t>
      </w:r>
      <w:r>
        <w:t xml:space="preserve"> </w:t>
      </w:r>
      <w:r>
        <w:rPr>
          <w:b/>
          <w:bCs/>
        </w:rPr>
        <w:t xml:space="preserve">IPLA § 10.3:</w:t>
      </w:r>
      <w:r>
        <w:t xml:space="preserve"> </w:t>
      </w:r>
      <w:r>
        <w:t xml:space="preserve">the SA controls,</w:t>
      </w:r>
      <w:r>
        <w:t xml:space="preserve"> </w:t>
      </w:r>
      <w:r>
        <w:rPr>
          <w:i/>
          <w:iCs/>
        </w:rPr>
        <w:t xml:space="preserve">except</w:t>
      </w:r>
      <w:r>
        <w:t xml:space="preserve"> </w:t>
      </w:r>
      <w:r>
        <w:t xml:space="preserve">for</w:t>
      </w:r>
      <w:r>
        <w:t xml:space="preserve"> </w:t>
      </w:r>
      <w:r>
        <w:t xml:space="preserve">“</w:t>
      </w:r>
      <w:r>
        <w:t xml:space="preserve">matters specifically and exclusively addressed by this Agreement</w:t>
      </w:r>
      <w:r>
        <w:t xml:space="preserve">”</w:t>
      </w:r>
      <w:r>
        <w:t xml:space="preserve"> </w:t>
      </w:r>
      <w:r>
        <w:t xml:space="preserve">(the IPLA).</w:t>
      </w:r>
    </w:p>
    <w:p>
      <w:pPr>
        <w:pStyle w:val="BodyText"/>
      </w:pPr>
      <w:r>
        <w:rPr>
          <w:b/>
          <w:bCs/>
        </w:rPr>
        <w:t xml:space="preserve">Analysis:</w:t>
      </w:r>
      <w:r>
        <w:t xml:space="preserve"> </w:t>
      </w:r>
      <w:r>
        <w:t xml:space="preserve">These clauses are circular. The QA Side Letter says its own dispute-resolution mechanism (SIAC) controls for quality disputes; the SA says the SA (ICC) controls for all conflicts; the IPLA says the IPLA controls for matters it</w:t>
      </w:r>
      <w:r>
        <w:t xml:space="preserve"> </w:t>
      </w:r>
      <w:r>
        <w:t xml:space="preserve">“</w:t>
      </w:r>
      <w:r>
        <w:t xml:space="preserve">exclusively</w:t>
      </w:r>
      <w:r>
        <w:t xml:space="preserve">”</w:t>
      </w:r>
      <w:r>
        <w:t xml:space="preserve"> </w:t>
      </w:r>
      <w:r>
        <w:t xml:space="preserve">addresses (which would include its own LCIA clause). The result is that, for any dispute touching more than one document, each party can point to a hierarchy clause favoring its preferred forum. This is precisely the kind of ambiguity that produces jurisdictional/competence challenges at the outset of an arbitration — the</w:t>
      </w:r>
      <w:r>
        <w:t xml:space="preserve"> </w:t>
      </w:r>
      <w:r>
        <w:t xml:space="preserve">“</w:t>
      </w:r>
      <w:r>
        <w:t xml:space="preserve">pathological clause</w:t>
      </w:r>
      <w:r>
        <w:t xml:space="preserve">”</w:t>
      </w:r>
      <w:r>
        <w:t xml:space="preserve"> </w:t>
      </w:r>
      <w:r>
        <w:t xml:space="preserve">problem that, per the HG Memo and Greenleaf Emails, caused Pacifica a 14-month enforcement delay in its 2023 Hong Kong-seated ICC arbitration against a Korean buyer (in which Pacifica had recovered approximately $8.2M).</w:t>
      </w:r>
    </w:p>
    <w:p>
      <w:pPr>
        <w:pStyle w:val="BodyText"/>
      </w:pPr>
      <w:r>
        <w:rPr>
          <w:b/>
          <w:bCs/>
        </w:rPr>
        <w:t xml:space="preserve">Recommendation:</w:t>
      </w:r>
      <w:r>
        <w:t xml:space="preserve"> </w:t>
      </w:r>
      <w:r>
        <w:t xml:space="preserve">Replace all three hierarchy clauses with a single, unified conflict-priority provision, identically worded in each document, that (a) establishes a clear order of precedence and (b) expressly addresses which dispute-resolution regime governs multi-document disputes (see C4, H4). The unified clause should be drafted to eliminate any basis for a competence challenge.</w:t>
      </w:r>
    </w:p>
    <w:bookmarkEnd w:id="26"/>
    <w:bookmarkStart w:id="27" w:name="X4dc3bbb2e5f9639ef9fabec6077c985ae608bc6"/>
    <w:p>
      <w:pPr>
        <w:pStyle w:val="Heading3"/>
      </w:pPr>
      <w:r>
        <w:t xml:space="preserve">C4. Direct conflict between the IPLA consolidation clause and the SA arbitration clause — pathological-clause risk</w:t>
      </w:r>
    </w:p>
    <w:p>
      <w:pPr>
        <w:pStyle w:val="FirstParagraph"/>
      </w:pPr>
      <w:r>
        <w:rPr>
          <w:b/>
          <w:bCs/>
        </w:rPr>
        <w:t xml:space="preserve">Severity: Critical</w:t>
      </w:r>
    </w:p>
    <w:p>
      <w:pPr>
        <w:pStyle w:val="BodyText"/>
      </w:pPr>
      <w:r>
        <w:rPr>
          <w:b/>
          <w:bCs/>
        </w:rPr>
        <w:t xml:space="preserve">Provision(s):</w:t>
      </w:r>
      <w:r>
        <w:t xml:space="preserve"> </w:t>
      </w:r>
      <w:r>
        <w:t xml:space="preserve">IPLA § 9.3; SA § 14.1; SA § 15.8; IPLA § 10.3.</w:t>
      </w:r>
    </w:p>
    <w:p>
      <w:pPr>
        <w:pStyle w:val="BodyText"/>
      </w:pPr>
      <w:r>
        <w:rPr>
          <w:b/>
          <w:bCs/>
        </w:rPr>
        <w:t xml:space="preserve">Issue:</w:t>
      </w:r>
      <w:r>
        <w:t xml:space="preserve"> </w:t>
      </w:r>
      <w:r>
        <w:t xml:space="preserve">IPLA § 9.3 provides that</w:t>
      </w:r>
      <w:r>
        <w:t xml:space="preserve"> </w:t>
      </w:r>
      <w:r>
        <w:t xml:space="preserve">“</w:t>
      </w:r>
      <w:r>
        <w:t xml:space="preserve">claims arising under this Agreement that also relate to obligations under the Supply Agreement shall be heard jointly in a single arbitration proceeding under this Section 9</w:t>
      </w:r>
      <w:r>
        <w:t xml:space="preserve">”</w:t>
      </w:r>
      <w:r>
        <w:t xml:space="preserve"> </w:t>
      </w:r>
      <w:r>
        <w:t xml:space="preserve">— i.e., under the LCIA, in London, under English law. SA § 14.1, however, provides that any dispute</w:t>
      </w:r>
      <w:r>
        <w:t xml:space="preserve"> </w:t>
      </w:r>
      <w:r>
        <w:t xml:space="preserve">“</w:t>
      </w:r>
      <w:r>
        <w:t xml:space="preserve">arising out of or relating to</w:t>
      </w:r>
      <w:r>
        <w:t xml:space="preserve">”</w:t>
      </w:r>
      <w:r>
        <w:t xml:space="preserve"> </w:t>
      </w:r>
      <w:r>
        <w:t xml:space="preserve">the SA</w:t>
      </w:r>
      <w:r>
        <w:t xml:space="preserve"> </w:t>
      </w:r>
      <w:r>
        <w:t xml:space="preserve">“</w:t>
      </w:r>
      <w:r>
        <w:t xml:space="preserve">shall be finally resolved by arbitration administered by the [ICC]</w:t>
      </w:r>
      <w:r>
        <w:t xml:space="preserve">”</w:t>
      </w:r>
      <w:r>
        <w:t xml:space="preserve"> </w:t>
      </w:r>
      <w:r>
        <w:t xml:space="preserve">(Singapore seat, New York law).</w:t>
      </w:r>
    </w:p>
    <w:p>
      <w:pPr>
        <w:pStyle w:val="BodyText"/>
      </w:pPr>
      <w:r>
        <w:rPr>
          <w:b/>
          <w:bCs/>
        </w:rPr>
        <w:t xml:space="preserve">Analysis:</w:t>
      </w:r>
      <w:r>
        <w:t xml:space="preserve"> </w:t>
      </w:r>
      <w:r>
        <w:t xml:space="preserve">These two clauses directly conflict. A dispute that arises under the IPLA and also relates to SA obligations is simultaneously directed to LCIA arbitration in London (by the IPLA) and to ICC arbitration in Singapore (by the SA). Neither the ICC nor the LCIA Rules permit a tribunal to consolidate proceedings across two different institutions without party consent, so the IPLA’s unilateral consolidation directive is likely unenforceable as a practical matter. The conflict-priority clauses (C3) do not cleanly resolve it: the SA says it controls, but the IPLA says it controls for matters it</w:t>
      </w:r>
      <w:r>
        <w:t xml:space="preserve"> </w:t>
      </w:r>
      <w:r>
        <w:t xml:space="preserve">“</w:t>
      </w:r>
      <w:r>
        <w:t xml:space="preserve">exclusively</w:t>
      </w:r>
      <w:r>
        <w:t xml:space="preserve">”</w:t>
      </w:r>
      <w:r>
        <w:t xml:space="preserve"> </w:t>
      </w:r>
      <w:r>
        <w:t xml:space="preserve">addresses, and § 9.3 is an IPLA provision. This is a textbook pathological clause and, given Pacifica’s own 2023 experience with a pathological-clause challenge, presents a serious enforceability risk.</w:t>
      </w:r>
    </w:p>
    <w:p>
      <w:pPr>
        <w:pStyle w:val="BodyText"/>
      </w:pPr>
      <w:r>
        <w:rPr>
          <w:b/>
          <w:bCs/>
        </w:rPr>
        <w:t xml:space="preserve">Recommendation:</w:t>
      </w:r>
      <w:r>
        <w:t xml:space="preserve"> </w:t>
      </w:r>
      <w:r>
        <w:t xml:space="preserve">Delete IPLA § 9.3 in its current form and replace it with a cross-document consolidation/joinder provision that is consistent with whatever single-institution architecture is adopted under C1. If a single institution is adopted, consolidation becomes straightforward under that institution’s rules (e.g., ICC Rules Article 10; SIAC Rules on joinder/consolidation). If three institutions are retained, no unilateral consolidation clause can reliably work, and the provision should be removed rather than left as a trap.</w:t>
      </w:r>
    </w:p>
    <w:bookmarkEnd w:id="27"/>
    <w:bookmarkStart w:id="28" w:name="X84ffdd9f75385cfc17f5877dee60fc2ff53dd00"/>
    <w:p>
      <w:pPr>
        <w:pStyle w:val="Heading3"/>
      </w:pPr>
      <w:r>
        <w:t xml:space="preserve">C5. No joinder or consolidation mechanism for non-signatory co-manufacturers</w:t>
      </w:r>
    </w:p>
    <w:p>
      <w:pPr>
        <w:pStyle w:val="FirstParagraph"/>
      </w:pPr>
      <w:r>
        <w:rPr>
          <w:b/>
          <w:bCs/>
        </w:rPr>
        <w:t xml:space="preserve">Severity: Critical</w:t>
      </w:r>
    </w:p>
    <w:p>
      <w:pPr>
        <w:pStyle w:val="BodyText"/>
      </w:pPr>
      <w:r>
        <w:rPr>
          <w:b/>
          <w:bCs/>
        </w:rPr>
        <w:t xml:space="preserve">Provision(s):</w:t>
      </w:r>
      <w:r>
        <w:t xml:space="preserve"> </w:t>
      </w:r>
      <w:r>
        <w:t xml:space="preserve">SA § 14.1; QA Side Letter § 7; IPLA § 9 (none contain a joinder provision); Greenleaf Emails (Matsuda Priority 2; Heller; Park).</w:t>
      </w:r>
    </w:p>
    <w:p>
      <w:pPr>
        <w:pStyle w:val="BodyText"/>
      </w:pPr>
      <w:r>
        <w:rPr>
          <w:b/>
          <w:bCs/>
        </w:rPr>
        <w:t xml:space="preserve">Issue:</w:t>
      </w:r>
      <w:r>
        <w:t xml:space="preserve"> </w:t>
      </w:r>
      <w:r>
        <w:t xml:space="preserve">None of the three arbitration clauses contains any mechanism for the joinder of non-signatories or third parties. Greenleaf’s U.S.-based co-manufacturers — who blend, encapsulate, and package finished supplements using Pacifica’s extracts — are not parties to the SA, the QA Side Letter, or the IPLA. A new co-manufacturer is expected to come online in Q1 2026 (Heller email).</w:t>
      </w:r>
    </w:p>
    <w:p>
      <w:pPr>
        <w:pStyle w:val="BodyText"/>
      </w:pPr>
      <w:r>
        <w:rPr>
          <w:b/>
          <w:bCs/>
        </w:rPr>
        <w:t xml:space="preserve">Analysis:</w:t>
      </w:r>
      <w:r>
        <w:t xml:space="preserve"> </w:t>
      </w:r>
      <w:r>
        <w:t xml:space="preserve">This is Greenleaf’s most operationally acute concern and is documented in detail in the Greenleaf Emails. The practical consequence: if a defective batch of Pacifica extract is processed by a co-manufacturer into finished product before the defect is caught, Greenleaf must bring claims against both Pacifica (as supplier) and the co-manufacturer (for failure to detect or contribution). With no joinder mechanism, Greenleaf would be forced to arbitrate against Pacifica (ICC/Singapore or SIAC/Singapore or LCIA/London, depending on characterization) while simultaneously litigating against the co-manufacturer in U.S. court. The co-manufacturing arrangements are governed by standard purchase orders with North Carolina choice-of-law and forum-selection clauses for North Carolina state court (Heller email), so the parallel forum is Mecklenburg County Superior Court. This produces duplicative evidence-gathering, inconsistent factual findings (e.g., one tribunal finding the extract defective while a court finds the co-man’s process at fault), and materially increased cost. Under the ICC Rules, joinder of a non-signatory requires the non-signatory’s consent, which co-manufacturers have no incentive to give.</w:t>
      </w:r>
    </w:p>
    <w:p>
      <w:pPr>
        <w:pStyle w:val="BodyText"/>
      </w:pPr>
      <w:r>
        <w:rPr>
          <w:b/>
          <w:bCs/>
        </w:rPr>
        <w:t xml:space="preserve">Recommendation:</w:t>
      </w:r>
      <w:r>
        <w:t xml:space="preserve"> </w:t>
      </w:r>
      <w:r>
        <w:t xml:space="preserve">Negotiate one or both of the following: (a) a contractual consent-to-joinder provision by which each Party agrees that specified categories of non-signatories (Affiliates and contracted co-manufacturers) may be joined to the arbitration, with reciprocal obligations on Greenleaf to include compatible arbitration clauses in its co-manufacturing agreements going forward (same institution, same seat); or (b) a carve-out permitting quality disputes that necessarily involve non-signatory third parties to be litigated in a specified U.S. court (e.g., state or federal court in North Carolina) rather than arbitrated. Greenleaf should also, as a separate contractual matter, require its co-manufacturers to adopt arbitration clauses compatible with the harmonized forum adopted under C1.</w:t>
      </w:r>
    </w:p>
    <w:bookmarkEnd w:id="28"/>
    <w:bookmarkStart w:id="29" w:name="X12b72ef604783b083341a614d7b221ca4753845"/>
    <w:p>
      <w:pPr>
        <w:pStyle w:val="Heading3"/>
      </w:pPr>
      <w:r>
        <w:t xml:space="preserve">C6. Consequential damages waiver (SA § 14.11), combined with exclusivity and the recall cross-reference, eviscerates recovery on Greenleaf’s most likely high-stakes claim</w:t>
      </w:r>
    </w:p>
    <w:p>
      <w:pPr>
        <w:pStyle w:val="FirstParagraph"/>
      </w:pPr>
      <w:r>
        <w:rPr>
          <w:b/>
          <w:bCs/>
        </w:rPr>
        <w:t xml:space="preserve">Severity: Critical</w:t>
      </w:r>
    </w:p>
    <w:p>
      <w:pPr>
        <w:pStyle w:val="BodyText"/>
      </w:pPr>
      <w:r>
        <w:rPr>
          <w:b/>
          <w:bCs/>
        </w:rPr>
        <w:t xml:space="preserve">Provision(s):</w:t>
      </w:r>
      <w:r>
        <w:t xml:space="preserve"> </w:t>
      </w:r>
      <w:r>
        <w:t xml:space="preserve">SA § 14.11; SA § 11.1 (liability cap); QA Side Letter § 6.6; SA § 2.1 (exclusivity); Greenleaf Emails (Park, Heller, Matsuda Priority 1).</w:t>
      </w:r>
    </w:p>
    <w:p>
      <w:pPr>
        <w:pStyle w:val="BodyText"/>
      </w:pPr>
      <w:r>
        <w:rPr>
          <w:b/>
          <w:bCs/>
        </w:rPr>
        <w:t xml:space="preserve">Issue:</w:t>
      </w:r>
      <w:r>
        <w:t xml:space="preserve"> </w:t>
      </w:r>
      <w:r>
        <w:t xml:space="preserve">SA § 14.11 provides that</w:t>
      </w:r>
      <w:r>
        <w:t xml:space="preserve"> </w:t>
      </w:r>
      <w:r>
        <w:t xml:space="preserve">“</w:t>
      </w:r>
      <w:r>
        <w:t xml:space="preserve">the arbitral tribunal shall not have the authority to award punitive, exemplary, or consequential damages.</w:t>
      </w:r>
      <w:r>
        <w:t xml:space="preserve">”</w:t>
      </w:r>
      <w:r>
        <w:t xml:space="preserve"> </w:t>
      </w:r>
      <w:r>
        <w:t xml:space="preserve">QA Side Letter § 6.6 expressly confirms that this bar reaches recall disputes: it states that nothing in the recall cost-allocation section limits Greenleaf’s rights to consequential damages</w:t>
      </w:r>
      <w:r>
        <w:t xml:space="preserve"> </w:t>
      </w:r>
      <w:r>
        <w:t xml:space="preserve">“</w:t>
      </w:r>
      <w:r>
        <w:t xml:space="preserve">except to the extent expressly limited by the dispute resolution provisions of Article 14 of the Supply Agreement</w:t>
      </w:r>
      <w:r>
        <w:t xml:space="preserve">”</w:t>
      </w:r>
      <w:r>
        <w:t xml:space="preserve"> </w:t>
      </w:r>
      <w:r>
        <w:t xml:space="preserve">— i.e., except to the extent barred by SA § 14.11.</w:t>
      </w:r>
    </w:p>
    <w:p>
      <w:pPr>
        <w:pStyle w:val="BodyText"/>
      </w:pPr>
      <w:r>
        <w:rPr>
          <w:b/>
          <w:bCs/>
        </w:rPr>
        <w:t xml:space="preserve">Analysis:</w:t>
      </w:r>
      <w:r>
        <w:t xml:space="preserve"> </w:t>
      </w:r>
      <w:r>
        <w:t xml:space="preserve">This is the single highest-priority concern in the Greenleaf Emails and is rated Critical here. The combination of three features makes the waiver commercially dangerous: (1)</w:t>
      </w:r>
      <w:r>
        <w:t xml:space="preserve"> </w:t>
      </w:r>
      <w:r>
        <w:rPr>
          <w:b/>
          <w:bCs/>
        </w:rPr>
        <w:t xml:space="preserve">Exclusivity</w:t>
      </w:r>
      <w:r>
        <w:t xml:space="preserve"> </w:t>
      </w:r>
      <w:r>
        <w:t xml:space="preserve">— because the SA is exclusive (SA § 2.1), Greenleaf has no backup supplier, so a supply disruption or defective ingredient cannot be mitigated by switching sources, and the consequential losses are amplified; (2)</w:t>
      </w:r>
      <w:r>
        <w:t xml:space="preserve"> </w:t>
      </w:r>
      <w:r>
        <w:rPr>
          <w:b/>
          <w:bCs/>
        </w:rPr>
        <w:t xml:space="preserve">The recall scenario is the most likely high-stakes dispute</w:t>
      </w:r>
      <w:r>
        <w:t xml:space="preserve"> </w:t>
      </w:r>
      <w:r>
        <w:t xml:space="preserve">— Heller identifies contaminated/off-spec extracts triggering an FDA recall as the most probable serious dispute; (3)</w:t>
      </w:r>
      <w:r>
        <w:t xml:space="preserve"> </w:t>
      </w:r>
      <w:r>
        <w:rPr>
          <w:b/>
          <w:bCs/>
        </w:rPr>
        <w:t xml:space="preserve">The real losses in a recall are consequential</w:t>
      </w:r>
      <w:r>
        <w:t xml:space="preserve"> </w:t>
      </w:r>
      <w:r>
        <w:t xml:space="preserve">— per Ridgeway’s documented portfolio-company example, a defective-ingredient recall produced approximately $1.8M in direct damages but over $14M in consequential damages (lost revenue from pulled SKUs, retailer penalties, crisis PR, consumer refunds, business interruption, replacement sourcing). Under a blanket consequential damages waiver, Greenleaf would recover less than 12 cents on the dollar in that scenario. The SA’s liability cap (§ 11.1: 12 months of amounts paid) further compresses recovery to roughly one year’s purchases ($22–28M), and only direct damages at that. Over the full 13-year horizon (through July 31, 2038, per Heller), Greenleaf will have built entire product lines around Pacifica’s extracts, making the waiver increasingly one-sided over time. Heller states plainly that this is</w:t>
      </w:r>
      <w:r>
        <w:t xml:space="preserve"> </w:t>
      </w:r>
      <w:r>
        <w:t xml:space="preserve">“</w:t>
      </w:r>
      <w:r>
        <w:t xml:space="preserve">a hill we’re willing to die on.</w:t>
      </w:r>
      <w:r>
        <w:t xml:space="preserve">”</w:t>
      </w:r>
    </w:p>
    <w:p>
      <w:pPr>
        <w:pStyle w:val="BodyText"/>
      </w:pPr>
      <w:r>
        <w:rPr>
          <w:b/>
          <w:bCs/>
        </w:rPr>
        <w:t xml:space="preserve">Recommendation:</w:t>
      </w:r>
      <w:r>
        <w:t xml:space="preserve"> </w:t>
      </w:r>
      <w:r>
        <w:t xml:space="preserve">Restructure SA § 14.11 to carve out from the waiver, at minimum: (i) recall-related costs and losses; (ii) lost profits directly attributable to supply failure or defective Product; and (iii) third-party claims against Greenleaf arising from defective ingredients. Greenleaf has indicated it is willing to waive punitive damages. Alternatively, replace the blanket waiver with a damages cap calibrated to the value of the relationship (e.g., a multiple of annual minimum commitments) rather than a complete exclusion of consequential damages. The QA Side Letter § 6.6 cross-reference must be conformed to whatever revised damages regime is adopted.</w:t>
      </w:r>
    </w:p>
    <w:bookmarkEnd w:id="29"/>
    <w:bookmarkStart w:id="30" w:name="Xb9faf751b75477a469fe4086111cec301d1df2b"/>
    <w:p>
      <w:pPr>
        <w:pStyle w:val="Heading3"/>
      </w:pPr>
      <w:r>
        <w:t xml:space="preserve">C7. Blanket discovery prohibition (SA § 14.5) bars access to the evidence Greenleaf needs to prove quality claims</w:t>
      </w:r>
    </w:p>
    <w:p>
      <w:pPr>
        <w:pStyle w:val="FirstParagraph"/>
      </w:pPr>
      <w:r>
        <w:rPr>
          <w:b/>
          <w:bCs/>
        </w:rPr>
        <w:t xml:space="preserve">Severity: Critical</w:t>
      </w:r>
    </w:p>
    <w:p>
      <w:pPr>
        <w:pStyle w:val="BodyText"/>
      </w:pPr>
      <w:r>
        <w:rPr>
          <w:b/>
          <w:bCs/>
        </w:rPr>
        <w:t xml:space="preserve">Provision(s):</w:t>
      </w:r>
      <w:r>
        <w:t xml:space="preserve"> </w:t>
      </w:r>
      <w:r>
        <w:t xml:space="preserve">SA § 14.5; HG Memo Part III.C; Greenleaf Emails (Matsuda).</w:t>
      </w:r>
    </w:p>
    <w:p>
      <w:pPr>
        <w:pStyle w:val="BodyText"/>
      </w:pPr>
      <w:r>
        <w:rPr>
          <w:b/>
          <w:bCs/>
        </w:rPr>
        <w:t xml:space="preserve">Issue:</w:t>
      </w:r>
      <w:r>
        <w:t xml:space="preserve"> </w:t>
      </w:r>
      <w:r>
        <w:t xml:space="preserve">SA § 14.5 provides that</w:t>
      </w:r>
      <w:r>
        <w:t xml:space="preserve"> </w:t>
      </w:r>
      <w:r>
        <w:t xml:space="preserve">“</w:t>
      </w:r>
      <w:r>
        <w:t xml:space="preserve">[n]o discovery shall be permitted in the arbitration. Each party shall have the right to present documentary evidence and witness testimony at the hearing.</w:t>
      </w:r>
      <w:r>
        <w:t xml:space="preserve">”</w:t>
      </w:r>
      <w:r>
        <w:t xml:space="preserve"> </w:t>
      </w:r>
      <w:r>
        <w:t xml:space="preserve">The HG Memo glosses this as barring</w:t>
      </w:r>
      <w:r>
        <w:t xml:space="preserve"> </w:t>
      </w:r>
      <w:r>
        <w:t xml:space="preserve">“</w:t>
      </w:r>
      <w:r>
        <w:t xml:space="preserve">pre-hearing discovery, disclosure, or document production of any kind… ordered by the tribunal or requested by the parties.</w:t>
      </w:r>
      <w:r>
        <w:t xml:space="preserve">”</w:t>
      </w:r>
    </w:p>
    <w:p>
      <w:pPr>
        <w:pStyle w:val="BodyText"/>
      </w:pPr>
      <w:r>
        <w:rPr>
          <w:b/>
          <w:bCs/>
        </w:rPr>
        <w:t xml:space="preserve">Analysis:</w:t>
      </w:r>
      <w:r>
        <w:t xml:space="preserve"> </w:t>
      </w:r>
      <w:r>
        <w:t xml:space="preserve">In a quality, contamination, or adulteration dispute, the decisive evidence — Pacifica’s manufacturing records, batch testing data, Certificates of Analysis, out-of-specification investigations, and reserve-sample results — is almost entirely in Pacifica’s possession and control. A blanket</w:t>
      </w:r>
      <w:r>
        <w:t xml:space="preserve"> </w:t>
      </w:r>
      <w:r>
        <w:t xml:space="preserve">“</w:t>
      </w:r>
      <w:r>
        <w:t xml:space="preserve">no discovery</w:t>
      </w:r>
      <w:r>
        <w:t xml:space="preserve">”</w:t>
      </w:r>
      <w:r>
        <w:t xml:space="preserve"> </w:t>
      </w:r>
      <w:r>
        <w:t xml:space="preserve">bar, read as the HG Memo reads it, would prevent Greenleaf from obtaining compelled production of that evidence and would cripple its ability to prove causation and defect. The clause is also ambiguous:</w:t>
      </w:r>
      <w:r>
        <w:t xml:space="preserve"> </w:t>
      </w:r>
      <w:r>
        <w:t xml:space="preserve">“</w:t>
      </w:r>
      <w:r>
        <w:t xml:space="preserve">no discovery</w:t>
      </w:r>
      <w:r>
        <w:t xml:space="preserve">”</w:t>
      </w:r>
      <w:r>
        <w:t xml:space="preserve"> </w:t>
      </w:r>
      <w:r>
        <w:t xml:space="preserve">could be read to bar all compelled document production (the HG Memo’s reading) or only U.S.-style broad discovery (a narrower reading). That ambiguity is itself a risk. The provision is asymmetric — it protects Pacifica’s trade secrets (the HG Memo’s stated rationale) but leaves Greenleaf unable to access the records needed to substantiate the very claims it is most likely to bring. Notably, the HG Memo’s own rationale undercuts the provision it defends: the HG Memo (Part III.C) invokes the IBA Rules on the Taking of Evidence as the</w:t>
      </w:r>
      <w:r>
        <w:t xml:space="preserve"> </w:t>
      </w:r>
      <w:r>
        <w:t xml:space="preserve">“</w:t>
      </w:r>
      <w:r>
        <w:t xml:space="preserve">international consensus</w:t>
      </w:r>
      <w:r>
        <w:t xml:space="preserve">”</w:t>
      </w:r>
      <w:r>
        <w:t xml:space="preserve"> </w:t>
      </w:r>
      <w:r>
        <w:t xml:space="preserve">that document production</w:t>
      </w:r>
      <w:r>
        <w:t xml:space="preserve"> </w:t>
      </w:r>
      <w:r>
        <w:t xml:space="preserve">“</w:t>
      </w:r>
      <w:r>
        <w:t xml:space="preserve">should be limited and targeted, rather than open-ended</w:t>
      </w:r>
      <w:r>
        <w:t xml:space="preserve">”</w:t>
      </w:r>
      <w:r>
        <w:t xml:space="preserve"> </w:t>
      </w:r>
      <w:r>
        <w:t xml:space="preserve">— but the IBA Rules</w:t>
      </w:r>
      <w:r>
        <w:t xml:space="preserve"> </w:t>
      </w:r>
      <w:r>
        <w:rPr>
          <w:i/>
          <w:iCs/>
        </w:rPr>
        <w:t xml:space="preserve">permit</w:t>
      </w:r>
      <w:r>
        <w:t xml:space="preserve"> </w:t>
      </w:r>
      <w:r>
        <w:t xml:space="preserve">limited, targeted document production, whereas SA § 14.5 bars production of</w:t>
      </w:r>
      <w:r>
        <w:t xml:space="preserve"> </w:t>
      </w:r>
      <w:r>
        <w:rPr>
          <w:i/>
          <w:iCs/>
        </w:rPr>
        <w:t xml:space="preserve">any</w:t>
      </w:r>
      <w:r>
        <w:t xml:space="preserve"> </w:t>
      </w:r>
      <w:r>
        <w:t xml:space="preserve">kind. The clause is therefore more restrictive than the very standard the HG Memo cites to justify it. Note also that the discovery bar’s reach is forum-dependent: if a quality dispute is routed to SIAC under the QA Side Letter (see H4), the SIAC Rules permit document production, so the bar’s application is itself uncertain.</w:t>
      </w:r>
    </w:p>
    <w:p>
      <w:pPr>
        <w:pStyle w:val="BodyText"/>
      </w:pPr>
      <w:r>
        <w:rPr>
          <w:b/>
          <w:bCs/>
        </w:rPr>
        <w:t xml:space="preserve">Recommendation:</w:t>
      </w:r>
      <w:r>
        <w:t xml:space="preserve"> </w:t>
      </w:r>
      <w:r>
        <w:t xml:space="preserve">Replace the blanket prohibition with a limited, targeted document-production protocol. The IBA Rules on the Taking of Evidence in International Arbitration are the international standard and provide a workable framework: each party produces a limited category of documents on request, with specific document requests (the</w:t>
      </w:r>
      <w:r>
        <w:t xml:space="preserve"> </w:t>
      </w:r>
      <w:r>
        <w:t xml:space="preserve">“</w:t>
      </w:r>
      <w:r>
        <w:t xml:space="preserve">Redfern Schedule</w:t>
      </w:r>
      <w:r>
        <w:t xml:space="preserve">”</w:t>
      </w:r>
      <w:r>
        <w:t xml:space="preserve"> </w:t>
      </w:r>
      <w:r>
        <w:t xml:space="preserve">model), subject to objections for privilege, confidentiality, and proportionality. Pair this with a robust confidentiality/protective-order regime (including restricted-access treatment for trade secrets) to address Pacifica’s legitimate confidentiality concerns. Delete the HG Memo’s</w:t>
      </w:r>
      <w:r>
        <w:t xml:space="preserve"> </w:t>
      </w:r>
      <w:r>
        <w:t xml:space="preserve">“</w:t>
      </w:r>
      <w:r>
        <w:t xml:space="preserve">document production of any kind</w:t>
      </w:r>
      <w:r>
        <w:t xml:space="preserve">”</w:t>
      </w:r>
      <w:r>
        <w:t xml:space="preserve"> </w:t>
      </w:r>
      <w:r>
        <w:t xml:space="preserve">gloss from any recitals or explanatory materials.</w:t>
      </w:r>
    </w:p>
    <w:bookmarkEnd w:id="30"/>
    <w:bookmarkEnd w:id="31"/>
    <w:bookmarkStart w:id="39" w:name="v.-high-issues"/>
    <w:p>
      <w:pPr>
        <w:pStyle w:val="Heading2"/>
      </w:pPr>
      <w:r>
        <w:t xml:space="preserve">V. High Issues</w:t>
      </w:r>
    </w:p>
    <w:bookmarkStart w:id="32" w:name="Xece86ef82e261ddc855bd0a86eecbdfb71fcdd3"/>
    <w:p>
      <w:pPr>
        <w:pStyle w:val="Heading3"/>
      </w:pPr>
      <w:r>
        <w:t xml:space="preserve">H1. Contractual appeal on questions of law to the Singapore High Court (SA § 14.6) is likely unenforceable and creates pathological-clause risk</w:t>
      </w:r>
    </w:p>
    <w:p>
      <w:pPr>
        <w:pStyle w:val="FirstParagraph"/>
      </w:pPr>
      <w:r>
        <w:rPr>
          <w:b/>
          <w:bCs/>
        </w:rPr>
        <w:t xml:space="preserve">Severity: High</w:t>
      </w:r>
    </w:p>
    <w:p>
      <w:pPr>
        <w:pStyle w:val="BodyText"/>
      </w:pPr>
      <w:r>
        <w:rPr>
          <w:b/>
          <w:bCs/>
        </w:rPr>
        <w:t xml:space="preserve">Provision(s):</w:t>
      </w:r>
      <w:r>
        <w:t xml:space="preserve"> </w:t>
      </w:r>
      <w:r>
        <w:t xml:space="preserve">SA § 14.6; HG Memo Part III.B; SA § 14.2 (seat).</w:t>
      </w:r>
    </w:p>
    <w:p>
      <w:pPr>
        <w:pStyle w:val="BodyText"/>
      </w:pPr>
      <w:r>
        <w:rPr>
          <w:b/>
          <w:bCs/>
        </w:rPr>
        <w:t xml:space="preserve">Issue:</w:t>
      </w:r>
      <w:r>
        <w:t xml:space="preserve"> </w:t>
      </w:r>
      <w:r>
        <w:t xml:space="preserve">SA § 14.6 provides that the award is final and binding, but</w:t>
      </w:r>
      <w:r>
        <w:t xml:space="preserve"> </w:t>
      </w:r>
      <w:r>
        <w:t xml:space="preserve">“</w:t>
      </w:r>
      <w:r>
        <w:t xml:space="preserve">either party may appeal the award on questions of law to the High Court of Singapore.</w:t>
      </w:r>
      <w:r>
        <w:t xml:space="preserve">”</w:t>
      </w:r>
      <w:r>
        <w:t xml:space="preserve"> </w:t>
      </w:r>
      <w:r>
        <w:t xml:space="preserve">The HG Memo states this was</w:t>
      </w:r>
      <w:r>
        <w:t xml:space="preserve"> </w:t>
      </w:r>
      <w:r>
        <w:t xml:space="preserve">“</w:t>
      </w:r>
      <w:r>
        <w:t xml:space="preserve">modeled on the approach under the English Arbitration Act 1996, specifically Section 69.</w:t>
      </w:r>
      <w:r>
        <w:t xml:space="preserve">”</w:t>
      </w:r>
    </w:p>
    <w:p>
      <w:pPr>
        <w:pStyle w:val="BodyText"/>
      </w:pPr>
      <w:r>
        <w:rPr>
          <w:b/>
          <w:bCs/>
        </w:rPr>
        <w:t xml:space="preserve">Analysis:</w:t>
      </w:r>
      <w:r>
        <w:t xml:space="preserve"> </w:t>
      </w:r>
      <w:r>
        <w:t xml:space="preserve">This provision is likely ineffective and potentially counterproductive. Section 69 of the English Arbitration Act 1996 creates a statutory right to appeal arbitral awards on questions of law</w:t>
      </w:r>
      <w:r>
        <w:t xml:space="preserve"> </w:t>
      </w:r>
      <w:r>
        <w:rPr>
          <w:i/>
          <w:iCs/>
        </w:rPr>
        <w:t xml:space="preserve">to the English courts</w:t>
      </w:r>
      <w:r>
        <w:t xml:space="preserve"> </w:t>
      </w:r>
      <w:r>
        <w:t xml:space="preserve">— but only because English curial law so provides, and only where the seat is England. The SA’s seat is Singapore (§ 14.2), not England. Singapore’s international arbitration regime is governed by the International Arbitration Act, Cap. 143A, which incorporates the UNCITRAL Model Law. The Model Law (Article 34) provides only narrow, exhaustive grounds for setting aside an award; there is no general right of appeal on questions of law comparable to English s.69. A contractual clause cannot create appellate jurisdiction that the curial law does not confer. Accordingly, a party invoking § 14.6 would likely find the Singapore High Court has no jurisdiction to hear the</w:t>
      </w:r>
      <w:r>
        <w:t xml:space="preserve"> </w:t>
      </w:r>
      <w:r>
        <w:t xml:space="preserve">“</w:t>
      </w:r>
      <w:r>
        <w:t xml:space="preserve">appeal,</w:t>
      </w:r>
      <w:r>
        <w:t xml:space="preserve">”</w:t>
      </w:r>
      <w:r>
        <w:t xml:space="preserve"> </w:t>
      </w:r>
      <w:r>
        <w:t xml:space="preserve">producing a failed invocation, wasted cost, and — worse — a basis for the losing party to argue the clause is pathological or that the arbitration agreement is internally inconsistent. This is especially ironic given that the HG Memo cites Pacifica’s 2023 pathological-clause experience as the reason for careful drafting, and doubly so because the HG Memo justifies the appeal mechanism with that experience even though the 2023 problem was a</w:t>
      </w:r>
      <w:r>
        <w:t xml:space="preserve"> </w:t>
      </w:r>
      <w:r>
        <w:rPr>
          <w:i/>
          <w:iCs/>
        </w:rPr>
        <w:t xml:space="preserve">pathological clause</w:t>
      </w:r>
      <w:r>
        <w:t xml:space="preserve">, not a</w:t>
      </w:r>
      <w:r>
        <w:t xml:space="preserve"> </w:t>
      </w:r>
      <w:r>
        <w:rPr>
          <w:i/>
          <w:iCs/>
        </w:rPr>
        <w:t xml:space="preserve">lack of appeal rights</w:t>
      </w:r>
      <w:r>
        <w:t xml:space="preserve"> </w:t>
      </w:r>
      <w:r>
        <w:t xml:space="preserve">— the cure for which is clear drafting (C3, C4), not an appeal mechanism that itself creates pathological-clause risk. The provision also undermines the finality the HG Memo says it is trying to preserve, and it is procedurally odd to have a Singapore court reviewing questions of New York substantive law (SA § 14.4).</w:t>
      </w:r>
    </w:p>
    <w:p>
      <w:pPr>
        <w:pStyle w:val="BodyText"/>
      </w:pPr>
      <w:r>
        <w:rPr>
          <w:b/>
          <w:bCs/>
        </w:rPr>
        <w:t xml:space="preserve">Recommendation:</w:t>
      </w:r>
      <w:r>
        <w:t xml:space="preserve"> </w:t>
      </w:r>
      <w:r>
        <w:t xml:space="preserve">Delete SA § 14.6’s appeal-on-questions-of-law mechanism. If the parties genuinely want a limited appellate review right, the only reliable way to obtain one is to seat the arbitration in England (where s.69 applies) — but that conflicts with Pacifica’s Singapore-seat preference and the rest of the architecture. The cleaner solution is to accept Model Law finality (set-aside only on Article 34 grounds) and rely on a well-qualified tribunal to minimize legal error. At minimum, remove the reference to the English Arbitration Act rationale, which does not fit a Singapore seat.</w:t>
      </w:r>
    </w:p>
    <w:bookmarkEnd w:id="32"/>
    <w:bookmarkStart w:id="33" w:name="X28af3bd6dfc2dfdb21e1d426588976bbdef38e5"/>
    <w:p>
      <w:pPr>
        <w:pStyle w:val="Heading3"/>
      </w:pPr>
      <w:r>
        <w:t xml:space="preserve">H2. One-year limitation period (SA § 14.9) is aggressive, internally inconsistent, and at the UCC floor</w:t>
      </w:r>
    </w:p>
    <w:p>
      <w:pPr>
        <w:pStyle w:val="FirstParagraph"/>
      </w:pPr>
      <w:r>
        <w:rPr>
          <w:b/>
          <w:bCs/>
        </w:rPr>
        <w:t xml:space="preserve">Severity: High</w:t>
      </w:r>
    </w:p>
    <w:p>
      <w:pPr>
        <w:pStyle w:val="BodyText"/>
      </w:pPr>
      <w:r>
        <w:rPr>
          <w:b/>
          <w:bCs/>
        </w:rPr>
        <w:t xml:space="preserve">Provision(s):</w:t>
      </w:r>
      <w:r>
        <w:t xml:space="preserve"> </w:t>
      </w:r>
      <w:r>
        <w:t xml:space="preserve">SA § 14.9; SA § 7.3; QA Side Letter § 5.1; Greenleaf Emails (Matsuda).</w:t>
      </w:r>
    </w:p>
    <w:p>
      <w:pPr>
        <w:pStyle w:val="BodyText"/>
      </w:pPr>
      <w:r>
        <w:rPr>
          <w:b/>
          <w:bCs/>
        </w:rPr>
        <w:t xml:space="preserve">Issue:</w:t>
      </w:r>
      <w:r>
        <w:t xml:space="preserve"> </w:t>
      </w:r>
      <w:r>
        <w:t xml:space="preserve">SA § 14.9 imposes a one-year limitation period for commencing arbitration, running</w:t>
      </w:r>
      <w:r>
        <w:t xml:space="preserve"> </w:t>
      </w:r>
      <w:r>
        <w:t xml:space="preserve">“</w:t>
      </w:r>
      <w:r>
        <w:t xml:space="preserve">from the date the claiming party knew or should have known of the facts giving rise to the claim.</w:t>
      </w:r>
      <w:r>
        <w:t xml:space="preserve">”</w:t>
      </w:r>
    </w:p>
    <w:p>
      <w:pPr>
        <w:pStyle w:val="BodyText"/>
      </w:pPr>
      <w:r>
        <w:rPr>
          <w:b/>
          <w:bCs/>
        </w:rPr>
        <w:t xml:space="preserve">Analysis:</w:t>
      </w:r>
      <w:r>
        <w:t xml:space="preserve"> </w:t>
      </w:r>
      <w:r>
        <w:t xml:space="preserve">Three problems. First,</w:t>
      </w:r>
      <w:r>
        <w:t xml:space="preserve"> </w:t>
      </w:r>
      <w:r>
        <w:rPr>
          <w:b/>
          <w:bCs/>
        </w:rPr>
        <w:t xml:space="preserve">enforceability</w:t>
      </w:r>
      <w:r>
        <w:t xml:space="preserve">: for a sale-of-goods claim governed by New York’s UCC, UCC § 2-725 sets a default four-year limitation period that the parties may reduce by agreement</w:t>
      </w:r>
      <w:r>
        <w:t xml:space="preserve"> </w:t>
      </w:r>
      <w:r>
        <w:t xml:space="preserve">“</w:t>
      </w:r>
      <w:r>
        <w:t xml:space="preserve">to not less than one year.</w:t>
      </w:r>
      <w:r>
        <w:t xml:space="preserve">”</w:t>
      </w:r>
      <w:r>
        <w:t xml:space="preserve"> </w:t>
      </w:r>
      <w:r>
        <w:t xml:space="preserve">One year is therefore the statutory floor — technically permissible but aggressively low, and Matsuda has flagged a question as to whether it is enforceable. Second,</w:t>
      </w:r>
      <w:r>
        <w:t xml:space="preserve"> </w:t>
      </w:r>
      <w:r>
        <w:rPr>
          <w:b/>
          <w:bCs/>
        </w:rPr>
        <w:t xml:space="preserve">latent defects</w:t>
      </w:r>
      <w:r>
        <w:t xml:space="preserve">: botanical extract defects (e.g., contamination, adulteration, stability failures) may not manifest until well after delivery, and the</w:t>
      </w:r>
      <w:r>
        <w:t xml:space="preserve"> </w:t>
      </w:r>
      <w:r>
        <w:t xml:space="preserve">“</w:t>
      </w:r>
      <w:r>
        <w:t xml:space="preserve">should have known</w:t>
      </w:r>
      <w:r>
        <w:t xml:space="preserve">”</w:t>
      </w:r>
      <w:r>
        <w:t xml:space="preserve"> </w:t>
      </w:r>
      <w:r>
        <w:t xml:space="preserve">standard invites dispute over when the clock started. Third,</w:t>
      </w:r>
      <w:r>
        <w:t xml:space="preserve"> </w:t>
      </w:r>
      <w:r>
        <w:rPr>
          <w:b/>
          <w:bCs/>
        </w:rPr>
        <w:t xml:space="preserve">internal inconsistency</w:t>
      </w:r>
      <w:r>
        <w:t xml:space="preserve">: the SA itself provides three different latent-defect timelines that do not align with § 14.9 — SA § 7.3 permits latent-defect claims</w:t>
      </w:r>
      <w:r>
        <w:t xml:space="preserve"> </w:t>
      </w:r>
      <w:r>
        <w:t xml:space="preserve">“</w:t>
      </w:r>
      <w:r>
        <w:t xml:space="preserve">within twelve (12) months of the date of delivery,</w:t>
      </w:r>
      <w:r>
        <w:t xml:space="preserve">”</w:t>
      </w:r>
      <w:r>
        <w:t xml:space="preserve"> </w:t>
      </w:r>
      <w:r>
        <w:t xml:space="preserve">while QA Side Letter § 5.1 permits rejection of latent defects</w:t>
      </w:r>
      <w:r>
        <w:t xml:space="preserve"> </w:t>
      </w:r>
      <w:r>
        <w:t xml:space="preserve">“</w:t>
      </w:r>
      <w:r>
        <w:t xml:space="preserve">within thirty (30) calendar days of discovery.</w:t>
      </w:r>
      <w:r>
        <w:t xml:space="preserve">”</w:t>
      </w:r>
      <w:r>
        <w:t xml:space="preserve"> </w:t>
      </w:r>
      <w:r>
        <w:t xml:space="preserve">A latent defect discovered, say, 11 months after delivery could be timely under § 7.3 but the arbitration clock under § 14.9 (one year from knowledge) may run earlier or later depending on when</w:t>
      </w:r>
      <w:r>
        <w:t xml:space="preserve"> </w:t>
      </w:r>
      <w:r>
        <w:t xml:space="preserve">“</w:t>
      </w:r>
      <w:r>
        <w:t xml:space="preserve">knowledge</w:t>
      </w:r>
      <w:r>
        <w:t xml:space="preserve">”</w:t>
      </w:r>
      <w:r>
        <w:t xml:space="preserve"> </w:t>
      </w:r>
      <w:r>
        <w:t xml:space="preserve">is deemed to occur. The interplay is confusing and could trap Greenleaf into losing an otherwise-valid claim.</w:t>
      </w:r>
    </w:p>
    <w:p>
      <w:pPr>
        <w:pStyle w:val="BodyText"/>
      </w:pPr>
      <w:r>
        <w:rPr>
          <w:b/>
          <w:bCs/>
        </w:rPr>
        <w:t xml:space="preserve">Recommendation:</w:t>
      </w:r>
      <w:r>
        <w:t xml:space="preserve"> </w:t>
      </w:r>
      <w:r>
        <w:t xml:space="preserve">Lengthen the limitation period to at least two years (and consider aligning it with the UCC’s four-year default or a negotiated middle ground), and run it consistently from discovery of the facts. Reconcile § 14.9 with SA § 7.3 and QA Side Letter § 5.1 so that the notice/claim period and the arbitration-commencement period operate as a coherent sequence (e.g., notice of latent defect within X days of discovery; arbitration within Y years of discovery). Apply the same limitation regime across all three documents (see M5).</w:t>
      </w:r>
    </w:p>
    <w:bookmarkEnd w:id="33"/>
    <w:bookmarkStart w:id="34" w:name="Xbc4c2f3699e45e39503ccc2f88f65946e092310"/>
    <w:p>
      <w:pPr>
        <w:pStyle w:val="Heading3"/>
      </w:pPr>
      <w:r>
        <w:t xml:space="preserve">H3. Conflicting damages-limitation regimes across the three forums</w:t>
      </w:r>
    </w:p>
    <w:p>
      <w:pPr>
        <w:pStyle w:val="FirstParagraph"/>
      </w:pPr>
      <w:r>
        <w:rPr>
          <w:b/>
          <w:bCs/>
        </w:rPr>
        <w:t xml:space="preserve">Severity: High</w:t>
      </w:r>
    </w:p>
    <w:p>
      <w:pPr>
        <w:pStyle w:val="BodyText"/>
      </w:pPr>
      <w:r>
        <w:rPr>
          <w:b/>
          <w:bCs/>
        </w:rPr>
        <w:t xml:space="preserve">Provision(s):</w:t>
      </w:r>
      <w:r>
        <w:t xml:space="preserve"> </w:t>
      </w:r>
      <w:r>
        <w:t xml:space="preserve">SA § 14.11; QA Side Letter § 7.2; IPLA § 8.3; QA Side Letter § 6.6.</w:t>
      </w:r>
    </w:p>
    <w:p>
      <w:pPr>
        <w:pStyle w:val="BodyText"/>
      </w:pPr>
      <w:r>
        <w:rPr>
          <w:b/>
          <w:bCs/>
        </w:rPr>
        <w:t xml:space="preserve">Issue:</w:t>
      </w:r>
      <w:r>
        <w:t xml:space="preserve"> </w:t>
      </w:r>
      <w:r>
        <w:t xml:space="preserve">The three documents impose different limitations on the tribunal’s remedial authority:</w:t>
      </w:r>
      <w:r>
        <w:t xml:space="preserve"> </w:t>
      </w:r>
      <w:r>
        <w:t xml:space="preserve">-</w:t>
      </w:r>
      <w:r>
        <w:t xml:space="preserve"> </w:t>
      </w:r>
      <w:r>
        <w:rPr>
          <w:b/>
          <w:bCs/>
        </w:rPr>
        <w:t xml:space="preserve">SA § 14.11:</w:t>
      </w:r>
      <w:r>
        <w:t xml:space="preserve"> </w:t>
      </w:r>
      <w:r>
        <w:t xml:space="preserve">the tribunal</w:t>
      </w:r>
      <w:r>
        <w:t xml:space="preserve"> </w:t>
      </w:r>
      <w:r>
        <w:t xml:space="preserve">“</w:t>
      </w:r>
      <w:r>
        <w:t xml:space="preserve">shall not have the authority to award punitive, exemplary, or consequential damages.</w:t>
      </w:r>
      <w:r>
        <w:t xml:space="preserve">”</w:t>
      </w:r>
      <w:r>
        <w:t xml:space="preserve"> </w:t>
      </w:r>
      <w:r>
        <w:t xml:space="preserve">-</w:t>
      </w:r>
      <w:r>
        <w:t xml:space="preserve"> </w:t>
      </w:r>
      <w:r>
        <w:rPr>
          <w:b/>
          <w:bCs/>
        </w:rPr>
        <w:t xml:space="preserve">QA Side Letter § 7.2:</w:t>
      </w:r>
      <w:r>
        <w:t xml:space="preserve"> </w:t>
      </w:r>
      <w:r>
        <w:t xml:space="preserve">the SIAC tribunal</w:t>
      </w:r>
      <w:r>
        <w:t xml:space="preserve"> </w:t>
      </w:r>
      <w:r>
        <w:t xml:space="preserve">“</w:t>
      </w:r>
      <w:r>
        <w:t xml:space="preserve">shall have the authority to award any remedy or relief available under applicable law, including injunctive relief, specific performance, and damages</w:t>
      </w:r>
      <w:r>
        <w:t xml:space="preserve">”</w:t>
      </w:r>
      <w:r>
        <w:t xml:space="preserve"> </w:t>
      </w:r>
      <w:r>
        <w:t xml:space="preserve">— with no exclusion of consequential or punitive damages.</w:t>
      </w:r>
      <w:r>
        <w:t xml:space="preserve"> </w:t>
      </w:r>
      <w:r>
        <w:t xml:space="preserve">-</w:t>
      </w:r>
      <w:r>
        <w:t xml:space="preserve"> </w:t>
      </w:r>
      <w:r>
        <w:rPr>
          <w:b/>
          <w:bCs/>
        </w:rPr>
        <w:t xml:space="preserve">IPLA § 8.3:</w:t>
      </w:r>
      <w:r>
        <w:t xml:space="preserve"> </w:t>
      </w:r>
      <w:r>
        <w:t xml:space="preserve">excludes indirect, incidental, special, consequential, and punitive damages,</w:t>
      </w:r>
      <w:r>
        <w:t xml:space="preserve"> </w:t>
      </w:r>
      <w:r>
        <w:rPr>
          <w:i/>
          <w:iCs/>
        </w:rPr>
        <w:t xml:space="preserve">except</w:t>
      </w:r>
      <w:r>
        <w:t xml:space="preserve"> </w:t>
      </w:r>
      <w:r>
        <w:t xml:space="preserve">for breaches of confidentiality (§ 5) and indemnification obligations.</w:t>
      </w:r>
    </w:p>
    <w:p>
      <w:pPr>
        <w:pStyle w:val="BodyText"/>
      </w:pPr>
      <w:r>
        <w:rPr>
          <w:b/>
          <w:bCs/>
        </w:rPr>
        <w:t xml:space="preserve">Analysis:</w:t>
      </w:r>
      <w:r>
        <w:t xml:space="preserve"> </w:t>
      </w:r>
      <w:r>
        <w:t xml:space="preserve">Whether Greenleaf can recover consequential damages on a given claim depends on which forum hears it. A recall dispute routed to SIAC under the QA Side Letter could, under § 7.2, support a consequential-damages award; the same dispute routed to ICC under the SA could not, because of § 14.11. QA Side Letter § 6.6 attempts to import the SA’s § 14.11 bar into recall disputes, but if the dispute is actually arbitrated under SIAC (QA § 7.2), it is unclear whether the SA’s § 14.11 limitation binds the SIAC tribunal, since the QA Side Letter’s arbitration clause does not expressly incorporate SA § 14.11. The result is a damages-recovery lottery driven by forum characterization — the opposite of the predictability the HG Memo claims to deliver. Note also the asymmetry of exceptions: the IPLA’s damages exclusion (§ 8.3) carves out confidentiality and indemnification breaches, while the SA’s § 14.11 admits no such exceptions.</w:t>
      </w:r>
    </w:p>
    <w:p>
      <w:pPr>
        <w:pStyle w:val="BodyText"/>
      </w:pPr>
      <w:r>
        <w:rPr>
          <w:b/>
          <w:bCs/>
        </w:rPr>
        <w:t xml:space="preserve">Recommendation:</w:t>
      </w:r>
      <w:r>
        <w:t xml:space="preserve"> </w:t>
      </w:r>
      <w:r>
        <w:t xml:space="preserve">Adopt a single, uniform damages-limitation regime across all three documents, drafted to reflect whatever carve-outs are negotiated under C6. If consequential damages are carved out for recall/supply-failure claims, that carve-out (and any cap) should be stated identically in the SA, the QA Side Letter, and the IPLA, and each arbitration clause should expressly incorporate the uniform damages regime so that the tribunal’s authority is the same regardless of forum.</w:t>
      </w:r>
    </w:p>
    <w:bookmarkEnd w:id="34"/>
    <w:bookmarkStart w:id="35" w:name="X477e3ea29ba3ed272b55459649dde12d67d400d"/>
    <w:p>
      <w:pPr>
        <w:pStyle w:val="Heading3"/>
      </w:pPr>
      <w:r>
        <w:t xml:space="preserve">H4. Quality/recall dispute forum is indeterminate (SA/ICC vs. QA Side Letter/SIAC)</w:t>
      </w:r>
    </w:p>
    <w:p>
      <w:pPr>
        <w:pStyle w:val="FirstParagraph"/>
      </w:pPr>
      <w:r>
        <w:rPr>
          <w:b/>
          <w:bCs/>
        </w:rPr>
        <w:t xml:space="preserve">Severity: High</w:t>
      </w:r>
    </w:p>
    <w:p>
      <w:pPr>
        <w:pStyle w:val="BodyText"/>
      </w:pPr>
      <w:r>
        <w:rPr>
          <w:b/>
          <w:bCs/>
        </w:rPr>
        <w:t xml:space="preserve">Provision(s):</w:t>
      </w:r>
      <w:r>
        <w:t xml:space="preserve"> </w:t>
      </w:r>
      <w:r>
        <w:t xml:space="preserve">SA §§ 14.1, 15.8; QA Side Letter §§ 7.1, 8.1.</w:t>
      </w:r>
    </w:p>
    <w:p>
      <w:pPr>
        <w:pStyle w:val="BodyText"/>
      </w:pPr>
      <w:r>
        <w:rPr>
          <w:b/>
          <w:bCs/>
        </w:rPr>
        <w:t xml:space="preserve">Issue:</w:t>
      </w:r>
      <w:r>
        <w:t xml:space="preserve"> </w:t>
      </w:r>
      <w:r>
        <w:t xml:space="preserve">A defective-product or recall dispute is simultaneously an</w:t>
      </w:r>
      <w:r>
        <w:t xml:space="preserve"> </w:t>
      </w:r>
      <w:r>
        <w:t xml:space="preserve">“</w:t>
      </w:r>
      <w:r>
        <w:t xml:space="preserve">SA dispute</w:t>
      </w:r>
      <w:r>
        <w:t xml:space="preserve">”</w:t>
      </w:r>
      <w:r>
        <w:t xml:space="preserve"> </w:t>
      </w:r>
      <w:r>
        <w:t xml:space="preserve">(the SA governs product conformity, inspection, acceptance, and warranties — Articles 3, 7, 9) and a</w:t>
      </w:r>
      <w:r>
        <w:t xml:space="preserve"> </w:t>
      </w:r>
      <w:r>
        <w:t xml:space="preserve">“</w:t>
      </w:r>
      <w:r>
        <w:t xml:space="preserve">QA Side Letter dispute</w:t>
      </w:r>
      <w:r>
        <w:t xml:space="preserve">”</w:t>
      </w:r>
      <w:r>
        <w:t xml:space="preserve"> </w:t>
      </w:r>
      <w:r>
        <w:t xml:space="preserve">(the QA Side Letter governs testing, rejection, and recall). The SA routes such disputes to ICC (§ 14.1); the QA Side Letter routes quality/recall disputes to SIAC expert determination/arbitration (§ 7.1/7.2).</w:t>
      </w:r>
    </w:p>
    <w:p>
      <w:pPr>
        <w:pStyle w:val="BodyText"/>
      </w:pPr>
      <w:r>
        <w:rPr>
          <w:b/>
          <w:bCs/>
        </w:rPr>
        <w:t xml:space="preserve">Analysis:</w:t>
      </w:r>
      <w:r>
        <w:t xml:space="preserve"> </w:t>
      </w:r>
      <w:r>
        <w:t xml:space="preserve">The conflict-priority clauses do not resolve this cleanly. SA § 15.8 says the SA controls in any conflict. QA Side Letter § 8.1 says the SA controls</w:t>
      </w:r>
      <w:r>
        <w:t xml:space="preserve"> </w:t>
      </w:r>
      <w:r>
        <w:rPr>
          <w:i/>
          <w:iCs/>
        </w:rPr>
        <w:t xml:space="preserve">except</w:t>
      </w:r>
      <w:r>
        <w:t xml:space="preserve"> </w:t>
      </w:r>
      <w:r>
        <w:t xml:space="preserve">for</w:t>
      </w:r>
      <w:r>
        <w:t xml:space="preserve"> </w:t>
      </w:r>
      <w:r>
        <w:t xml:space="preserve">“</w:t>
      </w:r>
      <w:r>
        <w:t xml:space="preserve">the dispute resolution mechanism set forth in Section 7,</w:t>
      </w:r>
      <w:r>
        <w:t xml:space="preserve">”</w:t>
      </w:r>
      <w:r>
        <w:t xml:space="preserve"> </w:t>
      </w:r>
      <w:r>
        <w:t xml:space="preserve">where the Side Letter controls. Each party can therefore argue its preferred forum: Pacifica (favoring ICC/New York law, where the consequential damages bar applies) vs. Greenleaf (potentially favoring SIAC/Singapore law, where the broader remedies of § 7.2 apply). The forum choice drives both the governing law and the available remedies (see H3). This indeterminacy is a competence-challenge magnet and, given the recall scenario is the most likely serious dispute, is a high-stakes ambiguity. The expert-determination tier (§ 7.1) sits on top of this as an additional procedural layer that must itself be characterized as either a mandatory first step or an optional track — the clause does not make clear whether a party may bypass expert determination and proceed directly to arbitration.</w:t>
      </w:r>
    </w:p>
    <w:p>
      <w:pPr>
        <w:pStyle w:val="BodyText"/>
      </w:pPr>
      <w:r>
        <w:rPr>
          <w:b/>
          <w:bCs/>
        </w:rPr>
        <w:t xml:space="preserve">Recommendation:</w:t>
      </w:r>
      <w:r>
        <w:t xml:space="preserve"> </w:t>
      </w:r>
      <w:r>
        <w:t xml:space="preserve">Resolve by adopting the single-institution architecture under C1 and a unified hierarchy clause under C3. If a single institution is adopted, quality/recall disputes go to that institution under a single set of rules, and the forum question disappears. If two forums are retained, the hierarchy clause must expressly and unambiguously specify which forum hears quality/recall disputes (and conform the damages regime per H3 so the choice does not alter recovery), and the relationship between the expert-determination tier and arbitration must be made explicit (mandatory first step vs. optional).</w:t>
      </w:r>
    </w:p>
    <w:bookmarkEnd w:id="35"/>
    <w:bookmarkStart w:id="36" w:name="X195e83360b0af0f8fd2388c760f3e33b3caeddf"/>
    <w:p>
      <w:pPr>
        <w:pStyle w:val="Heading3"/>
      </w:pPr>
      <w:r>
        <w:t xml:space="preserve">H5. No interim/emergency relief mechanism in the IPLA or QA Side Letter; the QA Side Letter’s</w:t>
      </w:r>
      <w:r>
        <w:t xml:space="preserve"> </w:t>
      </w:r>
      <w:r>
        <w:t xml:space="preserve">“</w:t>
      </w:r>
      <w:r>
        <w:t xml:space="preserve">exclusive</w:t>
      </w:r>
      <w:r>
        <w:t xml:space="preserve">”</w:t>
      </w:r>
      <w:r>
        <w:t xml:space="preserve"> </w:t>
      </w:r>
      <w:r>
        <w:t xml:space="preserve">expert determination may preclude court interim relief</w:t>
      </w:r>
    </w:p>
    <w:p>
      <w:pPr>
        <w:pStyle w:val="FirstParagraph"/>
      </w:pPr>
      <w:r>
        <w:rPr>
          <w:b/>
          <w:bCs/>
        </w:rPr>
        <w:t xml:space="preserve">Severity: High</w:t>
      </w:r>
    </w:p>
    <w:p>
      <w:pPr>
        <w:pStyle w:val="BodyText"/>
      </w:pPr>
      <w:r>
        <w:rPr>
          <w:b/>
          <w:bCs/>
        </w:rPr>
        <w:t xml:space="preserve">Provision(s):</w:t>
      </w:r>
      <w:r>
        <w:t xml:space="preserve"> </w:t>
      </w:r>
      <w:r>
        <w:t xml:space="preserve">SA § 14.7; IPLA § 9 (no interim relief provision); QA Side Letter § 7.1 (</w:t>
      </w:r>
      <w:r>
        <w:t xml:space="preserve">“</w:t>
      </w:r>
      <w:r>
        <w:t xml:space="preserve">exclusively</w:t>
      </w:r>
      <w:r>
        <w:t xml:space="preserve">”</w:t>
      </w:r>
      <w:r>
        <w:t xml:space="preserve">).</w:t>
      </w:r>
    </w:p>
    <w:p>
      <w:pPr>
        <w:pStyle w:val="BodyText"/>
      </w:pPr>
      <w:r>
        <w:rPr>
          <w:b/>
          <w:bCs/>
        </w:rPr>
        <w:t xml:space="preserve">Issue:</w:t>
      </w:r>
      <w:r>
        <w:t xml:space="preserve"> </w:t>
      </w:r>
      <w:r>
        <w:t xml:space="preserve">SA § 14.7 preserves each party’s right to seek injunctive or equitable relief from</w:t>
      </w:r>
      <w:r>
        <w:t xml:space="preserve"> </w:t>
      </w:r>
      <w:r>
        <w:t xml:space="preserve">“</w:t>
      </w:r>
      <w:r>
        <w:t xml:space="preserve">any court of competent jurisdiction worldwide.</w:t>
      </w:r>
      <w:r>
        <w:t xml:space="preserve">”</w:t>
      </w:r>
      <w:r>
        <w:t xml:space="preserve"> </w:t>
      </w:r>
      <w:r>
        <w:t xml:space="preserve">The IPLA (§ 9) and the QA Side Letter (§ 7) contain no equivalent interim-relief carve-out. The QA Side Letter § 7.1 states that quality disputes</w:t>
      </w:r>
      <w:r>
        <w:t xml:space="preserve"> </w:t>
      </w:r>
      <w:r>
        <w:t xml:space="preserve">“</w:t>
      </w:r>
      <w:r>
        <w:t xml:space="preserve">shall be resolved exclusively by expert determination,</w:t>
      </w:r>
      <w:r>
        <w:t xml:space="preserve">”</w:t>
      </w:r>
      <w:r>
        <w:t xml:space="preserve"> </w:t>
      </w:r>
      <w:r>
        <w:t xml:space="preserve">which could be read to preclude court interim relief.</w:t>
      </w:r>
    </w:p>
    <w:p>
      <w:pPr>
        <w:pStyle w:val="BodyText"/>
      </w:pPr>
      <w:r>
        <w:rPr>
          <w:b/>
          <w:bCs/>
        </w:rPr>
        <w:t xml:space="preserve">Analysis:</w:t>
      </w:r>
      <w:r>
        <w:t xml:space="preserve"> </w:t>
      </w:r>
      <w:r>
        <w:t xml:space="preserve">This is a significant gap. The HG Memo itself acknowledges (Part III.F) that interim relief is</w:t>
      </w:r>
      <w:r>
        <w:t xml:space="preserve"> </w:t>
      </w:r>
      <w:r>
        <w:t xml:space="preserve">“</w:t>
      </w:r>
      <w:r>
        <w:t xml:space="preserve">necessary to ensure that parties can protect their rights in urgent circumstances — for example, misuse of licensed intellectual property or a supply disruption threatening public health or regulatory compliance.</w:t>
      </w:r>
      <w:r>
        <w:t xml:space="preserve">”</w:t>
      </w:r>
      <w:r>
        <w:t xml:space="preserve"> </w:t>
      </w:r>
      <w:r>
        <w:t xml:space="preserve">Yet the IPLA — which governs the very IP whose misuse the HG Memo contemplates — has no interim-relief provision at all. For the QA Side Letter, the</w:t>
      </w:r>
      <w:r>
        <w:t xml:space="preserve"> </w:t>
      </w:r>
      <w:r>
        <w:t xml:space="preserve">“</w:t>
      </w:r>
      <w:r>
        <w:t xml:space="preserve">exclusive</w:t>
      </w:r>
      <w:r>
        <w:t xml:space="preserve">”</w:t>
      </w:r>
      <w:r>
        <w:t xml:space="preserve"> </w:t>
      </w:r>
      <w:r>
        <w:t xml:space="preserve">expert-determination language could be argued to bar Greenleaf from seeking court relief to, e.g., quarantine suspect product, compel a recall, or preserve evidence before the 60-day expert process runs. The absence is asymmetric: the SA protects urgent relief; the other two documents do not.</w:t>
      </w:r>
    </w:p>
    <w:p>
      <w:pPr>
        <w:pStyle w:val="BodyText"/>
      </w:pPr>
      <w:r>
        <w:rPr>
          <w:b/>
          <w:bCs/>
        </w:rPr>
        <w:t xml:space="preserve">Recommendation:</w:t>
      </w:r>
      <w:r>
        <w:t xml:space="preserve"> </w:t>
      </w:r>
      <w:r>
        <w:t xml:space="preserve">Add an interim-relief carve-out to both the IPLA and the QA Side Letter, mirroring SA § 14.7, expressly preserving the right to seek interim/injunctive/equitable relief from a court of competent jurisdiction (or from an emergency arbitrator) notwithstanding the arbitration/expert-determination agreement. Clarify in the QA Side Letter that the</w:t>
      </w:r>
      <w:r>
        <w:t xml:space="preserve"> </w:t>
      </w:r>
      <w:r>
        <w:t xml:space="preserve">“</w:t>
      </w:r>
      <w:r>
        <w:t xml:space="preserve">exclusive</w:t>
      </w:r>
      <w:r>
        <w:t xml:space="preserve">”</w:t>
      </w:r>
      <w:r>
        <w:t xml:space="preserve"> </w:t>
      </w:r>
      <w:r>
        <w:t xml:space="preserve">expert-determination language governs final merits resolution only and does not preclude provisional court relief.</w:t>
      </w:r>
    </w:p>
    <w:bookmarkEnd w:id="36"/>
    <w:bookmarkStart w:id="37" w:name="Xcc3f367d83a1631c854bf9fe43cb6473cfcbd61"/>
    <w:p>
      <w:pPr>
        <w:pStyle w:val="Heading3"/>
      </w:pPr>
      <w:r>
        <w:t xml:space="preserve">H6. Conflicting cost-allocation regimes (loser-pays vs. each-pays-own)</w:t>
      </w:r>
    </w:p>
    <w:p>
      <w:pPr>
        <w:pStyle w:val="FirstParagraph"/>
      </w:pPr>
      <w:r>
        <w:rPr>
          <w:b/>
          <w:bCs/>
        </w:rPr>
        <w:t xml:space="preserve">Severity: High</w:t>
      </w:r>
    </w:p>
    <w:p>
      <w:pPr>
        <w:pStyle w:val="BodyText"/>
      </w:pPr>
      <w:r>
        <w:rPr>
          <w:b/>
          <w:bCs/>
        </w:rPr>
        <w:t xml:space="preserve">Provision(s):</w:t>
      </w:r>
      <w:r>
        <w:t xml:space="preserve"> </w:t>
      </w:r>
      <w:r>
        <w:t xml:space="preserve">SA § 14.8; IPLA § 9.4; QA Side Letter § 7.1.</w:t>
      </w:r>
    </w:p>
    <w:p>
      <w:pPr>
        <w:pStyle w:val="BodyText"/>
      </w:pPr>
      <w:r>
        <w:rPr>
          <w:b/>
          <w:bCs/>
        </w:rPr>
        <w:t xml:space="preserve">Issue:</w:t>
      </w:r>
      <w:r>
        <w:t xml:space="preserve"> </w:t>
      </w:r>
      <w:r>
        <w:t xml:space="preserve">The three documents adopt different cost rules. SA § 14.8:</w:t>
      </w:r>
      <w:r>
        <w:t xml:space="preserve"> </w:t>
      </w:r>
      <w:r>
        <w:t xml:space="preserve">“</w:t>
      </w:r>
      <w:r>
        <w:t xml:space="preserve">the losing party shall bear all costs of the arbitration, including the reasonable attorneys’ fees of the prevailing party</w:t>
      </w:r>
      <w:r>
        <w:t xml:space="preserve">”</w:t>
      </w:r>
      <w:r>
        <w:t xml:space="preserve"> </w:t>
      </w:r>
      <w:r>
        <w:t xml:space="preserve">(loser-pays with fee-shifting). IPLA § 9.4:</w:t>
      </w:r>
      <w:r>
        <w:t xml:space="preserve"> </w:t>
      </w:r>
      <w:r>
        <w:t xml:space="preserve">“</w:t>
      </w:r>
      <w:r>
        <w:t xml:space="preserve">each Party shall bear its own costs and expenses,</w:t>
      </w:r>
      <w:r>
        <w:t xml:space="preserve">”</w:t>
      </w:r>
      <w:r>
        <w:t xml:space="preserve"> </w:t>
      </w:r>
      <w:r>
        <w:t xml:space="preserve">with arbitrator/LCIA costs shared equally unless the tribunal decides otherwise (each-pays-own). QA Side Letter § 7.1: each party bears its own costs, sharing the expert’s and SIAC’s fees equally (each-pays-own).</w:t>
      </w:r>
    </w:p>
    <w:p>
      <w:pPr>
        <w:pStyle w:val="BodyText"/>
      </w:pPr>
      <w:r>
        <w:rPr>
          <w:b/>
          <w:bCs/>
        </w:rPr>
        <w:t xml:space="preserve">Analysis:</w:t>
      </w:r>
      <w:r>
        <w:t xml:space="preserve"> </w:t>
      </w:r>
      <w:r>
        <w:t xml:space="preserve">Inconsistent cost regimes across an integrated suite mean that the cost of the same overall dispute varies with forum. The SA’s loser-pays rule also has a chilling effect that is asymmetric in practice: combined with the discovery bar (C7) and the consequential damages waiver (C6), a Greenleaf claimant that loses (or partially loses) an ICC arbitration would pay Pacifica’s fees on top of being unable to obtain the evidence or recover the consequential losses that motivated the claim. This compounds the deterrence effect.</w:t>
      </w:r>
    </w:p>
    <w:p>
      <w:pPr>
        <w:pStyle w:val="BodyText"/>
      </w:pPr>
      <w:r>
        <w:rPr>
          <w:b/>
          <w:bCs/>
        </w:rPr>
        <w:t xml:space="preserve">Recommendation:</w:t>
      </w:r>
      <w:r>
        <w:t xml:space="preserve"> </w:t>
      </w:r>
      <w:r>
        <w:t xml:space="preserve">Harmonize cost allocation across all three documents. If loser-pays is retained, apply it uniformly and pair it with the discovery and damages reforms above so that the fee-shift does not deter meritorious claims. If each-pays-own is preferred (more common in international arbitration and less chilling), apply that uniformly. Either way, the rule should be identical across the suite.</w:t>
      </w:r>
    </w:p>
    <w:bookmarkEnd w:id="37"/>
    <w:bookmarkStart w:id="38" w:name="Xcf506166b3ba18f78e0001fc7f482337aab6cc4"/>
    <w:p>
      <w:pPr>
        <w:pStyle w:val="Heading3"/>
      </w:pPr>
      <w:r>
        <w:t xml:space="preserve">H7. Conflicting tribunal size (one vs. three vs. expandable)</w:t>
      </w:r>
    </w:p>
    <w:p>
      <w:pPr>
        <w:pStyle w:val="FirstParagraph"/>
      </w:pPr>
      <w:r>
        <w:rPr>
          <w:b/>
          <w:bCs/>
        </w:rPr>
        <w:t xml:space="preserve">Severity: High</w:t>
      </w:r>
    </w:p>
    <w:p>
      <w:pPr>
        <w:pStyle w:val="BodyText"/>
      </w:pPr>
      <w:r>
        <w:rPr>
          <w:b/>
          <w:bCs/>
        </w:rPr>
        <w:t xml:space="preserve">Provision(s):</w:t>
      </w:r>
      <w:r>
        <w:t xml:space="preserve"> </w:t>
      </w:r>
      <w:r>
        <w:t xml:space="preserve">SA § 14.3; IPLA § 9.1; QA Side Letter § 7.2.</w:t>
      </w:r>
    </w:p>
    <w:p>
      <w:pPr>
        <w:pStyle w:val="BodyText"/>
      </w:pPr>
      <w:r>
        <w:rPr>
          <w:b/>
          <w:bCs/>
        </w:rPr>
        <w:t xml:space="preserve">Issue:</w:t>
      </w:r>
      <w:r>
        <w:t xml:space="preserve"> </w:t>
      </w:r>
      <w:r>
        <w:t xml:space="preserve">The three documents prescribe different tribunal sizes. SA § 14.3: one arbitrator, unless either party requests three within 15 days of the Request for Arbitration. IPLA § 9.1: one arbitrator (fixed). QA Side Letter § 7.2: three arbitrators (fixed), with party nomination and a presiding arbitrator.</w:t>
      </w:r>
    </w:p>
    <w:p>
      <w:pPr>
        <w:pStyle w:val="BodyText"/>
      </w:pPr>
      <w:r>
        <w:rPr>
          <w:b/>
          <w:bCs/>
        </w:rPr>
        <w:t xml:space="preserve">Analysis:</w:t>
      </w:r>
      <w:r>
        <w:t xml:space="preserve"> </w:t>
      </w:r>
      <w:r>
        <w:t xml:space="preserve">Inconsistent tribunal sizing across the suite means that a consolidated or related dispute could be heard by a sole arbitrator in one forum and a three-person panel in another, with different appointment mechanics. The SA’s</w:t>
      </w:r>
      <w:r>
        <w:t xml:space="preserve"> </w:t>
      </w:r>
      <w:r>
        <w:t xml:space="preserve">“</w:t>
      </w:r>
      <w:r>
        <w:t xml:space="preserve">either party may unilaterally expand to three</w:t>
      </w:r>
      <w:r>
        <w:t xml:space="preserve">”</w:t>
      </w:r>
      <w:r>
        <w:t xml:space="preserve"> </w:t>
      </w:r>
      <w:r>
        <w:t xml:space="preserve">mechanism also introduces unpredictability and cost escalation (a three-arbitrator ICC panel is substantially more expensive), can be used tactically by either side, and the 15-day window to make that election is tight and easy to miss.</w:t>
      </w:r>
    </w:p>
    <w:p>
      <w:pPr>
        <w:pStyle w:val="BodyText"/>
      </w:pPr>
      <w:r>
        <w:rPr>
          <w:b/>
          <w:bCs/>
        </w:rPr>
        <w:t xml:space="preserve">Recommendation:</w:t>
      </w:r>
      <w:r>
        <w:t xml:space="preserve"> </w:t>
      </w:r>
      <w:r>
        <w:t xml:space="preserve">Harmonize tribunal size. For a relationship of this value ($178M minimum over the initial term, potentially $250M+ with renewals), a default three-arbitrator panel for high-value disputes and a sole arbitrator for lower-value disputes (with a clear monetary threshold) is the most defensible structure. Apply the same rule across all three documents.</w:t>
      </w:r>
    </w:p>
    <w:bookmarkEnd w:id="38"/>
    <w:bookmarkEnd w:id="39"/>
    <w:bookmarkStart w:id="50" w:name="vi.-medium-issues"/>
    <w:p>
      <w:pPr>
        <w:pStyle w:val="Heading2"/>
      </w:pPr>
      <w:r>
        <w:t xml:space="preserve">VI. Medium Issues</w:t>
      </w:r>
    </w:p>
    <w:bookmarkStart w:id="40" w:name="Xa3d391e0b1df88257c42f313523f077d90fc3e5"/>
    <w:p>
      <w:pPr>
        <w:pStyle w:val="Heading3"/>
      </w:pPr>
      <w:r>
        <w:t xml:space="preserve">M1. SA § 14.4</w:t>
      </w:r>
      <w:r>
        <w:t xml:space="preserve"> </w:t>
      </w:r>
      <w:r>
        <w:t xml:space="preserve">“</w:t>
      </w:r>
      <w:r>
        <w:t xml:space="preserve">general principles of international commercial law</w:t>
      </w:r>
      <w:r>
        <w:t xml:space="preserve">”</w:t>
      </w:r>
      <w:r>
        <w:t xml:space="preserve"> </w:t>
      </w:r>
      <w:r>
        <w:t xml:space="preserve">fallback is vague and inconsistent with § 15.11</w:t>
      </w:r>
    </w:p>
    <w:p>
      <w:pPr>
        <w:pStyle w:val="FirstParagraph"/>
      </w:pPr>
      <w:r>
        <w:rPr>
          <w:b/>
          <w:bCs/>
        </w:rPr>
        <w:t xml:space="preserve">Severity: Medium</w:t>
      </w:r>
    </w:p>
    <w:p>
      <w:pPr>
        <w:pStyle w:val="BodyText"/>
      </w:pPr>
      <w:r>
        <w:rPr>
          <w:b/>
          <w:bCs/>
        </w:rPr>
        <w:t xml:space="preserve">Provision(s):</w:t>
      </w:r>
      <w:r>
        <w:t xml:space="preserve"> </w:t>
      </w:r>
      <w:r>
        <w:t xml:space="preserve">SA § 14.4; SA § 15.11.</w:t>
      </w:r>
    </w:p>
    <w:p>
      <w:pPr>
        <w:pStyle w:val="BodyText"/>
      </w:pPr>
      <w:r>
        <w:rPr>
          <w:b/>
          <w:bCs/>
        </w:rPr>
        <w:t xml:space="preserve">Issue:</w:t>
      </w:r>
      <w:r>
        <w:t xml:space="preserve"> </w:t>
      </w:r>
      <w:r>
        <w:t xml:space="preserve">SA § 14.4 directs the arbitrators to apply New York substantive law and,</w:t>
      </w:r>
      <w:r>
        <w:t xml:space="preserve"> </w:t>
      </w:r>
      <w:r>
        <w:t xml:space="preserve">“</w:t>
      </w:r>
      <w:r>
        <w:t xml:space="preserve">[t]o the extent New York law does not address an issue,</w:t>
      </w:r>
      <w:r>
        <w:t xml:space="preserve">”</w:t>
      </w:r>
      <w:r>
        <w:t xml:space="preserve"> </w:t>
      </w:r>
      <w:r>
        <w:t xml:space="preserve">to</w:t>
      </w:r>
      <w:r>
        <w:t xml:space="preserve"> </w:t>
      </w:r>
      <w:r>
        <w:t xml:space="preserve">“</w:t>
      </w:r>
      <w:r>
        <w:t xml:space="preserve">apply general principles of international commercial law.</w:t>
      </w:r>
      <w:r>
        <w:t xml:space="preserve">”</w:t>
      </w:r>
      <w:r>
        <w:t xml:space="preserve"> </w:t>
      </w:r>
      <w:r>
        <w:t xml:space="preserve">SA § 15.11 (the general governing-law clause) contains no such fallback.</w:t>
      </w:r>
    </w:p>
    <w:p>
      <w:pPr>
        <w:pStyle w:val="BodyText"/>
      </w:pPr>
      <w:r>
        <w:rPr>
          <w:b/>
          <w:bCs/>
        </w:rPr>
        <w:t xml:space="preserve">Analysis:</w:t>
      </w:r>
      <w:r>
        <w:t xml:space="preserve"> </w:t>
      </w:r>
      <w:r>
        <w:t xml:space="preserve">The fallback is vague and could be invoked unpredictably to displace UCC analysis on contested issues. It is also inconsistent with § 15.11, which states simply that the agreement is governed by New York law without regard to conflict-of-laws principles. The two governing-law statements in the same agreement create a minor internal tension.</w:t>
      </w:r>
    </w:p>
    <w:p>
      <w:pPr>
        <w:pStyle w:val="BodyText"/>
      </w:pPr>
      <w:r>
        <w:rPr>
          <w:b/>
          <w:bCs/>
        </w:rPr>
        <w:t xml:space="preserve">Recommendation:</w:t>
      </w:r>
      <w:r>
        <w:t xml:space="preserve"> </w:t>
      </w:r>
      <w:r>
        <w:t xml:space="preserve">Delete the</w:t>
      </w:r>
      <w:r>
        <w:t xml:space="preserve"> </w:t>
      </w:r>
      <w:r>
        <w:t xml:space="preserve">“</w:t>
      </w:r>
      <w:r>
        <w:t xml:space="preserve">general principles of international commercial law</w:t>
      </w:r>
      <w:r>
        <w:t xml:space="preserve">”</w:t>
      </w:r>
      <w:r>
        <w:t xml:space="preserve"> </w:t>
      </w:r>
      <w:r>
        <w:t xml:space="preserve">fallback from § 14.4, or define it narrowly (e.g., the UNIDROIT Principles) and conform § 14.4 to § 15.11. New York law (including the UCC) is sufficiently developed to resolve commercial supply disputes without an open-ended fallback.</w:t>
      </w:r>
    </w:p>
    <w:bookmarkEnd w:id="40"/>
    <w:bookmarkStart w:id="41" w:name="X69479541b174b5b89dd64883c7d620d47a1d5de"/>
    <w:p>
      <w:pPr>
        <w:pStyle w:val="Heading3"/>
      </w:pPr>
      <w:r>
        <w:t xml:space="preserve">M2. No mandatory pre-arbitration negotiation or mediation tier in any agreement</w:t>
      </w:r>
    </w:p>
    <w:p>
      <w:pPr>
        <w:pStyle w:val="FirstParagraph"/>
      </w:pPr>
      <w:r>
        <w:rPr>
          <w:b/>
          <w:bCs/>
        </w:rPr>
        <w:t xml:space="preserve">Severity: Medium</w:t>
      </w:r>
    </w:p>
    <w:p>
      <w:pPr>
        <w:pStyle w:val="BodyText"/>
      </w:pPr>
      <w:r>
        <w:rPr>
          <w:b/>
          <w:bCs/>
        </w:rPr>
        <w:t xml:space="preserve">Provision(s):</w:t>
      </w:r>
      <w:r>
        <w:t xml:space="preserve"> </w:t>
      </w:r>
      <w:r>
        <w:t xml:space="preserve">SA Art. 14; QA Side Letter § 7; IPLA § 9.</w:t>
      </w:r>
    </w:p>
    <w:p>
      <w:pPr>
        <w:pStyle w:val="BodyText"/>
      </w:pPr>
      <w:r>
        <w:rPr>
          <w:b/>
          <w:bCs/>
        </w:rPr>
        <w:t xml:space="preserve">Issue:</w:t>
      </w:r>
      <w:r>
        <w:t xml:space="preserve"> </w:t>
      </w:r>
      <w:r>
        <w:t xml:space="preserve">None of the three agreements provides for a mandatory pre-arbitration escalation step (e.g., senior-executive negotiation within a fixed period, or mediation) before arbitration or expert determination.</w:t>
      </w:r>
    </w:p>
    <w:p>
      <w:pPr>
        <w:pStyle w:val="BodyText"/>
      </w:pPr>
      <w:r>
        <w:rPr>
          <w:b/>
          <w:bCs/>
        </w:rPr>
        <w:t xml:space="preserve">Analysis:</w:t>
      </w:r>
      <w:r>
        <w:t xml:space="preserve"> </w:t>
      </w:r>
      <w:r>
        <w:t xml:space="preserve">The HG Memo describes a</w:t>
      </w:r>
      <w:r>
        <w:t xml:space="preserve"> </w:t>
      </w:r>
      <w:r>
        <w:t xml:space="preserve">“</w:t>
      </w:r>
      <w:r>
        <w:t xml:space="preserve">three-tier</w:t>
      </w:r>
      <w:r>
        <w:t xml:space="preserve">”</w:t>
      </w:r>
      <w:r>
        <w:t xml:space="preserve"> </w:t>
      </w:r>
      <w:r>
        <w:t xml:space="preserve">structure, but it is in fact three separate single-tier tracks (one per agreement), not a tiered escalation within a dispute. A negotiated escalation step is standard in supply agreements of this size and would resolve many disputes cheaply and preserve the commercial relationship. Its absence means parties proceed directly to formal proceedings.</w:t>
      </w:r>
    </w:p>
    <w:p>
      <w:pPr>
        <w:pStyle w:val="BodyText"/>
      </w:pPr>
      <w:r>
        <w:rPr>
          <w:b/>
          <w:bCs/>
        </w:rPr>
        <w:t xml:space="preserve">Recommendation:</w:t>
      </w:r>
      <w:r>
        <w:t xml:space="preserve"> </w:t>
      </w:r>
      <w:r>
        <w:t xml:space="preserve">Add a uniform pre-arbitration tier to all three documents: e.g., 30 days of senior-executive negotiation upon written notice, followed by optional mediation (e.g., ICC Mediation Rules or SIAC Mediation Rules), before arbitration/expert determination may be commenced. Carve out urgent interim relief from the negotiation requirement.</w:t>
      </w:r>
    </w:p>
    <w:bookmarkEnd w:id="41"/>
    <w:bookmarkStart w:id="42" w:name="X0df785b905b8d57f04ee66a7d0e2dcba4a159f9"/>
    <w:p>
      <w:pPr>
        <w:pStyle w:val="Heading3"/>
      </w:pPr>
      <w:r>
        <w:t xml:space="preserve">M3. No arbitrator qualification requirements (except the QA Side Letter expert)</w:t>
      </w:r>
    </w:p>
    <w:p>
      <w:pPr>
        <w:pStyle w:val="FirstParagraph"/>
      </w:pPr>
      <w:r>
        <w:rPr>
          <w:b/>
          <w:bCs/>
        </w:rPr>
        <w:t xml:space="preserve">Severity: Medium</w:t>
      </w:r>
    </w:p>
    <w:p>
      <w:pPr>
        <w:pStyle w:val="BodyText"/>
      </w:pPr>
      <w:r>
        <w:rPr>
          <w:b/>
          <w:bCs/>
        </w:rPr>
        <w:t xml:space="preserve">Provision(s):</w:t>
      </w:r>
      <w:r>
        <w:t xml:space="preserve"> </w:t>
      </w:r>
      <w:r>
        <w:t xml:space="preserve">SA § 14.3; IPLA § 9.1; QA Side Letter § 7.2; contrast QA Side Letter § 7.1.</w:t>
      </w:r>
    </w:p>
    <w:p>
      <w:pPr>
        <w:pStyle w:val="BodyText"/>
      </w:pPr>
      <w:r>
        <w:rPr>
          <w:b/>
          <w:bCs/>
        </w:rPr>
        <w:t xml:space="preserve">Issue:</w:t>
      </w:r>
      <w:r>
        <w:t xml:space="preserve"> </w:t>
      </w:r>
      <w:r>
        <w:t xml:space="preserve">Only the QA Side Letter expert-determination provision (§ 7.1) specifies subject-matter qualifications. The arbitration provisions in the SA (§ 14.3), IPLA (§ 9.1), and QA Side Letter (§ 7.2) impose no qualification requirements on arbitrators.</w:t>
      </w:r>
    </w:p>
    <w:p>
      <w:pPr>
        <w:pStyle w:val="BodyText"/>
      </w:pPr>
      <w:r>
        <w:rPr>
          <w:b/>
          <w:bCs/>
        </w:rPr>
        <w:t xml:space="preserve">Analysis:</w:t>
      </w:r>
      <w:r>
        <w:t xml:space="preserve"> </w:t>
      </w:r>
      <w:r>
        <w:t xml:space="preserve">For disputes involving botanical extract manufacturing, cGMP compliance, FDA regulation, and complex supply-chain economics, an unqualified arbitrator could struggle with the technical and regulatory issues. Specifying qualifications (e.g., experience in international commercial arbitration and, for quality disputes, pharmaceutical/botanical manufacturing or food-safety regulation) improves outcome quality.</w:t>
      </w:r>
    </w:p>
    <w:p>
      <w:pPr>
        <w:pStyle w:val="BodyText"/>
      </w:pPr>
      <w:r>
        <w:rPr>
          <w:b/>
          <w:bCs/>
        </w:rPr>
        <w:t xml:space="preserve">Recommendation:</w:t>
      </w:r>
      <w:r>
        <w:t xml:space="preserve"> </w:t>
      </w:r>
      <w:r>
        <w:t xml:space="preserve">Add arbitrator-qualification requirements to each arbitration clause, tailored to the subject matter (e.g., for SA/quality disputes: experience with manufacturing supply and FDA-regulated products; for IPLA: experience with IP licensing and regulatory data).</w:t>
      </w:r>
    </w:p>
    <w:bookmarkEnd w:id="42"/>
    <w:bookmarkStart w:id="43" w:name="Xef96766540a9cbf8cca97cb4293d28bf3d3182d"/>
    <w:p>
      <w:pPr>
        <w:pStyle w:val="Heading3"/>
      </w:pPr>
      <w:r>
        <w:t xml:space="preserve">M4. Inconsistent arbitration confidentiality — SA has it; IPLA and QA Side Letter do not; SA carve-out is narrow</w:t>
      </w:r>
    </w:p>
    <w:p>
      <w:pPr>
        <w:pStyle w:val="FirstParagraph"/>
      </w:pPr>
      <w:r>
        <w:rPr>
          <w:b/>
          <w:bCs/>
        </w:rPr>
        <w:t xml:space="preserve">Severity: Medium</w:t>
      </w:r>
    </w:p>
    <w:p>
      <w:pPr>
        <w:pStyle w:val="BodyText"/>
      </w:pPr>
      <w:r>
        <w:rPr>
          <w:b/>
          <w:bCs/>
        </w:rPr>
        <w:t xml:space="preserve">Provision(s):</w:t>
      </w:r>
      <w:r>
        <w:t xml:space="preserve"> </w:t>
      </w:r>
      <w:r>
        <w:t xml:space="preserve">SA § 14.10; IPLA § 9 (none); QA Side Letter § 7 (none).</w:t>
      </w:r>
    </w:p>
    <w:p>
      <w:pPr>
        <w:pStyle w:val="BodyText"/>
      </w:pPr>
      <w:r>
        <w:rPr>
          <w:b/>
          <w:bCs/>
        </w:rPr>
        <w:t xml:space="preserve">Issue:</w:t>
      </w:r>
      <w:r>
        <w:t xml:space="preserve"> </w:t>
      </w:r>
      <w:r>
        <w:t xml:space="preserve">SA § 14.10 imposes confidentiality on arbitration proceedings and documents, with a carve-out permitting disclosure</w:t>
      </w:r>
      <w:r>
        <w:t xml:space="preserve"> </w:t>
      </w:r>
      <w:r>
        <w:t xml:space="preserve">“</w:t>
      </w:r>
      <w:r>
        <w:t xml:space="preserve">as required by applicable law or regulation.</w:t>
      </w:r>
      <w:r>
        <w:t xml:space="preserve">”</w:t>
      </w:r>
      <w:r>
        <w:t xml:space="preserve"> </w:t>
      </w:r>
      <w:r>
        <w:t xml:space="preserve">The IPLA and QA Side Letter contain no arbitration-confidentiality provision.</w:t>
      </w:r>
    </w:p>
    <w:p>
      <w:pPr>
        <w:pStyle w:val="BodyText"/>
      </w:pPr>
      <w:r>
        <w:rPr>
          <w:b/>
          <w:bCs/>
        </w:rPr>
        <w:t xml:space="preserve">Analysis:</w:t>
      </w:r>
      <w:r>
        <w:t xml:space="preserve"> </w:t>
      </w:r>
      <w:r>
        <w:t xml:space="preserve">Two problems. First, the IPLA is the most confidentiality-sensitive document in the suite — it concerns Pacifica’s proprietary extraction processes, trade secrets, and regulatory data — yet its arbitration clause has no confidentiality protection. The QA Side Letter, which will involve manufacturing and testing records, likewise lacks it. The inconsistency is backwards: the most sensitive disputes have the least confidentiality protection. Second, the SA § 14.10 carve-out is narrow: it permits disclosure only</w:t>
      </w:r>
      <w:r>
        <w:t xml:space="preserve"> </w:t>
      </w:r>
      <w:r>
        <w:t xml:space="preserve">“</w:t>
      </w:r>
      <w:r>
        <w:t xml:space="preserve">as required by applicable law or regulation</w:t>
      </w:r>
      <w:r>
        <w:t xml:space="preserve">”</w:t>
      </w:r>
      <w:r>
        <w:t xml:space="preserve"> </w:t>
      </w:r>
      <w:r>
        <w:t xml:space="preserve">and does not expressly carve out disclosures made in connection with</w:t>
      </w:r>
      <w:r>
        <w:t xml:space="preserve"> </w:t>
      </w:r>
      <w:r>
        <w:rPr>
          <w:i/>
          <w:iCs/>
        </w:rPr>
        <w:t xml:space="preserve">enforcement</w:t>
      </w:r>
      <w:r>
        <w:t xml:space="preserve"> </w:t>
      </w:r>
      <w:r>
        <w:t xml:space="preserve">of an award (e.g., filing the award and supporting materials with a court to confirm or enforce it). Most institutional rules and well-drafted confidentiality provisions expressly preserve the right to disclose arbitration materials for enforcement purposes; the SA’s omission could be argued to bar a party from disclosing the award to an enforcement court, which is unworkable.</w:t>
      </w:r>
    </w:p>
    <w:p>
      <w:pPr>
        <w:pStyle w:val="BodyText"/>
      </w:pPr>
      <w:r>
        <w:rPr>
          <w:b/>
          <w:bCs/>
        </w:rPr>
        <w:t xml:space="preserve">Recommendation:</w:t>
      </w:r>
      <w:r>
        <w:t xml:space="preserve"> </w:t>
      </w:r>
      <w:r>
        <w:t xml:space="preserve">Add an arbitration-confidentiality provision to the IPLA and QA Side Letter, mirroring SA § 14.10 but with an expanded carve-out that expressly permits disclosure (a) as required by law or regulation, (b) in connection with enforcement of an award, and (c) to professional advisors and insurers. Apply the same (expanded) carve-out uniformly across the suite, including conforming SA § 14.10.</w:t>
      </w:r>
    </w:p>
    <w:bookmarkEnd w:id="43"/>
    <w:bookmarkStart w:id="44" w:name="X203d7a76a3d1927f3eadbe6510c958b2126d64e"/>
    <w:p>
      <w:pPr>
        <w:pStyle w:val="Heading3"/>
      </w:pPr>
      <w:r>
        <w:t xml:space="preserve">M5. Limitation period exists only in the SA, not in the IPLA or QA Side Letter</w:t>
      </w:r>
    </w:p>
    <w:p>
      <w:pPr>
        <w:pStyle w:val="FirstParagraph"/>
      </w:pPr>
      <w:r>
        <w:rPr>
          <w:b/>
          <w:bCs/>
        </w:rPr>
        <w:t xml:space="preserve">Severity: Medium</w:t>
      </w:r>
    </w:p>
    <w:p>
      <w:pPr>
        <w:pStyle w:val="BodyText"/>
      </w:pPr>
      <w:r>
        <w:rPr>
          <w:b/>
          <w:bCs/>
        </w:rPr>
        <w:t xml:space="preserve">Provision(s):</w:t>
      </w:r>
      <w:r>
        <w:t xml:space="preserve"> </w:t>
      </w:r>
      <w:r>
        <w:t xml:space="preserve">SA § 14.9; IPLA § 9 (none); QA Side Letter § 7 (none).</w:t>
      </w:r>
    </w:p>
    <w:p>
      <w:pPr>
        <w:pStyle w:val="BodyText"/>
      </w:pPr>
      <w:r>
        <w:rPr>
          <w:b/>
          <w:bCs/>
        </w:rPr>
        <w:t xml:space="preserve">Issue:</w:t>
      </w:r>
      <w:r>
        <w:t xml:space="preserve"> </w:t>
      </w:r>
      <w:r>
        <w:t xml:space="preserve">SA § 14.9 imposes a one-year limitation period. The IPLA and QA Side Letter impose none.</w:t>
      </w:r>
    </w:p>
    <w:p>
      <w:pPr>
        <w:pStyle w:val="BodyText"/>
      </w:pPr>
      <w:r>
        <w:rPr>
          <w:b/>
          <w:bCs/>
        </w:rPr>
        <w:t xml:space="preserve">Analysis:</w:t>
      </w:r>
      <w:r>
        <w:t xml:space="preserve"> </w:t>
      </w:r>
      <w:r>
        <w:t xml:space="preserve">A claim under the IPLA (e.g., IP misuse) could be brought years after the facts, while an SA claim arising from the same underlying conduct is time-barred after one year. For an integrated transaction, the inconsistent time bars are anomalous and could produce arbitrary outcomes (a claim survives under one document but is barred under another based on the same facts).</w:t>
      </w:r>
    </w:p>
    <w:p>
      <w:pPr>
        <w:pStyle w:val="BodyText"/>
      </w:pPr>
      <w:r>
        <w:rPr>
          <w:b/>
          <w:bCs/>
        </w:rPr>
        <w:t xml:space="preserve">Recommendation:</w:t>
      </w:r>
      <w:r>
        <w:t xml:space="preserve"> </w:t>
      </w:r>
      <w:r>
        <w:t xml:space="preserve">Adopt a single limitation regime across all three documents, conforming to the reformed period recommended under H2.</w:t>
      </w:r>
    </w:p>
    <w:bookmarkEnd w:id="44"/>
    <w:bookmarkStart w:id="45" w:name="X140ef259f7a404513cc72d18a8c27754b581d67"/>
    <w:p>
      <w:pPr>
        <w:pStyle w:val="Heading3"/>
      </w:pPr>
      <w:r>
        <w:t xml:space="preserve">M6. No express New York Convention / Federal Arbitration Act reference for U.S. enforcement</w:t>
      </w:r>
    </w:p>
    <w:p>
      <w:pPr>
        <w:pStyle w:val="FirstParagraph"/>
      </w:pPr>
      <w:r>
        <w:rPr>
          <w:b/>
          <w:bCs/>
        </w:rPr>
        <w:t xml:space="preserve">Severity: Medium</w:t>
      </w:r>
    </w:p>
    <w:p>
      <w:pPr>
        <w:pStyle w:val="BodyText"/>
      </w:pPr>
      <w:r>
        <w:rPr>
          <w:b/>
          <w:bCs/>
        </w:rPr>
        <w:t xml:space="preserve">Provision(s):</w:t>
      </w:r>
      <w:r>
        <w:t xml:space="preserve"> </w:t>
      </w:r>
      <w:r>
        <w:t xml:space="preserve">SA Art. 14; QA Side Letter § 7; IPLA § 9; Greenleaf Emails (Matsuda Priority 1, Heller).</w:t>
      </w:r>
    </w:p>
    <w:p>
      <w:pPr>
        <w:pStyle w:val="BodyText"/>
      </w:pPr>
      <w:r>
        <w:rPr>
          <w:b/>
          <w:bCs/>
        </w:rPr>
        <w:t xml:space="preserve">Issue:</w:t>
      </w:r>
      <w:r>
        <w:t xml:space="preserve"> </w:t>
      </w:r>
      <w:r>
        <w:t xml:space="preserve">None of the arbitration clauses expressly references the New York Convention or the U.S. Federal Arbitration Act (</w:t>
      </w:r>
      <w:r>
        <w:t xml:space="preserve">“</w:t>
      </w:r>
      <w:r>
        <w:t xml:space="preserve">FAA</w:t>
      </w:r>
      <w:r>
        <w:t xml:space="preserve">”</w:t>
      </w:r>
      <w:r>
        <w:t xml:space="preserve">) as the basis for enforcement in U.S. courts. Greenleaf’s stated Priority 1 is enforceability in North Carolina (principal office) and Delaware (state of incorporation).</w:t>
      </w:r>
    </w:p>
    <w:p>
      <w:pPr>
        <w:pStyle w:val="BodyText"/>
      </w:pPr>
      <w:r>
        <w:rPr>
          <w:b/>
          <w:bCs/>
        </w:rPr>
        <w:t xml:space="preserve">Analysis:</w:t>
      </w:r>
      <w:r>
        <w:t xml:space="preserve"> </w:t>
      </w:r>
      <w:r>
        <w:t xml:space="preserve">Singapore-seated awards are enforceable in the U.S. under the New York Convention (implemented by the FAA, 9 U.S.C. § 201 et seq.), so the absence of an express reference is not fatal. However, an express statement that the arbitration agreement is enforceable under the FAA and the New York Convention, and a waiver of any objection to enforcement in U.S. courts on jurisdictional/venue grounds, would streamline U.S. enforcement and reduce the kind of post-award challenge that delayed Pacifica 14 months in 2023. The more serious enforceability risks are the pathological-clause issues (C3, C4, H1), which an express Convention reference does not cure but which the structural reforms above do.</w:t>
      </w:r>
    </w:p>
    <w:p>
      <w:pPr>
        <w:pStyle w:val="BodyText"/>
      </w:pPr>
      <w:r>
        <w:rPr>
          <w:b/>
          <w:bCs/>
        </w:rPr>
        <w:t xml:space="preserve">Recommendation:</w:t>
      </w:r>
      <w:r>
        <w:t xml:space="preserve"> </w:t>
      </w:r>
      <w:r>
        <w:t xml:space="preserve">Add to each arbitration clause an express statement that the agreement to arbitrate is enforceable under the FAA and the New York Convention, together with a waiver of objections to personal jurisdiction and venue in any court where enforcement is sought. This is a low-cost enhancement that supports Greenleaf’s Priority 1.</w:t>
      </w:r>
    </w:p>
    <w:bookmarkEnd w:id="45"/>
    <w:bookmarkStart w:id="46" w:name="Xc6c24650b7be1b7e8eeb84099ef88b6331d68d3"/>
    <w:p>
      <w:pPr>
        <w:pStyle w:val="Heading3"/>
      </w:pPr>
      <w:r>
        <w:t xml:space="preserve">M7. QA Side Letter expert determination is</w:t>
      </w:r>
      <w:r>
        <w:t xml:space="preserve"> </w:t>
      </w:r>
      <w:r>
        <w:t xml:space="preserve">“</w:t>
      </w:r>
      <w:r>
        <w:t xml:space="preserve">final and binding</w:t>
      </w:r>
      <w:r>
        <w:t xml:space="preserve">”</w:t>
      </w:r>
      <w:r>
        <w:t xml:space="preserve"> </w:t>
      </w:r>
      <w:r>
        <w:t xml:space="preserve">but effectively appealable by either party</w:t>
      </w:r>
    </w:p>
    <w:p>
      <w:pPr>
        <w:pStyle w:val="FirstParagraph"/>
      </w:pPr>
      <w:r>
        <w:rPr>
          <w:b/>
          <w:bCs/>
        </w:rPr>
        <w:t xml:space="preserve">Severity: Medium</w:t>
      </w:r>
    </w:p>
    <w:p>
      <w:pPr>
        <w:pStyle w:val="BodyText"/>
      </w:pPr>
      <w:r>
        <w:rPr>
          <w:b/>
          <w:bCs/>
        </w:rPr>
        <w:t xml:space="preserve">Provision(s):</w:t>
      </w:r>
      <w:r>
        <w:t xml:space="preserve"> </w:t>
      </w:r>
      <w:r>
        <w:t xml:space="preserve">QA Side Letter §§ 7.1, 7.2; HG Memo Part II.B.</w:t>
      </w:r>
    </w:p>
    <w:p>
      <w:pPr>
        <w:pStyle w:val="BodyText"/>
      </w:pPr>
      <w:r>
        <w:rPr>
          <w:b/>
          <w:bCs/>
        </w:rPr>
        <w:t xml:space="preserve">Issue:</w:t>
      </w:r>
      <w:r>
        <w:t xml:space="preserve"> </w:t>
      </w:r>
      <w:r>
        <w:t xml:space="preserve">QA Side Letter § 7.1 states the expert’s determination</w:t>
      </w:r>
      <w:r>
        <w:t xml:space="preserve"> </w:t>
      </w:r>
      <w:r>
        <w:t xml:space="preserve">“</w:t>
      </w:r>
      <w:r>
        <w:t xml:space="preserve">shall be final and binding on the Parties, subject to Section 7.2.</w:t>
      </w:r>
      <w:r>
        <w:t xml:space="preserve">”</w:t>
      </w:r>
      <w:r>
        <w:t xml:space="preserve"> </w:t>
      </w:r>
      <w:r>
        <w:t xml:space="preserve">Section 7.2 escalates to arbitration</w:t>
      </w:r>
      <w:r>
        <w:t xml:space="preserve"> </w:t>
      </w:r>
      <w:r>
        <w:t xml:space="preserve">“</w:t>
      </w:r>
      <w:r>
        <w:t xml:space="preserve">if the expert determination… is challenged by either Party.</w:t>
      </w:r>
      <w:r>
        <w:t xml:space="preserve">”</w:t>
      </w:r>
    </w:p>
    <w:p>
      <w:pPr>
        <w:pStyle w:val="BodyText"/>
      </w:pPr>
      <w:r>
        <w:rPr>
          <w:b/>
          <w:bCs/>
        </w:rPr>
        <w:t xml:space="preserve">Analysis:</w:t>
      </w:r>
      <w:r>
        <w:t xml:space="preserve"> </w:t>
      </w:r>
      <w:r>
        <w:t xml:space="preserve">Because either party may challenge the determination and trigger escalation regardless of amount, the</w:t>
      </w:r>
      <w:r>
        <w:t xml:space="preserve"> </w:t>
      </w:r>
      <w:r>
        <w:t xml:space="preserve">“</w:t>
      </w:r>
      <w:r>
        <w:t xml:space="preserve">final and binding</w:t>
      </w:r>
      <w:r>
        <w:t xml:space="preserve">”</w:t>
      </w:r>
      <w:r>
        <w:t xml:space="preserve"> </w:t>
      </w:r>
      <w:r>
        <w:t xml:space="preserve">language is largely illusory — any dissatisfied party can reopen the matter in full arbitration. This undermines the efficiency rationale the HG Memo advances for expert determination (resolving routine quality disputes</w:t>
      </w:r>
      <w:r>
        <w:t xml:space="preserve"> </w:t>
      </w:r>
      <w:r>
        <w:t xml:space="preserve">“</w:t>
      </w:r>
      <w:r>
        <w:t xml:space="preserve">quickly and inexpensively</w:t>
      </w:r>
      <w:r>
        <w:t xml:space="preserve">”</w:t>
      </w:r>
      <w:r>
        <w:t xml:space="preserve">). The expert determination functions more as a non-binding first instance than a final resolution.</w:t>
      </w:r>
    </w:p>
    <w:p>
      <w:pPr>
        <w:pStyle w:val="BodyText"/>
      </w:pPr>
      <w:r>
        <w:rPr>
          <w:b/>
          <w:bCs/>
        </w:rPr>
        <w:t xml:space="preserve">Recommendation:</w:t>
      </w:r>
      <w:r>
        <w:t xml:space="preserve"> </w:t>
      </w:r>
      <w:r>
        <w:t xml:space="preserve">Either make expert determination genuinely final and binding (with escalation only for the $5M threshold or for genuine procedural irregularity, not an open-ended</w:t>
      </w:r>
      <w:r>
        <w:t xml:space="preserve"> </w:t>
      </w:r>
      <w:r>
        <w:t xml:space="preserve">“</w:t>
      </w:r>
      <w:r>
        <w:t xml:space="preserve">challenge</w:t>
      </w:r>
      <w:r>
        <w:t xml:space="preserve">”</w:t>
      </w:r>
      <w:r>
        <w:t xml:space="preserve"> </w:t>
      </w:r>
      <w:r>
        <w:t xml:space="preserve">right), or recharacterize it honestly as a non-binding expert opinion followed by arbitration. The current drafting overstates finality.</w:t>
      </w:r>
    </w:p>
    <w:bookmarkEnd w:id="46"/>
    <w:bookmarkStart w:id="47" w:name="X18a0510bca3e802db59a158d487c416cfaf0ea3"/>
    <w:p>
      <w:pPr>
        <w:pStyle w:val="Heading3"/>
      </w:pPr>
      <w:r>
        <w:t xml:space="preserve">M8. The $5M escalation threshold is arbitrary and undercut by the open-ended challenge trigger</w:t>
      </w:r>
    </w:p>
    <w:p>
      <w:pPr>
        <w:pStyle w:val="FirstParagraph"/>
      </w:pPr>
      <w:r>
        <w:rPr>
          <w:b/>
          <w:bCs/>
        </w:rPr>
        <w:t xml:space="preserve">Severity: Medium</w:t>
      </w:r>
    </w:p>
    <w:p>
      <w:pPr>
        <w:pStyle w:val="BodyText"/>
      </w:pPr>
      <w:r>
        <w:rPr>
          <w:b/>
          <w:bCs/>
        </w:rPr>
        <w:t xml:space="preserve">Provision(s):</w:t>
      </w:r>
      <w:r>
        <w:t xml:space="preserve"> </w:t>
      </w:r>
      <w:r>
        <w:t xml:space="preserve">QA Side Letter § 7.2; Greenleaf Emails (Park recall example).</w:t>
      </w:r>
    </w:p>
    <w:p>
      <w:pPr>
        <w:pStyle w:val="BodyText"/>
      </w:pPr>
      <w:r>
        <w:rPr>
          <w:b/>
          <w:bCs/>
        </w:rPr>
        <w:t xml:space="preserve">Issue:</w:t>
      </w:r>
      <w:r>
        <w:t xml:space="preserve"> </w:t>
      </w:r>
      <w:r>
        <w:t xml:space="preserve">QA Side Letter § 7.2 escalates to arbitration if a dispute</w:t>
      </w:r>
      <w:r>
        <w:t xml:space="preserve"> </w:t>
      </w:r>
      <w:r>
        <w:t xml:space="preserve">“</w:t>
      </w:r>
      <w:r>
        <w:t xml:space="preserve">involves an amount in excess of Five Million United States Dollars ($5,000,000), or if the expert determination… is challenged by either Party.</w:t>
      </w:r>
      <w:r>
        <w:t xml:space="preserve">”</w:t>
      </w:r>
    </w:p>
    <w:p>
      <w:pPr>
        <w:pStyle w:val="BodyText"/>
      </w:pPr>
      <w:r>
        <w:rPr>
          <w:b/>
          <w:bCs/>
        </w:rPr>
        <w:t xml:space="preserve">Analysis:</w:t>
      </w:r>
      <w:r>
        <w:t xml:space="preserve"> </w:t>
      </w:r>
      <w:r>
        <w:t xml:space="preserve">The $5M threshold is a fixed figure that does not adjust over the 13-year term and does not match the realistic value of recall disputes — Ridgeway’s portfolio example involved over $14M in consequential losses alone. More importantly, the alternative</w:t>
      </w:r>
      <w:r>
        <w:t xml:space="preserve"> </w:t>
      </w:r>
      <w:r>
        <w:t xml:space="preserve">“</w:t>
      </w:r>
      <w:r>
        <w:t xml:space="preserve">challenge by either Party</w:t>
      </w:r>
      <w:r>
        <w:t xml:space="preserve">”</w:t>
      </w:r>
      <w:r>
        <w:t xml:space="preserve"> </w:t>
      </w:r>
      <w:r>
        <w:t xml:space="preserve">trigger makes the monetary threshold largely moot: any party can escalate regardless of amount. The threshold therefore neither reliably channels small disputes to expert determination nor reliably routes large disputes to arbitration.</w:t>
      </w:r>
    </w:p>
    <w:p>
      <w:pPr>
        <w:pStyle w:val="BodyText"/>
      </w:pPr>
      <w:r>
        <w:rPr>
          <w:b/>
          <w:bCs/>
        </w:rPr>
        <w:t xml:space="preserve">Recommendation:</w:t>
      </w:r>
      <w:r>
        <w:t xml:space="preserve"> </w:t>
      </w:r>
      <w:r>
        <w:t xml:space="preserve">If expert determination is to be a meaningful filter (per M7), tie escalation to objective criteria (e.g., the $5M threshold, indexed over time, or a finding of procedural irregularity) rather than an open-ended challenge right. If the parties prefer arbitration for all material disputes, simplify to a single arbitration track and use expert determination only as a non-binding advisory input.</w:t>
      </w:r>
    </w:p>
    <w:bookmarkEnd w:id="47"/>
    <w:bookmarkStart w:id="48" w:name="Xc496f76bf199bae31461fc802350dc5465e11f2"/>
    <w:p>
      <w:pPr>
        <w:pStyle w:val="Heading3"/>
      </w:pPr>
      <w:r>
        <w:t xml:space="preserve">M9. No institutional emergency-arbitrator provisions invoked</w:t>
      </w:r>
    </w:p>
    <w:p>
      <w:pPr>
        <w:pStyle w:val="FirstParagraph"/>
      </w:pPr>
      <w:r>
        <w:rPr>
          <w:b/>
          <w:bCs/>
        </w:rPr>
        <w:t xml:space="preserve">Severity: Medium</w:t>
      </w:r>
    </w:p>
    <w:p>
      <w:pPr>
        <w:pStyle w:val="BodyText"/>
      </w:pPr>
      <w:r>
        <w:rPr>
          <w:b/>
          <w:bCs/>
        </w:rPr>
        <w:t xml:space="preserve">Provision(s):</w:t>
      </w:r>
      <w:r>
        <w:t xml:space="preserve"> </w:t>
      </w:r>
      <w:r>
        <w:t xml:space="preserve">SA Art. 14; QA Side Letter § 7; IPLA § 9.</w:t>
      </w:r>
    </w:p>
    <w:p>
      <w:pPr>
        <w:pStyle w:val="BodyText"/>
      </w:pPr>
      <w:r>
        <w:rPr>
          <w:b/>
          <w:bCs/>
        </w:rPr>
        <w:t xml:space="preserve">Issue:</w:t>
      </w:r>
      <w:r>
        <w:t xml:space="preserve"> </w:t>
      </w:r>
      <w:r>
        <w:t xml:space="preserve">None of the clauses invokes the emergency-arbitrator mechanisms available under the ICC, SIAC, or LCIA Rules.</w:t>
      </w:r>
    </w:p>
    <w:p>
      <w:pPr>
        <w:pStyle w:val="BodyText"/>
      </w:pPr>
      <w:r>
        <w:rPr>
          <w:b/>
          <w:bCs/>
        </w:rPr>
        <w:t xml:space="preserve">Analysis:</w:t>
      </w:r>
      <w:r>
        <w:t xml:space="preserve"> </w:t>
      </w:r>
      <w:r>
        <w:t xml:space="preserve">Each of the three institutions offers an emergency-arbitrator procedure for urgent relief before the tribunal is constituted. For supply disruptions, IP misuse, or urgent quarantine/recall situations, an emergency arbitrator can provide faster relief than a court in some cases and keeps the dispute within the arbitral framework. SA § 14.7 preserves court interim relief but does not provide the institutional alternative.</w:t>
      </w:r>
    </w:p>
    <w:p>
      <w:pPr>
        <w:pStyle w:val="BodyText"/>
      </w:pPr>
      <w:r>
        <w:rPr>
          <w:b/>
          <w:bCs/>
        </w:rPr>
        <w:t xml:space="preserve">Recommendation:</w:t>
      </w:r>
      <w:r>
        <w:t xml:space="preserve"> </w:t>
      </w:r>
      <w:r>
        <w:t xml:space="preserve">Expressly incorporate the relevant institution’s emergency-arbitrator rules in each arbitration clause, alongside the court interim-relief carve-out (see H5).</w:t>
      </w:r>
    </w:p>
    <w:bookmarkEnd w:id="48"/>
    <w:bookmarkStart w:id="49" w:name="Xe56d79c4642ffa113021243621d7b0395587f7f"/>
    <w:p>
      <w:pPr>
        <w:pStyle w:val="Heading3"/>
      </w:pPr>
      <w:r>
        <w:t xml:space="preserve">M10. Ridgeway Capital Partners (62% equity holder / Affiliate) has no intervention mechanism</w:t>
      </w:r>
    </w:p>
    <w:p>
      <w:pPr>
        <w:pStyle w:val="FirstParagraph"/>
      </w:pPr>
      <w:r>
        <w:rPr>
          <w:b/>
          <w:bCs/>
        </w:rPr>
        <w:t xml:space="preserve">Severity: Medium</w:t>
      </w:r>
    </w:p>
    <w:p>
      <w:pPr>
        <w:pStyle w:val="BodyText"/>
      </w:pPr>
      <w:r>
        <w:rPr>
          <w:b/>
          <w:bCs/>
        </w:rPr>
        <w:t xml:space="preserve">Provision(s):</w:t>
      </w:r>
      <w:r>
        <w:t xml:space="preserve"> </w:t>
      </w:r>
      <w:r>
        <w:t xml:space="preserve">Greenleaf Emails (Park); IPLA § 1 (Affiliate definition); SA § 1.1 (Affiliate).</w:t>
      </w:r>
    </w:p>
    <w:p>
      <w:pPr>
        <w:pStyle w:val="BodyText"/>
      </w:pPr>
      <w:r>
        <w:rPr>
          <w:b/>
          <w:bCs/>
        </w:rPr>
        <w:t xml:space="preserve">Issue:</w:t>
      </w:r>
      <w:r>
        <w:t xml:space="preserve"> </w:t>
      </w:r>
      <w:r>
        <w:t xml:space="preserve">Ridgeway Capital Partners holds approximately 62% of Greenleaf and is an</w:t>
      </w:r>
      <w:r>
        <w:t xml:space="preserve"> </w:t>
      </w:r>
      <w:r>
        <w:t xml:space="preserve">“</w:t>
      </w:r>
      <w:r>
        <w:t xml:space="preserve">Affiliate</w:t>
      </w:r>
      <w:r>
        <w:t xml:space="preserve">”</w:t>
      </w:r>
      <w:r>
        <w:t xml:space="preserve"> </w:t>
      </w:r>
      <w:r>
        <w:t xml:space="preserve">of Greenleaf under both agreements, but it is not a party to any of the three agreements. Park notes that if Greenleaf’s and Ridgeway’s interests diverge on a settlement question,</w:t>
      </w:r>
      <w:r>
        <w:t xml:space="preserve"> </w:t>
      </w:r>
      <w:r>
        <w:t xml:space="preserve">“</w:t>
      </w:r>
      <w:r>
        <w:t xml:space="preserve">there’s no procedural mechanism to address that.</w:t>
      </w:r>
      <w:r>
        <w:t xml:space="preserve">”</w:t>
      </w:r>
    </w:p>
    <w:p>
      <w:pPr>
        <w:pStyle w:val="BodyText"/>
      </w:pPr>
      <w:r>
        <w:rPr>
          <w:b/>
          <w:bCs/>
        </w:rPr>
        <w:t xml:space="preserve">Analysis:</w:t>
      </w:r>
      <w:r>
        <w:t xml:space="preserve"> </w:t>
      </w:r>
      <w:r>
        <w:t xml:space="preserve">Park himself characterizes this as</w:t>
      </w:r>
      <w:r>
        <w:t xml:space="preserve"> </w:t>
      </w:r>
      <w:r>
        <w:t xml:space="preserve">“</w:t>
      </w:r>
      <w:r>
        <w:t xml:space="preserve">not a primary concern,</w:t>
      </w:r>
      <w:r>
        <w:t xml:space="preserve">”</w:t>
      </w:r>
      <w:r>
        <w:t xml:space="preserve"> </w:t>
      </w:r>
      <w:r>
        <w:t xml:space="preserve">and arbitration is generally a party-only process. However, the absence of any intervention/notice mechanism means a controlling equity holder with a direct economic stake has no procedural voice. This is a minor governance gap rather than a dispute-resolution defect per se.</w:t>
      </w:r>
    </w:p>
    <w:p>
      <w:pPr>
        <w:pStyle w:val="BodyText"/>
      </w:pPr>
      <w:r>
        <w:rPr>
          <w:b/>
          <w:bCs/>
        </w:rPr>
        <w:t xml:space="preserve">Recommendation:</w:t>
      </w:r>
      <w:r>
        <w:t xml:space="preserve"> </w:t>
      </w:r>
      <w:r>
        <w:t xml:space="preserve">Consider a notice-to-sponsor obligation (requiring Greenleaf to notify Ridgeway of material disputes) and, if desired, a limited non-party observation right. Do not create an intervention right that would complicate the arbitration. This is the lowest priority of the Medium items.</w:t>
      </w:r>
    </w:p>
    <w:bookmarkEnd w:id="49"/>
    <w:bookmarkEnd w:id="50"/>
    <w:bookmarkStart w:id="57" w:name="vii.-low-issues"/>
    <w:p>
      <w:pPr>
        <w:pStyle w:val="Heading2"/>
      </w:pPr>
      <w:r>
        <w:t xml:space="preserve">VII. Low Issues</w:t>
      </w:r>
    </w:p>
    <w:bookmarkStart w:id="51" w:name="X6ec472003e9ef4e700d1d10c877cf07f58ec1d4"/>
    <w:p>
      <w:pPr>
        <w:pStyle w:val="Heading3"/>
      </w:pPr>
      <w:r>
        <w:t xml:space="preserve">L1. QA Side Letter expert-independence standard may be impractical for a niche field</w:t>
      </w:r>
    </w:p>
    <w:p>
      <w:pPr>
        <w:pStyle w:val="FirstParagraph"/>
      </w:pPr>
      <w:r>
        <w:rPr>
          <w:b/>
          <w:bCs/>
        </w:rPr>
        <w:t xml:space="preserve">Severity: Low</w:t>
      </w:r>
    </w:p>
    <w:p>
      <w:pPr>
        <w:pStyle w:val="BodyText"/>
      </w:pPr>
      <w:r>
        <w:rPr>
          <w:b/>
          <w:bCs/>
        </w:rPr>
        <w:t xml:space="preserve">Provision(s):</w:t>
      </w:r>
      <w:r>
        <w:t xml:space="preserve"> </w:t>
      </w:r>
      <w:r>
        <w:t xml:space="preserve">QA Side Letter § 7.1.</w:t>
      </w:r>
    </w:p>
    <w:p>
      <w:pPr>
        <w:pStyle w:val="BodyText"/>
      </w:pPr>
      <w:r>
        <w:rPr>
          <w:b/>
          <w:bCs/>
        </w:rPr>
        <w:t xml:space="preserve">Issue:</w:t>
      </w:r>
      <w:r>
        <w:t xml:space="preserve"> </w:t>
      </w:r>
      <w:r>
        <w:t xml:space="preserve">§ 7.1 requires the Expert to</w:t>
      </w:r>
      <w:r>
        <w:t xml:space="preserve"> </w:t>
      </w:r>
      <w:r>
        <w:t xml:space="preserve">“</w:t>
      </w:r>
      <w:r>
        <w:t xml:space="preserve">not have any current or prior relationship with either Party or their respective affiliates, counsel, or testing laboratories.</w:t>
      </w:r>
      <w:r>
        <w:t xml:space="preserve">”</w:t>
      </w:r>
    </w:p>
    <w:p>
      <w:pPr>
        <w:pStyle w:val="BodyText"/>
      </w:pPr>
      <w:r>
        <w:rPr>
          <w:b/>
          <w:bCs/>
        </w:rPr>
        <w:t xml:space="preserve">Analysis:</w:t>
      </w:r>
      <w:r>
        <w:t xml:space="preserve"> </w:t>
      </w:r>
      <w:r>
        <w:t xml:space="preserve">Botanical extract manufacturing, analytical chemistry, and dietary-supplement quality assurance is a relatively small field. A</w:t>
      </w:r>
      <w:r>
        <w:t xml:space="preserve"> </w:t>
      </w:r>
      <w:r>
        <w:t xml:space="preserve">“</w:t>
      </w:r>
      <w:r>
        <w:t xml:space="preserve">no prior relationship… with… testing laboratories</w:t>
      </w:r>
      <w:r>
        <w:t xml:space="preserve">”</w:t>
      </w:r>
      <w:r>
        <w:t xml:space="preserve"> </w:t>
      </w:r>
      <w:r>
        <w:t xml:space="preserve">standard, applied strictly, could make it difficult to appoint a genuinely qualified expert who has never interacted with either party’s testing labs. An overly strict standard risks appointment deadlock and SIAC appointment delays.</w:t>
      </w:r>
    </w:p>
    <w:p>
      <w:pPr>
        <w:pStyle w:val="BodyText"/>
      </w:pPr>
      <w:r>
        <w:rPr>
          <w:b/>
          <w:bCs/>
        </w:rPr>
        <w:t xml:space="preserve">Recommendation:</w:t>
      </w:r>
      <w:r>
        <w:t xml:space="preserve"> </w:t>
      </w:r>
      <w:r>
        <w:t xml:space="preserve">Soften to a requirement that the Expert be independent and impartial, disclose any past or present relationship with the Parties or their affiliates/counsel/labs, and be disqualifiable only for actual conflict — rather than an absolute</w:t>
      </w:r>
      <w:r>
        <w:t xml:space="preserve"> </w:t>
      </w:r>
      <w:r>
        <w:t xml:space="preserve">“</w:t>
      </w:r>
      <w:r>
        <w:t xml:space="preserve">no prior relationship</w:t>
      </w:r>
      <w:r>
        <w:t xml:space="preserve">”</w:t>
      </w:r>
      <w:r>
        <w:t xml:space="preserve"> </w:t>
      </w:r>
      <w:r>
        <w:t xml:space="preserve">bar.</w:t>
      </w:r>
    </w:p>
    <w:bookmarkEnd w:id="51"/>
    <w:bookmarkStart w:id="52" w:name="X62e7209aa5ef3ce051a29424994098e3c3f8a7f"/>
    <w:p>
      <w:pPr>
        <w:pStyle w:val="Heading3"/>
      </w:pPr>
      <w:r>
        <w:t xml:space="preserve">L2. IPLA specifies the seat (London) but not the hearing venue</w:t>
      </w:r>
    </w:p>
    <w:p>
      <w:pPr>
        <w:pStyle w:val="FirstParagraph"/>
      </w:pPr>
      <w:r>
        <w:rPr>
          <w:b/>
          <w:bCs/>
        </w:rPr>
        <w:t xml:space="preserve">Severity: Low</w:t>
      </w:r>
    </w:p>
    <w:p>
      <w:pPr>
        <w:pStyle w:val="BodyText"/>
      </w:pPr>
      <w:r>
        <w:rPr>
          <w:b/>
          <w:bCs/>
        </w:rPr>
        <w:t xml:space="preserve">Provision(s):</w:t>
      </w:r>
      <w:r>
        <w:t xml:space="preserve"> </w:t>
      </w:r>
      <w:r>
        <w:t xml:space="preserve">IPLA § 9.1.</w:t>
      </w:r>
    </w:p>
    <w:p>
      <w:pPr>
        <w:pStyle w:val="BodyText"/>
      </w:pPr>
      <w:r>
        <w:rPr>
          <w:b/>
          <w:bCs/>
        </w:rPr>
        <w:t xml:space="preserve">Issue:</w:t>
      </w:r>
      <w:r>
        <w:t xml:space="preserve"> </w:t>
      </w:r>
      <w:r>
        <w:t xml:space="preserve">IPLA § 9.1 fixes the seat as London but does not specify a hearing venue (unlike SA § 14.2, which fixes London as the venue).</w:t>
      </w:r>
    </w:p>
    <w:p>
      <w:pPr>
        <w:pStyle w:val="BodyText"/>
      </w:pPr>
      <w:r>
        <w:rPr>
          <w:b/>
          <w:bCs/>
        </w:rPr>
        <w:t xml:space="preserve">Analysis:</w:t>
      </w:r>
      <w:r>
        <w:t xml:space="preserve"> </w:t>
      </w:r>
      <w:r>
        <w:t xml:space="preserve">Minor. The LCIA Rules default the venue to the seat (London) absent party agreement, so this is not a material gap, but specifying it would improve consistency with the SA’s drafting style.</w:t>
      </w:r>
    </w:p>
    <w:p>
      <w:pPr>
        <w:pStyle w:val="BodyText"/>
      </w:pPr>
      <w:r>
        <w:rPr>
          <w:b/>
          <w:bCs/>
        </w:rPr>
        <w:t xml:space="preserve">Recommendation:</w:t>
      </w:r>
      <w:r>
        <w:t xml:space="preserve"> </w:t>
      </w:r>
      <w:r>
        <w:t xml:space="preserve">Specify the hearing venue in the IPLA (London, consistent with the seat) for consistency, or leave to LCIA default if harmonizing to a single seat under C1.</w:t>
      </w:r>
    </w:p>
    <w:bookmarkEnd w:id="52"/>
    <w:bookmarkStart w:id="53" w:name="X52bdf1bf992e716ee6095d455778c84f4cda998"/>
    <w:p>
      <w:pPr>
        <w:pStyle w:val="Heading3"/>
      </w:pPr>
      <w:r>
        <w:t xml:space="preserve">L3. Indemnification procedures (SA § 10.3) control third-party claim defense in court while direct disputes go to arbitration</w:t>
      </w:r>
    </w:p>
    <w:p>
      <w:pPr>
        <w:pStyle w:val="FirstParagraph"/>
      </w:pPr>
      <w:r>
        <w:rPr>
          <w:b/>
          <w:bCs/>
        </w:rPr>
        <w:t xml:space="preserve">Severity: Low</w:t>
      </w:r>
    </w:p>
    <w:p>
      <w:pPr>
        <w:pStyle w:val="BodyText"/>
      </w:pPr>
      <w:r>
        <w:rPr>
          <w:b/>
          <w:bCs/>
        </w:rPr>
        <w:t xml:space="preserve">Provision(s):</w:t>
      </w:r>
      <w:r>
        <w:t xml:space="preserve"> </w:t>
      </w:r>
      <w:r>
        <w:t xml:space="preserve">SA § 10.3; SA § 14.8.</w:t>
      </w:r>
    </w:p>
    <w:p>
      <w:pPr>
        <w:pStyle w:val="BodyText"/>
      </w:pPr>
      <w:r>
        <w:rPr>
          <w:b/>
          <w:bCs/>
        </w:rPr>
        <w:t xml:space="preserve">Issue:</w:t>
      </w:r>
      <w:r>
        <w:t xml:space="preserve"> </w:t>
      </w:r>
      <w:r>
        <w:t xml:space="preserve">SA § 10.3 governs the defense of third-party claims under the indemnification provisions (court-based defense control, settlement-consent rights). Direct Party-to-Party disputes go to arbitration under Article 14.</w:t>
      </w:r>
    </w:p>
    <w:p>
      <w:pPr>
        <w:pStyle w:val="BodyText"/>
      </w:pPr>
      <w:r>
        <w:rPr>
          <w:b/>
          <w:bCs/>
        </w:rPr>
        <w:t xml:space="preserve">Analysis:</w:t>
      </w:r>
      <w:r>
        <w:t xml:space="preserve"> </w:t>
      </w:r>
      <w:r>
        <w:t xml:space="preserve">There is a potential court/arbitration split: third-party claim defense is managed under § 10.3 (court), while the indemnification obligation itself (if disputed) is arbitrated under Article 14. The § 14.8 loser-pays fee-shifting may also interact with the § 10.3</w:t>
      </w:r>
      <w:r>
        <w:t xml:space="preserve"> </w:t>
      </w:r>
      <w:r>
        <w:t xml:space="preserve">“</w:t>
      </w:r>
      <w:r>
        <w:t xml:space="preserve">reasonable attorneys’ fees</w:t>
      </w:r>
      <w:r>
        <w:t xml:space="preserve">”</w:t>
      </w:r>
      <w:r>
        <w:t xml:space="preserve"> </w:t>
      </w:r>
      <w:r>
        <w:t xml:space="preserve">indemnity to create potential double-recovery or allocation questions. This is a minor structural point.</w:t>
      </w:r>
    </w:p>
    <w:p>
      <w:pPr>
        <w:pStyle w:val="BodyText"/>
      </w:pPr>
      <w:r>
        <w:rPr>
          <w:b/>
          <w:bCs/>
        </w:rPr>
        <w:t xml:space="preserve">Recommendation:</w:t>
      </w:r>
      <w:r>
        <w:t xml:space="preserve"> </w:t>
      </w:r>
      <w:r>
        <w:t xml:space="preserve">Add a clarifying sentence stating that Article 14 governs any dispute about the existence or scope of indemnification obligations, while § 10.3 governs the conduct of third-party claim defense, and that fee awards under § 14.8 and indemnity fee coverage under § 10.3 are not duplicative.</w:t>
      </w:r>
    </w:p>
    <w:bookmarkEnd w:id="53"/>
    <w:bookmarkStart w:id="54" w:name="Xb8ddb7455c9854a0ae0015fa7c0cc674ad05605"/>
    <w:p>
      <w:pPr>
        <w:pStyle w:val="Heading3"/>
      </w:pPr>
      <w:r>
        <w:t xml:space="preserve">L4. Co-manufacturing agreements use North Carolina state-court forums, compounding the joinder problem</w:t>
      </w:r>
    </w:p>
    <w:p>
      <w:pPr>
        <w:pStyle w:val="FirstParagraph"/>
      </w:pPr>
      <w:r>
        <w:rPr>
          <w:b/>
          <w:bCs/>
        </w:rPr>
        <w:t xml:space="preserve">Severity: Low (documented; addressed via C5 recommendation)</w:t>
      </w:r>
    </w:p>
    <w:p>
      <w:pPr>
        <w:pStyle w:val="BodyText"/>
      </w:pPr>
      <w:r>
        <w:rPr>
          <w:b/>
          <w:bCs/>
        </w:rPr>
        <w:t xml:space="preserve">Provision(s):</w:t>
      </w:r>
      <w:r>
        <w:t xml:space="preserve"> </w:t>
      </w:r>
      <w:r>
        <w:t xml:space="preserve">Greenleaf Emails (Heller).</w:t>
      </w:r>
    </w:p>
    <w:p>
      <w:pPr>
        <w:pStyle w:val="BodyText"/>
      </w:pPr>
      <w:r>
        <w:rPr>
          <w:b/>
          <w:bCs/>
        </w:rPr>
        <w:t xml:space="preserve">Issue:</w:t>
      </w:r>
      <w:r>
        <w:t xml:space="preserve"> </w:t>
      </w:r>
      <w:r>
        <w:t xml:space="preserve">Greenleaf’s existing co-manufacturing arrangements are governed by standard purchase orders with North Carolina choice-of-law and forum-selection clauses for North Carolina state court (Mecklenburg County Superior Court).</w:t>
      </w:r>
    </w:p>
    <w:p>
      <w:pPr>
        <w:pStyle w:val="BodyText"/>
      </w:pPr>
      <w:r>
        <w:rPr>
          <w:b/>
          <w:bCs/>
        </w:rPr>
        <w:t xml:space="preserve">Analysis:</w:t>
      </w:r>
      <w:r>
        <w:t xml:space="preserve"> </w:t>
      </w:r>
      <w:r>
        <w:t xml:space="preserve">Even if the arbitration clauses in the three transaction documents are harmonized, the co-manufacturers remain in a different forum (NC state court) unless their agreements are conformed. This is a documented fact that compounds the C5 joinder problem and requires action outside the four corners of the three transaction documents.</w:t>
      </w:r>
    </w:p>
    <w:p>
      <w:pPr>
        <w:pStyle w:val="BodyText"/>
      </w:pPr>
      <w:r>
        <w:rPr>
          <w:b/>
          <w:bCs/>
        </w:rPr>
        <w:t xml:space="preserve">Recommendation:</w:t>
      </w:r>
      <w:r>
        <w:t xml:space="preserve"> </w:t>
      </w:r>
      <w:r>
        <w:t xml:space="preserve">As part of the C5 fix, Greenleaf should require its co-manufacturing agreements (existing and new, including the Q1 2026 co-manufacturer) to adopt arbitration clauses compatible with the harmonized forum adopted under C1, or at minimum forum-selection clauses that permit consolidation with the principal arbitration.</w:t>
      </w:r>
    </w:p>
    <w:bookmarkEnd w:id="54"/>
    <w:bookmarkStart w:id="55" w:name="Xba2b8d4ee0bd5b994e029edba067c51c367cf98"/>
    <w:p>
      <w:pPr>
        <w:pStyle w:val="Heading3"/>
      </w:pPr>
      <w:r>
        <w:t xml:space="preserve">L5. SA § 14.2 seat/venue split (Singapore seat, London hearings) — convenience and harmonization implications</w:t>
      </w:r>
    </w:p>
    <w:p>
      <w:pPr>
        <w:pStyle w:val="FirstParagraph"/>
      </w:pPr>
      <w:r>
        <w:rPr>
          <w:b/>
          <w:bCs/>
        </w:rPr>
        <w:t xml:space="preserve">Severity: Low</w:t>
      </w:r>
    </w:p>
    <w:p>
      <w:pPr>
        <w:pStyle w:val="BodyText"/>
      </w:pPr>
      <w:r>
        <w:rPr>
          <w:b/>
          <w:bCs/>
        </w:rPr>
        <w:t xml:space="preserve">Provision(s):</w:t>
      </w:r>
      <w:r>
        <w:t xml:space="preserve"> </w:t>
      </w:r>
      <w:r>
        <w:t xml:space="preserve">SA § 14.2; HG Memo Part III.A.</w:t>
      </w:r>
    </w:p>
    <w:p>
      <w:pPr>
        <w:pStyle w:val="BodyText"/>
      </w:pPr>
      <w:r>
        <w:rPr>
          <w:b/>
          <w:bCs/>
        </w:rPr>
        <w:t xml:space="preserve">Issue:</w:t>
      </w:r>
      <w:r>
        <w:t xml:space="preserve"> </w:t>
      </w:r>
      <w:r>
        <w:t xml:space="preserve">SA § 14.2 fixes the juridical seat as Singapore but the hearing venue as London, England. The HG Memo (Part III.A) defends the split, stating London is</w:t>
      </w:r>
      <w:r>
        <w:t xml:space="preserve"> </w:t>
      </w:r>
      <w:r>
        <w:t xml:space="preserve">“</w:t>
      </w:r>
      <w:r>
        <w:t xml:space="preserve">approximately equidistant</w:t>
      </w:r>
      <w:r>
        <w:t xml:space="preserve">”</w:t>
      </w:r>
      <w:r>
        <w:t xml:space="preserve"> </w:t>
      </w:r>
      <w:r>
        <w:t xml:space="preserve">between Charlotte and Singapore and offers world-class facilities.</w:t>
      </w:r>
    </w:p>
    <w:p>
      <w:pPr>
        <w:pStyle w:val="BodyText"/>
      </w:pPr>
      <w:r>
        <w:rPr>
          <w:b/>
          <w:bCs/>
        </w:rPr>
        <w:t xml:space="preserve">Analysis:</w:t>
      </w:r>
      <w:r>
        <w:t xml:space="preserve"> </w:t>
      </w:r>
      <w:r>
        <w:t xml:space="preserve">The seat/venue distinction is a routine and generally unobjectionable feature of international arbitration (the seat fixes curial law and supervisory jurisdiction; the venue is a practical hearing location), and the Greenleaf Emails do not flag it as a concern — Heller states the Singapore seat is</w:t>
      </w:r>
      <w:r>
        <w:t xml:space="preserve"> </w:t>
      </w:r>
      <w:r>
        <w:t xml:space="preserve">“</w:t>
      </w:r>
      <w:r>
        <w:t xml:space="preserve">not a dealbreaker.</w:t>
      </w:r>
      <w:r>
        <w:t xml:space="preserve">”</w:t>
      </w:r>
      <w:r>
        <w:t xml:space="preserve"> </w:t>
      </w:r>
      <w:r>
        <w:t xml:space="preserve">Two minor points nonetheless warrant noting. First, London hearings impose transatlantic travel and cost on Greenleaf (a U.S. buyer) for every oral hearing, with no obvious offsetting benefit once the seat is Singapore; a Singapore or U.S. venue would be more convenient for Greenleaf. Second, if the parties harmonize to a single seat under C1 (e.g., Singapore), the London venue becomes anomalous and should be conformed to the harmonized seat to avoid a residual seat/venue mismatch across the suite. The HG Memo’s</w:t>
      </w:r>
      <w:r>
        <w:t xml:space="preserve"> </w:t>
      </w:r>
      <w:r>
        <w:t xml:space="preserve">“</w:t>
      </w:r>
      <w:r>
        <w:t xml:space="preserve">equidistant</w:t>
      </w:r>
      <w:r>
        <w:t xml:space="preserve">”</w:t>
      </w:r>
      <w:r>
        <w:t xml:space="preserve"> </w:t>
      </w:r>
      <w:r>
        <w:t xml:space="preserve">rationale is also geographically loose (London is not in fact equidistant between Charlotte and Singapore).</w:t>
      </w:r>
    </w:p>
    <w:p>
      <w:pPr>
        <w:pStyle w:val="BodyText"/>
      </w:pPr>
      <w:r>
        <w:rPr>
          <w:b/>
          <w:bCs/>
        </w:rPr>
        <w:t xml:space="preserve">Recommendation:</w:t>
      </w:r>
      <w:r>
        <w:t xml:space="preserve"> </w:t>
      </w:r>
      <w:r>
        <w:t xml:space="preserve">If harmonizing to a Singapore seat (C1), set the hearing venue in Singapore (or leave it to the tribunal’s discretion) and conform across all three documents. If the London venue is retained, acknowledge the incremental cost to Greenleaf and consider a cost-shifting adjustment for hearing-related travel in the cost-allocation provision (H6).</w:t>
      </w:r>
    </w:p>
    <w:bookmarkEnd w:id="55"/>
    <w:bookmarkStart w:id="56" w:name="Xd5f6dad9e1fa1906104d7229fc56c252aba0c51"/>
    <w:p>
      <w:pPr>
        <w:pStyle w:val="Heading3"/>
      </w:pPr>
      <w:r>
        <w:t xml:space="preserve">L6. SA contains no language-of-arbitration provision (IPLA and QA Side Letter specify English)</w:t>
      </w:r>
    </w:p>
    <w:p>
      <w:pPr>
        <w:pStyle w:val="FirstParagraph"/>
      </w:pPr>
      <w:r>
        <w:rPr>
          <w:b/>
          <w:bCs/>
        </w:rPr>
        <w:t xml:space="preserve">Severity: Low</w:t>
      </w:r>
    </w:p>
    <w:p>
      <w:pPr>
        <w:pStyle w:val="BodyText"/>
      </w:pPr>
      <w:r>
        <w:rPr>
          <w:b/>
          <w:bCs/>
        </w:rPr>
        <w:t xml:space="preserve">Provision(s):</w:t>
      </w:r>
      <w:r>
        <w:t xml:space="preserve"> </w:t>
      </w:r>
      <w:r>
        <w:t xml:space="preserve">SA Art. 14 (no language clause); IPLA § 9.1 (English); QA Side Letter § 7.2 (English).</w:t>
      </w:r>
    </w:p>
    <w:p>
      <w:pPr>
        <w:pStyle w:val="BodyText"/>
      </w:pPr>
      <w:r>
        <w:rPr>
          <w:b/>
          <w:bCs/>
        </w:rPr>
        <w:t xml:space="preserve">Issue:</w:t>
      </w:r>
      <w:r>
        <w:t xml:space="preserve"> </w:t>
      </w:r>
      <w:r>
        <w:t xml:space="preserve">The SA’s Article 14 does not specify the language of the arbitration. By contrast, IPLA § 9.1 expressly provides that</w:t>
      </w:r>
      <w:r>
        <w:t xml:space="preserve"> </w:t>
      </w:r>
      <w:r>
        <w:t xml:space="preserve">“</w:t>
      </w:r>
      <w:r>
        <w:t xml:space="preserve">[t]he language of the arbitration shall be English,</w:t>
      </w:r>
      <w:r>
        <w:t xml:space="preserve">”</w:t>
      </w:r>
      <w:r>
        <w:t xml:space="preserve"> </w:t>
      </w:r>
      <w:r>
        <w:t xml:space="preserve">and QA Side Letter § 7.2 likewise provides that</w:t>
      </w:r>
      <w:r>
        <w:t xml:space="preserve"> </w:t>
      </w:r>
      <w:r>
        <w:t xml:space="preserve">“</w:t>
      </w:r>
      <w:r>
        <w:t xml:space="preserve">[t]he language of the arbitration shall be English.</w:t>
      </w:r>
      <w:r>
        <w:t xml:space="preserve">”</w:t>
      </w:r>
    </w:p>
    <w:p>
      <w:pPr>
        <w:pStyle w:val="BodyText"/>
      </w:pPr>
      <w:r>
        <w:rPr>
          <w:b/>
          <w:bCs/>
        </w:rPr>
        <w:t xml:space="preserve">Analysis:</w:t>
      </w:r>
      <w:r>
        <w:t xml:space="preserve"> </w:t>
      </w:r>
      <w:r>
        <w:t xml:space="preserve">This is a drafting gap and a cross-document inconsistency. Under the ICC Rules (Article 23), absent party agreement the arbitral tribunal determines the language of the arbitration, so the SA’s silence leaves language to the tribunal’s discretion rather than fixing it by agreement. In practice the tribunal would almost certainly select English (the contract is in English; the parties are U.S. and Singapore-based), so the practical risk is low — but the omission is an avoidable inconsistency across an otherwise detailed Article 14, and it leaves a procedural variable open that the other two documents close.</w:t>
      </w:r>
    </w:p>
    <w:p>
      <w:pPr>
        <w:pStyle w:val="BodyText"/>
      </w:pPr>
      <w:r>
        <w:rPr>
          <w:b/>
          <w:bCs/>
        </w:rPr>
        <w:t xml:space="preserve">Recommendation:</w:t>
      </w:r>
      <w:r>
        <w:t xml:space="preserve"> </w:t>
      </w:r>
      <w:r>
        <w:t xml:space="preserve">Add an express language-of-arbitration clause to SA Article 14 (English), conforming to the IPLA and QA Side Letter, and apply the same language specification uniformly across the harmonized suite.</w:t>
      </w:r>
    </w:p>
    <w:bookmarkEnd w:id="56"/>
    <w:bookmarkEnd w:id="57"/>
    <w:bookmarkStart w:id="58" w:name="viii.-cross-cutting-recommendations"/>
    <w:p>
      <w:pPr>
        <w:pStyle w:val="Heading2"/>
      </w:pPr>
      <w:r>
        <w:t xml:space="preserve">VIII. Cross-Cutting Recommendations</w:t>
      </w:r>
    </w:p>
    <w:p>
      <w:pPr>
        <w:pStyle w:val="FirstParagraph"/>
      </w:pPr>
      <w:r>
        <w:t xml:space="preserve">The issues above are interrelated; resolving them piecemeal will leave seams. The following cross-cutting reforms address the root architecture:</w:t>
      </w:r>
    </w:p>
    <w:p>
      <w:pPr>
        <w:numPr>
          <w:ilvl w:val="0"/>
          <w:numId w:val="1002"/>
        </w:numPr>
      </w:pPr>
      <w:r>
        <w:rPr>
          <w:b/>
          <w:bCs/>
        </w:rPr>
        <w:t xml:space="preserve">Adopt a single arbitral institution and seat across all three documents.</w:t>
      </w:r>
      <w:r>
        <w:t xml:space="preserve"> </w:t>
      </w:r>
      <w:r>
        <w:t xml:space="preserve">SIAC with a Singapore seat is the most defensible compromise (aligns with Pacifica’s preference and the QA Side Letter’s existing mechanism; Singapore is a New York Convention signatory with a Model Law regime). Alternatively, ICC with a Singapore seat preserves the SA’s framework. This single change resolves C1, materially advances C2, and enables clean resolution of C3, C4, H4, H6, and H7. Fold the QA Side Letter expert-determination tier into (or expressly subordinate it to) the unified track so it does not operate as a free-standing fourth forum. (C1)</w:t>
      </w:r>
    </w:p>
    <w:p>
      <w:pPr>
        <w:numPr>
          <w:ilvl w:val="0"/>
          <w:numId w:val="1002"/>
        </w:numPr>
      </w:pPr>
      <w:r>
        <w:rPr>
          <w:b/>
          <w:bCs/>
        </w:rPr>
        <w:t xml:space="preserve">Adopt a single governing law across all three documents.</w:t>
      </w:r>
      <w:r>
        <w:t xml:space="preserve"> </w:t>
      </w:r>
      <w:r>
        <w:t xml:space="preserve">New York law is preferred (UCC applicability; Greenleaf’s U.S. operations; already selected for the SA). Singapore law is the fallback. English law for the IPLA should be reconsidered given the U.S. territorial focus of the license. (C2)</w:t>
      </w:r>
    </w:p>
    <w:p>
      <w:pPr>
        <w:numPr>
          <w:ilvl w:val="0"/>
          <w:numId w:val="1002"/>
        </w:numPr>
      </w:pPr>
      <w:r>
        <w:rPr>
          <w:b/>
          <w:bCs/>
        </w:rPr>
        <w:t xml:space="preserve">Replace the three conflicting hierarchy clauses with one unified, identically worded conflict-priority provision</w:t>
      </w:r>
      <w:r>
        <w:t xml:space="preserve"> </w:t>
      </w:r>
      <w:r>
        <w:t xml:space="preserve">that specifies document precedence and expressly governs multi-document disputes. Eliminate any basis for a competence challenge. (C3, C4, H4)</w:t>
      </w:r>
    </w:p>
    <w:p>
      <w:pPr>
        <w:numPr>
          <w:ilvl w:val="0"/>
          <w:numId w:val="1002"/>
        </w:numPr>
      </w:pPr>
      <w:r>
        <w:rPr>
          <w:b/>
          <w:bCs/>
        </w:rPr>
        <w:t xml:space="preserve">Add a multi-party joinder/consolidation mechanism</w:t>
      </w:r>
      <w:r>
        <w:t xml:space="preserve"> </w:t>
      </w:r>
      <w:r>
        <w:t xml:space="preserve">(consent-to-joinder for Affiliates and specified co-manufacturers, or a court-litigation carve-out for disputes requiring non-signatories), and require Greenleaf’s co-manufacturing agreements to adopt compatible arbitration clauses. (C5, L4)</w:t>
      </w:r>
    </w:p>
    <w:p>
      <w:pPr>
        <w:numPr>
          <w:ilvl w:val="0"/>
          <w:numId w:val="1002"/>
        </w:numPr>
      </w:pPr>
      <w:r>
        <w:rPr>
          <w:b/>
          <w:bCs/>
        </w:rPr>
        <w:t xml:space="preserve">Restructure the consequential damages waiver</w:t>
      </w:r>
      <w:r>
        <w:t xml:space="preserve"> </w:t>
      </w:r>
      <w:r>
        <w:t xml:space="preserve">with carve-outs for recall costs, lost profits from supply failure, and third-party claims (or replace with a cap), and conform QA Side Letter § 6.6 and the IPLA § 8.3 regime. (C6, H3)</w:t>
      </w:r>
    </w:p>
    <w:p>
      <w:pPr>
        <w:numPr>
          <w:ilvl w:val="0"/>
          <w:numId w:val="1002"/>
        </w:numPr>
      </w:pPr>
      <w:r>
        <w:rPr>
          <w:b/>
          <w:bCs/>
        </w:rPr>
        <w:t xml:space="preserve">Replace the blanket discovery bar with a limited IBA-Rules document-production protocol</w:t>
      </w:r>
      <w:r>
        <w:t xml:space="preserve"> </w:t>
      </w:r>
      <w:r>
        <w:t xml:space="preserve">plus a robust confidentiality/protective-order regime. (C7)</w:t>
      </w:r>
    </w:p>
    <w:p>
      <w:pPr>
        <w:numPr>
          <w:ilvl w:val="0"/>
          <w:numId w:val="1002"/>
        </w:numPr>
      </w:pPr>
      <w:r>
        <w:rPr>
          <w:b/>
          <w:bCs/>
        </w:rPr>
        <w:t xml:space="preserve">Delete the SA § 14.6 appeal-on-questions-of-law mechanism</w:t>
      </w:r>
      <w:r>
        <w:t xml:space="preserve"> </w:t>
      </w:r>
      <w:r>
        <w:t xml:space="preserve">(likely unenforceable under Singapore curial law; undermines finality; pathological-clause risk). (H1)</w:t>
      </w:r>
    </w:p>
    <w:p>
      <w:pPr>
        <w:numPr>
          <w:ilvl w:val="0"/>
          <w:numId w:val="1002"/>
        </w:numPr>
      </w:pPr>
      <w:r>
        <w:rPr>
          <w:b/>
          <w:bCs/>
        </w:rPr>
        <w:t xml:space="preserve">Reform the limitation period</w:t>
      </w:r>
      <w:r>
        <w:t xml:space="preserve"> </w:t>
      </w:r>
      <w:r>
        <w:t xml:space="preserve">(lengthen to at least two years; reconcile with SA § 7.3 and QA Side Letter § 5.1; apply uniformly across all three documents). (H2, M5)</w:t>
      </w:r>
    </w:p>
    <w:p>
      <w:pPr>
        <w:numPr>
          <w:ilvl w:val="0"/>
          <w:numId w:val="1002"/>
        </w:numPr>
      </w:pPr>
      <w:r>
        <w:rPr>
          <w:b/>
          <w:bCs/>
        </w:rPr>
        <w:t xml:space="preserve">Add interim-relief and emergency-arbitrator provisions to the IPLA and QA Side Letter</w:t>
      </w:r>
      <w:r>
        <w:t xml:space="preserve">, mirroring SA § 14.7, and clarify that the QA Side Letter’s</w:t>
      </w:r>
      <w:r>
        <w:t xml:space="preserve"> </w:t>
      </w:r>
      <w:r>
        <w:t xml:space="preserve">“</w:t>
      </w:r>
      <w:r>
        <w:t xml:space="preserve">exclusive</w:t>
      </w:r>
      <w:r>
        <w:t xml:space="preserve">”</w:t>
      </w:r>
      <w:r>
        <w:t xml:space="preserve"> </w:t>
      </w:r>
      <w:r>
        <w:t xml:space="preserve">expert determination does not preclude provisional relief. (H5, M9)</w:t>
      </w:r>
    </w:p>
    <w:p>
      <w:pPr>
        <w:numPr>
          <w:ilvl w:val="0"/>
          <w:numId w:val="1002"/>
        </w:numPr>
      </w:pPr>
      <w:r>
        <w:rPr>
          <w:b/>
          <w:bCs/>
        </w:rPr>
        <w:t xml:space="preserve">Harmonize cost allocation and tribunal size</w:t>
      </w:r>
      <w:r>
        <w:t xml:space="preserve"> </w:t>
      </w:r>
      <w:r>
        <w:t xml:space="preserve">across all three documents. (H6, H7)</w:t>
      </w:r>
    </w:p>
    <w:p>
      <w:pPr>
        <w:numPr>
          <w:ilvl w:val="0"/>
          <w:numId w:val="1002"/>
        </w:numPr>
      </w:pPr>
      <w:r>
        <w:rPr>
          <w:b/>
          <w:bCs/>
        </w:rPr>
        <w:t xml:space="preserve">Add a pre-arbitration negotiation/mediation tier, arbitrator qualifications, and arbitration confidentiality</w:t>
      </w:r>
      <w:r>
        <w:t xml:space="preserve"> </w:t>
      </w:r>
      <w:r>
        <w:t xml:space="preserve">uniformly across the suite. (M2, M3, M4)</w:t>
      </w:r>
    </w:p>
    <w:p>
      <w:pPr>
        <w:numPr>
          <w:ilvl w:val="0"/>
          <w:numId w:val="1002"/>
        </w:numPr>
      </w:pPr>
      <w:r>
        <w:rPr>
          <w:b/>
          <w:bCs/>
        </w:rPr>
        <w:t xml:space="preserve">Add an express New York Convention / FAA enforcement reference and jurisdiction/venue waiver</w:t>
      </w:r>
      <w:r>
        <w:t xml:space="preserve"> </w:t>
      </w:r>
      <w:r>
        <w:t xml:space="preserve">to each arbitration clause. (M6)</w:t>
      </w:r>
    </w:p>
    <w:p>
      <w:pPr>
        <w:numPr>
          <w:ilvl w:val="0"/>
          <w:numId w:val="1002"/>
        </w:numPr>
      </w:pPr>
      <w:r>
        <w:rPr>
          <w:b/>
          <w:bCs/>
        </w:rPr>
        <w:t xml:space="preserve">Cure the expert-determination finality and escalation-threshold drafting</w:t>
      </w:r>
      <w:r>
        <w:t xml:space="preserve"> </w:t>
      </w:r>
      <w:r>
        <w:t xml:space="preserve">in QA Side Letter §§ 7.1–7.2. (M7, M8)</w:t>
      </w:r>
    </w:p>
    <w:p>
      <w:pPr>
        <w:numPr>
          <w:ilvl w:val="0"/>
          <w:numId w:val="1002"/>
        </w:numPr>
      </w:pPr>
      <w:r>
        <w:rPr>
          <w:b/>
          <w:bCs/>
        </w:rPr>
        <w:t xml:space="preserve">Conform procedural details across the suite</w:t>
      </w:r>
      <w:r>
        <w:t xml:space="preserve">: arbitration language (L6), hearing venue (L2, L5), and the SA § 14.4 governing-law fallback (M1). (L2, L5, L6, M1)</w:t>
      </w:r>
    </w:p>
    <w:bookmarkEnd w:id="58"/>
    <w:bookmarkStart w:id="59" w:name="ix.-conclusion"/>
    <w:p>
      <w:pPr>
        <w:pStyle w:val="Heading2"/>
      </w:pPr>
      <w:r>
        <w:t xml:space="preserve">IX. Conclusion</w:t>
      </w:r>
    </w:p>
    <w:p>
      <w:pPr>
        <w:pStyle w:val="FirstParagraph"/>
      </w:pPr>
      <w:r>
        <w:t xml:space="preserve">The dispute resolution architecture, as drafted, is internally fragmented and contains several defects that, in combination, create a material risk of parallel proceedings, inconsistent outcomes, enforceability challenges, and impaired recovery on Greenleaf’s most likely high-stakes claims (defective ingredient / recall). The most serious problems — the three-institution/three-law fragmentation (compounded by a fourth expert-determination procedural track), the conflicting hierarchy and consolidation clauses, the absence of a joinder mechanism, the consequential damages waiver, and the discovery bar — are interrelated and are best addressed by harmonizing the three documents to a single institution, seat, and governing law, with a unified hierarchy clause and a uniform damages/discovery/cost/limitation regime. The SA § 14.6 appeal mechanism should be deleted as likely unenforceable. Several of these issues (the pathological-clause risks in particular) directly threaten the enforceability priority that Greenleaf has identified as its threshold concern, and they echo the very kind of post-award challenge that delayed Pacifica 14 months (on an approximately $8.2M award) in its 2023 arbitration.</w:t>
      </w:r>
    </w:p>
    <w:p>
      <w:pPr>
        <w:pStyle w:val="BodyText"/>
      </w:pPr>
      <w:r>
        <w:t xml:space="preserve">The recommendations above are prioritized for the July 11, 2025 review deadline and the July 18, 2025 signing target. We are available to discuss any of these items and to assist in preparing redlines or a consolidated negotiating position.</w:t>
      </w:r>
    </w:p>
    <w:p>
      <w:r>
        <w:pict>
          <v:rect style="width:0;height:1.5pt" o:hralign="center" o:hrstd="t" o:hr="t"/>
        </w:pict>
      </w:r>
    </w:p>
    <w:p>
      <w:pPr>
        <w:pStyle w:val="FirstParagraph"/>
      </w:pPr>
      <w:r>
        <w:rPr>
          <w:i/>
          <w:iCs/>
        </w:rPr>
        <w:t xml:space="preserve">This memorandum is privileged and confidential, prepared in anticipation of negotiation of the Pacifica/Greenleaf transaction documents. It reflects review of the five documents identified in Part II and does not constitute an opinion on enforceability under any specific jurisdiction’s law, which should be confirmed by counsel licensed in the relevant jurisdiction (including New York, Singapore, and England &amp; Wales).</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2026-06-27T01:27:03Z</dcterms:created>
  <dcterms:modified xsi:type="dcterms:W3CDTF">2026-06-27T01:27:03Z</dcterms:modified>
</cp:coreProperties>
</file>

<file path=docProps/custom.xml><?xml version="1.0" encoding="utf-8"?>
<Properties xmlns="http://schemas.openxmlformats.org/officeDocument/2006/custom-properties" xmlns:vt="http://schemas.openxmlformats.org/officeDocument/2006/docPropsVTypes"/>
</file>