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PRIVILEGED AND CONFIDENTIAL — ATTORNEY WORK PRODUCT / PREPARED IN ANTICIPATION OF CHALLENGE PROCEEDINGS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Arbitration Challenge Assessment Team; Supervising Partner</w:t>
            </w:r>
          </w:p>
        </w:tc>
      </w:tr>
      <w:tr>
        <w:tc>
          <w:tcPr/>
          <w:p>
            <w:pPr>
              <w:pStyle w:val="Compact"/>
              <w:jc w:val="left"/>
            </w:pPr>
            <w:r>
              <w:rPr>
                <w:b/>
                <w:bCs/>
              </w:rPr>
              <w:t xml:space="preserve">FROM:</w:t>
            </w:r>
          </w:p>
        </w:tc>
        <w:tc>
          <w:tcPr/>
          <w:p>
            <w:pPr>
              <w:pStyle w:val="Compact"/>
              <w:jc w:val="left"/>
            </w:pPr>
            <w:r>
              <w:t xml:space="preserve">Challenge Assessment Team</w:t>
            </w:r>
          </w:p>
        </w:tc>
      </w:tr>
      <w:tr>
        <w:tc>
          <w:tcPr/>
          <w:p>
            <w:pPr>
              <w:pStyle w:val="Compact"/>
              <w:jc w:val="left"/>
            </w:pPr>
            <w:r>
              <w:rPr>
                <w:b/>
                <w:bCs/>
              </w:rPr>
              <w:t xml:space="preserve">DATE:</w:t>
            </w:r>
          </w:p>
        </w:tc>
        <w:tc>
          <w:tcPr/>
          <w:p>
            <w:pPr>
              <w:pStyle w:val="Compact"/>
              <w:jc w:val="left"/>
            </w:pPr>
            <w:r>
              <w:t xml:space="preserve">June 20, 2024</w:t>
            </w:r>
          </w:p>
        </w:tc>
      </w:tr>
      <w:tr>
        <w:tc>
          <w:tcPr/>
          <w:p>
            <w:pPr>
              <w:pStyle w:val="Compact"/>
              <w:jc w:val="left"/>
            </w:pPr>
            <w:r>
              <w:rPr>
                <w:b/>
                <w:bCs/>
              </w:rPr>
              <w:t xml:space="preserve">RE:</w:t>
            </w:r>
          </w:p>
        </w:tc>
        <w:tc>
          <w:tcPr/>
          <w:p>
            <w:pPr>
              <w:pStyle w:val="Compact"/>
              <w:jc w:val="left"/>
            </w:pPr>
            <w:r>
              <w:t xml:space="preserve">Assessment of Grounds for Challenge to Arbitrator Hon. Margaret R. Fairhaven (Ret.) — AAA Case No. 01-24-0003217,</w:t>
            </w:r>
            <w:r>
              <w:t xml:space="preserve"> </w:t>
            </w:r>
            <w:r>
              <w:rPr>
                <w:i/>
                <w:iCs/>
              </w:rPr>
              <w:t xml:space="preserve">Cascade Thermal Systems Inc. v. Whitmore Capital Partners LLC</w:t>
            </w:r>
          </w:p>
        </w:tc>
      </w:tr>
      <w:tr>
        <w:tc>
          <w:tcPr/>
          <w:p>
            <w:pPr>
              <w:pStyle w:val="Compact"/>
              <w:jc w:val="left"/>
            </w:pPr>
            <w:r>
              <w:rPr>
                <w:b/>
                <w:bCs/>
              </w:rPr>
              <w:t xml:space="preserve">SOURCES:</w:t>
            </w:r>
          </w:p>
        </w:tc>
        <w:tc>
          <w:tcPr/>
          <w:p>
            <w:pPr>
              <w:pStyle w:val="Compact"/>
              <w:jc w:val="left"/>
            </w:pPr>
            <w:r>
              <w:t xml:space="preserve">Arbitrator Disclosure Statement (June 17, 2024); Arbitration Demand and Statement of Claims (March 15, 2024); AAA Commercial Arbitration Rules excerpts; Entity and Relationship Profiles memorandum (June 19, 2024); Arbitrator Appointment Data (case-level, fee-summary, and pending-matters compilations)</w:t>
            </w:r>
          </w:p>
        </w:tc>
      </w:tr>
    </w:tbl>
    <w:p>
      <w:r>
        <w:pict>
          <v:rect style="width:0;height:1.5pt" o:hralign="center" o:hrstd="t" o:hr="t"/>
        </w:pict>
      </w:r>
    </w:p>
    <w:bookmarkStart w:id="20" w:name="i.-introduction-and-procedural-posture"/>
    <w:p>
      <w:pPr>
        <w:pStyle w:val="Heading2"/>
      </w:pPr>
      <w:r>
        <w:t xml:space="preserve">I. Introduction and Procedural Posture</w:t>
      </w:r>
    </w:p>
    <w:p>
      <w:pPr>
        <w:pStyle w:val="FirstParagraph"/>
      </w:pPr>
      <w:r>
        <w:t xml:space="preserve">This memorandum assesses potential grounds for challenge to the continued service of Hon. Margaret R. Fairhaven (Ret.) as Sole Arbitrator in the above-captioned matter. The assessment compares the arbitrator’s June 17, 2024 Arbitrator Disclosure Statement (the</w:t>
      </w:r>
      <w:r>
        <w:t xml:space="preserve"> </w:t>
      </w:r>
      <w:r>
        <w:t xml:space="preserve">“</w:t>
      </w:r>
      <w:r>
        <w:t xml:space="preserve">Disclosure</w:t>
      </w:r>
      <w:r>
        <w:t xml:space="preserve">”</w:t>
      </w:r>
      <w:r>
        <w:t xml:space="preserve">) against the contemporaneous source documents in the file, including the Arbitration Demand and Statement of Claims, the AAA Commercial Arbitration Rules excerpts, the Entity and Relationship Profiles memorandum (the</w:t>
      </w:r>
      <w:r>
        <w:t xml:space="preserve"> </w:t>
      </w:r>
      <w:r>
        <w:t xml:space="preserve">“</w:t>
      </w:r>
      <w:r>
        <w:t xml:space="preserve">Profiles Memo</w:t>
      </w:r>
      <w:r>
        <w:t xml:space="preserve">”</w:t>
      </w:r>
      <w:r>
        <w:t xml:space="preserve">), and the Arbitrator Appointment Data (the</w:t>
      </w:r>
      <w:r>
        <w:t xml:space="preserve"> </w:t>
      </w:r>
      <w:r>
        <w:t xml:space="preserve">“</w:t>
      </w:r>
      <w:r>
        <w:t xml:space="preserve">Appointment Data</w:t>
      </w:r>
      <w:r>
        <w:t xml:space="preserve">”</w:t>
      </w:r>
      <w:r>
        <w:t xml:space="preserve">).</w:t>
      </w:r>
    </w:p>
    <w:p>
      <w:pPr>
        <w:pStyle w:val="BodyText"/>
      </w:pPr>
      <w:r>
        <w:rPr>
          <w:b/>
          <w:bCs/>
        </w:rPr>
        <w:t xml:space="preserve">Procedural history.</w:t>
      </w:r>
      <w:r>
        <w:t xml:space="preserve"> </w:t>
      </w:r>
      <w:r>
        <w:t xml:space="preserve">The parties selected the arbitrator on June 3, 2024. During the AAA ranking process, Respondent Whitmore Capital Partners LLC ranked Judge Fairhaven as its</w:t>
      </w:r>
      <w:r>
        <w:t xml:space="preserve"> </w:t>
      </w:r>
      <w:r>
        <w:rPr>
          <w:b/>
          <w:bCs/>
        </w:rPr>
        <w:t xml:space="preserve">first</w:t>
      </w:r>
      <w:r>
        <w:t xml:space="preserve"> </w:t>
      </w:r>
      <w:r>
        <w:t xml:space="preserve">choice, and Claimant Cascade Thermal Systems Inc. ranked her</w:t>
      </w:r>
      <w:r>
        <w:t xml:space="preserve"> </w:t>
      </w:r>
      <w:r>
        <w:rPr>
          <w:b/>
          <w:bCs/>
        </w:rPr>
        <w:t xml:space="preserve">third</w:t>
      </w:r>
      <w:r>
        <w:t xml:space="preserve">. The AAA confirmed her appointment on June 10, 2024, and she submitted her Disclosure on June 17, 2024. Pursuant to AAA Commercial Arbitration Rule R-18(a), any challenge must be made by written notice to the AAA and the other party within</w:t>
      </w:r>
      <w:r>
        <w:t xml:space="preserve"> </w:t>
      </w:r>
      <w:r>
        <w:rPr>
          <w:b/>
          <w:bCs/>
        </w:rPr>
        <w:t xml:space="preserve">seven (7) calendar days</w:t>
      </w:r>
      <w:r>
        <w:t xml:space="preserve"> </w:t>
      </w:r>
      <w:r>
        <w:t xml:space="preserve">— i.e., by</w:t>
      </w:r>
      <w:r>
        <w:t xml:space="preserve"> </w:t>
      </w:r>
      <w:r>
        <w:rPr>
          <w:b/>
          <w:bCs/>
        </w:rPr>
        <w:t xml:space="preserve">June 24, 2024</w:t>
      </w:r>
      <w:r>
        <w:t xml:space="preserve"> </w:t>
      </w:r>
      <w:r>
        <w:t xml:space="preserve">— or within seven days after the circumstances giving rise to the challenge became known or should reasonably have become known, whichever is later.</w:t>
      </w:r>
    </w:p>
    <w:p>
      <w:pPr>
        <w:pStyle w:val="BodyText"/>
      </w:pPr>
      <w:r>
        <w:rPr>
          <w:b/>
          <w:bCs/>
        </w:rPr>
        <w:t xml:space="preserve">Overview of findings.</w:t>
      </w:r>
      <w:r>
        <w:t xml:space="preserve"> </w:t>
      </w:r>
      <w:r>
        <w:t xml:space="preserve">Our review identifies multiple disclosure deficiencies and undisclosed relationships. The arbitrator affirmatively disclosed three categories of relationship: (i) seven prior or pending arbitrations involving counsel for the parties; (ii) her shared advisory-board service with Ellen Wu of Barrow &amp; Thistlewood LLP at the Minnesota ADR Ethics Institute; and (iii) her institutional affiliation with the Lakeview Dispute Resolution Center. The source documents, however, reveal at least</w:t>
      </w:r>
      <w:r>
        <w:t xml:space="preserve"> </w:t>
      </w:r>
      <w:r>
        <w:rPr>
          <w:b/>
          <w:bCs/>
        </w:rPr>
        <w:t xml:space="preserve">seven material matters that were not disclosed or were incompletely disclosed</w:t>
      </w:r>
      <w:r>
        <w:t xml:space="preserve">, several of which create justifiable doubt as to the arbitrator’s impartiality or independence under Rule R-17 and may, if unaddressed, support a later motion to vacate any award under Section 10(a)(2) of the Federal Arbitration Act (</w:t>
      </w:r>
      <w:r>
        <w:t xml:space="preserve">“</w:t>
      </w:r>
      <w:r>
        <w:t xml:space="preserve">evident partiality</w:t>
      </w:r>
      <w:r>
        <w:t xml:space="preserve">”</w:t>
      </w:r>
      <w:r>
        <w:t xml:space="preserve">).</w:t>
      </w:r>
    </w:p>
    <w:p>
      <w:pPr>
        <w:pStyle w:val="BodyText"/>
      </w:pPr>
      <w:r>
        <w:t xml:space="preserve">A notable feature of this matter is that the grounds are</w:t>
      </w:r>
      <w:r>
        <w:t xml:space="preserve"> </w:t>
      </w:r>
      <w:r>
        <w:rPr>
          <w:b/>
          <w:bCs/>
        </w:rPr>
        <w:t xml:space="preserve">not unidirectional</w:t>
      </w:r>
      <w:r>
        <w:t xml:space="preserve">. Several undisclosed relationships and the arbitrator’s financial exposure are aligned with the</w:t>
      </w:r>
      <w:r>
        <w:t xml:space="preserve"> </w:t>
      </w:r>
      <w:r>
        <w:rPr>
          <w:b/>
          <w:bCs/>
        </w:rPr>
        <w:t xml:space="preserve">Respondent</w:t>
      </w:r>
      <w:r>
        <w:t xml:space="preserve"> </w:t>
      </w:r>
      <w:r>
        <w:t xml:space="preserve">and would support a challenge by the</w:t>
      </w:r>
      <w:r>
        <w:t xml:space="preserve"> </w:t>
      </w:r>
      <w:r>
        <w:rPr>
          <w:b/>
          <w:bCs/>
        </w:rPr>
        <w:t xml:space="preserve">Claimant</w:t>
      </w:r>
      <w:r>
        <w:t xml:space="preserve">; one undisclosed relationship — between the arbitrator’s spouse and the Claimant’s key expert witness — is aligned with the</w:t>
      </w:r>
      <w:r>
        <w:t xml:space="preserve"> </w:t>
      </w:r>
      <w:r>
        <w:rPr>
          <w:b/>
          <w:bCs/>
        </w:rPr>
        <w:t xml:space="preserve">Claimant</w:t>
      </w:r>
      <w:r>
        <w:t xml:space="preserve"> </w:t>
      </w:r>
      <w:r>
        <w:t xml:space="preserve">and would support a challenge by the</w:t>
      </w:r>
      <w:r>
        <w:t xml:space="preserve"> </w:t>
      </w:r>
      <w:r>
        <w:rPr>
          <w:b/>
          <w:bCs/>
        </w:rPr>
        <w:t xml:space="preserve">Respondent</w:t>
      </w:r>
      <w:r>
        <w:t xml:space="preserve">. This memorandum addresses all grounds so that the team can evaluate the strategic position of each party and the likelihood that the AAA will conclude the arbitrator cannot serve regardless of which party initiates the challenge.</w:t>
      </w:r>
    </w:p>
    <w:p>
      <w:r>
        <w:pict>
          <v:rect style="width:0;height:1.5pt" o:hralign="center" o:hrstd="t" o:hr="t"/>
        </w:pict>
      </w:r>
    </w:p>
    <w:bookmarkEnd w:id="20"/>
    <w:bookmarkStart w:id="25" w:name="ii.-governing-legal-standards"/>
    <w:p>
      <w:pPr>
        <w:pStyle w:val="Heading2"/>
      </w:pPr>
      <w:r>
        <w:t xml:space="preserve">II. Governing Legal Standards</w:t>
      </w:r>
    </w:p>
    <w:bookmarkStart w:id="21" w:name="a.-aaa-commercial-arbitration-rules"/>
    <w:p>
      <w:pPr>
        <w:pStyle w:val="Heading3"/>
      </w:pPr>
      <w:r>
        <w:t xml:space="preserve">A. AAA Commercial Arbitration Rules</w:t>
      </w:r>
    </w:p>
    <w:p>
      <w:pPr>
        <w:pStyle w:val="FirstParagraph"/>
      </w:pPr>
      <w:r>
        <w:rPr>
          <w:b/>
          <w:bCs/>
        </w:rPr>
        <w:t xml:space="preserve">Rule R-16 (Disclosure — General).</w:t>
      </w:r>
      <w:r>
        <w:t xml:space="preserve"> </w:t>
      </w:r>
      <w:r>
        <w:t xml:space="preserve">Any person appointed as arbitrator</w:t>
      </w:r>
      <w:r>
        <w:t xml:space="preserve"> </w:t>
      </w:r>
      <w:r>
        <w:t xml:space="preserve">“</w:t>
      </w:r>
      <w:r>
        <w:t xml:space="preserve">shall disclose to the AAA any circumstance likely to give rise to justifiable doubt as to the arbitrator’s impartiality or independence, including any bias or any financial or personal interest in the result of the arbitration, or any past or present relationship with the parties, their representatives, or their counsel.</w:t>
      </w:r>
      <w:r>
        <w:t xml:space="preserve">”</w:t>
      </w:r>
      <w:r>
        <w:t xml:space="preserve"> </w:t>
      </w:r>
      <w:r>
        <w:t xml:space="preserve">The obligation</w:t>
      </w:r>
      <w:r>
        <w:t xml:space="preserve"> </w:t>
      </w:r>
      <w:r>
        <w:t xml:space="preserve">“</w:t>
      </w:r>
      <w:r>
        <w:t xml:space="preserve">shall be construed broadly to further the goal of ensuring that arbitrators are and remain impartial and independent.</w:t>
      </w:r>
      <w:r>
        <w:t xml:space="preserve">”</w:t>
      </w:r>
      <w:r>
        <w:t xml:space="preserve"> </w:t>
      </w:r>
      <w:r>
        <w:t xml:space="preserve">The</w:t>
      </w:r>
      <w:r>
        <w:t xml:space="preserve"> </w:t>
      </w:r>
      <w:r>
        <w:t xml:space="preserve">“</w:t>
      </w:r>
      <w:r>
        <w:t xml:space="preserve">justifiable doubt</w:t>
      </w:r>
      <w:r>
        <w:t xml:space="preserve">”</w:t>
      </w:r>
      <w:r>
        <w:t xml:space="preserve"> </w:t>
      </w:r>
      <w:r>
        <w:t xml:space="preserve">standard</w:t>
      </w:r>
      <w:r>
        <w:t xml:space="preserve"> </w:t>
      </w:r>
      <w:r>
        <w:t xml:space="preserve">“</w:t>
      </w:r>
      <w:r>
        <w:t xml:space="preserve">is intended to encompass all circumstances that a reasonable person would consider relevant in evaluating an arbitrator’s ability to render a fair and unbiased determination.</w:t>
      </w:r>
      <w:r>
        <w:t xml:space="preserve">”</w:t>
      </w:r>
    </w:p>
    <w:p>
      <w:pPr>
        <w:pStyle w:val="BodyText"/>
      </w:pPr>
      <w:r>
        <w:rPr>
          <w:b/>
          <w:bCs/>
        </w:rPr>
        <w:t xml:space="preserve">Rule R-17(a) (Disclosure — Specific Categories).</w:t>
      </w:r>
      <w:r>
        <w:t xml:space="preserve"> </w:t>
      </w:r>
      <w:r>
        <w:t xml:space="preserve">The duty of disclosure extends to, but is not limited to:</w:t>
      </w:r>
    </w:p>
    <w:p>
      <w:pPr>
        <w:pStyle w:val="Compact"/>
        <w:numPr>
          <w:ilvl w:val="0"/>
          <w:numId w:val="1001"/>
        </w:numPr>
      </w:pPr>
      <w:r>
        <w:rPr>
          <w:b/>
          <w:bCs/>
        </w:rPr>
        <w:t xml:space="preserve">(a)(i)</w:t>
      </w:r>
      <w:r>
        <w:t xml:space="preserve"> </w:t>
      </w:r>
      <w:r>
        <w:t xml:space="preserve">— Any known</w:t>
      </w:r>
      <w:r>
        <w:t xml:space="preserve"> </w:t>
      </w:r>
      <w:r>
        <w:rPr>
          <w:b/>
          <w:bCs/>
        </w:rPr>
        <w:t xml:space="preserve">direct or indirect</w:t>
      </w:r>
      <w:r>
        <w:t xml:space="preserve"> </w:t>
      </w:r>
      <w:r>
        <w:t xml:space="preserve">financial or personal interest in the outcome,</w:t>
      </w:r>
      <w:r>
        <w:t xml:space="preserve"> </w:t>
      </w:r>
      <w:r>
        <w:t xml:space="preserve">“</w:t>
      </w:r>
      <w:r>
        <w:t xml:space="preserve">including any interest, whether legal or beneficial, in the subject matter of the dispute, in any party, or in any entity that may be affected by the result of the proceeding</w:t>
      </w:r>
      <w:r>
        <w:t xml:space="preserve">”</w:t>
      </w:r>
      <w:r>
        <w:t xml:space="preserve">;</w:t>
      </w:r>
    </w:p>
    <w:p>
      <w:pPr>
        <w:pStyle w:val="Compact"/>
        <w:numPr>
          <w:ilvl w:val="0"/>
          <w:numId w:val="1001"/>
        </w:numPr>
      </w:pPr>
      <w:r>
        <w:rPr>
          <w:b/>
          <w:bCs/>
        </w:rPr>
        <w:t xml:space="preserve">(a)(ii)</w:t>
      </w:r>
      <w:r>
        <w:t xml:space="preserve"> </w:t>
      </w:r>
      <w:r>
        <w:t xml:space="preserve">— Any known existing or past financial, business, professional, family, or social relationship with any party, counsel, representatives, or witnesses</w:t>
      </w:r>
      <w:r>
        <w:t xml:space="preserve"> </w:t>
      </w:r>
      <w:r>
        <w:t xml:space="preserve">“</w:t>
      </w:r>
      <w:r>
        <w:t xml:space="preserve">likely to affect impartiality or that might reasonably create an appearance of partiality or bias,</w:t>
      </w:r>
      <w:r>
        <w:t xml:space="preserve">”</w:t>
      </w:r>
      <w:r>
        <w:t xml:space="preserve"> </w:t>
      </w:r>
      <w:r>
        <w:t xml:space="preserve">expressly</w:t>
      </w:r>
      <w:r>
        <w:t xml:space="preserve"> </w:t>
      </w:r>
      <w:r>
        <w:t xml:space="preserve">“</w:t>
      </w:r>
      <w:r>
        <w:t xml:space="preserve">including without limitation relationships arising from employment, professional association, joint ventures, board memberships,</w:t>
      </w:r>
      <w:r>
        <w:t xml:space="preserve"> </w:t>
      </w:r>
      <w:r>
        <w:rPr>
          <w:b/>
          <w:bCs/>
        </w:rPr>
        <w:t xml:space="preserve">academic collaboration</w:t>
      </w:r>
      <w:r>
        <w:t xml:space="preserve">, or regular social contact</w:t>
      </w:r>
      <w:r>
        <w:t xml:space="preserve">”</w:t>
      </w:r>
      <w:r>
        <w:t xml:space="preserve">;</w:t>
      </w:r>
    </w:p>
    <w:p>
      <w:pPr>
        <w:pStyle w:val="Compact"/>
        <w:numPr>
          <w:ilvl w:val="0"/>
          <w:numId w:val="1001"/>
        </w:numPr>
      </w:pPr>
      <w:r>
        <w:rPr>
          <w:b/>
          <w:bCs/>
        </w:rPr>
        <w:t xml:space="preserve">(a)(iii)</w:t>
      </w:r>
      <w:r>
        <w:t xml:space="preserve"> </w:t>
      </w:r>
      <w:r>
        <w:t xml:space="preserve">— Any prior or pending cases in which the arbitrator has been involved with any party, counsel, or representatives,</w:t>
      </w:r>
      <w:r>
        <w:t xml:space="preserve"> </w:t>
      </w:r>
      <w:r>
        <w:t xml:space="preserve">“</w:t>
      </w:r>
      <w:r>
        <w:t xml:space="preserve">in any other capacity,</w:t>
      </w:r>
      <w:r>
        <w:t xml:space="preserve">”</w:t>
      </w:r>
      <w:r>
        <w:t xml:space="preserve"> </w:t>
      </w:r>
      <w:r>
        <w:t xml:space="preserve">at any institution, in any neutral or non-neutral capacity;</w:t>
      </w:r>
    </w:p>
    <w:p>
      <w:pPr>
        <w:pStyle w:val="Compact"/>
        <w:numPr>
          <w:ilvl w:val="0"/>
          <w:numId w:val="1001"/>
        </w:numPr>
      </w:pPr>
      <w:r>
        <w:rPr>
          <w:b/>
          <w:bCs/>
        </w:rPr>
        <w:t xml:space="preserve">(a)(iv)</w:t>
      </w:r>
      <w:r>
        <w:t xml:space="preserve"> </w:t>
      </w:r>
      <w:r>
        <w:t xml:space="preserve">— A catch-all covering</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expressly</w:t>
      </w:r>
      <w:r>
        <w:t xml:space="preserve"> </w:t>
      </w:r>
      <w:r>
        <w:t xml:space="preserve">“</w:t>
      </w:r>
      <w:r>
        <w:t xml:space="preserve">including but not limited to the arbitrator’s prior publications, public statements, or expressed views on legal or factual issues relevant to the dispute.</w:t>
      </w:r>
      <w:r>
        <w:t xml:space="preserve">”</w:t>
      </w:r>
    </w:p>
    <w:p>
      <w:pPr>
        <w:pStyle w:val="FirstParagraph"/>
      </w:pPr>
      <w:r>
        <w:rPr>
          <w:b/>
          <w:bCs/>
        </w:rPr>
        <w:t xml:space="preserve">Rule R-17(b).</w:t>
      </w:r>
      <w:r>
        <w:t xml:space="preserve"> </w:t>
      </w:r>
      <w:r>
        <w:t xml:space="preserve">The duty is continuing; the arbitrator</w:t>
      </w:r>
      <w:r>
        <w:t xml:space="preserve"> </w:t>
      </w:r>
      <w:r>
        <w:t xml:space="preserve">“</w:t>
      </w:r>
      <w:r>
        <w:t xml:space="preserve">shall not await inquiry by a party or by the AAA before making any required supplemental disclosure.</w:t>
      </w:r>
      <w:r>
        <w:t xml:space="preserve">”</w:t>
      </w:r>
    </w:p>
    <w:p>
      <w:pPr>
        <w:pStyle w:val="BodyText"/>
      </w:pPr>
      <w:r>
        <w:rPr>
          <w:b/>
          <w:bCs/>
        </w:rPr>
        <w:t xml:space="preserve">Rule R-17(d).</w:t>
      </w:r>
      <w:r>
        <w:t xml:space="preserve"> </w:t>
      </w:r>
      <w:r>
        <w:t xml:space="preserve">“</w:t>
      </w:r>
      <w:r>
        <w:t xml:space="preserve">The failure of an arbitrator to make complete and timely disclosures as required by this Rule may result in the arbitrator’s removal in accordance with Rule R-18, and may constitute grounds for vacatur of any resulting award under applicable law, including but not limited to Section 10 of the Federal Arbitration Act (9 U.S.C. § 10).</w:t>
      </w:r>
      <w:r>
        <w:t xml:space="preserve">”</w:t>
      </w:r>
      <w:r>
        <w:t xml:space="preserve"> </w:t>
      </w:r>
      <w:r>
        <w:t xml:space="preserve">The AAA may, in its discretion, request supplemental disclosure before acting on a challenge.</w:t>
      </w:r>
    </w:p>
    <w:p>
      <w:pPr>
        <w:pStyle w:val="BodyText"/>
      </w:pPr>
      <w:r>
        <w:rPr>
          <w:b/>
          <w:bCs/>
        </w:rPr>
        <w:t xml:space="preserve">Rule R-18(a).</w:t>
      </w:r>
      <w:r>
        <w:t xml:space="preserve"> </w:t>
      </w:r>
      <w:r>
        <w:t xml:space="preserve">A challenge must state the grounds</w:t>
      </w:r>
      <w:r>
        <w:t xml:space="preserve"> </w:t>
      </w:r>
      <w:r>
        <w:t xml:space="preserve">“</w:t>
      </w:r>
      <w:r>
        <w:t xml:space="preserve">with specificity</w:t>
      </w:r>
      <w:r>
        <w:t xml:space="preserve">”</w:t>
      </w:r>
      <w:r>
        <w:t xml:space="preserve"> </w:t>
      </w:r>
      <w:r>
        <w:t xml:space="preserve">and be made within seven calendar days after appointment was communicated or after the grounds became known or should reasonably have become known,</w:t>
      </w:r>
      <w:r>
        <w:t xml:space="preserve"> </w:t>
      </w:r>
      <w:r>
        <w:rPr>
          <w:b/>
          <w:bCs/>
        </w:rPr>
        <w:t xml:space="preserve">whichever is later</w:t>
      </w:r>
      <w:r>
        <w:t xml:space="preserve">.</w:t>
      </w:r>
    </w:p>
    <w:p>
      <w:pPr>
        <w:pStyle w:val="BodyText"/>
      </w:pPr>
      <w:r>
        <w:rPr>
          <w:b/>
          <w:bCs/>
        </w:rPr>
        <w:t xml:space="preserve">Rule R-18(d)–(e).</w:t>
      </w:r>
      <w:r>
        <w:t xml:space="preserve"> </w:t>
      </w:r>
      <w:r>
        <w:t xml:space="preserve">If the other party does not agree and the arbitrator does not withdraw, the AAA decides the challenge administratively; the decision is not appealable within the AAA but</w:t>
      </w:r>
      <w:r>
        <w:t xml:space="preserve"> </w:t>
      </w:r>
      <w:r>
        <w:t xml:space="preserve">“</w:t>
      </w:r>
      <w:r>
        <w:t xml:space="preserve">shall not be construed to limit any right that a party may have under applicable law to seek judicial review of an award on the grounds of evident partiality.</w:t>
      </w:r>
      <w:r>
        <w:t xml:space="preserve">”</w:t>
      </w:r>
    </w:p>
    <w:p>
      <w:pPr>
        <w:pStyle w:val="BodyText"/>
      </w:pPr>
      <w:r>
        <w:rPr>
          <w:b/>
          <w:bCs/>
        </w:rPr>
        <w:t xml:space="preserve">Rule R-18(f).</w:t>
      </w:r>
      <w:r>
        <w:t xml:space="preserve"> </w:t>
      </w:r>
      <w:r>
        <w:t xml:space="preserve">A party that fails to make a timely challenge is deemed to have waived grounds then known, except grounds that</w:t>
      </w:r>
      <w:r>
        <w:t xml:space="preserve"> </w:t>
      </w:r>
      <w:r>
        <w:t xml:space="preserve">“</w:t>
      </w:r>
      <w:r>
        <w:t xml:space="preserve">were not and could not reasonably have been known at the time.</w:t>
      </w:r>
      <w:r>
        <w:t xml:space="preserve">”</w:t>
      </w:r>
    </w:p>
    <w:bookmarkEnd w:id="21"/>
    <w:bookmarkStart w:id="22" w:name="b.-federal-arbitration-act-9-u.s.c.-10a2"/>
    <w:p>
      <w:pPr>
        <w:pStyle w:val="Heading3"/>
      </w:pPr>
      <w:r>
        <w:t xml:space="preserve">B. Federal Arbitration Act, 9 U.S.C. § 10(a)(2)</w:t>
      </w:r>
    </w:p>
    <w:p>
      <w:pPr>
        <w:pStyle w:val="FirstParagraph"/>
      </w:pPr>
      <w:r>
        <w:t xml:space="preserve">An award may be vacated</w:t>
      </w:r>
      <w:r>
        <w:t xml:space="preserve"> </w:t>
      </w:r>
      <w:r>
        <w:t xml:space="preserve">“</w:t>
      </w:r>
      <w:r>
        <w:t xml:space="preserve">where there was evident partiality or corruption in the arbitrators, or either of them.</w:t>
      </w:r>
      <w:r>
        <w:t xml:space="preserve">”</w:t>
      </w:r>
      <w:r>
        <w:t xml:space="preserve"> </w:t>
      </w:r>
      <w:r>
        <w:t xml:space="preserve">The Supreme Court has instructed that arbitrators must avoid even the appearance of bias and must disclose relationships that might create an impression of partiality.</w:t>
      </w:r>
      <w:r>
        <w:t xml:space="preserve"> </w:t>
      </w:r>
      <w:r>
        <w:rPr>
          <w:i/>
          <w:iCs/>
        </w:rPr>
        <w:t xml:space="preserve">Commonwealth Coatings Corp. v. Continental Casualty Co.</w:t>
      </w:r>
      <w:r>
        <w:t xml:space="preserve">, 393 U.S. 145 (1968). A failure to disclose a material relationship that a reasonable person would consider relevant to the arbitrator’s impartiality can constitute evident partiality and supply a basis for vacatur independent of the AAA’s administrative ruling on a challenge.</w:t>
      </w:r>
    </w:p>
    <w:bookmarkEnd w:id="22"/>
    <w:bookmarkStart w:id="23" w:name="Xcb6795188804018881b980d031a3425b3f8775e"/>
    <w:p>
      <w:pPr>
        <w:pStyle w:val="Heading3"/>
      </w:pPr>
      <w:r>
        <w:t xml:space="preserve">C. IBA Guidelines on Conflicts of Interest in International Arbitration</w:t>
      </w:r>
    </w:p>
    <w:p>
      <w:pPr>
        <w:pStyle w:val="FirstParagraph"/>
      </w:pPr>
      <w:r>
        <w:t xml:space="preserve">The AAA Rules editor’s note directs parties and arbitrators to the IBA Guidelines, which categorize conflicts into a Non-Waivable Red List, Waivable Red List, Orange List, and Green List. Two provisions are directly implicated here: (i) the</w:t>
      </w:r>
      <w:r>
        <w:t xml:space="preserve"> </w:t>
      </w:r>
      <w:r>
        <w:rPr>
          <w:b/>
          <w:bCs/>
        </w:rPr>
        <w:t xml:space="preserve">Waivable Red List</w:t>
      </w:r>
      <w:r>
        <w:t xml:space="preserve"> </w:t>
      </w:r>
      <w:r>
        <w:t xml:space="preserve">treatment of repeat appointments — an arbitrator who has received multiple appointments from the same party or the same law firm within a defined period bears a disclosure obligation and a waivable conflict; and (ii) the financial-interest provisions addressing</w:t>
      </w:r>
      <w:r>
        <w:t xml:space="preserve"> </w:t>
      </w:r>
      <w:r>
        <w:rPr>
          <w:b/>
          <w:bCs/>
        </w:rPr>
        <w:t xml:space="preserve">indirect</w:t>
      </w:r>
      <w:r>
        <w:t xml:space="preserve"> </w:t>
      </w:r>
      <w:r>
        <w:t xml:space="preserve">interests in entities affected by the outcome of the proceeding.</w:t>
      </w:r>
    </w:p>
    <w:bookmarkEnd w:id="23"/>
    <w:bookmarkStart w:id="24" w:name="Xe2bc0ecb9ba8f6a01693cf71bfb1af3d9d4e9fa"/>
    <w:p>
      <w:pPr>
        <w:pStyle w:val="Heading3"/>
      </w:pPr>
      <w:r>
        <w:t xml:space="preserve">D. AAA/ABA Code of Ethics for Arbitrators in Commercial Disputes</w:t>
      </w:r>
    </w:p>
    <w:p>
      <w:pPr>
        <w:pStyle w:val="FirstParagraph"/>
      </w:pPr>
      <w:r>
        <w:t xml:space="preserve">Canon II imposes a duty to disclose</w:t>
      </w:r>
      <w:r>
        <w:t xml:space="preserve"> </w:t>
      </w:r>
      <w:r>
        <w:t xml:space="preserve">“</w:t>
      </w:r>
      <w:r>
        <w:t xml:space="preserve">any interest or relationship likely to affect impartiality or that might create an appearance of partiality.</w:t>
      </w:r>
      <w:r>
        <w:t xml:space="preserve">”</w:t>
      </w:r>
      <w:r>
        <w:t xml:space="preserve"> </w:t>
      </w:r>
      <w:r>
        <w:t xml:space="preserve">Canon I (integrity and fairness) and Canon IV (fair and diligent conduct of the proceedings) reinforce the disclosure regime.</w:t>
      </w:r>
    </w:p>
    <w:p>
      <w:r>
        <w:pict>
          <v:rect style="width:0;height:1.5pt" o:hralign="center" o:hrstd="t" o:hr="t"/>
        </w:pict>
      </w:r>
    </w:p>
    <w:bookmarkEnd w:id="24"/>
    <w:bookmarkEnd w:id="25"/>
    <w:bookmarkStart w:id="26" w:name="iii.-summary-of-findings"/>
    <w:p>
      <w:pPr>
        <w:pStyle w:val="Heading2"/>
      </w:pPr>
      <w:r>
        <w:t xml:space="preserve">III. Summary of Findings</w:t>
      </w:r>
    </w:p>
    <w:p>
      <w:pPr>
        <w:pStyle w:val="FirstParagraph"/>
      </w:pPr>
      <w:r>
        <w:t xml:space="preserve">The following table summarizes the relationships and interests identified by comparing the Disclosure against the source documents.</w:t>
      </w:r>
      <w:r>
        <w:t xml:space="preserve"> </w:t>
      </w:r>
      <w:r>
        <w:t xml:space="preserve">“</w:t>
      </w:r>
      <w:r>
        <w:t xml:space="preserve">Disclosed?</w:t>
      </w:r>
      <w:r>
        <w:t xml:space="preserve">”</w:t>
      </w:r>
      <w:r>
        <w:t xml:space="preserve"> </w:t>
      </w:r>
      <w:r>
        <w:t xml:space="preserve">indicates whether the matter appears in the Disclosure;</w:t>
      </w:r>
      <w:r>
        <w:t xml:space="preserve"> </w:t>
      </w:r>
      <w:r>
        <w:t xml:space="preserve">“</w:t>
      </w:r>
      <w:r>
        <w:t xml:space="preserve">Favors</w:t>
      </w:r>
      <w:r>
        <w:t xml:space="preserve">”</w:t>
      </w:r>
      <w:r>
        <w:t xml:space="preserve"> </w:t>
      </w:r>
      <w:r>
        <w:t xml:space="preserve">indicates which party’s challenge the ground would principally support.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Relationship / Interest</w:t>
            </w:r>
          </w:p>
        </w:tc>
        <w:tc>
          <w:tcPr/>
          <w:p>
            <w:pPr>
              <w:pStyle w:val="Compact"/>
              <w:jc w:val="left"/>
            </w:pPr>
            <w:r>
              <w:t xml:space="preserve">Disclosed?</w:t>
            </w:r>
          </w:p>
        </w:tc>
        <w:tc>
          <w:tcPr/>
          <w:p>
            <w:pPr>
              <w:pStyle w:val="Compact"/>
              <w:jc w:val="left"/>
            </w:pPr>
            <w:r>
              <w:t xml:space="preserve">Primary Source</w:t>
            </w:r>
          </w:p>
        </w:tc>
        <w:tc>
          <w:tcPr/>
          <w:p>
            <w:pPr>
              <w:pStyle w:val="Compact"/>
              <w:jc w:val="left"/>
            </w:pPr>
            <w:r>
              <w:t xml:space="preserve">Favors Challenge By</w:t>
            </w:r>
          </w:p>
        </w:tc>
      </w:tr>
      <w:tr>
        <w:tc>
          <w:tcPr/>
          <w:p>
            <w:pPr>
              <w:pStyle w:val="Compact"/>
              <w:jc w:val="left"/>
            </w:pPr>
            <w:r>
              <w:t xml:space="preserve">1</w:t>
            </w:r>
          </w:p>
        </w:tc>
        <w:tc>
          <w:tcPr/>
          <w:p>
            <w:pPr>
              <w:pStyle w:val="Compact"/>
              <w:jc w:val="left"/>
            </w:pPr>
            <w:r>
              <w:t xml:space="preserve">Arbitrator’s spouse (Dr. Alan Fairhaven) co-authored a peer-reviewed paper with Claimant’s key expert witness (Dr. Rita Peshkov) on directly relevant technology (Sept. 2022)</w:t>
            </w:r>
          </w:p>
        </w:tc>
        <w:tc>
          <w:tcPr/>
          <w:p>
            <w:pPr>
              <w:pStyle w:val="Compact"/>
              <w:jc w:val="left"/>
            </w:pPr>
            <w:r>
              <w:rPr>
                <w:b/>
                <w:bCs/>
              </w:rPr>
              <w:t xml:space="preserve">No</w:t>
            </w:r>
            <w:r>
              <w:t xml:space="preserve"> </w:t>
            </w:r>
            <w:r>
              <w:t xml:space="preserve">(Disclosure states spouse has</w:t>
            </w:r>
            <w:r>
              <w:t xml:space="preserve"> </w:t>
            </w:r>
            <w:r>
              <w:t xml:space="preserve">“</w:t>
            </w:r>
            <w:r>
              <w:t xml:space="preserve">no … professional relationship</w:t>
            </w:r>
            <w:r>
              <w:t xml:space="preserve">”</w:t>
            </w:r>
            <w:r>
              <w:t xml:space="preserve"> </w:t>
            </w:r>
            <w:r>
              <w:t xml:space="preserve">with any party’s officers/directors/employees)</w:t>
            </w:r>
          </w:p>
        </w:tc>
        <w:tc>
          <w:tcPr/>
          <w:p>
            <w:pPr>
              <w:pStyle w:val="Compact"/>
              <w:jc w:val="left"/>
            </w:pPr>
            <w:r>
              <w:t xml:space="preserve">Profiles Memo §3.2; academic database</w:t>
            </w:r>
          </w:p>
        </w:tc>
        <w:tc>
          <w:tcPr/>
          <w:p>
            <w:pPr>
              <w:pStyle w:val="Compact"/>
              <w:jc w:val="left"/>
            </w:pPr>
            <w:r>
              <w:rPr>
                <w:b/>
                <w:bCs/>
              </w:rPr>
              <w:t xml:space="preserve">Respondent</w:t>
            </w:r>
          </w:p>
        </w:tc>
      </w:tr>
      <w:tr>
        <w:tc>
          <w:tcPr/>
          <w:p>
            <w:pPr>
              <w:pStyle w:val="Compact"/>
              <w:jc w:val="left"/>
            </w:pPr>
            <w:r>
              <w:t xml:space="preserve">2</w:t>
            </w:r>
          </w:p>
        </w:tc>
        <w:tc>
          <w:tcPr/>
          <w:p>
            <w:pPr>
              <w:pStyle w:val="Compact"/>
              <w:jc w:val="left"/>
            </w:pPr>
            <w:r>
              <w:t xml:space="preserve">Respondent’s principal (Garrett T. Whitmore) serves on the Board of Trustees of the Minnesota ADR Ethics Institute, the same organization on whose advisory board the arbitrator sits</w:t>
            </w:r>
          </w:p>
        </w:tc>
        <w:tc>
          <w:tcPr/>
          <w:p>
            <w:pPr>
              <w:pStyle w:val="Compact"/>
              <w:jc w:val="left"/>
            </w:pPr>
            <w:r>
              <w:rPr>
                <w:b/>
                <w:bCs/>
              </w:rPr>
              <w:t xml:space="preserve">No</w:t>
            </w:r>
            <w:r>
              <w:t xml:space="preserve"> </w:t>
            </w:r>
            <w:r>
              <w:t xml:space="preserve">(arbitrator disclosed her own and Ellen Wu’s service, but not Whitmore’s)</w:t>
            </w:r>
          </w:p>
        </w:tc>
        <w:tc>
          <w:tcPr/>
          <w:p>
            <w:pPr>
              <w:pStyle w:val="Compact"/>
              <w:jc w:val="left"/>
            </w:pPr>
            <w:r>
              <w:t xml:space="preserve">Profiles Memo §3.3, §4.2; IRS Form 990 (FY 2023)</w:t>
            </w:r>
          </w:p>
        </w:tc>
        <w:tc>
          <w:tcPr/>
          <w:p>
            <w:pPr>
              <w:pStyle w:val="Compact"/>
              <w:jc w:val="left"/>
            </w:pPr>
            <w:r>
              <w:rPr>
                <w:b/>
                <w:bCs/>
              </w:rPr>
              <w:t xml:space="preserve">Claimant</w:t>
            </w:r>
          </w:p>
        </w:tc>
      </w:tr>
      <w:tr>
        <w:tc>
          <w:tcPr/>
          <w:p>
            <w:pPr>
              <w:pStyle w:val="Compact"/>
              <w:jc w:val="left"/>
            </w:pPr>
            <w:r>
              <w:t xml:space="preserve">3</w:t>
            </w:r>
          </w:p>
        </w:tc>
        <w:tc>
          <w:tcPr/>
          <w:p>
            <w:pPr>
              <w:pStyle w:val="Compact"/>
              <w:jc w:val="left"/>
            </w:pPr>
            <w:r>
              <w:t xml:space="preserve">Arbitrator and Respondent’s lead counsel (Dominic Hargrave) were co-panelists at an Oct. 14, 2023 CLE on</w:t>
            </w:r>
            <w:r>
              <w:t xml:space="preserve"> </w:t>
            </w:r>
            <w:r>
              <w:t xml:space="preserve">“</w:t>
            </w:r>
            <w:r>
              <w:t xml:space="preserve">Arbitrating Complex IP Licensing Disputes</w:t>
            </w:r>
            <w:r>
              <w:t xml:space="preserve">”</w:t>
            </w:r>
            <w:r>
              <w:t xml:space="preserve"> </w:t>
            </w:r>
            <w:r>
              <w:t xml:space="preserve">— a topic directly germane to this arbitration</w:t>
            </w:r>
          </w:p>
        </w:tc>
        <w:tc>
          <w:tcPr/>
          <w:p>
            <w:pPr>
              <w:pStyle w:val="Compact"/>
              <w:jc w:val="left"/>
            </w:pPr>
            <w:r>
              <w:rPr>
                <w:b/>
                <w:bCs/>
              </w:rPr>
              <w:t xml:space="preserve">No</w:t>
            </w:r>
          </w:p>
        </w:tc>
        <w:tc>
          <w:tcPr/>
          <w:p>
            <w:pPr>
              <w:pStyle w:val="Compact"/>
              <w:jc w:val="left"/>
            </w:pPr>
            <w:r>
              <w:t xml:space="preserve">Profiles Memo §3.6; CLE archives</w:t>
            </w:r>
          </w:p>
        </w:tc>
        <w:tc>
          <w:tcPr/>
          <w:p>
            <w:pPr>
              <w:pStyle w:val="Compact"/>
              <w:jc w:val="left"/>
            </w:pPr>
            <w:r>
              <w:rPr>
                <w:b/>
                <w:bCs/>
              </w:rPr>
              <w:t xml:space="preserve">Claimant</w:t>
            </w:r>
          </w:p>
        </w:tc>
      </w:tr>
      <w:tr>
        <w:tc>
          <w:tcPr/>
          <w:p>
            <w:pPr>
              <w:pStyle w:val="Compact"/>
              <w:jc w:val="left"/>
            </w:pPr>
            <w:r>
              <w:t xml:space="preserve">4</w:t>
            </w:r>
          </w:p>
        </w:tc>
        <w:tc>
          <w:tcPr/>
          <w:p>
            <w:pPr>
              <w:pStyle w:val="Compact"/>
              <w:jc w:val="left"/>
            </w:pPr>
            <w:r>
              <w:t xml:space="preserve">Potential indirect financial interest in Whitmore Fund II LP (which owns Volaris, the beneficiary of the disputed license) through the Northbridge Select Alternatives Fund (2.3% LP interest)</w:t>
            </w:r>
          </w:p>
        </w:tc>
        <w:tc>
          <w:tcPr/>
          <w:p>
            <w:pPr>
              <w:pStyle w:val="Compact"/>
              <w:jc w:val="left"/>
            </w:pPr>
            <w:r>
              <w:rPr>
                <w:b/>
                <w:bCs/>
              </w:rPr>
              <w:t xml:space="preserve">No</w:t>
            </w:r>
            <w:r>
              <w:t xml:space="preserve"> </w:t>
            </w:r>
            <w:r>
              <w:t xml:space="preserve">(Disclosure states</w:t>
            </w:r>
            <w:r>
              <w:t xml:space="preserve"> </w:t>
            </w:r>
            <w:r>
              <w:t xml:space="preserve">“</w:t>
            </w:r>
            <w:r>
              <w:t xml:space="preserve">no direct equity positions</w:t>
            </w:r>
            <w:r>
              <w:t xml:space="preserve">”</w:t>
            </w:r>
            <w:r>
              <w:t xml:space="preserve"> </w:t>
            </w:r>
            <w:r>
              <w:t xml:space="preserve">but does not address indirect interests)</w:t>
            </w:r>
          </w:p>
        </w:tc>
        <w:tc>
          <w:tcPr/>
          <w:p>
            <w:pPr>
              <w:pStyle w:val="Compact"/>
              <w:jc w:val="left"/>
            </w:pPr>
            <w:r>
              <w:t xml:space="preserve">Profiles Memo §3.4, §4.3; SEC/fund filings (March 2024)</w:t>
            </w:r>
          </w:p>
        </w:tc>
        <w:tc>
          <w:tcPr/>
          <w:p>
            <w:pPr>
              <w:pStyle w:val="Compact"/>
              <w:jc w:val="left"/>
            </w:pPr>
            <w:r>
              <w:rPr>
                <w:b/>
                <w:bCs/>
              </w:rPr>
              <w:t xml:space="preserve">Claimant</w:t>
            </w:r>
          </w:p>
        </w:tc>
      </w:tr>
      <w:tr>
        <w:tc>
          <w:tcPr/>
          <w:p>
            <w:pPr>
              <w:pStyle w:val="Compact"/>
              <w:jc w:val="left"/>
            </w:pPr>
            <w:r>
              <w:t xml:space="preserve">5</w:t>
            </w:r>
          </w:p>
        </w:tc>
        <w:tc>
          <w:tcPr/>
          <w:p>
            <w:pPr>
              <w:pStyle w:val="Compact"/>
              <w:jc w:val="left"/>
            </w:pPr>
            <w:r>
              <w:t xml:space="preserve">Pending arbitration</w:t>
            </w:r>
            <w:r>
              <w:t xml:space="preserve"> </w:t>
            </w:r>
            <w:r>
              <w:rPr>
                <w:i/>
                <w:iCs/>
              </w:rPr>
              <w:t xml:space="preserve">Halcyon Biotech v. Stonewall Partners</w:t>
            </w:r>
            <w:r>
              <w:t xml:space="preserve"> </w:t>
            </w:r>
            <w:r>
              <w:t xml:space="preserve">in which Respondent’s counsel appears — omitted from the Disclosure</w:t>
            </w:r>
          </w:p>
        </w:tc>
        <w:tc>
          <w:tcPr/>
          <w:p>
            <w:pPr>
              <w:pStyle w:val="Compact"/>
              <w:jc w:val="left"/>
            </w:pPr>
            <w:r>
              <w:rPr>
                <w:b/>
                <w:bCs/>
              </w:rPr>
              <w:t xml:space="preserve">No</w:t>
            </w:r>
            <w:r>
              <w:t xml:space="preserve"> </w:t>
            </w:r>
            <w:r>
              <w:t xml:space="preserve">(contrary to arbitrator’s certification of a</w:t>
            </w:r>
            <w:r>
              <w:t xml:space="preserve"> </w:t>
            </w:r>
            <w:r>
              <w:t xml:space="preserve">“</w:t>
            </w:r>
            <w:r>
              <w:t xml:space="preserve">complete list</w:t>
            </w:r>
            <w:r>
              <w:t xml:space="preserve">”</w:t>
            </w:r>
            <w:r>
              <w:t xml:space="preserve">)</w:t>
            </w:r>
          </w:p>
        </w:tc>
        <w:tc>
          <w:tcPr/>
          <w:p>
            <w:pPr>
              <w:pStyle w:val="Compact"/>
              <w:jc w:val="left"/>
            </w:pPr>
            <w:r>
              <w:t xml:space="preserve">Profiles Memo §3.5; Appointment Data (Pending Matters)</w:t>
            </w:r>
          </w:p>
        </w:tc>
        <w:tc>
          <w:tcPr/>
          <w:p>
            <w:pPr>
              <w:pStyle w:val="Compact"/>
              <w:jc w:val="left"/>
            </w:pPr>
            <w:r>
              <w:rPr>
                <w:b/>
                <w:bCs/>
              </w:rPr>
              <w:t xml:space="preserve">Claimant</w:t>
            </w:r>
          </w:p>
        </w:tc>
      </w:tr>
      <w:tr>
        <w:tc>
          <w:tcPr/>
          <w:p>
            <w:pPr>
              <w:pStyle w:val="Compact"/>
              <w:jc w:val="left"/>
            </w:pPr>
            <w:r>
              <w:t xml:space="preserve">6</w:t>
            </w:r>
          </w:p>
        </w:tc>
        <w:tc>
          <w:tcPr/>
          <w:p>
            <w:pPr>
              <w:pStyle w:val="Compact"/>
              <w:jc w:val="left"/>
            </w:pPr>
            <w:r>
              <w:t xml:space="preserve">Substantial under-disclosure of repeat-appointment history with the parties’ counsel (Disclosure lists 7 matters; Appointment Data reflects ≥13 completed and 2 pending matters involving the parties’ counsel)</w:t>
            </w:r>
          </w:p>
        </w:tc>
        <w:tc>
          <w:tcPr/>
          <w:p>
            <w:pPr>
              <w:pStyle w:val="Compact"/>
              <w:jc w:val="left"/>
            </w:pPr>
            <w:r>
              <w:rPr>
                <w:b/>
                <w:bCs/>
              </w:rPr>
              <w:t xml:space="preserve">Partial / incomplete</w:t>
            </w:r>
          </w:p>
        </w:tc>
        <w:tc>
          <w:tcPr/>
          <w:p>
            <w:pPr>
              <w:pStyle w:val="Compact"/>
              <w:jc w:val="left"/>
            </w:pPr>
            <w:r>
              <w:t xml:space="preserve">Appointment Data (Case List, Fee Summary); Profiles Memo §3.5</w:t>
            </w:r>
          </w:p>
        </w:tc>
        <w:tc>
          <w:tcPr/>
          <w:p>
            <w:pPr>
              <w:pStyle w:val="Compact"/>
              <w:jc w:val="left"/>
            </w:pPr>
            <w:r>
              <w:rPr>
                <w:b/>
                <w:bCs/>
              </w:rPr>
              <w:t xml:space="preserve">Claimant</w:t>
            </w:r>
          </w:p>
        </w:tc>
      </w:tr>
      <w:tr>
        <w:tc>
          <w:tcPr/>
          <w:p>
            <w:pPr>
              <w:pStyle w:val="Compact"/>
              <w:jc w:val="left"/>
            </w:pPr>
            <w:r>
              <w:t xml:space="preserve">7</w:t>
            </w:r>
          </w:p>
        </w:tc>
        <w:tc>
          <w:tcPr/>
          <w:p>
            <w:pPr>
              <w:pStyle w:val="Compact"/>
              <w:jc w:val="left"/>
            </w:pPr>
            <w:r>
              <w:t xml:space="preserve">Lakeview Dispute Resolution Center affiliation — disclosed, but financial terms and structural economic interdependence with referring firms not addressed</w:t>
            </w:r>
          </w:p>
        </w:tc>
        <w:tc>
          <w:tcPr/>
          <w:p>
            <w:pPr>
              <w:pStyle w:val="Compact"/>
              <w:jc w:val="left"/>
            </w:pPr>
            <w:r>
              <w:rPr>
                <w:b/>
                <w:bCs/>
              </w:rPr>
              <w:t xml:space="preserve">Partial</w:t>
            </w:r>
          </w:p>
        </w:tc>
        <w:tc>
          <w:tcPr/>
          <w:p>
            <w:pPr>
              <w:pStyle w:val="Compact"/>
              <w:jc w:val="left"/>
            </w:pPr>
            <w:r>
              <w:t xml:space="preserve">Profiles Memo §4.1; Disclosure §VII</w:t>
            </w:r>
          </w:p>
        </w:tc>
        <w:tc>
          <w:tcPr/>
          <w:p>
            <w:pPr>
              <w:pStyle w:val="Compact"/>
              <w:jc w:val="left"/>
            </w:pPr>
            <w:r>
              <w:rPr>
                <w:b/>
                <w:bCs/>
              </w:rPr>
              <w:t xml:space="preserve">Claimant</w:t>
            </w:r>
            <w:r>
              <w:t xml:space="preserve"> </w:t>
            </w:r>
            <w:r>
              <w:t xml:space="preserve">(cumulative)</w:t>
            </w:r>
          </w:p>
        </w:tc>
      </w:tr>
    </w:tbl>
    <w:p>
      <w:pPr>
        <w:pStyle w:val="BodyText"/>
      </w:pPr>
      <w:r>
        <w:t xml:space="preserve">The Disclosure thus contains</w:t>
      </w:r>
      <w:r>
        <w:t xml:space="preserve"> </w:t>
      </w:r>
      <w:r>
        <w:rPr>
          <w:b/>
          <w:bCs/>
        </w:rPr>
        <w:t xml:space="preserve">three</w:t>
      </w:r>
      <w:r>
        <w:t xml:space="preserve"> </w:t>
      </w:r>
      <w:r>
        <w:t xml:space="preserve">affirmatively disclosed relationships,</w:t>
      </w:r>
      <w:r>
        <w:t xml:space="preserve"> </w:t>
      </w:r>
      <w:r>
        <w:rPr>
          <w:b/>
          <w:bCs/>
        </w:rPr>
        <w:t xml:space="preserve">one</w:t>
      </w:r>
      <w:r>
        <w:t xml:space="preserve"> </w:t>
      </w:r>
      <w:r>
        <w:t xml:space="preserve">partially disclosed relationship (Lakeview), and</w:t>
      </w:r>
      <w:r>
        <w:t xml:space="preserve"> </w:t>
      </w:r>
      <w:r>
        <w:rPr>
          <w:b/>
          <w:bCs/>
        </w:rPr>
        <w:t xml:space="preserve">at least five</w:t>
      </w:r>
      <w:r>
        <w:t xml:space="preserve"> </w:t>
      </w:r>
      <w:r>
        <w:t xml:space="preserve">wholly undisclosed relationships or interests, together with a substantial quantitative under-disclosure of the arbitrator’s appointment history with the parties’ counsel.</w:t>
      </w:r>
    </w:p>
    <w:p>
      <w:r>
        <w:pict>
          <v:rect style="width:0;height:1.5pt" o:hralign="center" o:hrstd="t" o:hr="t"/>
        </w:pict>
      </w:r>
    </w:p>
    <w:bookmarkEnd w:id="26"/>
    <w:bookmarkStart w:id="34" w:name="X8c8af2b4b5fbe3b33c5d1527bc93003da67f90a"/>
    <w:p>
      <w:pPr>
        <w:pStyle w:val="Heading2"/>
      </w:pPr>
      <w:r>
        <w:t xml:space="preserve">IV. Detailed Analysis of Each Disclosure Issue</w:t>
      </w:r>
    </w:p>
    <w:bookmarkStart w:id="27" w:name="X60bc018e5f0b1825c34b5553fb7916a38ae36a9"/>
    <w:p>
      <w:pPr>
        <w:pStyle w:val="Heading3"/>
      </w:pPr>
      <w:r>
        <w:t xml:space="preserve">Issue 1 — Undisclosed Co-Authorship Between the Arbitrator’s Spouse and the Claimant’s Key Expert Witness</w:t>
      </w:r>
    </w:p>
    <w:p>
      <w:pPr>
        <w:pStyle w:val="FirstParagraph"/>
      </w:pPr>
      <w:r>
        <w:rPr>
          <w:b/>
          <w:bCs/>
        </w:rPr>
        <w:t xml:space="preserve">What the Disclosure says.</w:t>
      </w:r>
      <w:r>
        <w:t xml:space="preserve"> </w:t>
      </w:r>
      <w:r>
        <w:t xml:space="preserve">Section V of the Disclosure identifies the arbitrator’s husband, Dr. Alan Fairhaven, as</w:t>
      </w:r>
      <w:r>
        <w:t xml:space="preserve"> </w:t>
      </w:r>
      <w:r>
        <w:t xml:space="preserve">“</w:t>
      </w:r>
      <w:r>
        <w:t xml:space="preserve">a retired professor of mechanical engineering at the University of Minnesota, Twin Cities,</w:t>
      </w:r>
      <w:r>
        <w:t xml:space="preserve">”</w:t>
      </w:r>
      <w:r>
        <w:t xml:space="preserve"> </w:t>
      </w:r>
      <w:r>
        <w:t xml:space="preserve">who served on the faculty from 1992 to 2019 and has emeritus status. The Disclosure states that Dr. Fairhaven</w:t>
      </w:r>
      <w:r>
        <w:t xml:space="preserve"> </w:t>
      </w:r>
      <w:r>
        <w:t xml:space="preserve">“</w:t>
      </w:r>
      <w:r>
        <w:t xml:space="preserve">does not currently serve in any consulting or advisory capacity to any party in this proceeding,</w:t>
      </w:r>
      <w:r>
        <w:t xml:space="preserve">”</w:t>
      </w:r>
      <w:r>
        <w:t xml:space="preserve"> </w:t>
      </w:r>
      <w:r>
        <w:t xml:space="preserve">that he</w:t>
      </w:r>
      <w:r>
        <w:t xml:space="preserve"> </w:t>
      </w:r>
      <w:r>
        <w:t xml:space="preserve">“</w:t>
      </w:r>
      <w:r>
        <w:t xml:space="preserve">is not currently engaged in any active research collaborations with industrial partners,</w:t>
      </w:r>
      <w:r>
        <w:t xml:space="preserve">”</w:t>
      </w:r>
      <w:r>
        <w:t xml:space="preserve"> </w:t>
      </w:r>
      <w:r>
        <w:t xml:space="preserve">and that</w:t>
      </w:r>
      <w:r>
        <w:t xml:space="preserve"> </w:t>
      </w:r>
      <w:r>
        <w:t xml:space="preserve">“</w:t>
      </w:r>
      <w:r>
        <w:t xml:space="preserve">to the best of [her] knowledge, he has no financial or professional relationship with Cascade Thermal Systems Inc., Whitmore Capital Partners LLC, or any of their officers, directors, or employees.</w:t>
      </w:r>
      <w:r>
        <w:t xml:space="preserve">”</w:t>
      </w:r>
      <w:r>
        <w:t xml:space="preserve"> </w:t>
      </w:r>
      <w:r>
        <w:t xml:space="preserve">The Disclosure further certifies that the arbitrator has</w:t>
      </w:r>
      <w:r>
        <w:t xml:space="preserve"> </w:t>
      </w:r>
      <w:r>
        <w:t xml:space="preserve">“</w:t>
      </w:r>
      <w:r>
        <w:t xml:space="preserve">not socialized with, and do[es] not maintain a personal friendship with, any … individual identified in the pleadings as a party representative or anticipated witness.</w:t>
      </w:r>
      <w:r>
        <w:t xml:space="preserve">”</w:t>
      </w:r>
    </w:p>
    <w:p>
      <w:pPr>
        <w:pStyle w:val="BodyText"/>
      </w:pPr>
      <w:r>
        <w:rPr>
          <w:b/>
          <w:bCs/>
        </w:rPr>
        <w:t xml:space="preserve">What the source documents show.</w:t>
      </w:r>
      <w:r>
        <w:t xml:space="preserve"> </w:t>
      </w:r>
      <w:r>
        <w:t xml:space="preserve">The Arbitration Demand identifies</w:t>
      </w:r>
      <w:r>
        <w:t xml:space="preserve"> </w:t>
      </w:r>
      <w:r>
        <w:rPr>
          <w:b/>
          <w:bCs/>
        </w:rPr>
        <w:t xml:space="preserve">Dr. Rita Peshkov</w:t>
      </w:r>
      <w:r>
        <w:t xml:space="preserve">, Vice President of Research &amp; Development at Cascade, as the Claimant’s anticipated</w:t>
      </w:r>
      <w:r>
        <w:t xml:space="preserve"> </w:t>
      </w:r>
      <w:r>
        <w:rPr>
          <w:b/>
          <w:bCs/>
        </w:rPr>
        <w:t xml:space="preserve">key expert witness</w:t>
      </w:r>
      <w:r>
        <w:t xml:space="preserve"> </w:t>
      </w:r>
      <w:r>
        <w:t xml:space="preserve">on the ThermalCore technology portfolio — the very technology at the center of this arbitration. The Profiles Memo (§3.2) reports, on the basis of academic publication databases, that Dr. Alan Fairhaven and Dr. Peshkov</w:t>
      </w:r>
      <w:r>
        <w:t xml:space="preserve"> </w:t>
      </w:r>
      <w:r>
        <w:rPr>
          <w:b/>
          <w:bCs/>
        </w:rPr>
        <w:t xml:space="preserve">co-authored</w:t>
      </w:r>
      <w:r>
        <w:t xml:space="preserve"> </w:t>
      </w:r>
      <w:r>
        <w:t xml:space="preserve">a peer-reviewed paper:</w:t>
      </w:r>
    </w:p>
    <w:p>
      <w:pPr>
        <w:pStyle w:val="BlockText"/>
      </w:pPr>
      <w:r>
        <w:t xml:space="preserve">“</w:t>
      </w:r>
      <w:r>
        <w:t xml:space="preserve">Optimization of Phase-Change Heat Exchangers in High-Load Industrial Applications,</w:t>
      </w:r>
      <w:r>
        <w:t xml:space="preserve">”</w:t>
      </w:r>
      <w:r>
        <w:t xml:space="preserve"> </w:t>
      </w:r>
      <w:r>
        <w:rPr>
          <w:i/>
          <w:iCs/>
        </w:rPr>
        <w:t xml:space="preserve">Journal of Advanced Thermal Engineering</w:t>
      </w:r>
      <w:r>
        <w:t xml:space="preserve">, Vol. 42, Issue 3 (September 2022), authors: Alan R. Fairhaven, Ph.D.; Rita S. Peshkov, Ph.D.</w:t>
      </w:r>
    </w:p>
    <w:p>
      <w:pPr>
        <w:pStyle w:val="FirstParagraph"/>
      </w:pPr>
      <w:r>
        <w:t xml:space="preserve">The subject matter — optimization of phase-change heat exchangers in high-load industrial applications — is</w:t>
      </w:r>
      <w:r>
        <w:t xml:space="preserve"> </w:t>
      </w:r>
      <w:r>
        <w:rPr>
          <w:b/>
          <w:bCs/>
        </w:rPr>
        <w:t xml:space="preserve">directly relevant</w:t>
      </w:r>
      <w:r>
        <w:t xml:space="preserve"> </w:t>
      </w:r>
      <w:r>
        <w:t xml:space="preserve">to the ThermalCore technology described in the Arbitration Demand as</w:t>
      </w:r>
      <w:r>
        <w:t xml:space="preserve"> </w:t>
      </w:r>
      <w:r>
        <w:t xml:space="preserve">“</w:t>
      </w:r>
      <w:r>
        <w:t xml:space="preserve">a phase-change heat-exchange system designed for heavy industrial manufacturing environments.</w:t>
      </w:r>
      <w:r>
        <w:t xml:space="preserve">”</w:t>
      </w:r>
      <w:r>
        <w:t xml:space="preserve"> </w:t>
      </w:r>
      <w:r>
        <w:t xml:space="preserve">Co-authorship of a peer-reviewed article in a specialized field ordinarily reflects a sustained professional collaboration (joint research design, data collection and analysis, drafting, peer-review response, and revision) extending over many months, and supports an inference of a professional and possibly personal relationship between the authors.</w:t>
      </w:r>
    </w:p>
    <w:p>
      <w:pPr>
        <w:pStyle w:val="BodyText"/>
      </w:pPr>
      <w:r>
        <w:rPr>
          <w:b/>
          <w:bCs/>
        </w:rPr>
        <w:t xml:space="preserve">Applicable standard.</w:t>
      </w:r>
      <w:r>
        <w:t xml:space="preserve"> </w:t>
      </w:r>
      <w:r>
        <w:t xml:space="preserve">Rule R-17(a)(ii) requires disclosure of</w:t>
      </w:r>
      <w:r>
        <w:t xml:space="preserve"> </w:t>
      </w:r>
      <w:r>
        <w:t xml:space="preserve">“</w:t>
      </w:r>
      <w:r>
        <w:t xml:space="preserve">family … or social relationships</w:t>
      </w:r>
      <w:r>
        <w:t xml:space="preserve">”</w:t>
      </w:r>
      <w:r>
        <w:t xml:space="preserve"> </w:t>
      </w:r>
      <w:r>
        <w:t xml:space="preserve">and relationships arising from</w:t>
      </w:r>
      <w:r>
        <w:t xml:space="preserve"> </w:t>
      </w:r>
      <w:r>
        <w:t xml:space="preserve">“</w:t>
      </w:r>
      <w:r>
        <w:t xml:space="preserve">academic collaboration</w:t>
      </w:r>
      <w:r>
        <w:t xml:space="preserve">”</w:t>
      </w:r>
      <w:r>
        <w:t xml:space="preserve"> </w:t>
      </w:r>
      <w:r>
        <w:t xml:space="preserve">with</w:t>
      </w:r>
      <w:r>
        <w:t xml:space="preserve"> </w:t>
      </w:r>
      <w:r>
        <w:t xml:space="preserve">“</w:t>
      </w:r>
      <w:r>
        <w:t xml:space="preserve">witnesses</w:t>
      </w:r>
      <w:r>
        <w:t xml:space="preserve">”</w:t>
      </w:r>
      <w:r>
        <w:t xml:space="preserve"> </w:t>
      </w:r>
      <w:r>
        <w:t xml:space="preserve">that</w:t>
      </w:r>
      <w:r>
        <w:t xml:space="preserve"> </w:t>
      </w:r>
      <w:r>
        <w:t xml:space="preserve">“</w:t>
      </w:r>
      <w:r>
        <w:t xml:space="preserve">might reasonably create an appearance of partiality or bias.</w:t>
      </w:r>
      <w:r>
        <w:t xml:space="preserve">”</w:t>
      </w:r>
      <w:r>
        <w:t xml:space="preserve"> </w:t>
      </w:r>
      <w:r>
        <w:t xml:space="preserve">Rule R-17(a)(iv) (catch-all) is also implicated. The arbitrator’s affirmative statement that her spouse has</w:t>
      </w:r>
      <w:r>
        <w:t xml:space="preserve"> </w:t>
      </w:r>
      <w:r>
        <w:t xml:space="preserve">“</w:t>
      </w:r>
      <w:r>
        <w:t xml:space="preserve">no … professional relationship with … any of [the parties’] officers, directors, or employees</w:t>
      </w:r>
      <w:r>
        <w:t xml:space="preserve">”</w:t>
      </w:r>
      <w:r>
        <w:t xml:space="preserve"> </w:t>
      </w:r>
      <w:r>
        <w:t xml:space="preserve">is, at minimum,</w:t>
      </w:r>
      <w:r>
        <w:t xml:space="preserve"> </w:t>
      </w:r>
      <w:r>
        <w:rPr>
          <w:b/>
          <w:bCs/>
        </w:rPr>
        <w:t xml:space="preserve">incomplete</w:t>
      </w:r>
      <w:r>
        <w:t xml:space="preserve"> </w:t>
      </w:r>
      <w:r>
        <w:t xml:space="preserve">— Dr. Peshkov is an officer (VP of R&amp;D) of the Claimant, and the 2022 co-authorship is a professional relationship. The Disclosure’s narrower phrasing (</w:t>
      </w:r>
      <w:r>
        <w:t xml:space="preserve">“</w:t>
      </w:r>
      <w:r>
        <w:t xml:space="preserve">not currently engaged in any active research collaborations with industrial partners</w:t>
      </w:r>
      <w:r>
        <w:t xml:space="preserve">”</w:t>
      </w:r>
      <w:r>
        <w:t xml:space="preserve">) appears designed to cabin the inquiry to</w:t>
      </w:r>
      <w:r>
        <w:t xml:space="preserve"> </w:t>
      </w:r>
      <w:r>
        <w:t xml:space="preserve">“</w:t>
      </w:r>
      <w:r>
        <w:t xml:space="preserve">current</w:t>
      </w:r>
      <w:r>
        <w:t xml:space="preserve">”</w:t>
      </w:r>
      <w:r>
        <w:t xml:space="preserve"> </w:t>
      </w:r>
      <w:r>
        <w:t xml:space="preserve">and</w:t>
      </w:r>
      <w:r>
        <w:t xml:space="preserve"> </w:t>
      </w:r>
      <w:r>
        <w:t xml:space="preserve">“</w:t>
      </w:r>
      <w:r>
        <w:t xml:space="preserve">industrial</w:t>
      </w:r>
      <w:r>
        <w:t xml:space="preserve">”</w:t>
      </w:r>
      <w:r>
        <w:t xml:space="preserve"> </w:t>
      </w:r>
      <w:r>
        <w:t xml:space="preserve">collaborations, but it does not address the recent (2022) academic collaboration with a party’s officer who is a designated expert witness.</w:t>
      </w:r>
    </w:p>
    <w:p>
      <w:pPr>
        <w:pStyle w:val="BodyText"/>
      </w:pPr>
      <w:r>
        <w:rPr>
          <w:b/>
          <w:bCs/>
        </w:rPr>
        <w:t xml:space="preserve">Assessment — STRONG.</w:t>
      </w:r>
      <w:r>
        <w:t xml:space="preserve"> </w:t>
      </w:r>
      <w:r>
        <w:t xml:space="preserve">This is a relationship between the arbitrator’s spouse and the</w:t>
      </w:r>
      <w:r>
        <w:t xml:space="preserve"> </w:t>
      </w:r>
      <w:r>
        <w:rPr>
          <w:b/>
          <w:bCs/>
        </w:rPr>
        <w:t xml:space="preserve">Claimant’s central expert witness</w:t>
      </w:r>
      <w:r>
        <w:t xml:space="preserve">, on a topic</w:t>
      </w:r>
      <w:r>
        <w:t xml:space="preserve"> </w:t>
      </w:r>
      <w:r>
        <w:rPr>
          <w:b/>
          <w:bCs/>
        </w:rPr>
        <w:t xml:space="preserve">directly at issue</w:t>
      </w:r>
      <w:r>
        <w:t xml:space="preserve"> </w:t>
      </w:r>
      <w:r>
        <w:t xml:space="preserve">in the arbitration. Even assuming the arbitrator was unaware of the co-authorship, the duty of disclosure is broad and is not excused by lack of awareness where the relationship is reasonably discoverable (it appears in public academic databases) and where the arbitrator has certified a</w:t>
      </w:r>
      <w:r>
        <w:t xml:space="preserve"> </w:t>
      </w:r>
      <w:r>
        <w:t xml:space="preserve">“</w:t>
      </w:r>
      <w:r>
        <w:t xml:space="preserve">diligent inquiry.</w:t>
      </w:r>
      <w:r>
        <w:t xml:space="preserve">”</w:t>
      </w:r>
      <w:r>
        <w:t xml:space="preserve"> </w:t>
      </w:r>
      <w:r>
        <w:t xml:space="preserve">The affirmative, arguably inaccurate statement about the spouse’s relationships compounds the concern. This ground</w:t>
      </w:r>
      <w:r>
        <w:t xml:space="preserve"> </w:t>
      </w:r>
      <w:r>
        <w:rPr>
          <w:b/>
          <w:bCs/>
        </w:rPr>
        <w:t xml:space="preserve">favors a challenge by the Respondent</w:t>
      </w:r>
      <w:r>
        <w:t xml:space="preserve">, because Dr. Peshkov is the Claimant’s witness; it also supplies a freestanding basis for justifiable doubt as to the arbitrator’s ability to evaluate that witness’s testimony impartially.</w:t>
      </w:r>
    </w:p>
    <w:bookmarkEnd w:id="27"/>
    <w:bookmarkStart w:id="28" w:name="X681938a69cdd8549d9b9b21d4b1bacffa858434"/>
    <w:p>
      <w:pPr>
        <w:pStyle w:val="Heading3"/>
      </w:pPr>
      <w:r>
        <w:t xml:space="preserve">Issue 2 — Undisclosed Shared Organizational Service with the Respondent’s Principal at the Minnesota ADR Ethics Institute</w:t>
      </w:r>
    </w:p>
    <w:p>
      <w:pPr>
        <w:pStyle w:val="FirstParagraph"/>
      </w:pPr>
      <w:r>
        <w:rPr>
          <w:b/>
          <w:bCs/>
        </w:rPr>
        <w:t xml:space="preserve">What the Disclosure says.</w:t>
      </w:r>
      <w:r>
        <w:t xml:space="preserve"> </w:t>
      </w:r>
      <w:r>
        <w:t xml:space="preserve">Section VI discloses that the arbitrator has served since 2021 on the</w:t>
      </w:r>
      <w:r>
        <w:t xml:space="preserve"> </w:t>
      </w:r>
      <w:r>
        <w:rPr>
          <w:b/>
          <w:bCs/>
        </w:rPr>
        <w:t xml:space="preserve">advisory board</w:t>
      </w:r>
      <w:r>
        <w:t xml:space="preserve"> </w:t>
      </w:r>
      <w:r>
        <w:t xml:space="preserve">of the Minnesota ADR Ethics Institute, and that</w:t>
      </w:r>
      <w:r>
        <w:t xml:space="preserve"> </w:t>
      </w:r>
      <w:r>
        <w:rPr>
          <w:b/>
          <w:bCs/>
        </w:rPr>
        <w:t xml:space="preserve">Ellen Wu</w:t>
      </w:r>
      <w:r>
        <w:t xml:space="preserve">, a Senior Partner at Barrow &amp; Thistlewood LLP, also serves on that advisory board. The arbitrator states that her interactions with Ms. Wu have been</w:t>
      </w:r>
      <w:r>
        <w:t xml:space="preserve"> </w:t>
      </w:r>
      <w:r>
        <w:t xml:space="preserve">“</w:t>
      </w:r>
      <w:r>
        <w:t xml:space="preserve">limited to attendance at advisory board meetings and related correspondence</w:t>
      </w:r>
      <w:r>
        <w:t xml:space="preserve">”</w:t>
      </w:r>
      <w:r>
        <w:t xml:space="preserve"> </w:t>
      </w:r>
      <w:r>
        <w:t xml:space="preserve">and that she does not have a social relationship with Ms. Wu. She concludes that the advisory board service</w:t>
      </w:r>
      <w:r>
        <w:t xml:space="preserve"> </w:t>
      </w:r>
      <w:r>
        <w:t xml:space="preserve">“</w:t>
      </w:r>
      <w:r>
        <w:t xml:space="preserve">creates no conflict of interest.</w:t>
      </w:r>
      <w:r>
        <w:t xml:space="preserve">”</w:t>
      </w:r>
    </w:p>
    <w:p>
      <w:pPr>
        <w:pStyle w:val="BodyText"/>
      </w:pPr>
      <w:r>
        <w:rPr>
          <w:b/>
          <w:bCs/>
        </w:rPr>
        <w:t xml:space="preserve">What the source documents show.</w:t>
      </w:r>
      <w:r>
        <w:t xml:space="preserve"> </w:t>
      </w:r>
      <w:r>
        <w:t xml:space="preserve">The Profiles Memo (§3.3, §4.2) reports, on the basis of the Institute’s IRS Form 990 filings for fiscal year 2023, that</w:t>
      </w:r>
      <w:r>
        <w:t xml:space="preserve"> </w:t>
      </w:r>
      <w:r>
        <w:rPr>
          <w:b/>
          <w:bCs/>
        </w:rPr>
        <w:t xml:space="preserve">Garrett T. Whitmore</w:t>
      </w:r>
      <w:r>
        <w:t xml:space="preserve"> </w:t>
      </w:r>
      <w:r>
        <w:t xml:space="preserve">— the Founder and Managing Partner of Respondent Whitmore Capital Partners LLC, who personally directed the challenged transaction and is identified in the Arbitration Demand as an anticipated adverse fact witness — serves on the</w:t>
      </w:r>
      <w:r>
        <w:t xml:space="preserve"> </w:t>
      </w:r>
      <w:r>
        <w:rPr>
          <w:b/>
          <w:bCs/>
        </w:rPr>
        <w:t xml:space="preserve">Board of Trustees</w:t>
      </w:r>
      <w:r>
        <w:t xml:space="preserve"> </w:t>
      </w:r>
      <w:r>
        <w:t xml:space="preserve">of the same Institute. The Board of Trustees is the Institute’s</w:t>
      </w:r>
      <w:r>
        <w:t xml:space="preserve"> </w:t>
      </w:r>
      <w:r>
        <w:rPr>
          <w:b/>
          <w:bCs/>
        </w:rPr>
        <w:t xml:space="preserve">governing body</w:t>
      </w:r>
      <w:r>
        <w:t xml:space="preserve">, responsible for strategic direction, budgetary oversight, and appointments to leadership positions, including the advisory board on which the arbitrator sits. The Institute is described as a small nonprofit; its bylaws and posted minutes indicate that the Board of Trustees and the advisory board hold annual meetings and periodic joint sessions to coordinate programming and strategy, increasing the likelihood of direct interaction between the arbitrator and the Respondent’s principal.</w:t>
      </w:r>
    </w:p>
    <w:p>
      <w:pPr>
        <w:pStyle w:val="BodyText"/>
      </w:pPr>
      <w:r>
        <w:rPr>
          <w:b/>
          <w:bCs/>
        </w:rPr>
        <w:t xml:space="preserve">Applicable standard.</w:t>
      </w:r>
      <w:r>
        <w:t xml:space="preserve"> </w:t>
      </w:r>
      <w:r>
        <w:t xml:space="preserve">Rule R-17(a)(ii) requires disclosure of relationships arising from</w:t>
      </w:r>
      <w:r>
        <w:t xml:space="preserve"> </w:t>
      </w:r>
      <w:r>
        <w:t xml:space="preserve">“</w:t>
      </w:r>
      <w:r>
        <w:t xml:space="preserve">board memberships</w:t>
      </w:r>
      <w:r>
        <w:t xml:space="preserve">”</w:t>
      </w:r>
      <w:r>
        <w:t xml:space="preserve"> </w:t>
      </w:r>
      <w:r>
        <w:t xml:space="preserve">and</w:t>
      </w:r>
      <w:r>
        <w:t xml:space="preserve"> </w:t>
      </w:r>
      <w:r>
        <w:t xml:space="preserve">“</w:t>
      </w:r>
      <w:r>
        <w:t xml:space="preserve">professional association</w:t>
      </w:r>
      <w:r>
        <w:t xml:space="preserve">”</w:t>
      </w:r>
      <w:r>
        <w:t xml:space="preserve"> </w:t>
      </w:r>
      <w:r>
        <w:t xml:space="preserve">with a</w:t>
      </w:r>
      <w:r>
        <w:t xml:space="preserve"> </w:t>
      </w:r>
      <w:r>
        <w:t xml:space="preserve">“</w:t>
      </w:r>
      <w:r>
        <w:t xml:space="preserve">party</w:t>
      </w:r>
      <w:r>
        <w:t xml:space="preserve">”</w:t>
      </w:r>
      <w:r>
        <w:t xml:space="preserve"> </w:t>
      </w:r>
      <w:r>
        <w:t xml:space="preserve">or its</w:t>
      </w:r>
      <w:r>
        <w:t xml:space="preserve"> </w:t>
      </w:r>
      <w:r>
        <w:t xml:space="preserve">“</w:t>
      </w:r>
      <w:r>
        <w:t xml:space="preserve">representatives.</w:t>
      </w:r>
      <w:r>
        <w:t xml:space="preserve">”</w:t>
      </w:r>
      <w:r>
        <w:t xml:space="preserve"> </w:t>
      </w:r>
      <w:r>
        <w:t xml:space="preserve">The Respondent’s principal (and a designated witness) serves on the governing body of the very organization on whose advisory board the arbitrator sits. The arbitrator disclosed one overlapping board relationship (with Ms. Wu) but</w:t>
      </w:r>
      <w:r>
        <w:t xml:space="preserve"> </w:t>
      </w:r>
      <w:r>
        <w:rPr>
          <w:b/>
          <w:bCs/>
        </w:rPr>
        <w:t xml:space="preserve">omitted the more significant one</w:t>
      </w:r>
      <w:r>
        <w:t xml:space="preserve"> </w:t>
      </w:r>
      <w:r>
        <w:t xml:space="preserve">— with the Respondent’s principal. Rule R-17(a)(iv) (catch-all) is also implicated.</w:t>
      </w:r>
    </w:p>
    <w:p>
      <w:pPr>
        <w:pStyle w:val="BodyText"/>
      </w:pPr>
      <w:r>
        <w:rPr>
          <w:b/>
          <w:bCs/>
        </w:rPr>
        <w:t xml:space="preserve">Assessment — MODERATE to STRONG.</w:t>
      </w:r>
      <w:r>
        <w:t xml:space="preserve"> </w:t>
      </w:r>
      <w:r>
        <w:t xml:space="preserve">The arbitrator’s</w:t>
      </w:r>
      <w:r>
        <w:t xml:space="preserve"> </w:t>
      </w:r>
      <w:r>
        <w:rPr>
          <w:b/>
          <w:bCs/>
        </w:rPr>
        <w:t xml:space="preserve">selective disclosure</w:t>
      </w:r>
      <w:r>
        <w:t xml:space="preserve"> </w:t>
      </w:r>
      <w:r>
        <w:t xml:space="preserve">is itself significant: having disclosed the advisory-board overlap with Ms. Wu, she did not disclose the trustee overlap with Mr. Whitmore, even though both relationships arise from the same organization and the Whitmore relationship is, if anything, more significant (the Board of Trustees governs the advisory board). The relationship is with a party (through its principal) and with an anticipated witness. This ground</w:t>
      </w:r>
      <w:r>
        <w:t xml:space="preserve"> </w:t>
      </w:r>
      <w:r>
        <w:rPr>
          <w:b/>
          <w:bCs/>
        </w:rPr>
        <w:t xml:space="preserve">favors a challenge by the Claimant</w:t>
      </w:r>
      <w:r>
        <w:t xml:space="preserve">. Standing alone, shared service on a small nonprofit’s governing and advisory bodies may be characterized as attenuated, but in combination with the other grounds (particularly Issues 3, 4, and 6) it materially contributes to an appearance of partiality toward the Respondent.</w:t>
      </w:r>
    </w:p>
    <w:bookmarkEnd w:id="28"/>
    <w:bookmarkStart w:id="29" w:name="X426cb0a26d63e083c8594029c13f4f249213878"/>
    <w:p>
      <w:pPr>
        <w:pStyle w:val="Heading3"/>
      </w:pPr>
      <w:r>
        <w:t xml:space="preserve">Issue 3 — Undisclosed Co-Panelist Relationship with the Respondent’s Lead Counsel on a Directly Germane Topic</w:t>
      </w:r>
    </w:p>
    <w:p>
      <w:pPr>
        <w:pStyle w:val="FirstParagraph"/>
      </w:pPr>
      <w:r>
        <w:rPr>
          <w:b/>
          <w:bCs/>
        </w:rPr>
        <w:t xml:space="preserve">What the Disclosure says.</w:t>
      </w:r>
      <w:r>
        <w:t xml:space="preserve"> </w:t>
      </w:r>
      <w:r>
        <w:t xml:space="preserve">The Disclosure does not reference any CLE or speaking engagement, and does not identify any professional relationship with Dominic Hargrave (Respondent’s lead counsel) beyond the arbitration matters in which Barrow &amp; Thistlewood LLP has appeared as counsel.</w:t>
      </w:r>
    </w:p>
    <w:p>
      <w:pPr>
        <w:pStyle w:val="BodyText"/>
      </w:pPr>
      <w:r>
        <w:rPr>
          <w:b/>
          <w:bCs/>
        </w:rPr>
        <w:t xml:space="preserve">What the source documents show.</w:t>
      </w:r>
      <w:r>
        <w:t xml:space="preserve"> </w:t>
      </w:r>
      <w:r>
        <w:t xml:space="preserve">The Profiles Memo (§3.6) reports that the Lakeview Dispute Resolution Center hosted a CLE titled</w:t>
      </w:r>
      <w:r>
        <w:t xml:space="preserve"> </w:t>
      </w:r>
      <w:r>
        <w:rPr>
          <w:b/>
          <w:bCs/>
        </w:rPr>
        <w:t xml:space="preserve">“</w:t>
      </w:r>
      <w:r>
        <w:rPr>
          <w:b/>
          <w:bCs/>
        </w:rPr>
        <w:t xml:space="preserve">Arbitrating Complex IP Licensing Disputes</w:t>
      </w:r>
      <w:r>
        <w:rPr>
          <w:b/>
          <w:bCs/>
        </w:rPr>
        <w:t xml:space="preserve">”</w:t>
      </w:r>
      <w:r>
        <w:t xml:space="preserve"> </w:t>
      </w:r>
      <w:r>
        <w:t xml:space="preserve">on</w:t>
      </w:r>
      <w:r>
        <w:t xml:space="preserve"> </w:t>
      </w:r>
      <w:r>
        <w:rPr>
          <w:b/>
          <w:bCs/>
        </w:rPr>
        <w:t xml:space="preserve">October 14, 2023</w:t>
      </w:r>
      <w:r>
        <w:t xml:space="preserve">. The listed panelists were the arbitrator;</w:t>
      </w:r>
      <w:r>
        <w:t xml:space="preserve"> </w:t>
      </w:r>
      <w:r>
        <w:rPr>
          <w:b/>
          <w:bCs/>
        </w:rPr>
        <w:t xml:space="preserve">Dominic Hargrave</w:t>
      </w:r>
      <w:r>
        <w:t xml:space="preserve"> </w:t>
      </w:r>
      <w:r>
        <w:t xml:space="preserve">(lead counsel for the Respondent in this matter); Professor Naomi J. Strickland; and Marcus DelVecchio. The event occurred approximately five months before the Arbitration Demand was filed and approximately eight months before the arbitrator’s appointment. The topic — arbitrating complex IP licensing disputes, including valuation methodologies, arbitrator selection in technology-intensive cases, and management of expert testimony — is</w:t>
      </w:r>
      <w:r>
        <w:t xml:space="preserve"> </w:t>
      </w:r>
      <w:r>
        <w:rPr>
          <w:b/>
          <w:bCs/>
        </w:rPr>
        <w:t xml:space="preserve">directly germane</w:t>
      </w:r>
      <w:r>
        <w:t xml:space="preserve"> </w:t>
      </w:r>
      <w:r>
        <w:t xml:space="preserve">to this arbitration, which concerns the valuation and enforceability of a technology license for Cascade’s ThermalCore portfolio. The event was hosted at Lakeview, the arbitrator’s own affiliated institution.</w:t>
      </w:r>
    </w:p>
    <w:p>
      <w:pPr>
        <w:pStyle w:val="BodyText"/>
      </w:pPr>
      <w:r>
        <w:rPr>
          <w:b/>
          <w:bCs/>
        </w:rPr>
        <w:t xml:space="preserve">Applicable standard.</w:t>
      </w:r>
      <w:r>
        <w:t xml:space="preserve"> </w:t>
      </w:r>
      <w:r>
        <w:t xml:space="preserve">Rule R-17(a)(ii) (professional relationships with counsel); Rule R-17(a)(iv) (catch-all, expressly including</w:t>
      </w:r>
      <w:r>
        <w:t xml:space="preserve"> </w:t>
      </w:r>
      <w:r>
        <w:t xml:space="preserve">“</w:t>
      </w:r>
      <w:r>
        <w:t xml:space="preserve">public statements, or expressed views on legal or factual issues relevant to the dispute</w:t>
      </w:r>
      <w:r>
        <w:t xml:space="preserve">”</w:t>
      </w:r>
      <w:r>
        <w:t xml:space="preserve"> </w:t>
      </w:r>
      <w:r>
        <w:t xml:space="preserve">— the arbitrator spoke publicly on a panel about arbitrating the very type of dispute before her).</w:t>
      </w:r>
    </w:p>
    <w:p>
      <w:pPr>
        <w:pStyle w:val="BodyText"/>
      </w:pPr>
      <w:r>
        <w:rPr>
          <w:b/>
          <w:bCs/>
        </w:rPr>
        <w:t xml:space="preserve">Assessment — MODERATE.</w:t>
      </w:r>
      <w:r>
        <w:t xml:space="preserve"> </w:t>
      </w:r>
      <w:r>
        <w:t xml:space="preserve">A single CLE co-panelist engagement is, in isolation, a relatively weak basis for challenge; such collegial professional interaction is common and generally does not, by itself, create justifiable doubt. Three features elevate this ground here: (i) it was</w:t>
      </w:r>
      <w:r>
        <w:t xml:space="preserve"> </w:t>
      </w:r>
      <w:r>
        <w:rPr>
          <w:b/>
          <w:bCs/>
        </w:rPr>
        <w:t xml:space="preserve">undisclosed</w:t>
      </w:r>
      <w:r>
        <w:t xml:space="preserve">; (ii) the topic is</w:t>
      </w:r>
      <w:r>
        <w:t xml:space="preserve"> </w:t>
      </w:r>
      <w:r>
        <w:rPr>
          <w:b/>
          <w:bCs/>
        </w:rPr>
        <w:t xml:space="preserve">directly germane</w:t>
      </w:r>
      <w:r>
        <w:t xml:space="preserve"> </w:t>
      </w:r>
      <w:r>
        <w:t xml:space="preserve">to the subject matter of this arbitration, and the arbitrator’s public statements on that topic fall within Rule R-17(a)(iv); and (iii) the event was hosted at</w:t>
      </w:r>
      <w:r>
        <w:t xml:space="preserve"> </w:t>
      </w:r>
      <w:r>
        <w:rPr>
          <w:b/>
          <w:bCs/>
        </w:rPr>
        <w:t xml:space="preserve">Lakeview</w:t>
      </w:r>
      <w:r>
        <w:t xml:space="preserve">, the arbitrator’s own institution, which receives referrals from Mr. Hargrave’s firm (tying this ground to Issue 7). This ground</w:t>
      </w:r>
      <w:r>
        <w:t xml:space="preserve"> </w:t>
      </w:r>
      <w:r>
        <w:rPr>
          <w:b/>
          <w:bCs/>
        </w:rPr>
        <w:t xml:space="preserve">favors a challenge by the Claimant</w:t>
      </w:r>
      <w:r>
        <w:t xml:space="preserve"> </w:t>
      </w:r>
      <w:r>
        <w:t xml:space="preserve">and is most powerful in combination with the repeat-appointment pattern (Issue 6) and the Lakeview affiliation (Issue 7).</w:t>
      </w:r>
    </w:p>
    <w:bookmarkEnd w:id="29"/>
    <w:bookmarkStart w:id="30" w:name="X7371826a6774cd0a434f7ea3ae18cc95ef667f4"/>
    <w:p>
      <w:pPr>
        <w:pStyle w:val="Heading3"/>
      </w:pPr>
      <w:r>
        <w:t xml:space="preserve">Issue 4 — Undisclosed Potential Indirect Financial Interest in Whitmore Fund II LP</w:t>
      </w:r>
    </w:p>
    <w:p>
      <w:pPr>
        <w:pStyle w:val="FirstParagraph"/>
      </w:pPr>
      <w:r>
        <w:rPr>
          <w:b/>
          <w:bCs/>
        </w:rPr>
        <w:t xml:space="preserve">What the Disclosure says.</w:t>
      </w:r>
      <w:r>
        <w:t xml:space="preserve"> </w:t>
      </w:r>
      <w:r>
        <w:t xml:space="preserve">Section IV discloses that the arbitrator’s investment portfolio is managed on a discretionary basis by</w:t>
      </w:r>
      <w:r>
        <w:t xml:space="preserve"> </w:t>
      </w:r>
      <w:r>
        <w:rPr>
          <w:b/>
          <w:bCs/>
        </w:rPr>
        <w:t xml:space="preserve">Northbridge Wealth Advisors</w:t>
      </w:r>
      <w:r>
        <w:t xml:space="preserve">. The Disclosure states that the arbitrator holds</w:t>
      </w:r>
      <w:r>
        <w:t xml:space="preserve"> </w:t>
      </w:r>
      <w:r>
        <w:t xml:space="preserve">“</w:t>
      </w:r>
      <w:r>
        <w:t xml:space="preserve">no direct equity positions in any party to this arbitration</w:t>
      </w:r>
      <w:r>
        <w:t xml:space="preserve">”</w:t>
      </w:r>
      <w:r>
        <w:t xml:space="preserve"> </w:t>
      </w:r>
      <w:r>
        <w:t xml:space="preserve">and has not transacted in the securities of Cascade, Whitmore, or any direct subsidiary or affiliate. It acknowledges that the arbitrator</w:t>
      </w:r>
      <w:r>
        <w:t xml:space="preserve"> </w:t>
      </w:r>
      <w:r>
        <w:t xml:space="preserve">“</w:t>
      </w:r>
      <w:r>
        <w:t xml:space="preserve">ha[s] not undertaken a position-by-position review of each fund or sub-investment held within [her] managed accounts,</w:t>
      </w:r>
      <w:r>
        <w:t xml:space="preserve">”</w:t>
      </w:r>
      <w:r>
        <w:t xml:space="preserve"> </w:t>
      </w:r>
      <w:r>
        <w:t xml:space="preserve">that her portfolio manager makes investment decisions within pooled vehicles</w:t>
      </w:r>
      <w:r>
        <w:t xml:space="preserve"> </w:t>
      </w:r>
      <w:r>
        <w:t xml:space="preserve">“</w:t>
      </w:r>
      <w:r>
        <w:t xml:space="preserve">without [her] direction or approval,</w:t>
      </w:r>
      <w:r>
        <w:t xml:space="preserve">”</w:t>
      </w:r>
      <w:r>
        <w:t xml:space="preserve"> </w:t>
      </w:r>
      <w:r>
        <w:t xml:space="preserve">and that</w:t>
      </w:r>
      <w:r>
        <w:t xml:space="preserve"> </w:t>
      </w:r>
      <w:r>
        <w:t xml:space="preserve">“</w:t>
      </w:r>
      <w:r>
        <w:t xml:space="preserve">to the extent any pooled investment vehicle in which [she] hold[s] an interest may have underlying investments in entities related to the parties, [she is] not aware of any such investment that would constitute a material financial interest in the outcome of this proceeding.</w:t>
      </w:r>
      <w:r>
        <w:t xml:space="preserve">”</w:t>
      </w:r>
    </w:p>
    <w:p>
      <w:pPr>
        <w:pStyle w:val="BodyText"/>
      </w:pPr>
      <w:r>
        <w:rPr>
          <w:b/>
          <w:bCs/>
        </w:rPr>
        <w:t xml:space="preserve">What the source documents show.</w:t>
      </w:r>
      <w:r>
        <w:t xml:space="preserve"> </w:t>
      </w:r>
      <w:r>
        <w:t xml:space="preserve">The Profiles Memo (§3.4, §4.3) reports, on the basis of SEC filings and fund disclosure documents, that Northbridge Wealth Advisors manages a fund-of-funds product called the</w:t>
      </w:r>
      <w:r>
        <w:t xml:space="preserve"> </w:t>
      </w:r>
      <w:r>
        <w:rPr>
          <w:b/>
          <w:bCs/>
        </w:rPr>
        <w:t xml:space="preserve">Northbridge Select Alternatives Fund</w:t>
      </w:r>
      <w:r>
        <w:t xml:space="preserve">, which (per its most recent public filing, dated March 2024) holds a</w:t>
      </w:r>
      <w:r>
        <w:t xml:space="preserve"> </w:t>
      </w:r>
      <w:r>
        <w:rPr>
          <w:b/>
          <w:bCs/>
        </w:rPr>
        <w:t xml:space="preserve">2.3% limited partner interest in Whitmore Fund II LP</w:t>
      </w:r>
      <w:r>
        <w:t xml:space="preserve">. Whitmore Fund II LP is the Delaware limited partnership that</w:t>
      </w:r>
      <w:r>
        <w:t xml:space="preserve"> </w:t>
      </w:r>
      <w:r>
        <w:rPr>
          <w:b/>
          <w:bCs/>
        </w:rPr>
        <w:t xml:space="preserve">owns Volaris Manufacturing Group LLC</w:t>
      </w:r>
      <w:r>
        <w:t xml:space="preserve"> </w:t>
      </w:r>
      <w:r>
        <w:t xml:space="preserve">— the direct beneficiary of the disputed below-market ThermalCore license. The economic outcome of this arbitration (rescission, renegotiation, repricing, or damages against Whitmore) would affect the value of Whitmore Fund II LP’s portfolio and, by extension, any limited partner interest in Fund II. The potential chain of indirect interest is:</w:t>
      </w:r>
    </w:p>
    <w:p>
      <w:pPr>
        <w:pStyle w:val="BlockText"/>
      </w:pPr>
      <w:r>
        <w:t xml:space="preserve">Arbitrator’s portfolio (managed by Northbridge Wealth Advisors) → potential allocation to Northbridge Select Alternatives Fund (managed by the same firm) → 2.3% LP interest in Whitmore Fund II LP → Whitmore Fund II LP owns Volaris → Volaris is the beneficiary of the disputed license.</w:t>
      </w:r>
    </w:p>
    <w:p>
      <w:pPr>
        <w:pStyle w:val="FirstParagraph"/>
      </w:pPr>
      <w:r>
        <w:t xml:space="preserve">The Profiles Memo cautions that the public record does</w:t>
      </w:r>
      <w:r>
        <w:t xml:space="preserve"> </w:t>
      </w:r>
      <w:r>
        <w:rPr>
          <w:b/>
          <w:bCs/>
        </w:rPr>
        <w:t xml:space="preserve">not confirm</w:t>
      </w:r>
      <w:r>
        <w:t xml:space="preserve"> </w:t>
      </w:r>
      <w:r>
        <w:t xml:space="preserve">whether the arbitrator’s personal portfolio includes an allocation to the Northbridge Select Alternatives Fund.</w:t>
      </w:r>
    </w:p>
    <w:p>
      <w:pPr>
        <w:pStyle w:val="BodyText"/>
      </w:pPr>
      <w:r>
        <w:rPr>
          <w:b/>
          <w:bCs/>
        </w:rPr>
        <w:t xml:space="preserve">Applicable standard.</w:t>
      </w:r>
      <w:r>
        <w:t xml:space="preserve"> </w:t>
      </w:r>
      <w:r>
        <w:t xml:space="preserve">Rule R-17(a)(i) requires disclosure of</w:t>
      </w:r>
      <w:r>
        <w:t xml:space="preserve"> </w:t>
      </w:r>
      <w:r>
        <w:t xml:space="preserve">“</w:t>
      </w:r>
      <w:r>
        <w:t xml:space="preserve">any known</w:t>
      </w:r>
      <w:r>
        <w:t xml:space="preserve"> </w:t>
      </w:r>
      <w:r>
        <w:rPr>
          <w:b/>
          <w:bCs/>
        </w:rPr>
        <w:t xml:space="preserve">direct or indirect</w:t>
      </w:r>
      <w:r>
        <w:t xml:space="preserve"> </w:t>
      </w:r>
      <w:r>
        <w:t xml:space="preserve">financial or personal interest in the outcome,</w:t>
      </w:r>
      <w:r>
        <w:t xml:space="preserve">”</w:t>
      </w:r>
      <w:r>
        <w:t xml:space="preserve"> </w:t>
      </w:r>
      <w:r>
        <w:t xml:space="preserve">expressly</w:t>
      </w:r>
      <w:r>
        <w:t xml:space="preserve"> </w:t>
      </w:r>
      <w:r>
        <w:t xml:space="preserve">“</w:t>
      </w:r>
      <w:r>
        <w:t xml:space="preserve">including any interest, whether legal or beneficial, in the subject matter of the dispute, in any party, or in</w:t>
      </w:r>
      <w:r>
        <w:t xml:space="preserve"> </w:t>
      </w:r>
      <w:r>
        <w:rPr>
          <w:b/>
          <w:bCs/>
        </w:rPr>
        <w:t xml:space="preserve">any entity that may be affected by the result of the proceeding</w:t>
      </w:r>
      <w:r>
        <w:t xml:space="preserve">.</w:t>
      </w:r>
      <w:r>
        <w:t xml:space="preserve">”</w:t>
      </w:r>
      <w:r>
        <w:t xml:space="preserve"> </w:t>
      </w:r>
      <w:r>
        <w:t xml:space="preserve">The Rule thus reaches</w:t>
      </w:r>
      <w:r>
        <w:t xml:space="preserve"> </w:t>
      </w:r>
      <w:r>
        <w:rPr>
          <w:b/>
          <w:bCs/>
        </w:rPr>
        <w:t xml:space="preserve">indirect</w:t>
      </w:r>
      <w:r>
        <w:t xml:space="preserve"> </w:t>
      </w:r>
      <w:r>
        <w:t xml:space="preserve">interests and interests in entities (here, Whitmore Fund II LP and Volaris) that are not themselves parties but are</w:t>
      </w:r>
      <w:r>
        <w:t xml:space="preserve"> </w:t>
      </w:r>
      <w:r>
        <w:t xml:space="preserve">“</w:t>
      </w:r>
      <w:r>
        <w:t xml:space="preserve">affected by the result.</w:t>
      </w:r>
      <w:r>
        <w:t xml:space="preserve">”</w:t>
      </w:r>
      <w:r>
        <w:t xml:space="preserve"> </w:t>
      </w:r>
      <w:r>
        <w:t xml:space="preserve">The arbitrator’s</w:t>
      </w:r>
      <w:r>
        <w:t xml:space="preserve"> </w:t>
      </w:r>
      <w:r>
        <w:t xml:space="preserve">“</w:t>
      </w:r>
      <w:r>
        <w:t xml:space="preserve">no direct equity positions</w:t>
      </w:r>
      <w:r>
        <w:t xml:space="preserve">”</w:t>
      </w:r>
      <w:r>
        <w:t xml:space="preserve"> </w:t>
      </w:r>
      <w:r>
        <w:t xml:space="preserve">framing is technically accurate but does not address the indirect-interest question the Rule expressly poses. Her acknowledgment that she has not reviewed pooled vehicles, and that she is</w:t>
      </w:r>
      <w:r>
        <w:t xml:space="preserve"> </w:t>
      </w:r>
      <w:r>
        <w:t xml:space="preserve">“</w:t>
      </w:r>
      <w:r>
        <w:t xml:space="preserve">not aware</w:t>
      </w:r>
      <w:r>
        <w:t xml:space="preserve">”</w:t>
      </w:r>
      <w:r>
        <w:t xml:space="preserve"> </w:t>
      </w:r>
      <w:r>
        <w:t xml:space="preserve">of material interests, is a disclosure-by-caveat that does not discharge the duty of</w:t>
      </w:r>
      <w:r>
        <w:t xml:space="preserve"> </w:t>
      </w:r>
      <w:r>
        <w:t xml:space="preserve">“</w:t>
      </w:r>
      <w:r>
        <w:t xml:space="preserve">diligent inquiry</w:t>
      </w:r>
      <w:r>
        <w:t xml:space="preserve">”</w:t>
      </w:r>
      <w:r>
        <w:t xml:space="preserve"> </w:t>
      </w:r>
      <w:r>
        <w:t xml:space="preserve">she certified in Section X — particularly where her own wealth adviser manages a fund-of-funds with a documented LP interest in the Respondent’s affiliate.</w:t>
      </w:r>
    </w:p>
    <w:p>
      <w:pPr>
        <w:pStyle w:val="BodyText"/>
      </w:pPr>
      <w:r>
        <w:rPr>
          <w:b/>
          <w:bCs/>
        </w:rPr>
        <w:t xml:space="preserve">Assessment — STRONG (if the connection is confirmed); at minimum requires supplementation.</w:t>
      </w:r>
      <w:r>
        <w:t xml:space="preserve"> </w:t>
      </w:r>
      <w:r>
        <w:t xml:space="preserve">If the arbitrator’s portfolio includes the Northbridge Select Alternatives Fund, she holds an indirect financial interest in Whitmore Fund II LP, which owns the entity (Volaris) that directly benefits from the very license at issue. The economic alignment is notable: an award favoring the Claimant (rescission or damages) would tend to reduce Volaris’s and Fund II’s value, potentially reducing the value of the arbitrator’s indirect investment. Even absent confirmation, the failure to address indirect interests — when the Rule expressly requires it and when her own adviser manages a fund with a documented LP interest in the Respondent’s affiliate — is a disclosure deficiency. The dollar magnitude of any indirect interest (a 2.3% LP interest held through a fund-of-funds, of which the arbitrator might hold some fraction) may be small, but the AAA</w:t>
      </w:r>
      <w:r>
        <w:t xml:space="preserve"> </w:t>
      </w:r>
      <w:r>
        <w:t xml:space="preserve">“</w:t>
      </w:r>
      <w:r>
        <w:t xml:space="preserve">justifiable doubt</w:t>
      </w:r>
      <w:r>
        <w:t xml:space="preserve">”</w:t>
      </w:r>
      <w:r>
        <w:t xml:space="preserve"> </w:t>
      </w:r>
      <w:r>
        <w:t xml:space="preserve">standard and the IBA financial-interest provisions turn on the existence and appearance of an interest in an entity affected by the result, not solely on its dollar materiality. This ground</w:t>
      </w:r>
      <w:r>
        <w:t xml:space="preserve"> </w:t>
      </w:r>
      <w:r>
        <w:rPr>
          <w:b/>
          <w:bCs/>
        </w:rPr>
        <w:t xml:space="preserve">favors a challenge by the Claimant</w:t>
      </w:r>
      <w:r>
        <w:t xml:space="preserve">. The appropriate first step is to demand that the arbitrator inquire of Northbridge and supplement her disclosure as to whether her portfolio (or any Northbridge pooled vehicle in which she participates) holds any interest in Whitmore Fund II LP, Whitmore Fund III LP, Volaris, or Cascade.</w:t>
      </w:r>
    </w:p>
    <w:bookmarkEnd w:id="30"/>
    <w:bookmarkStart w:id="31" w:name="X75b67a1e607957350f03bb5ce6c04f158ad24ce"/>
    <w:p>
      <w:pPr>
        <w:pStyle w:val="Heading3"/>
      </w:pPr>
      <w:r>
        <w:t xml:space="preserve">Issue 5 — Omission of a Pending Arbitration Involving the Respondent’s Counsel</w:t>
      </w:r>
    </w:p>
    <w:p>
      <w:pPr>
        <w:pStyle w:val="FirstParagraph"/>
      </w:pPr>
      <w:r>
        <w:rPr>
          <w:b/>
          <w:bCs/>
        </w:rPr>
        <w:t xml:space="preserve">What the Disclosure says.</w:t>
      </w:r>
      <w:r>
        <w:t xml:space="preserve"> </w:t>
      </w:r>
      <w:r>
        <w:t xml:space="preserve">Section III lists seven matters and states:</w:t>
      </w:r>
      <w:r>
        <w:t xml:space="preserve"> </w:t>
      </w:r>
      <w:r>
        <w:t xml:space="preserve">“</w:t>
      </w:r>
      <w:r>
        <w:t xml:space="preserve">To the best of my recollection, the foregoing represents a complete list of arbitrations in which I have served alongside counsel from either Barrow &amp; Thistlewood LLP or Fielding Marsh &amp; Collier LLP.</w:t>
      </w:r>
      <w:r>
        <w:t xml:space="preserve">”</w:t>
      </w:r>
      <w:r>
        <w:t xml:space="preserve"> </w:t>
      </w:r>
      <w:r>
        <w:t xml:space="preserve">The only pending matter listed (other than the instant case) is</w:t>
      </w:r>
      <w:r>
        <w:t xml:space="preserve"> </w:t>
      </w:r>
      <w:r>
        <w:rPr>
          <w:i/>
          <w:iCs/>
        </w:rPr>
        <w:t xml:space="preserve">Orion Fabrication LLC v. Mountain West Supply Co.</w:t>
      </w:r>
      <w:r>
        <w:t xml:space="preserve"> </w:t>
      </w:r>
      <w:r>
        <w:t xml:space="preserve">(2023), in which Barrow &amp; Thistlewood LLP represents the respondent.</w:t>
      </w:r>
    </w:p>
    <w:p>
      <w:pPr>
        <w:pStyle w:val="BodyText"/>
      </w:pPr>
      <w:r>
        <w:rPr>
          <w:b/>
          <w:bCs/>
        </w:rPr>
        <w:t xml:space="preserve">What the source documents show.</w:t>
      </w:r>
      <w:r>
        <w:t xml:space="preserve"> </w:t>
      </w:r>
      <w:r>
        <w:t xml:space="preserve">The Profiles Memo (§3.5) and the Appointment Data (Pending Matters sheet) identify an additional pending arbitration,</w:t>
      </w:r>
      <w:r>
        <w:t xml:space="preserve"> </w:t>
      </w:r>
      <w:r>
        <w:rPr>
          <w:b/>
          <w:bCs/>
          <w:i/>
          <w:iCs/>
        </w:rPr>
        <w:t xml:space="preserve">Halcyon Biotech v. Stonewall Partners</w:t>
      </w:r>
      <w:r>
        <w:t xml:space="preserve"> </w:t>
      </w:r>
      <w:r>
        <w:t xml:space="preserve">(AAA Case No. 01-24-0003105), in which Barrow &amp; Thistlewood LLP represents a party and the arbitrator serves as sole arbitrator. The arbitrator was appointed on April 22, 2024; the matter is in the pre-hearing phase, with estimated remaining fees of approximately $175,000. This matter does not appear in the Disclosure.</w:t>
      </w:r>
    </w:p>
    <w:p>
      <w:pPr>
        <w:pStyle w:val="BodyText"/>
      </w:pPr>
      <w:r>
        <w:rPr>
          <w:b/>
          <w:bCs/>
        </w:rPr>
        <w:t xml:space="preserve">Applicable standard.</w:t>
      </w:r>
      <w:r>
        <w:t xml:space="preserve"> </w:t>
      </w:r>
      <w:r>
        <w:t xml:space="preserve">Rule R-17(a)(iii) requires disclosure of</w:t>
      </w:r>
      <w:r>
        <w:t xml:space="preserve"> </w:t>
      </w:r>
      <w:r>
        <w:t xml:space="preserve">“</w:t>
      </w:r>
      <w:r>
        <w:t xml:space="preserve">any prior or pending cases in which the arbitrator has been or is involved … with any party to the arbitration, its counsel, or representatives,</w:t>
      </w:r>
      <w:r>
        <w:t xml:space="preserve">”</w:t>
      </w:r>
      <w:r>
        <w:t xml:space="preserve"> </w:t>
      </w:r>
      <w:r>
        <w:t xml:space="preserve">at any institution and in any capacity. The arbitrator’s certification that her list is</w:t>
      </w:r>
      <w:r>
        <w:t xml:space="preserve"> </w:t>
      </w:r>
      <w:r>
        <w:t xml:space="preserve">“</w:t>
      </w:r>
      <w:r>
        <w:t xml:space="preserve">complete</w:t>
      </w:r>
      <w:r>
        <w:t xml:space="preserve">”</w:t>
      </w:r>
      <w:r>
        <w:t xml:space="preserve"> </w:t>
      </w:r>
      <w:r>
        <w:t xml:space="preserve">is directly contradicted by this omission.</w:t>
      </w:r>
    </w:p>
    <w:p>
      <w:pPr>
        <w:pStyle w:val="BodyText"/>
      </w:pPr>
      <w:r>
        <w:rPr>
          <w:b/>
          <w:bCs/>
        </w:rPr>
        <w:t xml:space="preserve">Assessment — MODERATE to STRONG.</w:t>
      </w:r>
      <w:r>
        <w:t xml:space="preserve"> </w:t>
      </w:r>
      <w:r>
        <w:t xml:space="preserve">This is a clear omission of a</w:t>
      </w:r>
      <w:r>
        <w:t xml:space="preserve"> </w:t>
      </w:r>
      <w:r>
        <w:rPr>
          <w:b/>
          <w:bCs/>
        </w:rPr>
        <w:t xml:space="preserve">pending</w:t>
      </w:r>
      <w:r>
        <w:t xml:space="preserve"> </w:t>
      </w:r>
      <w:r>
        <w:t xml:space="preserve">matter involving the Respondent’s counsel, contrary to the arbitrator’s express certification of completeness. It understates the number of concurrent engagements the arbitrator has with Barrow &amp; Thistlewood LLP and, correspondingly, the arbitrator’s ongoing economic dependence on that firm. This ground</w:t>
      </w:r>
      <w:r>
        <w:t xml:space="preserve"> </w:t>
      </w:r>
      <w:r>
        <w:rPr>
          <w:b/>
          <w:bCs/>
        </w:rPr>
        <w:t xml:space="preserve">favors a challenge by the Claimant</w:t>
      </w:r>
      <w:r>
        <w:t xml:space="preserve">. Whether the omission was inadvertent or deliberate, the result is a disclosure that materially understates the concurrent relationship with the Respondent’s counsel.</w:t>
      </w:r>
    </w:p>
    <w:bookmarkEnd w:id="31"/>
    <w:bookmarkStart w:id="32" w:name="Xf8dae20e7019a48ef327f8fc88837dc5a8ab804"/>
    <w:p>
      <w:pPr>
        <w:pStyle w:val="Heading3"/>
      </w:pPr>
      <w:r>
        <w:t xml:space="preserve">Issue 6 — Substantial Under-Disclosure of the Repeat-Appointment History with the Parties’ Counsel</w:t>
      </w:r>
    </w:p>
    <w:p>
      <w:pPr>
        <w:pStyle w:val="FirstParagraph"/>
      </w:pPr>
      <w:r>
        <w:rPr>
          <w:b/>
          <w:bCs/>
        </w:rPr>
        <w:t xml:space="preserve">What the Disclosure says.</w:t>
      </w:r>
      <w:r>
        <w:t xml:space="preserve"> </w:t>
      </w:r>
      <w:r>
        <w:t xml:space="preserve">Section III lists seven matters (six completed, one pending) involving the parties’ counsel and certifies the list as complete. The arbitrator notes that outcomes are disclosed</w:t>
      </w:r>
      <w:r>
        <w:t xml:space="preserve"> </w:t>
      </w:r>
      <w:r>
        <w:t xml:space="preserve">“</w:t>
      </w:r>
      <w:r>
        <w:t xml:space="preserve">solely for purposes of transparency</w:t>
      </w:r>
      <w:r>
        <w:t xml:space="preserve">”</w:t>
      </w:r>
      <w:r>
        <w:t xml:space="preserve"> </w:t>
      </w:r>
      <w:r>
        <w:t xml:space="preserve">and that</w:t>
      </w:r>
      <w:r>
        <w:t xml:space="preserve"> </w:t>
      </w:r>
      <w:r>
        <w:t xml:space="preserve">“</w:t>
      </w:r>
      <w:r>
        <w:t xml:space="preserve">each arbitration is evaluated independently.</w:t>
      </w:r>
      <w:r>
        <w:t xml:space="preserve">”</w:t>
      </w:r>
    </w:p>
    <w:p>
      <w:pPr>
        <w:pStyle w:val="BodyText"/>
      </w:pPr>
      <w:r>
        <w:rPr>
          <w:b/>
          <w:bCs/>
        </w:rPr>
        <w:t xml:space="preserve">What the source documents show.</w:t>
      </w:r>
      <w:r>
        <w:t xml:space="preserve"> </w:t>
      </w:r>
      <w:r>
        <w:t xml:space="preserve">The Appointment Data (Case List and Fee Summary) and the Profiles Memo (§3.5) reflect a substantially larger and more concentrated relationship:</w:t>
      </w:r>
    </w:p>
    <w:p>
      <w:pPr>
        <w:numPr>
          <w:ilvl w:val="0"/>
          <w:numId w:val="1002"/>
        </w:numPr>
      </w:pPr>
      <w:r>
        <w:rPr>
          <w:b/>
          <w:bCs/>
        </w:rPr>
        <w:t xml:space="preserve">Volume.</w:t>
      </w:r>
      <w:r>
        <w:t xml:space="preserve"> </w:t>
      </w:r>
      <w:r>
        <w:t xml:space="preserve">Of the arbitrator’s last 20 completed arbitrations (2021–2024),</w:t>
      </w:r>
      <w:r>
        <w:t xml:space="preserve"> </w:t>
      </w:r>
      <w:r>
        <w:rPr>
          <w:b/>
          <w:bCs/>
        </w:rPr>
        <w:t xml:space="preserve">9 involved Barrow &amp; Thistlewood LLP</w:t>
      </w:r>
      <w:r>
        <w:t xml:space="preserve"> </w:t>
      </w:r>
      <w:r>
        <w:t xml:space="preserve">(45%) and</w:t>
      </w:r>
      <w:r>
        <w:t xml:space="preserve"> </w:t>
      </w:r>
      <w:r>
        <w:rPr>
          <w:b/>
          <w:bCs/>
        </w:rPr>
        <w:t xml:space="preserve">5 involved Fielding Marsh &amp; Collier LLP</w:t>
      </w:r>
      <w:r>
        <w:t xml:space="preserve"> </w:t>
      </w:r>
      <w:r>
        <w:t xml:space="preserve">(25%). One matter (</w:t>
      </w:r>
      <w:r>
        <w:rPr>
          <w:i/>
          <w:iCs/>
        </w:rPr>
        <w:t xml:space="preserve">Westbrook Partners v. Arcadian Ventures</w:t>
      </w:r>
      <w:r>
        <w:t xml:space="preserve">, 2022) involved both firms, yielding</w:t>
      </w:r>
      <w:r>
        <w:t xml:space="preserve"> </w:t>
      </w:r>
      <w:r>
        <w:rPr>
          <w:b/>
          <w:bCs/>
        </w:rPr>
        <w:t xml:space="preserve">13 distinct completed matters</w:t>
      </w:r>
      <w:r>
        <w:t xml:space="preserve"> </w:t>
      </w:r>
      <w:r>
        <w:t xml:space="preserve">involving the parties’ counsel. Adding the two pending matters involving the parties’ counsel (the disclosed</w:t>
      </w:r>
      <w:r>
        <w:t xml:space="preserve"> </w:t>
      </w:r>
      <w:r>
        <w:rPr>
          <w:i/>
          <w:iCs/>
        </w:rPr>
        <w:t xml:space="preserve">Orion Fabrication</w:t>
      </w:r>
      <w:r>
        <w:t xml:space="preserve"> </w:t>
      </w:r>
      <w:r>
        <w:t xml:space="preserve">and the undisclosed</w:t>
      </w:r>
      <w:r>
        <w:t xml:space="preserve"> </w:t>
      </w:r>
      <w:r>
        <w:rPr>
          <w:i/>
          <w:iCs/>
        </w:rPr>
        <w:t xml:space="preserve">Halcyon Biotech</w:t>
      </w:r>
      <w:r>
        <w:t xml:space="preserve">), the arbitrator has served in</w:t>
      </w:r>
      <w:r>
        <w:t xml:space="preserve"> </w:t>
      </w:r>
      <w:r>
        <w:rPr>
          <w:b/>
          <w:bCs/>
        </w:rPr>
        <w:t xml:space="preserve">at least 15 matters</w:t>
      </w:r>
      <w:r>
        <w:t xml:space="preserve"> </w:t>
      </w:r>
      <w:r>
        <w:t xml:space="preserve">involving the parties’ counsel — versus the</w:t>
      </w:r>
      <w:r>
        <w:t xml:space="preserve"> </w:t>
      </w:r>
      <w:r>
        <w:rPr>
          <w:b/>
          <w:bCs/>
        </w:rPr>
        <w:t xml:space="preserve">7</w:t>
      </w:r>
      <w:r>
        <w:t xml:space="preserve"> </w:t>
      </w:r>
      <w:r>
        <w:t xml:space="preserve">disclosed.</w:t>
      </w:r>
    </w:p>
    <w:p>
      <w:pPr>
        <w:numPr>
          <w:ilvl w:val="0"/>
          <w:numId w:val="1002"/>
        </w:numPr>
      </w:pPr>
      <w:r>
        <w:rPr>
          <w:b/>
          <w:bCs/>
        </w:rPr>
        <w:t xml:space="preserve">Undisclosed completed matters.</w:t>
      </w:r>
      <w:r>
        <w:t xml:space="preserve"> </w:t>
      </w:r>
      <w:r>
        <w:t xml:space="preserve">The Appointment Data expressly flags at least</w:t>
      </w:r>
      <w:r>
        <w:t xml:space="preserve"> </w:t>
      </w:r>
      <w:r>
        <w:rPr>
          <w:b/>
          <w:bCs/>
        </w:rPr>
        <w:t xml:space="preserve">six</w:t>
      </w:r>
      <w:r>
        <w:t xml:space="preserve"> </w:t>
      </w:r>
      <w:r>
        <w:t xml:space="preserve">completed arbitrations as</w:t>
      </w:r>
      <w:r>
        <w:t xml:space="preserve"> </w:t>
      </w:r>
      <w:r>
        <w:t xml:space="preserve">“</w:t>
      </w:r>
      <w:r>
        <w:t xml:space="preserve">Not disclosed by arbitrator,</w:t>
      </w:r>
      <w:r>
        <w:t xml:space="preserve">”</w:t>
      </w:r>
      <w:r>
        <w:t xml:space="preserve"> </w:t>
      </w:r>
      <w:r>
        <w:t xml:space="preserve">all involving Barrow &amp; Thistlewood LLP (one of which,</w:t>
      </w:r>
      <w:r>
        <w:t xml:space="preserve"> </w:t>
      </w:r>
      <w:r>
        <w:rPr>
          <w:i/>
          <w:iCs/>
        </w:rPr>
        <w:t xml:space="preserve">Westbrook</w:t>
      </w:r>
      <w:r>
        <w:t xml:space="preserve">, also involved Fielding Marsh):</w:t>
      </w:r>
      <w:r>
        <w:t xml:space="preserve"> </w:t>
      </w:r>
      <w:r>
        <w:rPr>
          <w:i/>
          <w:iCs/>
        </w:rPr>
        <w:t xml:space="preserve">Crestfield Energy v. Loran Industrial</w:t>
      </w:r>
      <w:r>
        <w:t xml:space="preserve"> </w:t>
      </w:r>
      <w:r>
        <w:t xml:space="preserve">(2022);</w:t>
      </w:r>
      <w:r>
        <w:t xml:space="preserve"> </w:t>
      </w:r>
      <w:r>
        <w:rPr>
          <w:i/>
          <w:iCs/>
        </w:rPr>
        <w:t xml:space="preserve">Ashford Medical Devices v. Greenway Therapeutics</w:t>
      </w:r>
      <w:r>
        <w:t xml:space="preserve"> </w:t>
      </w:r>
      <w:r>
        <w:t xml:space="preserve">(2022);</w:t>
      </w:r>
      <w:r>
        <w:t xml:space="preserve"> </w:t>
      </w:r>
      <w:r>
        <w:rPr>
          <w:i/>
          <w:iCs/>
        </w:rPr>
        <w:t xml:space="preserve">Westbrook Partners v. Arcadian Ventures</w:t>
      </w:r>
      <w:r>
        <w:t xml:space="preserve"> </w:t>
      </w:r>
      <w:r>
        <w:t xml:space="preserve">(2022);</w:t>
      </w:r>
      <w:r>
        <w:t xml:space="preserve"> </w:t>
      </w:r>
      <w:r>
        <w:rPr>
          <w:i/>
          <w:iCs/>
        </w:rPr>
        <w:t xml:space="preserve">Trident Coatings v. Bayshore Chemical</w:t>
      </w:r>
      <w:r>
        <w:t xml:space="preserve"> </w:t>
      </w:r>
      <w:r>
        <w:t xml:space="preserve">(2023);</w:t>
      </w:r>
      <w:r>
        <w:t xml:space="preserve"> </w:t>
      </w:r>
      <w:r>
        <w:rPr>
          <w:i/>
          <w:iCs/>
        </w:rPr>
        <w:t xml:space="preserve">Redstone Logistics v. Fairfield Transport</w:t>
      </w:r>
      <w:r>
        <w:t xml:space="preserve"> </w:t>
      </w:r>
      <w:r>
        <w:t xml:space="preserve">(2023); and</w:t>
      </w:r>
      <w:r>
        <w:t xml:space="preserve"> </w:t>
      </w:r>
      <w:r>
        <w:rPr>
          <w:i/>
          <w:iCs/>
        </w:rPr>
        <w:t xml:space="preserve">Warwick Technologies v. Cypress Digital</w:t>
      </w:r>
      <w:r>
        <w:t xml:space="preserve"> </w:t>
      </w:r>
      <w:r>
        <w:t xml:space="preserve">(2023). An additional Fielding Marsh matter,</w:t>
      </w:r>
      <w:r>
        <w:t xml:space="preserve"> </w:t>
      </w:r>
      <w:r>
        <w:rPr>
          <w:i/>
          <w:iCs/>
        </w:rPr>
        <w:t xml:space="preserve">Thornwall Systems v. Kessler Automation</w:t>
      </w:r>
      <w:r>
        <w:t xml:space="preserve"> </w:t>
      </w:r>
      <w:r>
        <w:t xml:space="preserve">(2023), does not appear in the disclosed list. The Disclosure thus omits</w:t>
      </w:r>
      <w:r>
        <w:t xml:space="preserve"> </w:t>
      </w:r>
      <w:r>
        <w:rPr>
          <w:b/>
          <w:bCs/>
        </w:rPr>
        <w:t xml:space="preserve">at least seven completed matters</w:t>
      </w:r>
      <w:r>
        <w:t xml:space="preserve"> </w:t>
      </w:r>
      <w:r>
        <w:t xml:space="preserve">and</w:t>
      </w:r>
      <w:r>
        <w:t xml:space="preserve"> </w:t>
      </w:r>
      <w:r>
        <w:rPr>
          <w:b/>
          <w:bCs/>
        </w:rPr>
        <w:t xml:space="preserve">one pending matter</w:t>
      </w:r>
      <w:r>
        <w:t xml:space="preserve"> </w:t>
      </w:r>
      <w:r>
        <w:t xml:space="preserve">involving the parties’ counsel.</w:t>
      </w:r>
    </w:p>
    <w:p>
      <w:pPr>
        <w:numPr>
          <w:ilvl w:val="0"/>
          <w:numId w:val="1002"/>
        </w:numPr>
      </w:pPr>
      <w:r>
        <w:rPr>
          <w:b/>
          <w:bCs/>
        </w:rPr>
        <w:t xml:space="preserve">Outcomes.</w:t>
      </w:r>
      <w:r>
        <w:t xml:space="preserve"> </w:t>
      </w:r>
      <w:r>
        <w:t xml:space="preserve">In the 9 completed matters involving Barrow &amp; Thistlewood LLP, the Barrow &amp; Thistlewood client prevailed in</w:t>
      </w:r>
      <w:r>
        <w:t xml:space="preserve"> </w:t>
      </w:r>
      <w:r>
        <w:rPr>
          <w:b/>
          <w:bCs/>
        </w:rPr>
        <w:t xml:space="preserve">7 (77.8%)</w:t>
      </w:r>
      <w:r>
        <w:t xml:space="preserve">. In the 4 adjudicated matters involving Fielding Marsh &amp; Collier LLP (excluding one settlement), the Fielding Marsh client prevailed in</w:t>
      </w:r>
      <w:r>
        <w:t xml:space="preserve"> </w:t>
      </w:r>
      <w:r>
        <w:rPr>
          <w:b/>
          <w:bCs/>
        </w:rPr>
        <w:t xml:space="preserve">1 (25.0%)</w:t>
      </w:r>
      <w:r>
        <w:t xml:space="preserve">.</w:t>
      </w:r>
    </w:p>
    <w:p>
      <w:pPr>
        <w:numPr>
          <w:ilvl w:val="0"/>
          <w:numId w:val="1002"/>
        </w:numPr>
      </w:pPr>
      <w:r>
        <w:rPr>
          <w:b/>
          <w:bCs/>
        </w:rPr>
        <w:t xml:space="preserve">Economic concentration.</w:t>
      </w:r>
      <w:r>
        <w:t xml:space="preserve"> </w:t>
      </w:r>
      <w:r>
        <w:t xml:space="preserve">Estimated aggregate fees from matters involving Barrow &amp; Thistlewood LLP over the past 36 months total approximately</w:t>
      </w:r>
      <w:r>
        <w:t xml:space="preserve"> </w:t>
      </w:r>
      <w:r>
        <w:rPr>
          <w:b/>
          <w:bCs/>
        </w:rPr>
        <w:t xml:space="preserve">$1,020,000</w:t>
      </w:r>
      <w:r>
        <w:t xml:space="preserve">, representing approximately</w:t>
      </w:r>
      <w:r>
        <w:t xml:space="preserve"> </w:t>
      </w:r>
      <w:r>
        <w:rPr>
          <w:b/>
          <w:bCs/>
        </w:rPr>
        <w:t xml:space="preserve">48%</w:t>
      </w:r>
      <w:r>
        <w:t xml:space="preserve"> </w:t>
      </w:r>
      <w:r>
        <w:t xml:space="preserve">of the arbitrator’s estimated total arbitration income (~$2,125,000) during that period. Estimated fees from matters involving Fielding Marsh &amp; Collier LLP total approximately</w:t>
      </w:r>
      <w:r>
        <w:t xml:space="preserve"> </w:t>
      </w:r>
      <w:r>
        <w:rPr>
          <w:b/>
          <w:bCs/>
        </w:rPr>
        <w:t xml:space="preserve">$410,000</w:t>
      </w:r>
      <w:r>
        <w:t xml:space="preserve"> </w:t>
      </w:r>
      <w:r>
        <w:t xml:space="preserve">(~19.3%). Pending matters involving Barrow &amp; Thistlewood LLP (including the instant case,</w:t>
      </w:r>
      <w:r>
        <w:t xml:space="preserve"> </w:t>
      </w:r>
      <w:r>
        <w:rPr>
          <w:i/>
          <w:iCs/>
        </w:rPr>
        <w:t xml:space="preserve">Orion</w:t>
      </w:r>
      <w:r>
        <w:t xml:space="preserve">, and</w:t>
      </w:r>
      <w:r>
        <w:t xml:space="preserve"> </w:t>
      </w:r>
      <w:r>
        <w:rPr>
          <w:i/>
          <w:iCs/>
        </w:rPr>
        <w:t xml:space="preserve">Halcyon</w:t>
      </w:r>
      <w:r>
        <w:t xml:space="preserve">) represent an estimated $560,000 in remaining fees, approximately 67% of the arbitrator’s total pending fee exposure.</w:t>
      </w:r>
    </w:p>
    <w:p>
      <w:pPr>
        <w:numPr>
          <w:ilvl w:val="0"/>
          <w:numId w:val="1002"/>
        </w:numPr>
      </w:pPr>
      <w:r>
        <w:rPr>
          <w:b/>
          <w:bCs/>
        </w:rPr>
        <w:t xml:space="preserve">Selection context.</w:t>
      </w:r>
      <w:r>
        <w:t xml:space="preserve"> </w:t>
      </w:r>
      <w:r>
        <w:t xml:space="preserve">The Respondent ranked the arbitrator</w:t>
      </w:r>
      <w:r>
        <w:t xml:space="preserve"> </w:t>
      </w:r>
      <w:r>
        <w:rPr>
          <w:b/>
          <w:bCs/>
        </w:rPr>
        <w:t xml:space="preserve">first</w:t>
      </w:r>
      <w:r>
        <w:t xml:space="preserve">; the Claimant ranked her</w:t>
      </w:r>
      <w:r>
        <w:t xml:space="preserve"> </w:t>
      </w:r>
      <w:r>
        <w:rPr>
          <w:b/>
          <w:bCs/>
        </w:rPr>
        <w:t xml:space="preserve">third</w:t>
      </w:r>
      <w:r>
        <w:t xml:space="preserve">.</w:t>
      </w:r>
    </w:p>
    <w:p>
      <w:pPr>
        <w:pStyle w:val="FirstParagraph"/>
      </w:pPr>
      <w:r>
        <w:rPr>
          <w:b/>
          <w:bCs/>
        </w:rPr>
        <w:t xml:space="preserve">Applicable standard.</w:t>
      </w:r>
      <w:r>
        <w:t xml:space="preserve"> </w:t>
      </w:r>
      <w:r>
        <w:t xml:space="preserve">Rule R-17(a)(iii) (prior/pending cases with counsel); Rule R-16 (justifiable doubt). The IBA Guidelines’ Waivable Red List addresses repeat appointments from the same law firm within a defined period and imposes a disclosure obligation. The combination of (i) under-disclosure of the volume of repeat appointments, (ii) economic concentration (~48% of income from one firm), (iii) lopsided outcomes (77.8% win rate for that firm’s clients), and (iv) the Respondent’s first-choice ranking is the kind of pattern that, in aggregate, can support an appearance-of-partiality / structural-bias argument.</w:t>
      </w:r>
    </w:p>
    <w:p>
      <w:pPr>
        <w:pStyle w:val="BodyText"/>
      </w:pPr>
      <w:r>
        <w:rPr>
          <w:b/>
          <w:bCs/>
        </w:rPr>
        <w:t xml:space="preserve">Assessment — STRONG (as a disclosure deficiency); compelling as cumulative support for appearance of partiality.</w:t>
      </w:r>
      <w:r>
        <w:t xml:space="preserve"> </w:t>
      </w:r>
      <w:r>
        <w:t xml:space="preserve">Standing alone, repeat appointments are generally not disqualifying, and arbitrators are not required to disclose outcome statistics. The problem here is twofold. First, the arbitrator</w:t>
      </w:r>
      <w:r>
        <w:t xml:space="preserve"> </w:t>
      </w:r>
      <w:r>
        <w:rPr>
          <w:b/>
          <w:bCs/>
        </w:rPr>
        <w:t xml:space="preserve">certified a</w:t>
      </w:r>
      <w:r>
        <w:rPr>
          <w:b/>
          <w:bCs/>
        </w:rPr>
        <w:t xml:space="preserve"> </w:t>
      </w:r>
      <w:r>
        <w:rPr>
          <w:b/>
          <w:bCs/>
        </w:rPr>
        <w:t xml:space="preserve">“</w:t>
      </w:r>
      <w:r>
        <w:rPr>
          <w:b/>
          <w:bCs/>
        </w:rPr>
        <w:t xml:space="preserve">complete</w:t>
      </w:r>
      <w:r>
        <w:rPr>
          <w:b/>
          <w:bCs/>
        </w:rPr>
        <w:t xml:space="preserve">”</w:t>
      </w:r>
      <w:r>
        <w:rPr>
          <w:b/>
          <w:bCs/>
        </w:rPr>
        <w:t xml:space="preserve"> </w:t>
      </w:r>
      <w:r>
        <w:rPr>
          <w:b/>
          <w:bCs/>
        </w:rPr>
        <w:t xml:space="preserve">list of seven matters</w:t>
      </w:r>
      <w:r>
        <w:t xml:space="preserve"> </w:t>
      </w:r>
      <w:r>
        <w:t xml:space="preserve">when the actual number is at least fifteen, omitting at least seven completed matters and one pending matter — a material disclosure deficiency under Rule R-17(a)(iii). Second, the quantitative pattern revealed by the Appointment Data — nearly half of the arbitrator’s income derived from one firm, that firm’s clients prevailing nearly 78% of the time, and the Respondent having ranked the arbitrator first — supplies powerful cumulative support for an argument that a reasonable party could entertain justifiable doubt as to impartiality. This ground</w:t>
      </w:r>
      <w:r>
        <w:t xml:space="preserve"> </w:t>
      </w:r>
      <w:r>
        <w:rPr>
          <w:b/>
          <w:bCs/>
        </w:rPr>
        <w:t xml:space="preserve">favors a challenge by the Claimant</w:t>
      </w:r>
      <w:r>
        <w:t xml:space="preserve">. (We note a minor internal inconsistency in the source materials: the Profiles Memo §3.5 reports four Fielding Marsh matters and ~$280,000 in fees, whereas the Appointment Data Fee Summary reports five Fielding Marsh matters and ~$410,000; the granular Case List supports the latter figure, which we have used. The discrepancy does not affect the analysis.)</w:t>
      </w:r>
    </w:p>
    <w:bookmarkEnd w:id="32"/>
    <w:bookmarkStart w:id="33" w:name="X5f4cabb79c7cfa74af0c4e31cf9a1cd1be70087"/>
    <w:p>
      <w:pPr>
        <w:pStyle w:val="Heading3"/>
      </w:pPr>
      <w:r>
        <w:t xml:space="preserve">Issue 7 — Incomplete Disclosure of the Lakeview Dispute Resolution Center Affiliation</w:t>
      </w:r>
    </w:p>
    <w:p>
      <w:pPr>
        <w:pStyle w:val="FirstParagraph"/>
      </w:pPr>
      <w:r>
        <w:rPr>
          <w:b/>
          <w:bCs/>
        </w:rPr>
        <w:t xml:space="preserve">What the Disclosure says.</w:t>
      </w:r>
      <w:r>
        <w:t xml:space="preserve"> </w:t>
      </w:r>
      <w:r>
        <w:t xml:space="preserve">Section VII discloses the arbitrator’s affiliation with Lakeview as a neutral, identifies Harold Lund as Managing Director, and states that Lakeview</w:t>
      </w:r>
      <w:r>
        <w:t xml:space="preserve"> </w:t>
      </w:r>
      <w:r>
        <w:t xml:space="preserve">“</w:t>
      </w:r>
      <w:r>
        <w:t xml:space="preserve">receives case referrals from various law firms … including from both Barrow &amp; Thistlewood LLP and Fielding Marsh &amp; Collier LLP.</w:t>
      </w:r>
      <w:r>
        <w:t xml:space="preserve">”</w:t>
      </w:r>
      <w:r>
        <w:t xml:space="preserve"> </w:t>
      </w:r>
      <w:r>
        <w:t xml:space="preserve">The arbitrator states that the present matter was administered by the AAA (not referred through Lakeview) and that Lakeview’s receipt of referrals</w:t>
      </w:r>
      <w:r>
        <w:t xml:space="preserve"> </w:t>
      </w:r>
      <w:r>
        <w:t xml:space="preserve">“</w:t>
      </w:r>
      <w:r>
        <w:t xml:space="preserve">does not influence my decision-making.</w:t>
      </w:r>
      <w:r>
        <w:t xml:space="preserve">”</w:t>
      </w:r>
    </w:p>
    <w:p>
      <w:pPr>
        <w:pStyle w:val="BodyText"/>
      </w:pPr>
      <w:r>
        <w:rPr>
          <w:b/>
          <w:bCs/>
        </w:rPr>
        <w:t xml:space="preserve">What the source documents show.</w:t>
      </w:r>
      <w:r>
        <w:t xml:space="preserve"> </w:t>
      </w:r>
      <w:r>
        <w:t xml:space="preserve">The Profiles Memo (§4.1) notes that the public record does not reveal the</w:t>
      </w:r>
      <w:r>
        <w:t xml:space="preserve"> </w:t>
      </w:r>
      <w:r>
        <w:rPr>
          <w:b/>
          <w:bCs/>
        </w:rPr>
        <w:t xml:space="preserve">financial terms</w:t>
      </w:r>
      <w:r>
        <w:t xml:space="preserve"> </w:t>
      </w:r>
      <w:r>
        <w:t xml:space="preserve">of the affiliation — whether Lakeview takes a percentage of the arbitrator’s fees for referred matters, whether Lakeview’s revenue model depends on maintaining referral relationships with firms that retain its neutrals, or whether the arbitrator’s income flows through Lakeview. Lakeview also hosted the October 14, 2023 CLE at which the arbitrator and Mr. Hargrave were co-panelists (Issue 3).</w:t>
      </w:r>
    </w:p>
    <w:p>
      <w:pPr>
        <w:pStyle w:val="BodyText"/>
      </w:pPr>
      <w:r>
        <w:rPr>
          <w:b/>
          <w:bCs/>
        </w:rPr>
        <w:t xml:space="preserve">Applicable standard.</w:t>
      </w:r>
      <w:r>
        <w:t xml:space="preserve"> </w:t>
      </w:r>
      <w:r>
        <w:t xml:space="preserve">Rule R-17(a)(ii) (professional/financial relationships with counsel via an institution); Rule R-17(a)(i) (indirect financial interest).</w:t>
      </w:r>
    </w:p>
    <w:p>
      <w:pPr>
        <w:pStyle w:val="BodyText"/>
      </w:pPr>
      <w:r>
        <w:rPr>
          <w:b/>
          <w:bCs/>
        </w:rPr>
        <w:t xml:space="preserve">Assessment — WEAK to MODERATE.</w:t>
      </w:r>
      <w:r>
        <w:t xml:space="preserve"> </w:t>
      </w:r>
      <w:r>
        <w:t xml:space="preserve">The affiliation itself is disclosed, so this is not a wholesale omission. The concern is the</w:t>
      </w:r>
      <w:r>
        <w:t xml:space="preserve"> </w:t>
      </w:r>
      <w:r>
        <w:rPr>
          <w:b/>
          <w:bCs/>
        </w:rPr>
        <w:t xml:space="preserve">unaddressed financial terms</w:t>
      </w:r>
      <w:r>
        <w:t xml:space="preserve"> </w:t>
      </w:r>
      <w:r>
        <w:t xml:space="preserve">and the structural economic interdependence among the arbitrator, Lakeview, and the referring firms (particularly Barrow &amp; Thistlewood LLP, which accounts for a substantial share of the arbitrator’s appointments). This is principally a</w:t>
      </w:r>
      <w:r>
        <w:t xml:space="preserve"> </w:t>
      </w:r>
      <w:r>
        <w:rPr>
          <w:b/>
          <w:bCs/>
        </w:rPr>
        <w:t xml:space="preserve">supplementation</w:t>
      </w:r>
      <w:r>
        <w:t xml:space="preserve"> </w:t>
      </w:r>
      <w:r>
        <w:t xml:space="preserve">issue — the arbitrator should be asked to disclose the financial terms of her Lakeview affiliation — and it functions chiefly as cumulative support for the appearance-of-partiality argument alongside Issues 3 and 6. This ground</w:t>
      </w:r>
      <w:r>
        <w:t xml:space="preserve"> </w:t>
      </w:r>
      <w:r>
        <w:rPr>
          <w:b/>
          <w:bCs/>
        </w:rPr>
        <w:t xml:space="preserve">favors a challenge by the Claimant</w:t>
      </w:r>
      <w:r>
        <w:t xml:space="preserve">.</w:t>
      </w:r>
    </w:p>
    <w:p>
      <w:r>
        <w:pict>
          <v:rect style="width:0;height:1.5pt" o:hralign="center" o:hrstd="t" o:hr="t"/>
        </w:pict>
      </w:r>
    </w:p>
    <w:bookmarkEnd w:id="33"/>
    <w:bookmarkEnd w:id="34"/>
    <w:bookmarkStart w:id="38" w:name="X468337bbd4147eb856b41ce3256429a9948a608"/>
    <w:p>
      <w:pPr>
        <w:pStyle w:val="Heading2"/>
      </w:pPr>
      <w:r>
        <w:t xml:space="preserve">V. Assessment of Challenge Strength by Party</w:t>
      </w:r>
    </w:p>
    <w:p>
      <w:pPr>
        <w:pStyle w:val="FirstParagraph"/>
      </w:pPr>
      <w:r>
        <w:t xml:space="preserve">Because the undisclosed relationships point in different directions, the analysis must be conducted from the standpoint of each party.</w:t>
      </w:r>
    </w:p>
    <w:bookmarkStart w:id="35" w:name="Xac4443fa6111d47326e2cbda8e2bd806aa49527"/>
    <w:p>
      <w:pPr>
        <w:pStyle w:val="Heading3"/>
      </w:pPr>
      <w:r>
        <w:t xml:space="preserve">A. Grounds Available to the Claimant (Cascade / Fielding Marsh &amp; Collier)</w:t>
      </w:r>
    </w:p>
    <w:p>
      <w:pPr>
        <w:pStyle w:val="FirstParagraph"/>
      </w:pPr>
      <w:r>
        <w:t xml:space="preserve">The Claimant has a strong, multi-ground basis for challenge, all tending to show alignment between the arbitrator and the Respondent: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Ground</w:t>
            </w:r>
          </w:p>
        </w:tc>
        <w:tc>
          <w:tcPr/>
          <w:p>
            <w:pPr>
              <w:pStyle w:val="Compact"/>
              <w:jc w:val="left"/>
            </w:pPr>
            <w:r>
              <w:t xml:space="preserve">Strength</w:t>
            </w:r>
          </w:p>
        </w:tc>
      </w:tr>
      <w:tr>
        <w:tc>
          <w:tcPr/>
          <w:p>
            <w:pPr>
              <w:pStyle w:val="Compact"/>
              <w:jc w:val="left"/>
            </w:pPr>
            <w:r>
              <w:t xml:space="preserve">2</w:t>
            </w:r>
          </w:p>
        </w:tc>
        <w:tc>
          <w:tcPr/>
          <w:p>
            <w:pPr>
              <w:pStyle w:val="Compact"/>
              <w:jc w:val="left"/>
            </w:pPr>
            <w:r>
              <w:t xml:space="preserve">Shared organizational service with Respondent’s principal (Whitmore) at the Minnesota ADR Ethics Institute</w:t>
            </w:r>
          </w:p>
        </w:tc>
        <w:tc>
          <w:tcPr/>
          <w:p>
            <w:pPr>
              <w:pStyle w:val="Compact"/>
              <w:jc w:val="left"/>
            </w:pPr>
            <w:r>
              <w:t xml:space="preserve">Moderate–Strong</w:t>
            </w:r>
          </w:p>
        </w:tc>
      </w:tr>
      <w:tr>
        <w:tc>
          <w:tcPr/>
          <w:p>
            <w:pPr>
              <w:pStyle w:val="Compact"/>
              <w:jc w:val="left"/>
            </w:pPr>
            <w:r>
              <w:t xml:space="preserve">3</w:t>
            </w:r>
          </w:p>
        </w:tc>
        <w:tc>
          <w:tcPr/>
          <w:p>
            <w:pPr>
              <w:pStyle w:val="Compact"/>
              <w:jc w:val="left"/>
            </w:pPr>
            <w:r>
              <w:t xml:space="preserve">Co-panelist relationship with Respondent’s lead counsel (Hargrave) on a directly germane CLE</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Potential indirect financial interest in Whitmore Fund II LP (owner of Volaris, the license beneficiary)</w:t>
            </w:r>
          </w:p>
        </w:tc>
        <w:tc>
          <w:tcPr/>
          <w:p>
            <w:pPr>
              <w:pStyle w:val="Compact"/>
              <w:jc w:val="left"/>
            </w:pPr>
            <w:r>
              <w:t xml:space="preserve">Strong (if confirmed); requires supplementation</w:t>
            </w:r>
          </w:p>
        </w:tc>
      </w:tr>
      <w:tr>
        <w:tc>
          <w:tcPr/>
          <w:p>
            <w:pPr>
              <w:pStyle w:val="Compact"/>
              <w:jc w:val="left"/>
            </w:pPr>
            <w:r>
              <w:t xml:space="preserve">5</w:t>
            </w:r>
          </w:p>
        </w:tc>
        <w:tc>
          <w:tcPr/>
          <w:p>
            <w:pPr>
              <w:pStyle w:val="Compact"/>
              <w:jc w:val="left"/>
            </w:pPr>
            <w:r>
              <w:t xml:space="preserve">Omission of pending</w:t>
            </w:r>
            <w:r>
              <w:t xml:space="preserve"> </w:t>
            </w:r>
            <w:r>
              <w:rPr>
                <w:i/>
                <w:iCs/>
              </w:rPr>
              <w:t xml:space="preserve">Halcyon Biotech</w:t>
            </w:r>
            <w:r>
              <w:t xml:space="preserve"> </w:t>
            </w:r>
            <w:r>
              <w:t xml:space="preserve">matter involving Respondent’s counsel</w:t>
            </w:r>
          </w:p>
        </w:tc>
        <w:tc>
          <w:tcPr/>
          <w:p>
            <w:pPr>
              <w:pStyle w:val="Compact"/>
              <w:jc w:val="left"/>
            </w:pPr>
            <w:r>
              <w:t xml:space="preserve">Moderate–Strong</w:t>
            </w:r>
          </w:p>
        </w:tc>
      </w:tr>
      <w:tr>
        <w:tc>
          <w:tcPr/>
          <w:p>
            <w:pPr>
              <w:pStyle w:val="Compact"/>
              <w:jc w:val="left"/>
            </w:pPr>
            <w:r>
              <w:t xml:space="preserve">6</w:t>
            </w:r>
          </w:p>
        </w:tc>
        <w:tc>
          <w:tcPr/>
          <w:p>
            <w:pPr>
              <w:pStyle w:val="Compact"/>
              <w:jc w:val="left"/>
            </w:pPr>
            <w:r>
              <w:t xml:space="preserve">Under-disclosure of repeat-appointment history; ~48% of income from Respondent’s counsel; 77.8% win rate; Respondent’s first-choice ranking</w:t>
            </w:r>
          </w:p>
        </w:tc>
        <w:tc>
          <w:tcPr/>
          <w:p>
            <w:pPr>
              <w:pStyle w:val="Compact"/>
              <w:jc w:val="left"/>
            </w:pPr>
            <w:r>
              <w:t xml:space="preserve">Strong (disclosure deficiency); compelling cumulatively</w:t>
            </w:r>
          </w:p>
        </w:tc>
      </w:tr>
      <w:tr>
        <w:tc>
          <w:tcPr/>
          <w:p>
            <w:pPr>
              <w:pStyle w:val="Compact"/>
              <w:jc w:val="left"/>
            </w:pPr>
            <w:r>
              <w:t xml:space="preserve">7</w:t>
            </w:r>
          </w:p>
        </w:tc>
        <w:tc>
          <w:tcPr/>
          <w:p>
            <w:pPr>
              <w:pStyle w:val="Compact"/>
              <w:jc w:val="left"/>
            </w:pPr>
            <w:r>
              <w:t xml:space="preserve">Incomplete Lakeview affiliation disclosure (financial terms)</w:t>
            </w:r>
          </w:p>
        </w:tc>
        <w:tc>
          <w:tcPr/>
          <w:p>
            <w:pPr>
              <w:pStyle w:val="Compact"/>
              <w:jc w:val="left"/>
            </w:pPr>
            <w:r>
              <w:t xml:space="preserve">Weak–Moderate (cumulative)</w:t>
            </w:r>
          </w:p>
        </w:tc>
      </w:tr>
    </w:tbl>
    <w:p>
      <w:pPr>
        <w:pStyle w:val="BodyText"/>
      </w:pPr>
      <w:r>
        <w:t xml:space="preserve">The Claimant’s strongest single ground is</w:t>
      </w:r>
      <w:r>
        <w:t xml:space="preserve"> </w:t>
      </w:r>
      <w:r>
        <w:rPr>
          <w:b/>
          <w:bCs/>
        </w:rPr>
        <w:t xml:space="preserve">Issue 4</w:t>
      </w:r>
      <w:r>
        <w:t xml:space="preserve"> </w:t>
      </w:r>
      <w:r>
        <w:t xml:space="preserve">(the indirect financial interest in the entity that benefits from the disputed license), if confirmed, because it is a financial interest in an entity</w:t>
      </w:r>
      <w:r>
        <w:t xml:space="preserve"> </w:t>
      </w:r>
      <w:r>
        <w:t xml:space="preserve">“</w:t>
      </w:r>
      <w:r>
        <w:t xml:space="preserve">affected by the result</w:t>
      </w:r>
      <w:r>
        <w:t xml:space="preserve">”</w:t>
      </w:r>
      <w:r>
        <w:t xml:space="preserve"> </w:t>
      </w:r>
      <w:r>
        <w:t xml:space="preserve">within the express language of Rule R-17(a)(i) and aligns the arbitrator’s economic interests with the Respondent’s. The Claimant’s most compelling</w:t>
      </w:r>
      <w:r>
        <w:t xml:space="preserve"> </w:t>
      </w:r>
      <w:r>
        <w:rPr>
          <w:b/>
          <w:bCs/>
        </w:rPr>
        <w:t xml:space="preserve">cumulative</w:t>
      </w:r>
      <w:r>
        <w:t xml:space="preserve"> </w:t>
      </w:r>
      <w:r>
        <w:t xml:space="preserve">argument combines Issues 2, 3, 5, 6, and 7: the arbitrator has an undisclosed relationship with the Respondent’s principal, an undisclosed co-panelist relationship with the Respondent’s lead counsel on the very subject of this dispute, an undisclosed concurrent pending matter with the Respondent’s counsel, and a disclosed-but-understated pattern in which nearly half of her income is derived from the Respondent’s counsel, whose clients prevail nearly 78% of the time — all while the Respondent ranked her first. Taken together, these facts permit a reasonable party to entertain justifiable doubt as to the arbitrator’s impartiality and independence.</w:t>
      </w:r>
    </w:p>
    <w:bookmarkEnd w:id="35"/>
    <w:bookmarkStart w:id="36" w:name="X6166a7280805f40c08ff4de16723659199001ba"/>
    <w:p>
      <w:pPr>
        <w:pStyle w:val="Heading3"/>
      </w:pPr>
      <w:r>
        <w:t xml:space="preserve">B. Grounds Available to the Respondent (Whitmore / Barrow &amp; Thistlewood)</w:t>
      </w:r>
    </w:p>
    <w:p>
      <w:pPr>
        <w:pStyle w:val="FirstParagraph"/>
      </w:pPr>
      <w:r>
        <w:t xml:space="preserve">The Respondent has one strong ground, tending to show alignment between the arbitrator (through her spouse) and the Claimant’s key expert witness: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Ground</w:t>
            </w:r>
          </w:p>
        </w:tc>
        <w:tc>
          <w:tcPr/>
          <w:p>
            <w:pPr>
              <w:pStyle w:val="Compact"/>
              <w:jc w:val="left"/>
            </w:pPr>
            <w:r>
              <w:t xml:space="preserve">Strength</w:t>
            </w:r>
          </w:p>
        </w:tc>
      </w:tr>
      <w:tr>
        <w:tc>
          <w:tcPr/>
          <w:p>
            <w:pPr>
              <w:pStyle w:val="Compact"/>
              <w:jc w:val="left"/>
            </w:pPr>
            <w:r>
              <w:t xml:space="preserve">1</w:t>
            </w:r>
          </w:p>
        </w:tc>
        <w:tc>
          <w:tcPr/>
          <w:p>
            <w:pPr>
              <w:pStyle w:val="Compact"/>
              <w:jc w:val="left"/>
            </w:pPr>
            <w:r>
              <w:t xml:space="preserve">Arbitrator’s spouse co-authored a directly relevant paper with Claimant’s key expert witness (Dr. Peshkov)</w:t>
            </w:r>
          </w:p>
        </w:tc>
        <w:tc>
          <w:tcPr/>
          <w:p>
            <w:pPr>
              <w:pStyle w:val="Compact"/>
              <w:jc w:val="left"/>
            </w:pPr>
            <w:r>
              <w:t xml:space="preserve">Strong</w:t>
            </w:r>
          </w:p>
        </w:tc>
      </w:tr>
    </w:tbl>
    <w:p>
      <w:pPr>
        <w:pStyle w:val="BodyText"/>
      </w:pPr>
      <w:r>
        <w:t xml:space="preserve">The Respondent’s argument is that the arbitrator’s spouse has a recent, undisclosed professional collaboration with the Claimant’s central expert witness on the very technology at issue, and that the arbitrator’s affirmative statement that her spouse has</w:t>
      </w:r>
      <w:r>
        <w:t xml:space="preserve"> </w:t>
      </w:r>
      <w:r>
        <w:t xml:space="preserve">“</w:t>
      </w:r>
      <w:r>
        <w:t xml:space="preserve">no … professional relationship</w:t>
      </w:r>
      <w:r>
        <w:t xml:space="preserve">”</w:t>
      </w:r>
      <w:r>
        <w:t xml:space="preserve"> </w:t>
      </w:r>
      <w:r>
        <w:t xml:space="preserve">with any party’s officers, directors, or employees is incomplete. This creates justifiable doubt as to the arbitrator’s ability to evaluate Dr. Peshkov’s testimony impartially. The Respondent’s position is complicated, however, by the fact that the arbitrator’s broader pattern of relationships and economic concentration favors the Respondent (Issues 2–7); a Respondent-initiated challenge on Issue 1 would invite scrutiny of, and a potential counter-showing regarding, the arbitrator’s alignment with the Respondent.</w:t>
      </w:r>
    </w:p>
    <w:bookmarkEnd w:id="36"/>
    <w:bookmarkStart w:id="37" w:name="X4dfea625043f9a17c0d70bed6d80ac377aebed6"/>
    <w:p>
      <w:pPr>
        <w:pStyle w:val="Heading3"/>
      </w:pPr>
      <w:r>
        <w:t xml:space="preserve">C. Likely Outcome Regardless of Challenging Party</w:t>
      </w:r>
    </w:p>
    <w:p>
      <w:pPr>
        <w:pStyle w:val="FirstParagraph"/>
      </w:pPr>
      <w:r>
        <w:t xml:space="preserve">Given the breadth and directionality of the deficiencies, the AAA may well conclude that the arbitrator cannot serve</w:t>
      </w:r>
      <w:r>
        <w:t xml:space="preserve"> </w:t>
      </w:r>
      <w:r>
        <w:rPr>
          <w:b/>
          <w:bCs/>
        </w:rPr>
        <w:t xml:space="preserve">regardless of which party initiates the challenge</w:t>
      </w:r>
      <w:r>
        <w:t xml:space="preserve">. Rule R-17(d) authorizes removal for failure to make complete and timely disclosures, and the AAA may, in its discretion, request supplemental disclosure before acting. The combination of (i) an affirmative misstatement/incompleteness regarding the spouse’s relationship with a key witness, (ii) an undisclosed relationship with the Respondent’s principal, (iii) an undisclosed co-panelist relationship with the Respondent’s lead counsel on the subject of the dispute, (iv) an unaddressed indirect financial interest in an entity affected by the result, (v) an omitted pending matter, and (vi) a materially understated repeat-appointment history is, in aggregate, likely to be viewed as a disclosure regime that did not satisfy the</w:t>
      </w:r>
      <w:r>
        <w:t xml:space="preserve"> </w:t>
      </w:r>
      <w:r>
        <w:t xml:space="preserve">“</w:t>
      </w:r>
      <w:r>
        <w:t xml:space="preserve">construed broadly</w:t>
      </w:r>
      <w:r>
        <w:t xml:space="preserve">”</w:t>
      </w:r>
      <w:r>
        <w:t xml:space="preserve"> </w:t>
      </w:r>
      <w:r>
        <w:t xml:space="preserve">standard of Rules R-16 and R-17.</w:t>
      </w:r>
    </w:p>
    <w:p>
      <w:r>
        <w:pict>
          <v:rect style="width:0;height:1.5pt" o:hralign="center" o:hrstd="t" o:hr="t"/>
        </w:pict>
      </w:r>
    </w:p>
    <w:bookmarkEnd w:id="37"/>
    <w:bookmarkEnd w:id="38"/>
    <w:bookmarkStart w:id="39" w:name="vi.-procedural-considerations"/>
    <w:p>
      <w:pPr>
        <w:pStyle w:val="Heading2"/>
      </w:pPr>
      <w:r>
        <w:t xml:space="preserve">VI. Procedural Considerations</w:t>
      </w:r>
    </w:p>
    <w:p>
      <w:pPr>
        <w:numPr>
          <w:ilvl w:val="0"/>
          <w:numId w:val="1003"/>
        </w:numPr>
      </w:pPr>
      <w:r>
        <w:rPr>
          <w:b/>
          <w:bCs/>
        </w:rPr>
        <w:t xml:space="preserve">Deadline.</w:t>
      </w:r>
      <w:r>
        <w:t xml:space="preserve"> </w:t>
      </w:r>
      <w:r>
        <w:t xml:space="preserve">The safe deadline for a challenge is</w:t>
      </w:r>
      <w:r>
        <w:t xml:space="preserve"> </w:t>
      </w:r>
      <w:r>
        <w:rPr>
          <w:b/>
          <w:bCs/>
        </w:rPr>
        <w:t xml:space="preserve">June 24, 2024</w:t>
      </w:r>
      <w:r>
        <w:t xml:space="preserve"> </w:t>
      </w:r>
      <w:r>
        <w:t xml:space="preserve">(seven calendar days from the June 17 Disclosure). Rule R-18(a)’s</w:t>
      </w:r>
      <w:r>
        <w:t xml:space="preserve"> </w:t>
      </w:r>
      <w:r>
        <w:t xml:space="preserve">“</w:t>
      </w:r>
      <w:r>
        <w:t xml:space="preserve">whichever is later</w:t>
      </w:r>
      <w:r>
        <w:t xml:space="preserve">”</w:t>
      </w:r>
      <w:r>
        <w:t xml:space="preserve"> </w:t>
      </w:r>
      <w:r>
        <w:t xml:space="preserve">provision may extend the clock for grounds that</w:t>
      </w:r>
      <w:r>
        <w:t xml:space="preserve"> </w:t>
      </w:r>
      <w:r>
        <w:t xml:space="preserve">“</w:t>
      </w:r>
      <w:r>
        <w:t xml:space="preserve">became known or should reasonably have become known</w:t>
      </w:r>
      <w:r>
        <w:t xml:space="preserve">”</w:t>
      </w:r>
      <w:r>
        <w:t xml:space="preserve"> </w:t>
      </w:r>
      <w:r>
        <w:t xml:space="preserve">after June 17 — for example, the</w:t>
      </w:r>
      <w:r>
        <w:t xml:space="preserve"> </w:t>
      </w:r>
      <w:r>
        <w:rPr>
          <w:i/>
          <w:iCs/>
        </w:rPr>
        <w:t xml:space="preserve">Halcyon Biotech</w:t>
      </w:r>
      <w:r>
        <w:t xml:space="preserve"> </w:t>
      </w:r>
      <w:r>
        <w:t xml:space="preserve">omission and the Northbridge fund holding, which the team identified through the Profiles Memo dated June 19 — but reliance on the later-discovery prong is riskier than timely filing.</w:t>
      </w:r>
      <w:r>
        <w:t xml:space="preserve"> </w:t>
      </w:r>
      <w:r>
        <w:rPr>
          <w:b/>
          <w:bCs/>
        </w:rPr>
        <w:t xml:space="preserve">A formal challenge should be filed by June 24, 2024 to preserve all grounds.</w:t>
      </w:r>
    </w:p>
    <w:p>
      <w:pPr>
        <w:numPr>
          <w:ilvl w:val="0"/>
          <w:numId w:val="1003"/>
        </w:numPr>
      </w:pPr>
      <w:r>
        <w:rPr>
          <w:b/>
          <w:bCs/>
        </w:rPr>
        <w:t xml:space="preserve">Specificity.</w:t>
      </w:r>
      <w:r>
        <w:t xml:space="preserve"> </w:t>
      </w:r>
      <w:r>
        <w:t xml:space="preserve">Rule R-18(a) requires the challenge to state the grounds</w:t>
      </w:r>
      <w:r>
        <w:t xml:space="preserve"> </w:t>
      </w:r>
      <w:r>
        <w:t xml:space="preserve">“</w:t>
      </w:r>
      <w:r>
        <w:t xml:space="preserve">with specificity.</w:t>
      </w:r>
      <w:r>
        <w:t xml:space="preserve">”</w:t>
      </w:r>
      <w:r>
        <w:t xml:space="preserve"> </w:t>
      </w:r>
      <w:r>
        <w:t xml:space="preserve">The challenge should enumerate each undisclosed matter, cite the supporting source, and identify the applicable Rule R-17 subpart.</w:t>
      </w:r>
    </w:p>
    <w:p>
      <w:pPr>
        <w:numPr>
          <w:ilvl w:val="0"/>
          <w:numId w:val="1003"/>
        </w:numPr>
      </w:pPr>
      <w:r>
        <w:rPr>
          <w:b/>
          <w:bCs/>
        </w:rPr>
        <w:t xml:space="preserve">Supplementation before or alongside challenge.</w:t>
      </w:r>
      <w:r>
        <w:t xml:space="preserve"> </w:t>
      </w:r>
      <w:r>
        <w:t xml:space="preserve">Rule R-17(d) permits the AAA to request supplemental disclosure before acting on a challenge. A prudent course is to (a) file the challenge by June 24 to preserve rights and (b) simultaneously request that the AAA direct the arbitrator to supplement her disclosure as to Issues 1, 2, 3, 4, 5, 6, and 7. If the arbitrator supplements and the supplementation confirms the indirect financial interest (Issue 4) or otherwise fails to cure the deficiencies, the challenge is strengthened; if the arbitrator withdraws, a replacement is appointed under Rule R-19.</w:t>
      </w:r>
    </w:p>
    <w:p>
      <w:pPr>
        <w:numPr>
          <w:ilvl w:val="0"/>
          <w:numId w:val="1003"/>
        </w:numPr>
      </w:pPr>
      <w:r>
        <w:rPr>
          <w:b/>
          <w:bCs/>
        </w:rPr>
        <w:t xml:space="preserve">Waiver.</w:t>
      </w:r>
      <w:r>
        <w:t xml:space="preserve"> </w:t>
      </w:r>
      <w:r>
        <w:t xml:space="preserve">Rule R-18(f) deems a party that fails to timely challenge to have waived grounds then known, but preserves grounds</w:t>
      </w:r>
      <w:r>
        <w:t xml:space="preserve"> </w:t>
      </w:r>
      <w:r>
        <w:t xml:space="preserve">“</w:t>
      </w:r>
      <w:r>
        <w:t xml:space="preserve">not and [that] could not reasonably have been known</w:t>
      </w:r>
      <w:r>
        <w:t xml:space="preserve">”</w:t>
      </w:r>
      <w:r>
        <w:t xml:space="preserve"> </w:t>
      </w:r>
      <w:r>
        <w:t xml:space="preserve">at the deadline. Timely filing avoids any waiver argument.</w:t>
      </w:r>
    </w:p>
    <w:p>
      <w:pPr>
        <w:numPr>
          <w:ilvl w:val="0"/>
          <w:numId w:val="1003"/>
        </w:numPr>
      </w:pPr>
      <w:r>
        <w:rPr>
          <w:b/>
          <w:bCs/>
        </w:rPr>
        <w:t xml:space="preserve">FAA § 10 backstop.</w:t>
      </w:r>
      <w:r>
        <w:t xml:space="preserve"> </w:t>
      </w:r>
      <w:r>
        <w:t xml:space="preserve">Even if the AAA denies the challenge, Rule R-18(e) preserves the right to seek vacatur of any resulting award under 9 U.S.C. § 10(a)(2) for evident partiality. The record developed now — including the specific undisclosed facts and their public-record sources — should be preserved to support any later vacatur motion. The arbitrator’s certification of a</w:t>
      </w:r>
      <w:r>
        <w:t xml:space="preserve"> </w:t>
      </w:r>
      <w:r>
        <w:t xml:space="preserve">“</w:t>
      </w:r>
      <w:r>
        <w:t xml:space="preserve">diligent inquiry</w:t>
      </w:r>
      <w:r>
        <w:t xml:space="preserve">”</w:t>
      </w:r>
      <w:r>
        <w:t xml:space="preserve"> </w:t>
      </w:r>
      <w:r>
        <w:t xml:space="preserve">and a</w:t>
      </w:r>
      <w:r>
        <w:t xml:space="preserve"> </w:t>
      </w:r>
      <w:r>
        <w:t xml:space="preserve">“</w:t>
      </w:r>
      <w:r>
        <w:t xml:space="preserve">complete</w:t>
      </w:r>
      <w:r>
        <w:t xml:space="preserve">”</w:t>
      </w:r>
      <w:r>
        <w:t xml:space="preserve"> </w:t>
      </w:r>
      <w:r>
        <w:t xml:space="preserve">list (Sections III and X) is a key admission that the undisclosed matters were not, in fact, disclosed.</w:t>
      </w:r>
    </w:p>
    <w:p>
      <w:pPr>
        <w:numPr>
          <w:ilvl w:val="0"/>
          <w:numId w:val="1003"/>
        </w:numPr>
      </w:pPr>
      <w:r>
        <w:rPr>
          <w:b/>
          <w:bCs/>
        </w:rPr>
        <w:t xml:space="preserve">Replacement arbitrator.</w:t>
      </w:r>
      <w:r>
        <w:t xml:space="preserve"> </w:t>
      </w:r>
      <w:r>
        <w:t xml:space="preserve">If the arbitrator is removed or withdraws, Rule R-19 governs replacement; the replacement arbitrator determines whether any portion of prior proceedings must be repeated. Because the matter is still in the pre-hearing/disclosure phase (preliminary hearing scheduled August 5, 2024; evidentiary hearing January 13–February 7, 2025), replacement at this stage would entail minimal disruption and cost.</w:t>
      </w:r>
    </w:p>
    <w:p>
      <w:r>
        <w:pict>
          <v:rect style="width:0;height:1.5pt" o:hralign="center" o:hrstd="t" o:hr="t"/>
        </w:pict>
      </w:r>
    </w:p>
    <w:bookmarkEnd w:id="39"/>
    <w:bookmarkStart w:id="40" w:name="vii.-recommendations"/>
    <w:p>
      <w:pPr>
        <w:pStyle w:val="Heading2"/>
      </w:pPr>
      <w:r>
        <w:t xml:space="preserve">VII. Recommendations</w:t>
      </w:r>
    </w:p>
    <w:p>
      <w:pPr>
        <w:numPr>
          <w:ilvl w:val="0"/>
          <w:numId w:val="1004"/>
        </w:numPr>
      </w:pPr>
      <w:r>
        <w:rPr>
          <w:b/>
          <w:bCs/>
        </w:rPr>
        <w:t xml:space="preserve">File a written challenge with the AAA by June 24, 2024</w:t>
      </w:r>
      <w:r>
        <w:t xml:space="preserve">, with a copy to opposing counsel, stating with specificity the grounds set forth in Sections IV and V above. The challenge should be framed to preserve all grounds for both a Rule R-18 administrative ruling and any later FAA § 10 vacatur motion.</w:t>
      </w:r>
    </w:p>
    <w:p>
      <w:pPr>
        <w:numPr>
          <w:ilvl w:val="0"/>
          <w:numId w:val="1004"/>
        </w:numPr>
      </w:pPr>
      <w:r>
        <w:rPr>
          <w:b/>
          <w:bCs/>
        </w:rPr>
        <w:t xml:space="preserve">Concurrently request that the AAA direct the arbitrator to make a supplemental disclosure</w:t>
      </w:r>
      <w:r>
        <w:t xml:space="preserve"> </w:t>
      </w:r>
      <w:r>
        <w:t xml:space="preserve">addressing, at minimum: (a) whether the arbitrator’s spouse has had any professional or personal relationship with Dr. Rita Peshkov, including the September 2022 co-authorship; (b) whether the arbitrator is aware of Garrett T. Whitmore’s service on the Board of Trustees of the Minnesota ADR Ethics Institute and the nature of any interaction with him; (c) the October 14, 2023 CLE co-panelist relationship with Dominic Hargrave; (d) whether the arbitrator’s portfolio, or any Northbridge pooled vehicle in which she participates, holds any interest in Whitmore Fund II LP, Whitmore Fund III LP, Volaris, or Cascade, and the financial terms of her Northbridge advisory relationship; (e) the omitted</w:t>
      </w:r>
      <w:r>
        <w:t xml:space="preserve"> </w:t>
      </w:r>
      <w:r>
        <w:rPr>
          <w:i/>
          <w:iCs/>
        </w:rPr>
        <w:t xml:space="preserve">Halcyon Biotech v. Stonewall Partners</w:t>
      </w:r>
      <w:r>
        <w:t xml:space="preserve"> </w:t>
      </w:r>
      <w:r>
        <w:t xml:space="preserve">matter and a complete list of all prior and pending matters involving the parties’ counsel; and (f) the financial terms of her Lakeview affiliation.</w:t>
      </w:r>
    </w:p>
    <w:p>
      <w:pPr>
        <w:numPr>
          <w:ilvl w:val="0"/>
          <w:numId w:val="1004"/>
        </w:numPr>
      </w:pPr>
      <w:r>
        <w:rPr>
          <w:b/>
          <w:bCs/>
        </w:rPr>
        <w:t xml:space="preserve">Preserve the evidentiary record.</w:t>
      </w:r>
      <w:r>
        <w:t xml:space="preserve"> </w:t>
      </w:r>
      <w:r>
        <w:t xml:space="preserve">Maintain copies of the Disclosure, the Profiles Memo, the Appointment Data, the underlying public-record sources (IRS Form 990, SEC/fund filings, academic database records, CLE archives, AAA/public award databases), and all correspondence with the AAA and opposing counsel. This record supports both the Rule R-18 challenge and any subsequent FAA § 10 motion.</w:t>
      </w:r>
    </w:p>
    <w:p>
      <w:pPr>
        <w:numPr>
          <w:ilvl w:val="0"/>
          <w:numId w:val="1004"/>
        </w:numPr>
      </w:pPr>
      <w:r>
        <w:rPr>
          <w:b/>
          <w:bCs/>
        </w:rPr>
        <w:t xml:space="preserve">Evaluate strategic posture.</w:t>
      </w:r>
      <w:r>
        <w:t xml:space="preserve"> </w:t>
      </w:r>
      <w:r>
        <w:t xml:space="preserve">The team should consider which party is best positioned to initiate the challenge in light of the dual-directional grounds. The Claimant has the stronger and more numerous grounds (Issues 2–7); the Respondent has a strong but isolated ground (Issue 1). If the Claimant challenges, the Respondent may assert Issue 1 as a counter-ground or as support for the proposition that the arbitrator cannot serve irrespective of the challenger. Either path is likely to result in the arbitrator’s removal or withdrawal given the aggregate deficiencies.</w:t>
      </w:r>
    </w:p>
    <w:p>
      <w:pPr>
        <w:numPr>
          <w:ilvl w:val="0"/>
          <w:numId w:val="1004"/>
        </w:numPr>
      </w:pPr>
      <w:r>
        <w:rPr>
          <w:b/>
          <w:bCs/>
        </w:rPr>
        <w:t xml:space="preserve">Prepare for replacement.</w:t>
      </w:r>
      <w:r>
        <w:t xml:space="preserve"> </w:t>
      </w:r>
      <w:r>
        <w:t xml:space="preserve">Because the matter is in the pre-hearing phase, replacement under Rule R-19 would be cost-effective. The team should be prepared to participate in a renewed arbitrator-selection process and to apply the disclosure lessons of this matter to the review of any replacement candidate’s disclosures.</w:t>
      </w:r>
    </w:p>
    <w:p>
      <w:r>
        <w:pict>
          <v:rect style="width:0;height:1.5pt" o:hralign="center" o:hrstd="t" o:hr="t"/>
        </w:pict>
      </w:r>
    </w:p>
    <w:bookmarkEnd w:id="40"/>
    <w:bookmarkStart w:id="41" w:name="viii.-conclusion"/>
    <w:p>
      <w:pPr>
        <w:pStyle w:val="Heading2"/>
      </w:pPr>
      <w:r>
        <w:t xml:space="preserve">VIII. Conclusion</w:t>
      </w:r>
    </w:p>
    <w:p>
      <w:pPr>
        <w:pStyle w:val="FirstParagraph"/>
      </w:pPr>
      <w:r>
        <w:t xml:space="preserve">The arbitrator’s June 17, 2024 Disclosure is materially deficient. Comparing the Disclosure against the source documents reveals at least seven undisclosed or incompletely disclosed matters: (1) an undisclosed co-authorship between the arbitrator’s spouse and the Claimant’s key expert witness on directly relevant technology; (2) an undisclosed shared organizational service with the Respondent’s principal; (3) an undisclosed co-panelist relationship with the Respondent’s lead counsel on a directly germane CLE; (4) an unaddressed potential indirect financial interest in Whitmore Fund II LP, the owner of the license beneficiary; (5) an omitted pending arbitration involving the Respondent’s counsel; (6) a substantial under-disclosure of the arbitrator’s repeat-appointment history with the parties’ counsel, including a pattern in which approximately 48% of her arbitration income is derived from the Respondent’s counsel and that counsel’s clients prevail approximately 78% of the time; and (7) an incomplete disclosure of the financial terms of her Lakeview affiliation.</w:t>
      </w:r>
    </w:p>
    <w:p>
      <w:pPr>
        <w:pStyle w:val="BodyText"/>
      </w:pPr>
      <w:r>
        <w:t xml:space="preserve">Several of these grounds create justifiable doubt as to the arbitrator’s impartiality or independence under AAA Rules R-16 and R-17, and the aggregate deficiencies are of the kind that may support removal under Rule R-18 and, if unaddressed, vacatur under 9 U.S.C. § 10(a)(2) for evident partiality. The grounds are not unidirectional: the Claimant has strong grounds aligned with the Respondent (Issues 2–7), and the Respondent has a strong ground aligned with the Claimant’s expert witness (Issue 1). We recommend filing a written challenge by the June 24, 2024 deadline, concurrently requesting that the AAA direct the arbitrator to make a supplemental disclosure, and preserving the full evidentiary record for any subsequent vacatur proceeding.</w:t>
      </w:r>
    </w:p>
    <w:p>
      <w:r>
        <w:pict>
          <v:rect style="width:0;height:1.5pt" o:hralign="center" o:hrstd="t" o:hr="t"/>
        </w:pict>
      </w:r>
    </w:p>
    <w:p>
      <w:pPr>
        <w:pStyle w:val="FirstParagraph"/>
      </w:pPr>
      <w:r>
        <w:rPr>
          <w:i/>
          <w:iCs/>
        </w:rPr>
        <w:t xml:space="preserve">This memorandum is privileged and confidential, constitutes attorney work product prepared in anticipation of challenge proceedings, and is intended solely for the use of the arbitration challenge assessment team. It is based on the source documents identified above and on publicly available records cited therein; factual assertions regarding undisclosed relationships are drawn from those sources and should be independently verified before any challenge is filed.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2026-06-26T23:27:10Z</dcterms:created>
  <dcterms:modified xsi:type="dcterms:W3CDTF">2026-06-26T23:27:10Z</dcterms:modified>
</cp:coreProperties>
</file>

<file path=docProps/custom.xml><?xml version="1.0" encoding="utf-8"?>
<Properties xmlns="http://schemas.openxmlformats.org/officeDocument/2006/custom-properties" xmlns:vt="http://schemas.openxmlformats.org/officeDocument/2006/docPropsVTypes"/>
</file>