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PRIVILEGED AND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Lead Counsel / File</w:t>
            </w:r>
          </w:p>
        </w:tc>
      </w:tr>
      <w:tr>
        <w:tc>
          <w:tcPr/>
          <w:p>
            <w:pPr>
              <w:pStyle w:val="Compact"/>
              <w:jc w:val="left"/>
            </w:pPr>
            <w:r>
              <w:rPr>
                <w:b/>
                <w:bCs/>
              </w:rPr>
              <w:t xml:space="preserve">FROM:</w:t>
            </w:r>
          </w:p>
        </w:tc>
        <w:tc>
          <w:tcPr/>
          <w:p>
            <w:pPr>
              <w:pStyle w:val="Compact"/>
              <w:jc w:val="left"/>
            </w:pPr>
            <w:r>
              <w:t xml:space="preserve">Assessing Counsel</w:t>
            </w:r>
          </w:p>
        </w:tc>
      </w:tr>
      <w:tr>
        <w:tc>
          <w:tcPr/>
          <w:p>
            <w:pPr>
              <w:pStyle w:val="Compact"/>
              <w:jc w:val="left"/>
            </w:pPr>
            <w:r>
              <w:rPr>
                <w:b/>
                <w:bCs/>
              </w:rPr>
              <w:t xml:space="preserve">DATE:</w:t>
            </w:r>
          </w:p>
        </w:tc>
        <w:tc>
          <w:tcPr/>
          <w:p>
            <w:pPr>
              <w:pStyle w:val="Compact"/>
              <w:jc w:val="left"/>
            </w:pPr>
            <w:r>
              <w:t xml:space="preserve">June 20, 2024</w:t>
            </w:r>
          </w:p>
        </w:tc>
      </w:tr>
      <w:tr>
        <w:tc>
          <w:tcPr/>
          <w:p>
            <w:pPr>
              <w:pStyle w:val="Compact"/>
              <w:jc w:val="left"/>
            </w:pPr>
            <w:r>
              <w:rPr>
                <w:b/>
                <w:bCs/>
              </w:rPr>
              <w:t xml:space="preserve">RE:</w:t>
            </w:r>
          </w:p>
        </w:tc>
        <w:tc>
          <w:tcPr/>
          <w:p>
            <w:pPr>
              <w:pStyle w:val="Compact"/>
              <w:jc w:val="left"/>
            </w:pPr>
            <w:r>
              <w:t xml:space="preserve">Assessment of Grounds for Challenge to the Arbitrator’s Disclosure — AAA Case No. 01-24-0003217,</w:t>
            </w:r>
            <w:r>
              <w:t xml:space="preserve"> </w:t>
            </w:r>
            <w:r>
              <w:rPr>
                <w:i/>
                <w:iCs/>
              </w:rPr>
              <w:t xml:space="preserve">Cascade Thermal Systems Inc. v. Whitmore Capital Partners LLC</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assesses the adequacy of the Arbitrator Disclosure Statement dated June 17, 2024, submitted by Hon. Margaret R. Fairhaven (Ret.) in her capacity as Sole Arbitrator in the above-captioned matter, and evaluates the grounds available to challenge her appointment. The assessment is based on a review of the following source documents:</w:t>
      </w:r>
    </w:p>
    <w:p>
      <w:pPr>
        <w:pStyle w:val="Compact"/>
        <w:numPr>
          <w:ilvl w:val="0"/>
          <w:numId w:val="1001"/>
        </w:numPr>
      </w:pPr>
      <w:r>
        <w:rPr>
          <w:b/>
          <w:bCs/>
        </w:rPr>
        <w:t xml:space="preserve">Arbitrator Disclosure Statement</w:t>
      </w:r>
      <w:r>
        <w:t xml:space="preserve"> </w:t>
      </w:r>
      <w:r>
        <w:t xml:space="preserve">(Hon. Margaret R. Fairhaven (Ret.), dated June 17, 2024) (</w:t>
      </w:r>
      <w:r>
        <w:t xml:space="preserve">“</w:t>
      </w:r>
      <w:r>
        <w:t xml:space="preserve">Disclosure Statement</w:t>
      </w:r>
      <w:r>
        <w:t xml:space="preserve">”</w:t>
      </w:r>
      <w:r>
        <w:t xml:space="preserve">);</w:t>
      </w:r>
    </w:p>
    <w:p>
      <w:pPr>
        <w:pStyle w:val="Compact"/>
        <w:numPr>
          <w:ilvl w:val="0"/>
          <w:numId w:val="1001"/>
        </w:numPr>
      </w:pPr>
      <w:r>
        <w:rPr>
          <w:b/>
          <w:bCs/>
        </w:rPr>
        <w:t xml:space="preserve">Arbitration Demand and Statement of Claims</w:t>
      </w:r>
      <w:r>
        <w:t xml:space="preserve"> </w:t>
      </w:r>
      <w:r>
        <w:t xml:space="preserve">(Fielding Marsh &amp; Collier LLP, dated March 15, 2024) (</w:t>
      </w:r>
      <w:r>
        <w:t xml:space="preserve">“</w:t>
      </w:r>
      <w:r>
        <w:t xml:space="preserve">Demand</w:t>
      </w:r>
      <w:r>
        <w:t xml:space="preserve">”</w:t>
      </w:r>
      <w:r>
        <w:t xml:space="preserve">);</w:t>
      </w:r>
    </w:p>
    <w:p>
      <w:pPr>
        <w:pStyle w:val="Compact"/>
        <w:numPr>
          <w:ilvl w:val="0"/>
          <w:numId w:val="1001"/>
        </w:numPr>
      </w:pPr>
      <w:r>
        <w:rPr>
          <w:b/>
          <w:bCs/>
        </w:rPr>
        <w:t xml:space="preserve">AAA Commercial Arbitration Rules and Mediation Procedures — Selected Excerpts</w:t>
      </w:r>
      <w:r>
        <w:t xml:space="preserve"> </w:t>
      </w:r>
      <w:r>
        <w:t xml:space="preserve">(Rules R-1, R-12, R-16, R-17, R-18, R-19, R-20, R-24, R-35, R-48, and Editor’s Note) (</w:t>
      </w:r>
      <w:r>
        <w:t xml:space="preserve">“</w:t>
      </w:r>
      <w:r>
        <w:t xml:space="preserve">AAA Rules</w:t>
      </w:r>
      <w:r>
        <w:t xml:space="preserve">”</w:t>
      </w:r>
      <w:r>
        <w:t xml:space="preserve">);</w:t>
      </w:r>
    </w:p>
    <w:p>
      <w:pPr>
        <w:pStyle w:val="Compact"/>
        <w:numPr>
          <w:ilvl w:val="0"/>
          <w:numId w:val="1001"/>
        </w:numPr>
      </w:pPr>
      <w:r>
        <w:rPr>
          <w:b/>
          <w:bCs/>
        </w:rPr>
        <w:t xml:space="preserve">Entity and Relationship Profiles</w:t>
      </w:r>
      <w:r>
        <w:t xml:space="preserve"> </w:t>
      </w:r>
      <w:r>
        <w:t xml:space="preserve">internal research memorandum (Catherine M. Aldridge, Barrow &amp; Thistlewood LLP, dated June 19, 2024) (</w:t>
      </w:r>
      <w:r>
        <w:t xml:space="preserve">“</w:t>
      </w:r>
      <w:r>
        <w:t xml:space="preserve">Entity Memo</w:t>
      </w:r>
      <w:r>
        <w:t xml:space="preserve">”</w:t>
      </w:r>
      <w:r>
        <w:t xml:space="preserve">); and</w:t>
      </w:r>
    </w:p>
    <w:p>
      <w:pPr>
        <w:pStyle w:val="Compact"/>
        <w:numPr>
          <w:ilvl w:val="0"/>
          <w:numId w:val="1001"/>
        </w:numPr>
      </w:pPr>
      <w:r>
        <w:rPr>
          <w:b/>
          <w:bCs/>
        </w:rPr>
        <w:t xml:space="preserve">Arbitrator Appointment Data</w:t>
      </w:r>
      <w:r>
        <w:t xml:space="preserve"> </w:t>
      </w:r>
      <w:r>
        <w:t xml:space="preserve">(case list, fee summary, and pending matters) (</w:t>
      </w:r>
      <w:r>
        <w:t xml:space="preserve">“</w:t>
      </w:r>
      <w:r>
        <w:t xml:space="preserve">Appointment Data</w:t>
      </w:r>
      <w:r>
        <w:t xml:space="preserve">”</w:t>
      </w:r>
      <w:r>
        <w:t xml:space="preserve">).</w:t>
      </w:r>
    </w:p>
    <w:p>
      <w:pPr>
        <w:pStyle w:val="FirstParagraph"/>
      </w:pPr>
      <w:r>
        <w:t xml:space="preserve">The assessment identifies</w:t>
      </w:r>
      <w:r>
        <w:t xml:space="preserve"> </w:t>
      </w:r>
      <w:r>
        <w:rPr>
          <w:b/>
          <w:bCs/>
        </w:rPr>
        <w:t xml:space="preserve">multiple connections between the arbitrator and the parties, their counsel, anticipated witnesses, and related entities that were not disclosed</w:t>
      </w:r>
      <w:r>
        <w:t xml:space="preserve">, together with disclosures that are incomplete, two affirmative misstatements, and a global certification of diligence that the record contradicts. Each is evaluated against the governing standards. The memorandum concludes with procedural guidance on the challenge process and a recommendation.</w:t>
      </w:r>
    </w:p>
    <w:p>
      <w:pPr>
        <w:pStyle w:val="BodyText"/>
      </w:pPr>
      <w:r>
        <w:t xml:space="preserve">A central feature of this analysis is that the undisclosed connections do not all point in a single direction. Several create an appearance of partiality</w:t>
      </w:r>
      <w:r>
        <w:t xml:space="preserve"> </w:t>
      </w:r>
      <w:r>
        <w:rPr>
          <w:b/>
          <w:bCs/>
        </w:rPr>
        <w:t xml:space="preserve">toward the Respondent</w:t>
      </w:r>
      <w:r>
        <w:t xml:space="preserve"> </w:t>
      </w:r>
      <w:r>
        <w:t xml:space="preserve">(Whitmore Capital Partners LLC and its counsel, Barrow &amp; Thistlewood LLP), while one creates an appearance of partiality</w:t>
      </w:r>
      <w:r>
        <w:t xml:space="preserve"> </w:t>
      </w:r>
      <w:r>
        <w:rPr>
          <w:b/>
          <w:bCs/>
        </w:rPr>
        <w:t xml:space="preserve">toward the Claimant</w:t>
      </w:r>
      <w:r>
        <w:t xml:space="preserve"> </w:t>
      </w:r>
      <w:r>
        <w:t xml:space="preserve">(Cascade Thermal Systems Inc. and its counsel, Fielding Marsh &amp; Collier LLP). The breadth of the non-disclosure — spanning financial interest, family and witness relationships, professional relationships with counsel and a party principal, the arbitrator-selection process, and prior/pending matters — supports a concern about the arbitrator’s independence and the completeness of her disclosure regardless of which party ultimately asserts the challenge.</w:t>
      </w:r>
    </w:p>
    <w:bookmarkEnd w:id="20"/>
    <w:bookmarkStart w:id="24" w:name="X57da8d363dfcc5a93e3f235be27d36733025426"/>
    <w:p>
      <w:pPr>
        <w:pStyle w:val="Heading2"/>
      </w:pPr>
      <w:r>
        <w:t xml:space="preserve">II. Factual Background and Procedural Posture</w:t>
      </w:r>
    </w:p>
    <w:bookmarkStart w:id="21" w:name="a.-the-dispute"/>
    <w:p>
      <w:pPr>
        <w:pStyle w:val="Heading3"/>
      </w:pPr>
      <w:r>
        <w:t xml:space="preserve">A. The Dispute</w:t>
      </w:r>
    </w:p>
    <w:p>
      <w:pPr>
        <w:pStyle w:val="FirstParagraph"/>
      </w:pPr>
      <w:r>
        <w:t xml:space="preserve">The arbitration arises from a derivative and direct action by the minority shareholders of Cascade Thermal Systems Inc. (</w:t>
      </w:r>
      <w:r>
        <w:t xml:space="preserve">“</w:t>
      </w:r>
      <w:r>
        <w:t xml:space="preserve">Cascade</w:t>
      </w:r>
      <w:r>
        <w:t xml:space="preserve">”</w:t>
      </w:r>
      <w:r>
        <w:t xml:space="preserve">) against Whitmore Capital Partners LLC (</w:t>
      </w:r>
      <w:r>
        <w:t xml:space="preserve">“</w:t>
      </w:r>
      <w:r>
        <w:t xml:space="preserve">Whitmore</w:t>
      </w:r>
      <w:r>
        <w:t xml:space="preserve">”</w:t>
      </w:r>
      <w:r>
        <w:t xml:space="preserve">). Whitmore, through its fund vehicle Whitmore Fund III LP, acquired a 62% controlling stake in Cascade on January 8, 2019, for $118 million. The minority shareholders allege that Whitmore directed Cascade to license its proprietary</w:t>
      </w:r>
      <w:r>
        <w:t xml:space="preserve"> </w:t>
      </w:r>
      <w:r>
        <w:t xml:space="preserve">“</w:t>
      </w:r>
      <w:r>
        <w:t xml:space="preserve">ThermalCore</w:t>
      </w:r>
      <w:r>
        <w:t xml:space="preserve">”</w:t>
      </w:r>
      <w:r>
        <w:t xml:space="preserve"> </w:t>
      </w:r>
      <w:r>
        <w:t xml:space="preserve">technology portfolio (embodied in 14 U.S. patents) to Volaris Manufacturing Group LLC (</w:t>
      </w:r>
      <w:r>
        <w:t xml:space="preserve">“</w:t>
      </w:r>
      <w:r>
        <w:t xml:space="preserve">Volaris</w:t>
      </w:r>
      <w:r>
        <w:t xml:space="preserve">”</w:t>
      </w:r>
      <w:r>
        <w:t xml:space="preserve">) — a portfolio company of a</w:t>
      </w:r>
      <w:r>
        <w:t xml:space="preserve"> </w:t>
      </w:r>
      <w:r>
        <w:rPr>
          <w:i/>
          <w:iCs/>
        </w:rPr>
        <w:t xml:space="preserve">different</w:t>
      </w:r>
      <w:r>
        <w:t xml:space="preserve"> </w:t>
      </w:r>
      <w:r>
        <w:t xml:space="preserve">Whitmore fund, Whitmore Fund II LP — at an annual license fee of $2.8 million, against an independently determined fair market value of $9.5 million per year (per Ridgeline Advisory Group’s November 15, 2023 valuation). The claimed damages are $46.9 million over the seven-year license term (March 1, 2023 – February 28, 2030). The claims include breach of fiduciary duty, self-dealing in violation of Section 8.7 of Cascade’s Operating Agreement, unjust enrichment, and waste of corporate assets. The seat is Minneapolis, Minnesota; the governing substantive law is Delaware; the Federal Arbitration Act governs the arbitration agreement.</w:t>
      </w:r>
    </w:p>
    <w:bookmarkEnd w:id="21"/>
    <w:bookmarkStart w:id="22" w:name="X245a985b15f73bd4617d26cd857e4c0146bd1af"/>
    <w:p>
      <w:pPr>
        <w:pStyle w:val="Heading3"/>
      </w:pPr>
      <w:r>
        <w:t xml:space="preserve">B. The Parties, Counsel, and Anticipated Witnesses</w:t>
      </w:r>
    </w:p>
    <w:p>
      <w:pPr>
        <w:pStyle w:val="Compact"/>
        <w:numPr>
          <w:ilvl w:val="0"/>
          <w:numId w:val="1002"/>
        </w:numPr>
      </w:pPr>
      <w:r>
        <w:rPr>
          <w:b/>
          <w:bCs/>
        </w:rPr>
        <w:t xml:space="preserve">Claimant:</w:t>
      </w:r>
      <w:r>
        <w:t xml:space="preserve"> </w:t>
      </w:r>
      <w:r>
        <w:t xml:space="preserve">Cascade Thermal Systems Inc. (by and through its minority shareholders, derivatively and directly). Lead minority shareholder representative:</w:t>
      </w:r>
      <w:r>
        <w:t xml:space="preserve"> </w:t>
      </w:r>
      <w:r>
        <w:rPr>
          <w:b/>
          <w:bCs/>
        </w:rPr>
        <w:t xml:space="preserve">Janet Okafor</w:t>
      </w:r>
      <w:r>
        <w:t xml:space="preserve"> </w:t>
      </w:r>
      <w:r>
        <w:t xml:space="preserve">(Board member; 11.4% holder). Counsel:</w:t>
      </w:r>
      <w:r>
        <w:t xml:space="preserve"> </w:t>
      </w:r>
      <w:r>
        <w:rPr>
          <w:b/>
          <w:bCs/>
        </w:rPr>
        <w:t xml:space="preserve">Fielding Marsh &amp; Collier LLP</w:t>
      </w:r>
      <w:r>
        <w:t xml:space="preserve">; lead counsel</w:t>
      </w:r>
      <w:r>
        <w:t xml:space="preserve"> </w:t>
      </w:r>
      <w:r>
        <w:rPr>
          <w:b/>
          <w:bCs/>
        </w:rPr>
        <w:t xml:space="preserve">Priya Narayanan</w:t>
      </w:r>
      <w:r>
        <w:t xml:space="preserve">.</w:t>
      </w:r>
    </w:p>
    <w:p>
      <w:pPr>
        <w:pStyle w:val="Compact"/>
        <w:numPr>
          <w:ilvl w:val="0"/>
          <w:numId w:val="1002"/>
        </w:numPr>
      </w:pPr>
      <w:r>
        <w:rPr>
          <w:b/>
          <w:bCs/>
        </w:rPr>
        <w:t xml:space="preserve">Respondent:</w:t>
      </w:r>
      <w:r>
        <w:t xml:space="preserve"> </w:t>
      </w:r>
      <w:r>
        <w:t xml:space="preserve">Whitmore Capital Partners LLC. Founder/Managing Partner:</w:t>
      </w:r>
      <w:r>
        <w:t xml:space="preserve"> </w:t>
      </w:r>
      <w:r>
        <w:rPr>
          <w:b/>
          <w:bCs/>
        </w:rPr>
        <w:t xml:space="preserve">Garrett T. Whitmore</w:t>
      </w:r>
      <w:r>
        <w:t xml:space="preserve"> </w:t>
      </w:r>
      <w:r>
        <w:t xml:space="preserve">(who personally directed the challenged transaction). Counsel:</w:t>
      </w:r>
      <w:r>
        <w:t xml:space="preserve"> </w:t>
      </w:r>
      <w:r>
        <w:rPr>
          <w:b/>
          <w:bCs/>
        </w:rPr>
        <w:t xml:space="preserve">Barrow &amp; Thistlewood LLP</w:t>
      </w:r>
      <w:r>
        <w:t xml:space="preserve">; lead partner</w:t>
      </w:r>
      <w:r>
        <w:t xml:space="preserve"> </w:t>
      </w:r>
      <w:r>
        <w:rPr>
          <w:b/>
          <w:bCs/>
        </w:rPr>
        <w:t xml:space="preserve">Dominic Hargrave</w:t>
      </w:r>
      <w:r>
        <w:t xml:space="preserve">; senior partner</w:t>
      </w:r>
      <w:r>
        <w:t xml:space="preserve"> </w:t>
      </w:r>
      <w:r>
        <w:rPr>
          <w:b/>
          <w:bCs/>
        </w:rPr>
        <w:t xml:space="preserve">Ellen Wu</w:t>
      </w:r>
      <w:r>
        <w:t xml:space="preserve"> </w:t>
      </w:r>
      <w:r>
        <w:t xml:space="preserve">(head of the firm’s national arbitration practice and, per the Entity Memo § 2.1, involved in arbitrator-selection strategy for matters handled by the practice group, including this arbitration).</w:t>
      </w:r>
    </w:p>
    <w:p>
      <w:pPr>
        <w:pStyle w:val="Compact"/>
        <w:numPr>
          <w:ilvl w:val="0"/>
          <w:numId w:val="1002"/>
        </w:numPr>
      </w:pPr>
      <w:r>
        <w:rPr>
          <w:b/>
          <w:bCs/>
        </w:rPr>
        <w:t xml:space="preserve">Non-party / beneficiary:</w:t>
      </w:r>
      <w:r>
        <w:t xml:space="preserve"> </w:t>
      </w:r>
      <w:r>
        <w:t xml:space="preserve">Volaris Manufacturing Group LLC, a portfolio company of Whitmore Fund II LP; CEO</w:t>
      </w:r>
      <w:r>
        <w:t xml:space="preserve"> </w:t>
      </w:r>
      <w:r>
        <w:rPr>
          <w:b/>
          <w:bCs/>
        </w:rPr>
        <w:t xml:space="preserve">Thomas Kinnear</w:t>
      </w:r>
      <w:r>
        <w:t xml:space="preserve">.</w:t>
      </w:r>
    </w:p>
    <w:p>
      <w:pPr>
        <w:pStyle w:val="Compact"/>
        <w:numPr>
          <w:ilvl w:val="0"/>
          <w:numId w:val="1002"/>
        </w:numPr>
      </w:pPr>
      <w:r>
        <w:rPr>
          <w:b/>
          <w:bCs/>
        </w:rPr>
        <w:t xml:space="preserve">Anticipated fact witnesses (Demand § VIII.A):</w:t>
      </w:r>
      <w:r>
        <w:t xml:space="preserve"> </w:t>
      </w:r>
      <w:r>
        <w:t xml:space="preserve">Janet Okafor, Garrett T. Whitmore (adverse), Thomas Kinnear (adverse/non-party), and additional Cascade board members.</w:t>
      </w:r>
    </w:p>
    <w:p>
      <w:pPr>
        <w:pStyle w:val="Compact"/>
        <w:numPr>
          <w:ilvl w:val="0"/>
          <w:numId w:val="1002"/>
        </w:numPr>
      </w:pPr>
      <w:r>
        <w:rPr>
          <w:b/>
          <w:bCs/>
        </w:rPr>
        <w:t xml:space="preserve">Anticipated expert witnesses (Demand § VIII.B):</w:t>
      </w:r>
      <w:r>
        <w:t xml:space="preserve"> </w:t>
      </w:r>
      <w:r>
        <w:t xml:space="preserve">a Ridgeline Advisory Group valuation expert;</w:t>
      </w:r>
      <w:r>
        <w:t xml:space="preserve"> </w:t>
      </w:r>
      <w:r>
        <w:rPr>
          <w:b/>
          <w:bCs/>
        </w:rPr>
        <w:t xml:space="preserve">Dr. Rita Peshkov</w:t>
      </w:r>
      <w:r>
        <w:t xml:space="preserve">, Cascade’s Vice President of Research &amp; Development and the named inventor/co-inventor on the majority of the ThermalCore patents (Claimants’ key technical expert); and a damages/financial expert.</w:t>
      </w:r>
    </w:p>
    <w:bookmarkEnd w:id="22"/>
    <w:bookmarkStart w:id="23" w:name="c.-the-arbitrator-and-key-dates"/>
    <w:p>
      <w:pPr>
        <w:pStyle w:val="Heading3"/>
      </w:pPr>
      <w:r>
        <w:t xml:space="preserve">C. The Arbitrator and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8, 2019</w:t>
            </w:r>
          </w:p>
        </w:tc>
        <w:tc>
          <w:tcPr/>
          <w:p>
            <w:pPr>
              <w:pStyle w:val="Compact"/>
              <w:jc w:val="left"/>
            </w:pPr>
            <w:r>
              <w:t xml:space="preserve">Whitmore Fund III LP acquires 62% controlling stake in Cascade ($118 million)</w:t>
            </w:r>
          </w:p>
        </w:tc>
      </w:tr>
      <w:tr>
        <w:tc>
          <w:tcPr/>
          <w:p>
            <w:pPr>
              <w:pStyle w:val="Compact"/>
              <w:jc w:val="left"/>
            </w:pPr>
            <w:r>
              <w:t xml:space="preserve">March 1, 2023</w:t>
            </w:r>
          </w:p>
        </w:tc>
        <w:tc>
          <w:tcPr/>
          <w:p>
            <w:pPr>
              <w:pStyle w:val="Compact"/>
              <w:jc w:val="left"/>
            </w:pPr>
            <w:r>
              <w:t xml:space="preserve">Volaris Technology License Agreement executed ($2.8M/year)</w:t>
            </w:r>
          </w:p>
        </w:tc>
      </w:tr>
      <w:tr>
        <w:tc>
          <w:tcPr/>
          <w:p>
            <w:pPr>
              <w:pStyle w:val="Compact"/>
              <w:jc w:val="left"/>
            </w:pPr>
            <w:r>
              <w:t xml:space="preserve">November 15, 2023</w:t>
            </w:r>
          </w:p>
        </w:tc>
        <w:tc>
          <w:tcPr/>
          <w:p>
            <w:pPr>
              <w:pStyle w:val="Compact"/>
              <w:jc w:val="left"/>
            </w:pPr>
            <w:r>
              <w:t xml:space="preserve">Ridgeline Advisory Group FMV valuation ($9.5M/year)</w:t>
            </w:r>
          </w:p>
        </w:tc>
      </w:tr>
      <w:tr>
        <w:tc>
          <w:tcPr/>
          <w:p>
            <w:pPr>
              <w:pStyle w:val="Compact"/>
              <w:jc w:val="left"/>
            </w:pPr>
            <w:r>
              <w:t xml:space="preserve">March 15, 2024</w:t>
            </w:r>
          </w:p>
        </w:tc>
        <w:tc>
          <w:tcPr/>
          <w:p>
            <w:pPr>
              <w:pStyle w:val="Compact"/>
              <w:jc w:val="left"/>
            </w:pPr>
            <w:r>
              <w:t xml:space="preserve">Arbitration Demand filed (AAA Case No. 01-24-0003217)</w:t>
            </w:r>
          </w:p>
        </w:tc>
      </w:tr>
      <w:tr>
        <w:tc>
          <w:tcPr/>
          <w:p>
            <w:pPr>
              <w:pStyle w:val="Compact"/>
              <w:jc w:val="left"/>
            </w:pPr>
            <w:r>
              <w:t xml:space="preserve">June 3, 2024</w:t>
            </w:r>
          </w:p>
        </w:tc>
        <w:tc>
          <w:tcPr/>
          <w:p>
            <w:pPr>
              <w:pStyle w:val="Compact"/>
              <w:jc w:val="left"/>
            </w:pPr>
            <w:r>
              <w:t xml:space="preserve">Parties select Judge Fairhaven as Sole Arbitrator (Whitmore ranked her</w:t>
            </w:r>
            <w:r>
              <w:t xml:space="preserve"> </w:t>
            </w:r>
            <w:r>
              <w:rPr>
                <w:b/>
                <w:bCs/>
              </w:rPr>
              <w:t xml:space="preserve">#1</w:t>
            </w:r>
            <w:r>
              <w:t xml:space="preserve">; Cascade ranked her</w:t>
            </w:r>
            <w:r>
              <w:t xml:space="preserve"> </w:t>
            </w:r>
            <w:r>
              <w:rPr>
                <w:b/>
                <w:bCs/>
              </w:rPr>
              <w:t xml:space="preserve">#3</w:t>
            </w:r>
            <w:r>
              <w:t xml:space="preserve">)</w:t>
            </w:r>
          </w:p>
        </w:tc>
      </w:tr>
      <w:tr>
        <w:tc>
          <w:tcPr/>
          <w:p>
            <w:pPr>
              <w:pStyle w:val="Compact"/>
              <w:jc w:val="left"/>
            </w:pPr>
            <w:r>
              <w:t xml:space="preserve">June 10, 2024</w:t>
            </w:r>
          </w:p>
        </w:tc>
        <w:tc>
          <w:tcPr/>
          <w:p>
            <w:pPr>
              <w:pStyle w:val="Compact"/>
              <w:jc w:val="left"/>
            </w:pPr>
            <w:r>
              <w:t xml:space="preserve">AAA confirms appointment</w:t>
            </w:r>
          </w:p>
        </w:tc>
      </w:tr>
      <w:tr>
        <w:tc>
          <w:tcPr/>
          <w:p>
            <w:pPr>
              <w:pStyle w:val="Compact"/>
              <w:jc w:val="left"/>
            </w:pPr>
            <w:r>
              <w:t xml:space="preserve">June 17, 2024</w:t>
            </w:r>
          </w:p>
        </w:tc>
        <w:tc>
          <w:tcPr/>
          <w:p>
            <w:pPr>
              <w:pStyle w:val="Compact"/>
              <w:jc w:val="left"/>
            </w:pPr>
            <w:r>
              <w:t xml:space="preserve">Arbitrator Disclosure Statement submitted</w:t>
            </w:r>
          </w:p>
        </w:tc>
      </w:tr>
      <w:tr>
        <w:tc>
          <w:tcPr/>
          <w:p>
            <w:pPr>
              <w:pStyle w:val="Compact"/>
              <w:jc w:val="left"/>
            </w:pPr>
            <w:r>
              <w:rPr>
                <w:b/>
                <w:bCs/>
              </w:rPr>
              <w:t xml:space="preserve">June 24, 2024</w:t>
            </w:r>
          </w:p>
        </w:tc>
        <w:tc>
          <w:tcPr/>
          <w:p>
            <w:pPr>
              <w:pStyle w:val="Compact"/>
              <w:jc w:val="left"/>
            </w:pPr>
            <w:r>
              <w:rPr>
                <w:b/>
                <w:bCs/>
              </w:rPr>
              <w:t xml:space="preserve">Stated deadline to challenge (7 calendar days from disclosure)</w:t>
            </w:r>
          </w:p>
        </w:tc>
      </w:tr>
      <w:tr>
        <w:tc>
          <w:tcPr/>
          <w:p>
            <w:pPr>
              <w:pStyle w:val="Compact"/>
              <w:jc w:val="left"/>
            </w:pPr>
            <w:r>
              <w:t xml:space="preserve">August 5, 2024</w:t>
            </w:r>
          </w:p>
        </w:tc>
        <w:tc>
          <w:tcPr/>
          <w:p>
            <w:pPr>
              <w:pStyle w:val="Compact"/>
              <w:jc w:val="left"/>
            </w:pPr>
            <w:r>
              <w:t xml:space="preserve">Preliminary hearing scheduled</w:t>
            </w:r>
          </w:p>
        </w:tc>
      </w:tr>
      <w:tr>
        <w:tc>
          <w:tcPr/>
          <w:p>
            <w:pPr>
              <w:pStyle w:val="Compact"/>
              <w:jc w:val="left"/>
            </w:pPr>
            <w:r>
              <w:t xml:space="preserve">January 13 – February 7, 2025</w:t>
            </w:r>
          </w:p>
        </w:tc>
        <w:tc>
          <w:tcPr/>
          <w:p>
            <w:pPr>
              <w:pStyle w:val="Compact"/>
              <w:jc w:val="left"/>
            </w:pPr>
            <w:r>
              <w:t xml:space="preserve">Evidentiary hearing (15 hearing days)</w:t>
            </w:r>
          </w:p>
        </w:tc>
      </w:tr>
    </w:tbl>
    <w:p>
      <w:pPr>
        <w:pStyle w:val="BodyText"/>
      </w:pPr>
      <w:r>
        <w:t xml:space="preserve">The arbitrator’s posted rate is $850/hour, with estimated total fees of approximately $340,000 (≈400 hours), split equally between the parties (≈$170,000 each) subject to reallocation in the award. The fact that Whitmore — the party against whom the self-dealing and fiduciary-duty claims are directed — ranked the arbitrator first while Cascade ranked her third is relevant context for evaluating the appearance created by the undisclosed connections discussed below.</w:t>
      </w:r>
    </w:p>
    <w:bookmarkEnd w:id="23"/>
    <w:bookmarkEnd w:id="24"/>
    <w:bookmarkStart w:id="31" w:name="iii.-governing-legal-standards"/>
    <w:p>
      <w:pPr>
        <w:pStyle w:val="Heading2"/>
      </w:pPr>
      <w:r>
        <w:t xml:space="preserve">III. Governing Legal Standards</w:t>
      </w:r>
    </w:p>
    <w:bookmarkStart w:id="25" w:name="a.-aaa-rule-r-16-disclosure-general"/>
    <w:p>
      <w:pPr>
        <w:pStyle w:val="Heading3"/>
      </w:pPr>
      <w:r>
        <w:t xml:space="preserve">A. AAA Rule R-16 (Disclosure — General)</w:t>
      </w:r>
    </w:p>
    <w:p>
      <w:pPr>
        <w:pStyle w:val="FirstParagraph"/>
      </w:pPr>
      <w:r>
        <w:t xml:space="preserve">Rule R-16 requires disclosure of</w:t>
      </w:r>
      <w:r>
        <w:t xml:space="preserve"> </w:t>
      </w:r>
      <w:r>
        <w:t xml:space="preserve">“</w:t>
      </w:r>
      <w:r>
        <w:t xml:space="preserve">any circumstance likely to give rise to justifiable doubt as to the arbitrator’s impartiality or independence, including any bias or any financial or personal interest in the result of the arbitration, or any past or present relationship with the parties, their representatives, or their counsel.</w:t>
      </w:r>
      <w:r>
        <w:t xml:space="preserve">”</w:t>
      </w:r>
      <w:r>
        <w:t xml:space="preserve"> </w:t>
      </w:r>
      <w:r>
        <w:t xml:space="preserve">The obligation</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The</w:t>
      </w:r>
      <w:r>
        <w:t xml:space="preserve"> </w:t>
      </w:r>
      <w:r>
        <w:t xml:space="preserve">“</w:t>
      </w:r>
      <w:r>
        <w:t xml:space="preserve">justifiable doubt</w:t>
      </w:r>
      <w:r>
        <w:t xml:space="preserve">”</w:t>
      </w:r>
      <w:r>
        <w:t xml:space="preserve"> </w:t>
      </w:r>
      <w:r>
        <w:t xml:space="preserve">standard</w:t>
      </w:r>
      <w:r>
        <w:t xml:space="preserve"> </w:t>
      </w:r>
      <w:r>
        <w:t xml:space="preserve">“</w:t>
      </w:r>
      <w:r>
        <w:t xml:space="preserve">is intended to encompass all circumstances that a reasonable person would consider relevant in evaluating an arbitrator’s ability to render a fair and unbiased determination.</w:t>
      </w:r>
      <w:r>
        <w:t xml:space="preserve">”</w:t>
      </w:r>
    </w:p>
    <w:bookmarkEnd w:id="25"/>
    <w:bookmarkStart w:id="26" w:name="b.-aaa-rule-r-17-disclosure"/>
    <w:p>
      <w:pPr>
        <w:pStyle w:val="Heading3"/>
      </w:pPr>
      <w:r>
        <w:t xml:space="preserve">B. AAA Rule R-17 (Disclosure)</w:t>
      </w:r>
    </w:p>
    <w:p>
      <w:pPr>
        <w:pStyle w:val="FirstParagraph"/>
      </w:pPr>
      <w:r>
        <w:t xml:space="preserve">Rule R-17(a) requires disclosure of, among other things:</w:t>
      </w:r>
    </w:p>
    <w:p>
      <w:pPr>
        <w:pStyle w:val="Compact"/>
        <w:numPr>
          <w:ilvl w:val="0"/>
          <w:numId w:val="1003"/>
        </w:numPr>
      </w:pPr>
      <w:r>
        <w:rPr>
          <w:b/>
          <w:bCs/>
        </w:rPr>
        <w:t xml:space="preserve">(a)(i)</w:t>
      </w:r>
      <w:r>
        <w:t xml:space="preserve"> </w:t>
      </w:r>
      <w:r>
        <w:t xml:space="preserve">Any known</w:t>
      </w:r>
      <w:r>
        <w:t xml:space="preserve"> </w:t>
      </w:r>
      <w:r>
        <w:rPr>
          <w:b/>
          <w:bCs/>
        </w:rPr>
        <w:t xml:space="preserve">direct or indirect</w:t>
      </w:r>
      <w:r>
        <w:t xml:space="preserve"> </w:t>
      </w:r>
      <w:r>
        <w:t xml:space="preserve">financial or personal interest in the outcome,</w:t>
      </w:r>
      <w:r>
        <w:t xml:space="preserve"> </w:t>
      </w:r>
      <w:r>
        <w:t xml:space="preserve">“</w:t>
      </w:r>
      <w:r>
        <w:t xml:space="preserve">including any interest, whether legal or beneficial, in the subject matter of the dispute, in any party,</w:t>
      </w:r>
      <w:r>
        <w:t xml:space="preserve"> </w:t>
      </w:r>
      <w:r>
        <w:rPr>
          <w:b/>
          <w:bCs/>
        </w:rPr>
        <w:t xml:space="preserve">or in any entity that may be affected by the result of the proceeding</w:t>
      </w:r>
      <w:r>
        <w:t xml:space="preserve">”</w:t>
      </w:r>
      <w:r>
        <w:t xml:space="preserve">;</w:t>
      </w:r>
    </w:p>
    <w:p>
      <w:pPr>
        <w:pStyle w:val="Compact"/>
        <w:numPr>
          <w:ilvl w:val="0"/>
          <w:numId w:val="1003"/>
        </w:numPr>
      </w:pPr>
      <w:r>
        <w:rPr>
          <w:b/>
          <w:bCs/>
        </w:rPr>
        <w:t xml:space="preserve">(a)(ii)</w:t>
      </w:r>
      <w:r>
        <w:t xml:space="preserve"> </w:t>
      </w:r>
      <w:r>
        <w:t xml:space="preserve">Any known existing or past financial, business, professional,</w:t>
      </w:r>
      <w:r>
        <w:t xml:space="preserve"> </w:t>
      </w:r>
      <w:r>
        <w:rPr>
          <w:b/>
          <w:bCs/>
        </w:rPr>
        <w:t xml:space="preserve">family, or social relationships</w:t>
      </w:r>
      <w:r>
        <w:t xml:space="preserve"> </w:t>
      </w:r>
      <w:r>
        <w:t xml:space="preserve">with any party, its counsel, representatives,</w:t>
      </w:r>
      <w:r>
        <w:t xml:space="preserve"> </w:t>
      </w:r>
      <w:r>
        <w:rPr>
          <w:b/>
          <w:bCs/>
        </w:rPr>
        <w:t xml:space="preserve">or witnesses</w:t>
      </w:r>
      <w:r>
        <w:t xml:space="preserve"> </w:t>
      </w:r>
      <w:r>
        <w:t xml:space="preserve">likely to affect impartiality or that might reasonably create an appearance of partiality —</w:t>
      </w:r>
      <w:r>
        <w:t xml:space="preserve"> </w:t>
      </w:r>
      <w:r>
        <w:t xml:space="preserve">“</w:t>
      </w:r>
      <w:r>
        <w:t xml:space="preserve">including … employment, professional association, joint ventures,</w:t>
      </w:r>
      <w:r>
        <w:t xml:space="preserve"> </w:t>
      </w:r>
      <w:r>
        <w:rPr>
          <w:b/>
          <w:bCs/>
        </w:rPr>
        <w:t xml:space="preserve">board memberships, academic collaboration</w:t>
      </w:r>
      <w:r>
        <w:t xml:space="preserve">, or regular social contact</w:t>
      </w:r>
      <w:r>
        <w:t xml:space="preserve">”</w:t>
      </w:r>
      <w:r>
        <w:t xml:space="preserve">;</w:t>
      </w:r>
    </w:p>
    <w:p>
      <w:pPr>
        <w:pStyle w:val="Compact"/>
        <w:numPr>
          <w:ilvl w:val="0"/>
          <w:numId w:val="1003"/>
        </w:numPr>
      </w:pPr>
      <w:r>
        <w:rPr>
          <w:b/>
          <w:bCs/>
        </w:rPr>
        <w:t xml:space="preserve">(a)(iii)</w:t>
      </w:r>
      <w:r>
        <w:t xml:space="preserve"> </w:t>
      </w:r>
      <w:r>
        <w:t xml:space="preserve">Any</w:t>
      </w:r>
      <w:r>
        <w:t xml:space="preserve"> </w:t>
      </w:r>
      <w:r>
        <w:rPr>
          <w:b/>
          <w:bCs/>
        </w:rPr>
        <w:t xml:space="preserve">prior or pending cases</w:t>
      </w:r>
      <w:r>
        <w:t xml:space="preserve"> </w:t>
      </w:r>
      <w:r>
        <w:t xml:space="preserve">in which the arbitrator has been involved with any party, its counsel, or representatives —</w:t>
      </w:r>
      <w:r>
        <w:t xml:space="preserve"> </w:t>
      </w:r>
      <w:r>
        <w:t xml:space="preserve">“</w:t>
      </w:r>
      <w:r>
        <w:t xml:space="preserve">whether administered by the AAA or by any other arbitral institution</w:t>
      </w:r>
      <w:r>
        <w:t xml:space="preserve">”</w:t>
      </w:r>
      <w:r>
        <w:t xml:space="preserve">;</w:t>
      </w:r>
    </w:p>
    <w:p>
      <w:pPr>
        <w:pStyle w:val="Compact"/>
        <w:numPr>
          <w:ilvl w:val="0"/>
          <w:numId w:val="1003"/>
        </w:numPr>
      </w:pPr>
      <w:r>
        <w:rPr>
          <w:b/>
          <w:bCs/>
        </w:rPr>
        <w:t xml:space="preserve">(a)(iv)</w:t>
      </w:r>
      <w:r>
        <w:t xml:space="preserve"> </w:t>
      </w:r>
      <w:r>
        <w:t xml:space="preserve">A catch-all for</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including</w:t>
      </w:r>
      <w:r>
        <w:t xml:space="preserve"> </w:t>
      </w:r>
      <w:r>
        <w:t xml:space="preserve">“</w:t>
      </w:r>
      <w:r>
        <w:t xml:space="preserve">the arbitrator’s prior publications, public statements, or expressed views on legal or factual issues relevant to the dispute.</w:t>
      </w:r>
      <w:r>
        <w:t xml:space="preserve">”</w:t>
      </w:r>
    </w:p>
    <w:p>
      <w:pPr>
        <w:pStyle w:val="FirstParagraph"/>
      </w:pPr>
      <w:r>
        <w:t xml:space="preserve">Rule R-17(b) imposes a</w:t>
      </w:r>
      <w:r>
        <w:t xml:space="preserve"> </w:t>
      </w:r>
      <w:r>
        <w:rPr>
          <w:b/>
          <w:bCs/>
        </w:rPr>
        <w:t xml:space="preserve">continuing obligation</w:t>
      </w:r>
      <w:r>
        <w:t xml:space="preserve"> </w:t>
      </w:r>
      <w:r>
        <w:t xml:space="preserve">to disclose new information</w:t>
      </w:r>
      <w:r>
        <w:t xml:space="preserve"> </w:t>
      </w:r>
      <w:r>
        <w:t xml:space="preserve">“</w:t>
      </w:r>
      <w:r>
        <w:t xml:space="preserve">as soon as practicable,</w:t>
      </w:r>
      <w:r>
        <w:t xml:space="preserve">”</w:t>
      </w:r>
      <w:r>
        <w:t xml:space="preserve"> </w:t>
      </w:r>
      <w:r>
        <w:t xml:space="preserve">without awaiting inquiry. Rule R-17(c) requires the AAA to transmit any supplemental disclosures to all parties within two (2) business days of receipt. Rule R-17(d) provides that failure to make complete and timely disclosures</w:t>
      </w:r>
      <w:r>
        <w:t xml:space="preserve"> </w:t>
      </w:r>
      <w:r>
        <w:t xml:space="preserve">“</w:t>
      </w:r>
      <w:r>
        <w:t xml:space="preserve">may result in the arbitrator’s removal … and may constitute grounds for vacatur of any resulting award under applicable law, including … Section 10 of the Federal Arbitration Act (9 U.S.C. § 10),</w:t>
      </w:r>
      <w:r>
        <w:t xml:space="preserve">”</w:t>
      </w:r>
      <w:r>
        <w:t xml:space="preserve"> </w:t>
      </w:r>
      <w:r>
        <w:t xml:space="preserve">and that the AAA may, in its discretion, bring any disclosure deficiency to the arbitrator’s attention and request supplemental disclosure before acting on a challenge.</w:t>
      </w:r>
    </w:p>
    <w:bookmarkEnd w:id="26"/>
    <w:bookmarkStart w:id="27" w:name="c.-aaa-rule-r-18-challenge-procedure"/>
    <w:p>
      <w:pPr>
        <w:pStyle w:val="Heading3"/>
      </w:pPr>
      <w:r>
        <w:t xml:space="preserve">C. AAA Rule R-18 (Challenge Procedure)</w:t>
      </w:r>
    </w:p>
    <w:p>
      <w:pPr>
        <w:pStyle w:val="FirstParagraph"/>
      </w:pPr>
      <w:r>
        <w:t xml:space="preserve">Rule R-18(a) permits any party to challenge on grounds giving rise to justifiable doubt. A challenge</w:t>
      </w:r>
      <w:r>
        <w:t xml:space="preserve"> </w:t>
      </w:r>
      <w:r>
        <w:t xml:space="preserve">“</w:t>
      </w:r>
      <w:r>
        <w:t xml:space="preserve">must be made by written notice to the AAA and to the other party, stating with specificity the grounds for the challenge, within</w:t>
      </w:r>
      <w:r>
        <w:t xml:space="preserve"> </w:t>
      </w:r>
      <w:r>
        <w:rPr>
          <w:b/>
          <w:bCs/>
        </w:rPr>
        <w:t xml:space="preserve">seven (7) calendar days</w:t>
      </w:r>
      <w:r>
        <w:t xml:space="preserve"> </w:t>
      </w:r>
      <w:r>
        <w:t xml:space="preserve">after (i) the appointment of the challenged arbitrator has been communicated to the challenging party, or (ii) the circumstances giving rise to the challenge became known or should reasonably have become known to the challenging party,</w:t>
      </w:r>
      <w:r>
        <w:t xml:space="preserve"> </w:t>
      </w:r>
      <w:r>
        <w:rPr>
          <w:b/>
          <w:bCs/>
        </w:rPr>
        <w:t xml:space="preserve">whichever is later</w:t>
      </w:r>
      <w:r>
        <w:t xml:space="preserve">.</w:t>
      </w:r>
      <w:r>
        <w:t xml:space="preserve">”</w:t>
      </w:r>
      <w:r>
        <w:t xml:space="preserve"> </w:t>
      </w:r>
      <w:r>
        <w:t xml:space="preserve">Rule R-18(b) provides that, upon receipt of a challenge, the AAA communicates it to the other party, who may respond in writing within seven (7) calendar days; the challenged arbitrator is also notified and may submit a written response within the same period (the AAA may extend for good cause). Rule R-18(c) provides that if the other party agrees to the challenge or the arbitrator voluntarily withdraws, a replacement is appointed under Rule R-19 (withdrawal or agreement does not imply acceptance of the grounds). Rule R-18(d) provides that if the other party does not agree and the arbitrator does not withdraw, the AAA decides the challenge, considering the disclosed circumstances, the disclosures required but not made, the grounds stated, any responses, and any other relevant information; the AAA may conduct such inquiry as it deems appropriate. Rule R-18(e) provides that the AAA’s decision is administrative and not appealable within the AAA process, but preserves the right to seek vacatur under FAA § 10 or applicable state law. Rule R-18(f) provides that a party that fails to make a timely challenge is</w:t>
      </w:r>
      <w:r>
        <w:t xml:space="preserve"> </w:t>
      </w:r>
      <w:r>
        <w:rPr>
          <w:b/>
          <w:bCs/>
        </w:rPr>
        <w:t xml:space="preserve">deemed to have waived</w:t>
      </w:r>
      <w:r>
        <w:t xml:space="preserve"> </w:t>
      </w:r>
      <w:r>
        <w:t xml:space="preserve">grounds then known,</w:t>
      </w:r>
      <w:r>
        <w:t xml:space="preserve"> </w:t>
      </w:r>
      <w:r>
        <w:t xml:space="preserve">“</w:t>
      </w:r>
      <w:r>
        <w:t xml:space="preserve">except that a party shall not be deemed to have waived its right to challenge based on grounds that were not and could not reasonably have been known at the time of the deadline.</w:t>
      </w:r>
      <w:r>
        <w:t xml:space="preserve">”</w:t>
      </w:r>
    </w:p>
    <w:bookmarkEnd w:id="27"/>
    <w:bookmarkStart w:id="28" w:name="d.-federal-arbitration-act-10a2"/>
    <w:p>
      <w:pPr>
        <w:pStyle w:val="Heading3"/>
      </w:pPr>
      <w:r>
        <w:t xml:space="preserve">D. Federal Arbitration Act § 10(a)(2)</w:t>
      </w:r>
    </w:p>
    <w:p>
      <w:pPr>
        <w:pStyle w:val="FirstParagraph"/>
      </w:pPr>
      <w:r>
        <w:t xml:space="preserve">Section 10(a)(2) of the FAA provides for vacatur of an award</w:t>
      </w:r>
      <w:r>
        <w:t xml:space="preserve"> </w:t>
      </w:r>
      <w:r>
        <w:t xml:space="preserve">“</w:t>
      </w:r>
      <w:r>
        <w:t xml:space="preserve">where there was</w:t>
      </w:r>
      <w:r>
        <w:t xml:space="preserve"> </w:t>
      </w:r>
      <w:r>
        <w:rPr>
          <w:b/>
          <w:bCs/>
        </w:rPr>
        <w:t xml:space="preserve">evident partiality or corruption</w:t>
      </w:r>
      <w:r>
        <w:t xml:space="preserve"> </w:t>
      </w:r>
      <w:r>
        <w:t xml:space="preserve">in the arbitrators.</w:t>
      </w:r>
      <w:r>
        <w:t xml:space="preserve">”</w:t>
      </w:r>
      <w:r>
        <w:t xml:space="preserve"> </w:t>
      </w:r>
      <w:r>
        <w:t xml:space="preserve">The AAA Rules’ Editor’s Note expressly cross-references this provision. Under the governing case law, an arbitrator’s failure to disclose relationships that might support an inference of partiality can itself constitute evident partiality; the disclosure obligation extends to relationships that may appear</w:t>
      </w:r>
      <w:r>
        <w:t xml:space="preserve"> </w:t>
      </w:r>
      <w:r>
        <w:t xml:space="preserve">“</w:t>
      </w:r>
      <w:r>
        <w:t xml:space="preserve">trivial.</w:t>
      </w:r>
      <w:r>
        <w:t xml:space="preserve">”</w:t>
      </w:r>
    </w:p>
    <w:bookmarkEnd w:id="28"/>
    <w:bookmarkStart w:id="29" w:name="X6bcbc8ba6127314cef64f1fa2e7e0a676ff32e8"/>
    <w:p>
      <w:pPr>
        <w:pStyle w:val="Heading3"/>
      </w:pPr>
      <w:r>
        <w:t xml:space="preserve">E. Code of Ethics for Arbitrators in Commercial Disputes</w:t>
      </w:r>
    </w:p>
    <w:p>
      <w:pPr>
        <w:pStyle w:val="FirstParagraph"/>
      </w:pPr>
      <w:r>
        <w:t xml:space="preserve">The AAA/ABA Code of Ethics (referenced in the AAA Rules Editor’s Note) imposes duties under Canon I (upholding the integrity and fairness of the process), Canon II (disclosure obligations), and Canon IV (conducting proceedings fairly and diligently). Canon II’s disclosure obligation is broad and continuing.</w:t>
      </w:r>
    </w:p>
    <w:bookmarkEnd w:id="29"/>
    <w:bookmarkStart w:id="30" w:name="X88a603d44ddee0742f32ba4e63a7726a38aac29"/>
    <w:p>
      <w:pPr>
        <w:pStyle w:val="Heading3"/>
      </w:pPr>
      <w:r>
        <w:t xml:space="preserve">F. IBA Guidelines on Conflicts of Interest in International Arbitration</w:t>
      </w:r>
    </w:p>
    <w:p>
      <w:pPr>
        <w:pStyle w:val="FirstParagraph"/>
      </w:pPr>
      <w:r>
        <w:t xml:space="preserve">The IBA Guidelines (also referenced in the Editor’s Note) categorize potential conflicts into a Non-Waivable Red List, Waivable Red List, Orange List, and Green List. While not binding in a domestic AAA commercial arbitration, they are a widely consulted reference for evaluating disclosure adequacy and the appearance of partiality. Several of the connections identified below fall within the IBA’s Red or Orange List categories (e.g., indirect financial interests in a party or an entity affected by the result; family relationships with a witness; professional relationships with counsel and party principals through shared organizational service).</w:t>
      </w:r>
    </w:p>
    <w:bookmarkEnd w:id="30"/>
    <w:bookmarkEnd w:id="31"/>
    <w:bookmarkStart w:id="48" w:name="Xf9774b2b74d8e1ca810c71bcf2d583229658486"/>
    <w:p>
      <w:pPr>
        <w:pStyle w:val="Heading2"/>
      </w:pPr>
      <w:r>
        <w:t xml:space="preserve">IV. Assessment of Disclosure Adequacy — Issue-by-Issue</w:t>
      </w:r>
    </w:p>
    <w:p>
      <w:pPr>
        <w:pStyle w:val="FirstParagraph"/>
      </w:pPr>
      <w:r>
        <w:t xml:space="preserve">The Disclosure Statement is organized into ten sections. The following assessment identifies each material gap, omission, incompleteness, misstatement, or certification deficiency, the governing standard, the direction of any apparent partiality, and an assessment of strength. A consolidated summary appears in Section VI.</w:t>
      </w:r>
    </w:p>
    <w:bookmarkStart w:id="38" w:name="a.-undisclosed-connections"/>
    <w:p>
      <w:pPr>
        <w:pStyle w:val="Heading3"/>
      </w:pPr>
      <w:r>
        <w:t xml:space="preserve">A. Undisclosed Connections</w:t>
      </w:r>
    </w:p>
    <w:bookmarkStart w:id="32" w:name="Xd9672e3ce9ba9a22d4d404a55b47ed7f6c6bbe9"/>
    <w:p>
      <w:pPr>
        <w:pStyle w:val="Heading4"/>
      </w:pPr>
      <w:r>
        <w:t xml:space="preserve">Issue 1 — Undisclosed shared organizational service with the Respondent’s principal (Garrett T. Whitmore on the Board of Trustees of the Minnesota ADR Ethics Institute)</w:t>
      </w:r>
    </w:p>
    <w:p>
      <w:pPr>
        <w:pStyle w:val="FirstParagraph"/>
      </w:pPr>
      <w:r>
        <w:t xml:space="preserve">The Disclosure Statement (Section VI) discloses that the arbitrator has served on the</w:t>
      </w:r>
      <w:r>
        <w:t xml:space="preserve"> </w:t>
      </w:r>
      <w:r>
        <w:rPr>
          <w:b/>
          <w:bCs/>
        </w:rPr>
        <w:t xml:space="preserve">advisory board</w:t>
      </w:r>
      <w:r>
        <w:t xml:space="preserve"> </w:t>
      </w:r>
      <w:r>
        <w:t xml:space="preserve">of the Minnesota ADR Ethics Institute since 2021, and that</w:t>
      </w:r>
      <w:r>
        <w:t xml:space="preserve"> </w:t>
      </w:r>
      <w:r>
        <w:rPr>
          <w:b/>
          <w:bCs/>
        </w:rPr>
        <w:t xml:space="preserve">Ellen Wu</w:t>
      </w:r>
      <w:r>
        <w:t xml:space="preserve"> </w:t>
      </w:r>
      <w:r>
        <w:t xml:space="preserve">(Senior Partner at Barrow &amp; Thistlewood LLP) also serves on that advisory board. The Disclosure Statement does</w:t>
      </w:r>
      <w:r>
        <w:t xml:space="preserve"> </w:t>
      </w:r>
      <w:r>
        <w:rPr>
          <w:b/>
          <w:bCs/>
        </w:rPr>
        <w:t xml:space="preserve">not</w:t>
      </w:r>
      <w:r>
        <w:t xml:space="preserve"> </w:t>
      </w:r>
      <w:r>
        <w:t xml:space="preserve">disclose that</w:t>
      </w:r>
      <w:r>
        <w:t xml:space="preserve"> </w:t>
      </w:r>
      <w:r>
        <w:rPr>
          <w:b/>
          <w:bCs/>
        </w:rPr>
        <w:t xml:space="preserve">Garrett T. Whitmore</w:t>
      </w:r>
      <w:r>
        <w:t xml:space="preserve"> </w:t>
      </w:r>
      <w:r>
        <w:t xml:space="preserve">— the Founder and Managing Partner of the Respondent, who personally directed the challenged transaction and is an anticipated adverse fact witness (Demand § VIII.A.2) — serves on the</w:t>
      </w:r>
      <w:r>
        <w:t xml:space="preserve"> </w:t>
      </w:r>
      <w:r>
        <w:rPr>
          <w:b/>
          <w:bCs/>
        </w:rPr>
        <w:t xml:space="preserve">Board of Trustees</w:t>
      </w:r>
      <w:r>
        <w:t xml:space="preserve"> </w:t>
      </w:r>
      <w:r>
        <w:t xml:space="preserve">of the same organization. This fact is established by the Minnesota ADR Ethics Institute’s IRS Form 990 filing for fiscal year 2023 (Entity Memo §§ 1.1, III.3, 4.2).</w:t>
      </w:r>
    </w:p>
    <w:p>
      <w:pPr>
        <w:pStyle w:val="BodyText"/>
      </w:pPr>
      <w:r>
        <w:t xml:space="preserve">The Board of Trustees is the Institute’s</w:t>
      </w:r>
      <w:r>
        <w:t xml:space="preserve"> </w:t>
      </w:r>
      <w:r>
        <w:rPr>
          <w:b/>
          <w:bCs/>
        </w:rPr>
        <w:t xml:space="preserve">governing body</w:t>
      </w:r>
      <w:r>
        <w:t xml:space="preserve">, responsible for strategic direction, budgetary oversight, and appointments to leadership positions, including the advisory board on which the arbitrator sits. The Institute is described as a small nonprofit; its bylaws and posted minutes indicate that the Board of Trustees and the advisory board hold annual meetings and periodic joint sessions. The arbitrator and the Respondent’s principal therefore serve the same small organization in capacities that are formally distinct but functionally linked, with a reasonable likelihood of direct personal interaction.</w:t>
      </w:r>
    </w:p>
    <w:p>
      <w:pPr>
        <w:pStyle w:val="Compact"/>
        <w:numPr>
          <w:ilvl w:val="0"/>
          <w:numId w:val="1004"/>
        </w:numPr>
      </w:pPr>
      <w:r>
        <w:rPr>
          <w:b/>
          <w:bCs/>
        </w:rPr>
        <w:t xml:space="preserve">Governing standard:</w:t>
      </w:r>
      <w:r>
        <w:t xml:space="preserve"> </w:t>
      </w:r>
      <w:r>
        <w:t xml:space="preserve">Rule R-17(a)(ii) (past or present professional relationship with a party or its representatives, including board memberships). Rule R-16’s broad</w:t>
      </w:r>
      <w:r>
        <w:t xml:space="preserve"> </w:t>
      </w:r>
      <w:r>
        <w:t xml:space="preserve">“</w:t>
      </w:r>
      <w:r>
        <w:t xml:space="preserve">justifiable doubt</w:t>
      </w:r>
      <w:r>
        <w:t xml:space="preserve">”</w:t>
      </w:r>
      <w:r>
        <w:t xml:space="preserve"> </w:t>
      </w:r>
      <w:r>
        <w:t xml:space="preserve">standard.</w:t>
      </w:r>
    </w:p>
    <w:p>
      <w:pPr>
        <w:pStyle w:val="Compact"/>
        <w:numPr>
          <w:ilvl w:val="0"/>
          <w:numId w:val="1004"/>
        </w:numPr>
      </w:pPr>
      <w:r>
        <w:rPr>
          <w:b/>
          <w:bCs/>
        </w:rPr>
        <w:t xml:space="preserve">Direction of apparent partiality:</w:t>
      </w:r>
      <w:r>
        <w:t xml:space="preserve"> </w:t>
      </w:r>
      <w:r>
        <w:t xml:space="preserve">Toward the Respondent (relationship with the Respondent’s principal and anticipated witness).</w:t>
      </w:r>
    </w:p>
    <w:p>
      <w:pPr>
        <w:pStyle w:val="Compact"/>
        <w:numPr>
          <w:ilvl w:val="0"/>
          <w:numId w:val="1004"/>
        </w:numPr>
      </w:pPr>
      <w:r>
        <w:rPr>
          <w:b/>
          <w:bCs/>
        </w:rPr>
        <w:t xml:space="preserve">Assessment:</w:t>
      </w:r>
      <w:r>
        <w:t xml:space="preserve"> </w:t>
      </w:r>
      <w:r>
        <w:rPr>
          <w:b/>
          <w:bCs/>
        </w:rPr>
        <w:t xml:space="preserve">Strong.</w:t>
      </w:r>
      <w:r>
        <w:t xml:space="preserve"> </w:t>
      </w:r>
      <w:r>
        <w:t xml:space="preserve">The arbitrator disclosed her own and Ms. Wu’s advisory-board service but omitted the Respondent’s principal’s service on the governing body of the same organization. The omission is material because it concerns a</w:t>
      </w:r>
      <w:r>
        <w:t xml:space="preserve"> </w:t>
      </w:r>
      <w:r>
        <w:rPr>
          <w:i/>
          <w:iCs/>
        </w:rPr>
        <w:t xml:space="preserve">party principal and anticipated witness</w:t>
      </w:r>
      <w:r>
        <w:t xml:space="preserve">, not merely counsel. Under the broad disclosure standard, this relationship should have been disclosed.</w:t>
      </w:r>
    </w:p>
    <w:bookmarkEnd w:id="32"/>
    <w:bookmarkStart w:id="33" w:name="X3b8168922cf43815b255fdc08b824dabf31923f"/>
    <w:p>
      <w:pPr>
        <w:pStyle w:val="Heading4"/>
      </w:pPr>
      <w:r>
        <w:t xml:space="preserve">Issue 2 — Undisclosed relationship between the arbitrator’s spouse and the Claimant’s key expert witness (co-authorship of Dr. Alan Fairhaven and Dr. Rita Peshkov)</w:t>
      </w:r>
    </w:p>
    <w:p>
      <w:pPr>
        <w:pStyle w:val="FirstParagraph"/>
      </w:pPr>
      <w:r>
        <w:t xml:space="preserve">The Disclosure Statement (Section V) identifies the arbitrator’s husband,</w:t>
      </w:r>
      <w:r>
        <w:t xml:space="preserve"> </w:t>
      </w:r>
      <w:r>
        <w:rPr>
          <w:b/>
          <w:bCs/>
        </w:rPr>
        <w:t xml:space="preserve">Dr. Alan Fairhaven</w:t>
      </w:r>
      <w:r>
        <w:t xml:space="preserve">, as a retired professor of mechanical engineering at the University of Minnesota (faculty 1992–2019, emeritus thereafter). It does</w:t>
      </w:r>
      <w:r>
        <w:t xml:space="preserve"> </w:t>
      </w:r>
      <w:r>
        <w:rPr>
          <w:b/>
          <w:bCs/>
        </w:rPr>
        <w:t xml:space="preserve">not</w:t>
      </w:r>
      <w:r>
        <w:t xml:space="preserve"> </w:t>
      </w:r>
      <w:r>
        <w:t xml:space="preserve">disclose that Dr. Alan Fairhaven</w:t>
      </w:r>
      <w:r>
        <w:t xml:space="preserve"> </w:t>
      </w:r>
      <w:r>
        <w:rPr>
          <w:b/>
          <w:bCs/>
        </w:rPr>
        <w:t xml:space="preserve">co-authored a peer-reviewed paper</w:t>
      </w:r>
      <w:r>
        <w:t xml:space="preserve"> </w:t>
      </w:r>
      <w:r>
        <w:t xml:space="preserve">with</w:t>
      </w:r>
      <w:r>
        <w:t xml:space="preserve"> </w:t>
      </w:r>
      <w:r>
        <w:rPr>
          <w:b/>
          <w:bCs/>
        </w:rPr>
        <w:t xml:space="preserve">Dr. Rita Peshkov</w:t>
      </w:r>
      <w:r>
        <w:t xml:space="preserve"> </w:t>
      </w:r>
      <w:r>
        <w:t xml:space="preserve">— Cascade’s Vice President of Research &amp; Development and the Claimants’ anticipated key expert witness on the ThermalCore technology (Demand § VIII.B.2). The publication is:</w:t>
      </w:r>
    </w:p>
    <w:p>
      <w:pPr>
        <w:pStyle w:val="BlockText"/>
      </w:pPr>
      <w:r>
        <w:t xml:space="preserve">“</w:t>
      </w:r>
      <w:r>
        <w:t xml:space="preserve">Optimization of Phase-Change Heat Exchangers in High-Load Industrial Applications,</w:t>
      </w:r>
      <w:r>
        <w:t xml:space="preserve">”</w:t>
      </w:r>
      <w:r>
        <w:t xml:space="preserve"> </w:t>
      </w:r>
      <w:r>
        <w:rPr>
          <w:i/>
          <w:iCs/>
        </w:rPr>
        <w:t xml:space="preserve">Journal of Advanced Thermal Engineering</w:t>
      </w:r>
      <w:r>
        <w:t xml:space="preserve">, Vol. 42, Issue 3,</w:t>
      </w:r>
      <w:r>
        <w:t xml:space="preserve"> </w:t>
      </w:r>
      <w:r>
        <w:rPr>
          <w:b/>
          <w:bCs/>
        </w:rPr>
        <w:t xml:space="preserve">September 2022</w:t>
      </w:r>
      <w:r>
        <w:t xml:space="preserve">; authors:</w:t>
      </w:r>
      <w:r>
        <w:t xml:space="preserve"> </w:t>
      </w:r>
      <w:r>
        <w:rPr>
          <w:b/>
          <w:bCs/>
        </w:rPr>
        <w:t xml:space="preserve">Alan R. Fairhaven, Ph.D.; Rita S. Peshkov, Ph.D.</w:t>
      </w:r>
    </w:p>
    <w:p>
      <w:pPr>
        <w:pStyle w:val="FirstParagraph"/>
      </w:pPr>
      <w:r>
        <w:t xml:space="preserve">(Entity Memo §§ 1.2, III.2.) The paper’s subject matter — optimization of phase-change heat exchangers in high-load industrial applications — is</w:t>
      </w:r>
      <w:r>
        <w:t xml:space="preserve"> </w:t>
      </w:r>
      <w:r>
        <w:rPr>
          <w:b/>
          <w:bCs/>
        </w:rPr>
        <w:t xml:space="preserve">directly relevant</w:t>
      </w:r>
      <w:r>
        <w:t xml:space="preserve"> </w:t>
      </w:r>
      <w:r>
        <w:t xml:space="preserve">to the ThermalCore technology at the center of this arbitration, which the Demand describes as a phase-change heat-exchange system for heavy industrial environments. Co-authorship of a peer-reviewed article in a specialized field ordinarily reflects a sustained professional collaboration (joint research design, data collection, drafting, and revision over many months), and supports an inference of a professional and possibly personal relationship between the arbitrator’s spouse and the Claimant’s central expert witness.</w:t>
      </w:r>
    </w:p>
    <w:p>
      <w:pPr>
        <w:pStyle w:val="Compact"/>
        <w:numPr>
          <w:ilvl w:val="0"/>
          <w:numId w:val="1005"/>
        </w:numPr>
      </w:pPr>
      <w:r>
        <w:rPr>
          <w:b/>
          <w:bCs/>
        </w:rPr>
        <w:t xml:space="preserve">Governing standard:</w:t>
      </w:r>
      <w:r>
        <w:t xml:space="preserve"> </w:t>
      </w:r>
      <w:r>
        <w:t xml:space="preserve">Rule R-17(a)(ii) (family relationships and relationships with witnesses, including academic collaboration). Rule R-16.</w:t>
      </w:r>
    </w:p>
    <w:p>
      <w:pPr>
        <w:pStyle w:val="Compact"/>
        <w:numPr>
          <w:ilvl w:val="0"/>
          <w:numId w:val="1005"/>
        </w:numPr>
      </w:pPr>
      <w:r>
        <w:rPr>
          <w:b/>
          <w:bCs/>
        </w:rPr>
        <w:t xml:space="preserve">Direction of apparent partiality:</w:t>
      </w:r>
      <w:r>
        <w:t xml:space="preserve"> </w:t>
      </w:r>
      <w:r>
        <w:t xml:space="preserve">Toward the Claimant (relationship between the arbitrator’s spouse and the Claimant’s key expert witness).</w:t>
      </w:r>
    </w:p>
    <w:p>
      <w:pPr>
        <w:pStyle w:val="Compact"/>
        <w:numPr>
          <w:ilvl w:val="0"/>
          <w:numId w:val="1005"/>
        </w:numPr>
      </w:pPr>
      <w:r>
        <w:rPr>
          <w:b/>
          <w:bCs/>
        </w:rPr>
        <w:t xml:space="preserve">Assessment:</w:t>
      </w:r>
      <w:r>
        <w:t xml:space="preserve"> </w:t>
      </w:r>
      <w:r>
        <w:rPr>
          <w:b/>
          <w:bCs/>
        </w:rPr>
        <w:t xml:space="preserve">Strong.</w:t>
      </w:r>
      <w:r>
        <w:t xml:space="preserve"> </w:t>
      </w:r>
      <w:r>
        <w:t xml:space="preserve">A relationship between the arbitrator’s spouse and a party’s lead expert witness on the very technology in dispute is precisely the kind of circumstance a reasonable party would consider relevant. The continuing nature of the duty and the witness’s central role make this a serious omission.</w:t>
      </w:r>
    </w:p>
    <w:bookmarkEnd w:id="33"/>
    <w:bookmarkStart w:id="34" w:name="X2cadd594bb3585c8182d52592dc0d49240a4dd9"/>
    <w:p>
      <w:pPr>
        <w:pStyle w:val="Heading4"/>
      </w:pPr>
      <w:r>
        <w:t xml:space="preserve">Issue 3 — Affirmative misstatement in Section V regarding the spouse’s relationships</w:t>
      </w:r>
    </w:p>
    <w:p>
      <w:pPr>
        <w:pStyle w:val="FirstParagraph"/>
      </w:pPr>
      <w:r>
        <w:t xml:space="preserve">The Disclosure Statement (Section V) affirmatively represents that, as to the arbitrator’s husband,</w:t>
      </w:r>
      <w:r>
        <w:t xml:space="preserve"> </w:t>
      </w:r>
      <w:r>
        <w:t xml:space="preserve">“</w:t>
      </w:r>
      <w:r>
        <w:t xml:space="preserve">to the best of my knowledge, he has</w:t>
      </w:r>
      <w:r>
        <w:t xml:space="preserve"> </w:t>
      </w:r>
      <w:r>
        <w:rPr>
          <w:b/>
          <w:bCs/>
        </w:rPr>
        <w:t xml:space="preserve">no financial or professional relationship</w:t>
      </w:r>
      <w:r>
        <w:t xml:space="preserve"> </w:t>
      </w:r>
      <w:r>
        <w:t xml:space="preserve">with Cascade Thermal Systems Inc., Whitmore Capital Partners LLC,</w:t>
      </w:r>
      <w:r>
        <w:t xml:space="preserve"> </w:t>
      </w:r>
      <w:r>
        <w:rPr>
          <w:b/>
          <w:bCs/>
        </w:rPr>
        <w:t xml:space="preserve">or any of their officers, directors, or employees</w:t>
      </w:r>
      <w:r>
        <w:t xml:space="preserve">.</w:t>
      </w:r>
      <w:r>
        <w:t xml:space="preserve">”</w:t>
      </w:r>
      <w:r>
        <w:t xml:space="preserve"> </w:t>
      </w:r>
      <w:r>
        <w:t xml:space="preserve">Dr. Rita Peshkov is an</w:t>
      </w:r>
      <w:r>
        <w:t xml:space="preserve"> </w:t>
      </w:r>
      <w:r>
        <w:rPr>
          <w:b/>
          <w:bCs/>
        </w:rPr>
        <w:t xml:space="preserve">officer</w:t>
      </w:r>
      <w:r>
        <w:t xml:space="preserve"> </w:t>
      </w:r>
      <w:r>
        <w:t xml:space="preserve">of Cascade (Vice President of Research &amp; Development). The September 2022 co-authorship with Dr. Peshkov is a</w:t>
      </w:r>
      <w:r>
        <w:t xml:space="preserve"> </w:t>
      </w:r>
      <w:r>
        <w:rPr>
          <w:b/>
          <w:bCs/>
        </w:rPr>
        <w:t xml:space="preserve">professional relationship</w:t>
      </w:r>
      <w:r>
        <w:t xml:space="preserve"> </w:t>
      </w:r>
      <w:r>
        <w:t xml:space="preserve">with a Cascade officer. The affirmative representation is therefore</w:t>
      </w:r>
      <w:r>
        <w:t xml:space="preserve"> </w:t>
      </w:r>
      <w:r>
        <w:rPr>
          <w:b/>
          <w:bCs/>
        </w:rPr>
        <w:t xml:space="preserve">inaccurate</w:t>
      </w:r>
      <w:r>
        <w:t xml:space="preserve">, or at minimum materially incomplete, in light of the co-authorship disclosed by the Entity Memo.</w:t>
      </w:r>
    </w:p>
    <w:p>
      <w:pPr>
        <w:pStyle w:val="Compact"/>
        <w:numPr>
          <w:ilvl w:val="0"/>
          <w:numId w:val="1006"/>
        </w:numPr>
      </w:pPr>
      <w:r>
        <w:rPr>
          <w:b/>
          <w:bCs/>
        </w:rPr>
        <w:t xml:space="preserve">Governing standard:</w:t>
      </w:r>
      <w:r>
        <w:t xml:space="preserve"> </w:t>
      </w:r>
      <w:r>
        <w:t xml:space="preserve">Rule R-17(a)(ii); Rule R-17(d) (consequences of incomplete disclosure); FAA § 10(a)(2) (evident partiality).</w:t>
      </w:r>
    </w:p>
    <w:p>
      <w:pPr>
        <w:pStyle w:val="Compact"/>
        <w:numPr>
          <w:ilvl w:val="0"/>
          <w:numId w:val="1006"/>
        </w:numPr>
      </w:pPr>
      <w:r>
        <w:rPr>
          <w:b/>
          <w:bCs/>
        </w:rPr>
        <w:t xml:space="preserve">Direction of apparent partiality:</w:t>
      </w:r>
      <w:r>
        <w:t xml:space="preserve"> </w:t>
      </w:r>
      <w:r>
        <w:t xml:space="preserve">Toward the Claimant; and, independently, it impairs the overall credibility and completeness of the Disclosure Statement.</w:t>
      </w:r>
    </w:p>
    <w:p>
      <w:pPr>
        <w:pStyle w:val="Compact"/>
        <w:numPr>
          <w:ilvl w:val="0"/>
          <w:numId w:val="1006"/>
        </w:numPr>
      </w:pPr>
      <w:r>
        <w:rPr>
          <w:b/>
          <w:bCs/>
        </w:rPr>
        <w:t xml:space="preserve">Assessment:</w:t>
      </w:r>
      <w:r>
        <w:t xml:space="preserve"> </w:t>
      </w:r>
      <w:r>
        <w:rPr>
          <w:b/>
          <w:bCs/>
        </w:rPr>
        <w:t xml:space="preserve">Strong.</w:t>
      </w:r>
      <w:r>
        <w:t xml:space="preserve"> </w:t>
      </w:r>
      <w:r>
        <w:t xml:space="preserve">An affirmative misstatement is more serious than a mere omission because it may have induced reliance and because it bears on the arbitrator’s diligence in preparing the disclosure. This is distinct from Issue 2 (the underlying non-disclosure) and aggravates it.</w:t>
      </w:r>
    </w:p>
    <w:bookmarkEnd w:id="34"/>
    <w:bookmarkStart w:id="35" w:name="Xa8faef7ad7bc1df249077feb869bcb639d37612"/>
    <w:p>
      <w:pPr>
        <w:pStyle w:val="Heading4"/>
      </w:pPr>
      <w:r>
        <w:t xml:space="preserve">Issue 4 — Undisclosed CLE co-panelist relationship with the Respondent’s lead counsel (Dominic Hargrave) on a topic directly germane to this arbitration</w:t>
      </w:r>
    </w:p>
    <w:p>
      <w:pPr>
        <w:pStyle w:val="FirstParagraph"/>
      </w:pPr>
      <w:r>
        <w:t xml:space="preserve">The Disclosure Statement does not reference a Continuing Legal Education event titled</w:t>
      </w:r>
      <w:r>
        <w:t xml:space="preserve"> </w:t>
      </w:r>
      <w:r>
        <w:rPr>
          <w:b/>
          <w:bCs/>
        </w:rPr>
        <w:t xml:space="preserve">“</w:t>
      </w:r>
      <w:r>
        <w:rPr>
          <w:b/>
          <w:bCs/>
        </w:rPr>
        <w:t xml:space="preserve">Arbitrating Complex IP Licensing Disputes,</w:t>
      </w:r>
      <w:r>
        <w:rPr>
          <w:b/>
          <w:bCs/>
        </w:rPr>
        <w:t xml:space="preserve">”</w:t>
      </w:r>
      <w:r>
        <w:t xml:space="preserve"> </w:t>
      </w:r>
      <w:r>
        <w:t xml:space="preserve">hosted by the Lakeview Dispute Resolution Center on</w:t>
      </w:r>
      <w:r>
        <w:t xml:space="preserve"> </w:t>
      </w:r>
      <w:r>
        <w:rPr>
          <w:b/>
          <w:bCs/>
        </w:rPr>
        <w:t xml:space="preserve">October 14, 2023</w:t>
      </w:r>
      <w:r>
        <w:t xml:space="preserve">, at which the arbitrator and</w:t>
      </w:r>
      <w:r>
        <w:t xml:space="preserve"> </w:t>
      </w:r>
      <w:r>
        <w:rPr>
          <w:b/>
          <w:bCs/>
        </w:rPr>
        <w:t xml:space="preserve">Dominic Hargrave</w:t>
      </w:r>
      <w:r>
        <w:t xml:space="preserve"> </w:t>
      </w:r>
      <w:r>
        <w:t xml:space="preserve">(lead counsel for the Respondent) served as</w:t>
      </w:r>
      <w:r>
        <w:t xml:space="preserve"> </w:t>
      </w:r>
      <w:r>
        <w:rPr>
          <w:b/>
          <w:bCs/>
        </w:rPr>
        <w:t xml:space="preserve">co-panelists</w:t>
      </w:r>
      <w:r>
        <w:t xml:space="preserve"> </w:t>
      </w:r>
      <w:r>
        <w:t xml:space="preserve">(Entity Memo §§ 2.1, III.6, 4.1). The other listed panelists were Professor Naomi J. Strickland (University of Minnesota Law School) and Marcus DelVecchio (Henning &amp; Burwell P.A.). The event occurred approximately five months before the Demand was filed and eight months before the arbitrator’s appointment was confirmed.</w:t>
      </w:r>
    </w:p>
    <w:p>
      <w:pPr>
        <w:pStyle w:val="BodyText"/>
      </w:pPr>
      <w:r>
        <w:t xml:space="preserve">The CLE topic — arbitrating complex IP licensing disputes, with a focus on</w:t>
      </w:r>
      <w:r>
        <w:t xml:space="preserve"> </w:t>
      </w:r>
      <w:r>
        <w:rPr>
          <w:b/>
          <w:bCs/>
        </w:rPr>
        <w:t xml:space="preserve">valuation methodologies, arbitrator selection in technology-intensive cases, and the management of expert testimony</w:t>
      </w:r>
      <w:r>
        <w:t xml:space="preserve"> </w:t>
      </w:r>
      <w:r>
        <w:t xml:space="preserve">— is</w:t>
      </w:r>
      <w:r>
        <w:t xml:space="preserve"> </w:t>
      </w:r>
      <w:r>
        <w:rPr>
          <w:b/>
          <w:bCs/>
        </w:rPr>
        <w:t xml:space="preserve">directly germane</w:t>
      </w:r>
      <w:r>
        <w:t xml:space="preserve"> </w:t>
      </w:r>
      <w:r>
        <w:t xml:space="preserve">to this arbitration, which concerns the valuation and enforceability of a technology license for the ThermalCore portfolio. Co-panelist service typically involves shared preparation, coordination of materials, and informal professional interaction before and after the event, and can give rise to collegial familiarity. The event was also hosted at</w:t>
      </w:r>
      <w:r>
        <w:t xml:space="preserve"> </w:t>
      </w:r>
      <w:r>
        <w:rPr>
          <w:b/>
          <w:bCs/>
        </w:rPr>
        <w:t xml:space="preserve">Lakeview</w:t>
      </w:r>
      <w:r>
        <w:t xml:space="preserve">, the very institution with which the arbitrator is affiliated (see Issue 7).</w:t>
      </w:r>
    </w:p>
    <w:p>
      <w:pPr>
        <w:pStyle w:val="Compact"/>
        <w:numPr>
          <w:ilvl w:val="0"/>
          <w:numId w:val="1007"/>
        </w:numPr>
      </w:pPr>
      <w:r>
        <w:rPr>
          <w:b/>
          <w:bCs/>
        </w:rPr>
        <w:t xml:space="preserve">Governing standard:</w:t>
      </w:r>
      <w:r>
        <w:t xml:space="preserve"> </w:t>
      </w:r>
      <w:r>
        <w:t xml:space="preserve">Rule R-17(a)(ii) (professional relationship with counsel); Rule R-17(a)(iv) (catch-all, including</w:t>
      </w:r>
      <w:r>
        <w:t xml:space="preserve"> </w:t>
      </w:r>
      <w:r>
        <w:t xml:space="preserve">“</w:t>
      </w:r>
      <w:r>
        <w:t xml:space="preserve">public statements, or expressed views on legal or factual issues relevant to the dispute</w:t>
      </w:r>
      <w:r>
        <w:t xml:space="preserve">”</w:t>
      </w:r>
      <w:r>
        <w:t xml:space="preserve"> </w:t>
      </w:r>
      <w:r>
        <w:t xml:space="preserve">— the arbitrator’s expressed views on IP-licensing valuation and arbitrator selection in technology cases at this CLE are potentially relevant to the issues in dispute).</w:t>
      </w:r>
    </w:p>
    <w:p>
      <w:pPr>
        <w:pStyle w:val="Compact"/>
        <w:numPr>
          <w:ilvl w:val="0"/>
          <w:numId w:val="1007"/>
        </w:numPr>
      </w:pPr>
      <w:r>
        <w:rPr>
          <w:b/>
          <w:bCs/>
        </w:rPr>
        <w:t xml:space="preserve">Direction of apparent partiality:</w:t>
      </w:r>
      <w:r>
        <w:t xml:space="preserve"> </w:t>
      </w:r>
      <w:r>
        <w:t xml:space="preserve">Toward the Respondent (professional relationship with the Respondent’s lead counsel).</w:t>
      </w:r>
    </w:p>
    <w:p>
      <w:pPr>
        <w:pStyle w:val="Compact"/>
        <w:numPr>
          <w:ilvl w:val="0"/>
          <w:numId w:val="1007"/>
        </w:numPr>
      </w:pPr>
      <w:r>
        <w:rPr>
          <w:b/>
          <w:bCs/>
        </w:rPr>
        <w:t xml:space="preserve">Assessment:</w:t>
      </w:r>
      <w:r>
        <w:t xml:space="preserve"> </w:t>
      </w:r>
      <w:r>
        <w:rPr>
          <w:b/>
          <w:bCs/>
        </w:rPr>
        <w:t xml:space="preserve">Strong.</w:t>
      </w:r>
      <w:r>
        <w:t xml:space="preserve"> </w:t>
      </w:r>
      <w:r>
        <w:t xml:space="preserve">The relationship is with the</w:t>
      </w:r>
      <w:r>
        <w:t xml:space="preserve"> </w:t>
      </w:r>
      <w:r>
        <w:rPr>
          <w:i/>
          <w:iCs/>
        </w:rPr>
        <w:t xml:space="preserve">lead counsel</w:t>
      </w:r>
      <w:r>
        <w:t xml:space="preserve"> </w:t>
      </w:r>
      <w:r>
        <w:t xml:space="preserve">for the opposing party, on a topic that maps directly onto the central valuation and licensing issues in this case. The failure to disclose is compounded by the potential relevance of the arbitrator’s expressed views under R-17(a)(iv).</w:t>
      </w:r>
    </w:p>
    <w:bookmarkEnd w:id="35"/>
    <w:bookmarkStart w:id="36" w:name="Xb9fc8d7030b2cc26ae827e481807211035b627b"/>
    <w:p>
      <w:pPr>
        <w:pStyle w:val="Heading4"/>
      </w:pPr>
      <w:r>
        <w:t xml:space="preserve">Issue 5 — Undisclosed indirect financial interest in Whitmore Fund II LP (via the Northbridge Select Alternatives Fund)</w:t>
      </w:r>
    </w:p>
    <w:p>
      <w:pPr>
        <w:pStyle w:val="FirstParagraph"/>
      </w:pPr>
      <w:r>
        <w:t xml:space="preserve">The Disclosure Statement (Section IV) states that the arbitrator’s portfolio is managed on a discretionary basis by</w:t>
      </w:r>
      <w:r>
        <w:t xml:space="preserve"> </w:t>
      </w:r>
      <w:r>
        <w:rPr>
          <w:b/>
          <w:bCs/>
        </w:rPr>
        <w:t xml:space="preserve">Northbridge Wealth Advisors</w:t>
      </w:r>
      <w:r>
        <w:t xml:space="preserve">, and that she holds</w:t>
      </w:r>
      <w:r>
        <w:t xml:space="preserve"> </w:t>
      </w:r>
      <w:r>
        <w:t xml:space="preserve">“</w:t>
      </w:r>
      <w:r>
        <w:rPr>
          <w:b/>
          <w:bCs/>
        </w:rPr>
        <w:t xml:space="preserve">no direct equity positions</w:t>
      </w:r>
      <w:r>
        <w:t xml:space="preserve"> </w:t>
      </w:r>
      <w:r>
        <w:t xml:space="preserve">in any party to this arbitration.</w:t>
      </w:r>
      <w:r>
        <w:t xml:space="preserve">”</w:t>
      </w:r>
      <w:r>
        <w:t xml:space="preserve"> </w:t>
      </w:r>
      <w:r>
        <w:t xml:space="preserve">It does not address</w:t>
      </w:r>
      <w:r>
        <w:t xml:space="preserve"> </w:t>
      </w:r>
      <w:r>
        <w:rPr>
          <w:b/>
          <w:bCs/>
        </w:rPr>
        <w:t xml:space="preserve">indirect</w:t>
      </w:r>
      <w:r>
        <w:t xml:space="preserve"> </w:t>
      </w:r>
      <w:r>
        <w:t xml:space="preserve">interests, fund-of-funds exposure, or the specific holdings of any pooled vehicle. The Entity Memo (§§ III.4, 4.3) establishes that Northbridge Wealth Advisors also manages the</w:t>
      </w:r>
      <w:r>
        <w:t xml:space="preserve"> </w:t>
      </w:r>
      <w:r>
        <w:rPr>
          <w:b/>
          <w:bCs/>
        </w:rPr>
        <w:t xml:space="preserve">Northbridge Select Alternatives Fund</w:t>
      </w:r>
      <w:r>
        <w:t xml:space="preserve">, a fund-of-funds product that, per its most recent public filing (March 2024), holds a</w:t>
      </w:r>
      <w:r>
        <w:t xml:space="preserve"> </w:t>
      </w:r>
      <w:r>
        <w:rPr>
          <w:b/>
          <w:bCs/>
        </w:rPr>
        <w:t xml:space="preserve">2.3% limited partner interest in Whitmore Fund II LP</w:t>
      </w:r>
      <w:r>
        <w:t xml:space="preserve">. Whitmore Fund II LP is the fund that</w:t>
      </w:r>
      <w:r>
        <w:t xml:space="preserve"> </w:t>
      </w:r>
      <w:r>
        <w:rPr>
          <w:b/>
          <w:bCs/>
        </w:rPr>
        <w:t xml:space="preserve">owns Volaris Manufacturing Group LLC</w:t>
      </w:r>
      <w:r>
        <w:t xml:space="preserve"> </w:t>
      </w:r>
      <w:r>
        <w:t xml:space="preserve">— the direct beneficiary of the disputed below-market ThermalCore license and the entity whose portfolio value would be directly affected by any award rescinding, renegotiating, or repricing that license, or imposing damages or disgorgement on Whitmore.</w:t>
      </w:r>
    </w:p>
    <w:p>
      <w:pPr>
        <w:pStyle w:val="BodyText"/>
      </w:pPr>
      <w:r>
        <w:t xml:space="preserve">The potential chain of indirect interest is:</w:t>
      </w:r>
    </w:p>
    <w:p>
      <w:pPr>
        <w:pStyle w:val="BlockText"/>
      </w:pPr>
      <w:r>
        <w:t xml:space="preserve">Arbitrator’s portfolio (managed by Northbridge Wealth Advisors) → potential allocation to the Northbridge Select Alternatives Fund (managed by the same firm) → 2.3% LP interest in Whitmore Fund II LP → Whitmore Fund II LP owns Volaris → Volaris is the beneficiary of the disputed license.</w:t>
      </w:r>
    </w:p>
    <w:p>
      <w:pPr>
        <w:pStyle w:val="FirstParagraph"/>
      </w:pPr>
      <w:r>
        <w:t xml:space="preserve">The public record does not confirm whether the arbitrator’s personal portfolio includes an allocation to the Northbridge Select Alternatives Fund. However, the arbitrator’s own statement that she has not undertaken a</w:t>
      </w:r>
      <w:r>
        <w:t xml:space="preserve"> </w:t>
      </w:r>
      <w:r>
        <w:t xml:space="preserve">“</w:t>
      </w:r>
      <w:r>
        <w:t xml:space="preserve">position-by-position review</w:t>
      </w:r>
      <w:r>
        <w:t xml:space="preserve">”</w:t>
      </w:r>
      <w:r>
        <w:t xml:space="preserve"> </w:t>
      </w:r>
      <w:r>
        <w:t xml:space="preserve">of her pooled vehicles, combined with the fact that her portfolio manager manages a fund holding an LP interest in a fund managed by the Respondent, means the existence of an indirect interest cannot be ruled out and was not addressed. The</w:t>
      </w:r>
      <w:r>
        <w:t xml:space="preserve"> </w:t>
      </w:r>
      <w:r>
        <w:t xml:space="preserve">“</w:t>
      </w:r>
      <w:r>
        <w:t xml:space="preserve">no direct equity positions</w:t>
      </w:r>
      <w:r>
        <w:t xml:space="preserve">”</w:t>
      </w:r>
      <w:r>
        <w:t xml:space="preserve"> </w:t>
      </w:r>
      <w:r>
        <w:t xml:space="preserve">formulation is technically accurate but</w:t>
      </w:r>
      <w:r>
        <w:t xml:space="preserve"> </w:t>
      </w:r>
      <w:r>
        <w:rPr>
          <w:b/>
          <w:bCs/>
        </w:rPr>
        <w:t xml:space="preserve">narrow and potentially misleading</w:t>
      </w:r>
      <w:r>
        <w:t xml:space="preserve"> </w:t>
      </w:r>
      <w:r>
        <w:t xml:space="preserve">insofar as it does not address indirect exposure.</w:t>
      </w:r>
    </w:p>
    <w:p>
      <w:pPr>
        <w:pStyle w:val="Compact"/>
        <w:numPr>
          <w:ilvl w:val="0"/>
          <w:numId w:val="1008"/>
        </w:numPr>
      </w:pPr>
      <w:r>
        <w:rPr>
          <w:b/>
          <w:bCs/>
        </w:rPr>
        <w:t xml:space="preserve">Governing standard:</w:t>
      </w:r>
      <w:r>
        <w:t xml:space="preserve"> </w:t>
      </w:r>
      <w:r>
        <w:t xml:space="preserve">Rule R-17(a)(i) (any known</w:t>
      </w:r>
      <w:r>
        <w:t xml:space="preserve"> </w:t>
      </w:r>
      <w:r>
        <w:rPr>
          <w:b/>
          <w:bCs/>
        </w:rPr>
        <w:t xml:space="preserve">direct or indirect</w:t>
      </w:r>
      <w:r>
        <w:t xml:space="preserve"> </w:t>
      </w:r>
      <w:r>
        <w:t xml:space="preserve">financial interest in the outcome,</w:t>
      </w:r>
      <w:r>
        <w:t xml:space="preserve"> </w:t>
      </w:r>
      <w:r>
        <w:t xml:space="preserve">“</w:t>
      </w:r>
      <w:r>
        <w:t xml:space="preserve">including any interest … in any party,</w:t>
      </w:r>
      <w:r>
        <w:t xml:space="preserve"> </w:t>
      </w:r>
      <w:r>
        <w:rPr>
          <w:b/>
          <w:bCs/>
        </w:rPr>
        <w:t xml:space="preserve">or in any entity that may be affected by the result of the proceeding</w:t>
      </w:r>
      <w:r>
        <w:t xml:space="preserve">”</w:t>
      </w:r>
      <w:r>
        <w:t xml:space="preserve">). Rule R-16 (broad construction). IBA Guidelines (indirect financial interests in an entity affected by the result).</w:t>
      </w:r>
    </w:p>
    <w:p>
      <w:pPr>
        <w:pStyle w:val="Compact"/>
        <w:numPr>
          <w:ilvl w:val="0"/>
          <w:numId w:val="1008"/>
        </w:numPr>
      </w:pPr>
      <w:r>
        <w:rPr>
          <w:b/>
          <w:bCs/>
        </w:rPr>
        <w:t xml:space="preserve">Direction of apparent partiality:</w:t>
      </w:r>
      <w:r>
        <w:t xml:space="preserve"> </w:t>
      </w:r>
      <w:r>
        <w:t xml:space="preserve">Toward the Respondent (indirect interest in a fund managed by the Respondent and whose portfolio company is the beneficiary of the challenged license).</w:t>
      </w:r>
    </w:p>
    <w:p>
      <w:pPr>
        <w:pStyle w:val="Compact"/>
        <w:numPr>
          <w:ilvl w:val="0"/>
          <w:numId w:val="1008"/>
        </w:numPr>
      </w:pPr>
      <w:r>
        <w:rPr>
          <w:b/>
          <w:bCs/>
        </w:rPr>
        <w:t xml:space="preserve">Assessment:</w:t>
      </w:r>
      <w:r>
        <w:t xml:space="preserve"> </w:t>
      </w:r>
      <w:r>
        <w:rPr>
          <w:b/>
          <w:bCs/>
        </w:rPr>
        <w:t xml:space="preserve">Strong (warranting inquiry and supplemental disclosure).</w:t>
      </w:r>
      <w:r>
        <w:t xml:space="preserve"> </w:t>
      </w:r>
      <w:r>
        <w:t xml:space="preserve">Even if the indirect interest is small or uncertain, the broad disclosure standard and the</w:t>
      </w:r>
      <w:r>
        <w:t xml:space="preserve"> </w:t>
      </w:r>
      <w:r>
        <w:t xml:space="preserve">“</w:t>
      </w:r>
      <w:r>
        <w:t xml:space="preserve">appearance</w:t>
      </w:r>
      <w:r>
        <w:t xml:space="preserve">”</w:t>
      </w:r>
      <w:r>
        <w:t xml:space="preserve"> </w:t>
      </w:r>
      <w:r>
        <w:t xml:space="preserve">test require that the arbitrator investigate and disclose the potential indirect exposure through her investment manager’s fund-of-funds product, particularly where that product holds an interest in a fund whose portfolio company is the direct beneficiary of the very transaction in dispute.</w:t>
      </w:r>
    </w:p>
    <w:bookmarkEnd w:id="36"/>
    <w:bookmarkStart w:id="37" w:name="X33e190c107b18c3394a60ad8704be67764fb85a"/>
    <w:p>
      <w:pPr>
        <w:pStyle w:val="Heading4"/>
      </w:pPr>
      <w:r>
        <w:t xml:space="preserve">Issue 6 — Undisclosed pending arbitration involving the Respondent’s counsel (Halcyon Biotech v. Stonewall Partners)</w:t>
      </w:r>
    </w:p>
    <w:p>
      <w:pPr>
        <w:pStyle w:val="FirstParagraph"/>
      </w:pPr>
      <w:r>
        <w:t xml:space="preserve">The Disclosure Statement (Section III) lists two pending matters in which Barrow &amp; Thistlewood LLP serves as counsel: the instant matter and</w:t>
      </w:r>
      <w:r>
        <w:t xml:space="preserve"> </w:t>
      </w:r>
      <w:r>
        <w:rPr>
          <w:i/>
          <w:iCs/>
        </w:rPr>
        <w:t xml:space="preserve">Orion Fabrication LLC v. Mountain West Supply Co.</w:t>
      </w:r>
      <w:r>
        <w:t xml:space="preserve"> </w:t>
      </w:r>
      <w:r>
        <w:t xml:space="preserve">(2023). It does</w:t>
      </w:r>
      <w:r>
        <w:t xml:space="preserve"> </w:t>
      </w:r>
      <w:r>
        <w:rPr>
          <w:b/>
          <w:bCs/>
        </w:rPr>
        <w:t xml:space="preserve">not</w:t>
      </w:r>
      <w:r>
        <w:t xml:space="preserve"> </w:t>
      </w:r>
      <w:r>
        <w:t xml:space="preserve">disclose a third pending arbitration,</w:t>
      </w:r>
      <w:r>
        <w:t xml:space="preserve"> </w:t>
      </w:r>
      <w:r>
        <w:rPr>
          <w:b/>
          <w:bCs/>
        </w:rPr>
        <w:t xml:space="preserve">Halcyon Biotech v. Stonewall Partners</w:t>
      </w:r>
      <w:r>
        <w:t xml:space="preserve"> </w:t>
      </w:r>
      <w:r>
        <w:t xml:space="preserve">(AAA Case No. 01-24-0003105), in which Barrow &amp; Thistlewood LLP represents a party and in which the arbitrator serves as sole arbitrator (appointed April 22, 2024; pre-hearing phase; estimated remaining fees $175,000). This is confirmed by the Appointment Data (Pending Matters sheet, row 3,</w:t>
      </w:r>
      <w:r>
        <w:t xml:space="preserve"> </w:t>
      </w:r>
      <w:r>
        <w:t xml:space="preserve">“</w:t>
      </w:r>
      <w:r>
        <w:t xml:space="preserve">Disclosed in Arbitrator Statement?</w:t>
      </w:r>
      <w:r>
        <w:t xml:space="preserve"> </w:t>
      </w:r>
      <w:r>
        <w:rPr>
          <w:b/>
          <w:bCs/>
        </w:rPr>
        <w:t xml:space="preserve">No</w:t>
      </w:r>
      <w:r>
        <w:t xml:space="preserve">”</w:t>
      </w:r>
      <w:r>
        <w:t xml:space="preserve">) and the Entity Memo (§ III.5).</w:t>
      </w:r>
    </w:p>
    <w:p>
      <w:pPr>
        <w:pStyle w:val="Compact"/>
        <w:numPr>
          <w:ilvl w:val="0"/>
          <w:numId w:val="1009"/>
        </w:numPr>
      </w:pPr>
      <w:r>
        <w:rPr>
          <w:b/>
          <w:bCs/>
        </w:rPr>
        <w:t xml:space="preserve">Governing standard:</w:t>
      </w:r>
      <w:r>
        <w:t xml:space="preserve"> </w:t>
      </w:r>
      <w:r>
        <w:t xml:space="preserve">Rule R-17(a)(iii) (prior or pending cases with a party’s counsel).</w:t>
      </w:r>
    </w:p>
    <w:p>
      <w:pPr>
        <w:pStyle w:val="Compact"/>
        <w:numPr>
          <w:ilvl w:val="0"/>
          <w:numId w:val="1009"/>
        </w:numPr>
      </w:pPr>
      <w:r>
        <w:rPr>
          <w:b/>
          <w:bCs/>
        </w:rPr>
        <w:t xml:space="preserve">Direction of apparent partiality:</w:t>
      </w:r>
      <w:r>
        <w:t xml:space="preserve"> </w:t>
      </w:r>
      <w:r>
        <w:t xml:space="preserve">Toward the Respondent (additional concurrent engagement with the Respondent’s counsel, increasing the arbitrator’s ongoing economic relationship with that firm).</w:t>
      </w:r>
    </w:p>
    <w:p>
      <w:pPr>
        <w:pStyle w:val="Compact"/>
        <w:numPr>
          <w:ilvl w:val="0"/>
          <w:numId w:val="1009"/>
        </w:numPr>
      </w:pPr>
      <w:r>
        <w:rPr>
          <w:b/>
          <w:bCs/>
        </w:rPr>
        <w:t xml:space="preserve">Assessment:</w:t>
      </w:r>
      <w:r>
        <w:t xml:space="preserve"> </w:t>
      </w:r>
      <w:r>
        <w:rPr>
          <w:b/>
          <w:bCs/>
        </w:rPr>
        <w:t xml:space="preserve">Moderate-to-strong.</w:t>
      </w:r>
      <w:r>
        <w:t xml:space="preserve"> </w:t>
      </w:r>
      <w:r>
        <w:t xml:space="preserve">The omission of a pending matter is a clear disclosure deficiency under R-17(a)(iii). Its significance is heightened by the economic-dependency concerns discussed in Issue 9.</w:t>
      </w:r>
    </w:p>
    <w:bookmarkEnd w:id="37"/>
    <w:bookmarkEnd w:id="38"/>
    <w:bookmarkStart w:id="42" w:name="b.-incomplete-or-understated-disclosures"/>
    <w:p>
      <w:pPr>
        <w:pStyle w:val="Heading3"/>
      </w:pPr>
      <w:r>
        <w:t xml:space="preserve">B. Incomplete or Understated Disclosures</w:t>
      </w:r>
    </w:p>
    <w:bookmarkStart w:id="39" w:name="X5f4cabb79c7cfa74af0c4e31cf9a1cd1be70087"/>
    <w:p>
      <w:pPr>
        <w:pStyle w:val="Heading4"/>
      </w:pPr>
      <w:r>
        <w:t xml:space="preserve">Issue 7 — Incomplete disclosure of the Lakeview Dispute Resolution Center affiliation</w:t>
      </w:r>
    </w:p>
    <w:p>
      <w:pPr>
        <w:pStyle w:val="FirstParagraph"/>
      </w:pPr>
      <w:r>
        <w:t xml:space="preserve">The Disclosure Statement (Section VII) discloses the arbitrator’s affiliation with the</w:t>
      </w:r>
      <w:r>
        <w:t xml:space="preserve"> </w:t>
      </w:r>
      <w:r>
        <w:rPr>
          <w:b/>
          <w:bCs/>
        </w:rPr>
        <w:t xml:space="preserve">Lakeview Dispute Resolution Center</w:t>
      </w:r>
      <w:r>
        <w:t xml:space="preserve"> </w:t>
      </w:r>
      <w:r>
        <w:t xml:space="preserve">(750 Nicollet Mall, Suite 3200, Minneapolis; Managing Director Harold Lund; panel of approximately 30 neutrals) and that Lakeview</w:t>
      </w:r>
      <w:r>
        <w:t xml:space="preserve"> </w:t>
      </w:r>
      <w:r>
        <w:t xml:space="preserve">“</w:t>
      </w:r>
      <w:r>
        <w:t xml:space="preserve">receives case referrals from various law firms … including from both Barrow &amp; Thistlewood LLP and Fielding Marsh &amp; Collier LLP.</w:t>
      </w:r>
      <w:r>
        <w:t xml:space="preserve">”</w:t>
      </w:r>
      <w:r>
        <w:t xml:space="preserve"> </w:t>
      </w:r>
      <w:r>
        <w:t xml:space="preserve">The disclosure does</w:t>
      </w:r>
      <w:r>
        <w:t xml:space="preserve"> </w:t>
      </w:r>
      <w:r>
        <w:rPr>
          <w:b/>
          <w:bCs/>
        </w:rPr>
        <w:t xml:space="preserve">not</w:t>
      </w:r>
      <w:r>
        <w:t xml:space="preserve"> </w:t>
      </w:r>
      <w:r>
        <w:t xml:space="preserve">address the</w:t>
      </w:r>
      <w:r>
        <w:t xml:space="preserve"> </w:t>
      </w:r>
      <w:r>
        <w:rPr>
          <w:b/>
          <w:bCs/>
        </w:rPr>
        <w:t xml:space="preserve">financial or structural terms</w:t>
      </w:r>
      <w:r>
        <w:t xml:space="preserve"> </w:t>
      </w:r>
      <w:r>
        <w:t xml:space="preserve">of the affiliation — i.e., whether Lakeview takes a percentage of the arbitrator’s fees for referred matters, whether the relationship is employment, independent contractor, or equity/member-owner, or the extent to which Lakeview’s revenue model depends on maintaining referral relationships with the firms that retain its neutrals (Entity Memo § 4.1). These terms bear on whether there is an economic interdependency between the arbitrator, Lakeview, and the referring law firms.</w:t>
      </w:r>
    </w:p>
    <w:p>
      <w:pPr>
        <w:pStyle w:val="BodyText"/>
      </w:pPr>
      <w:r>
        <w:t xml:space="preserve">In addition, Lakeview was the</w:t>
      </w:r>
      <w:r>
        <w:t xml:space="preserve"> </w:t>
      </w:r>
      <w:r>
        <w:rPr>
          <w:b/>
          <w:bCs/>
        </w:rPr>
        <w:t xml:space="preserve">host and venue</w:t>
      </w:r>
      <w:r>
        <w:t xml:space="preserve"> </w:t>
      </w:r>
      <w:r>
        <w:t xml:space="preserve">of the October 14, 2023 CLE event at which the arbitrator co-presented with Mr. Hargrave (Issue 4) — a fact that ties the undisclosed CLE relationship to the disclosed (but incompletely described) institutional affiliation.</w:t>
      </w:r>
    </w:p>
    <w:p>
      <w:pPr>
        <w:pStyle w:val="Compact"/>
        <w:numPr>
          <w:ilvl w:val="0"/>
          <w:numId w:val="1010"/>
        </w:numPr>
      </w:pPr>
      <w:r>
        <w:rPr>
          <w:b/>
          <w:bCs/>
        </w:rPr>
        <w:t xml:space="preserve">Governing standard:</w:t>
      </w:r>
      <w:r>
        <w:t xml:space="preserve"> </w:t>
      </w:r>
      <w:r>
        <w:t xml:space="preserve">Rule R-17(a)(ii) (professional/financial relationships with counsel, including institutional affiliations); Rule R-16 (broad construction).</w:t>
      </w:r>
    </w:p>
    <w:p>
      <w:pPr>
        <w:pStyle w:val="Compact"/>
        <w:numPr>
          <w:ilvl w:val="0"/>
          <w:numId w:val="1010"/>
        </w:numPr>
      </w:pPr>
      <w:r>
        <w:rPr>
          <w:b/>
          <w:bCs/>
        </w:rPr>
        <w:t xml:space="preserve">Direction of apparent partiality:</w:t>
      </w:r>
      <w:r>
        <w:t xml:space="preserve"> </w:t>
      </w:r>
      <w:r>
        <w:t xml:space="preserve">Toward whichever firm’s referral relationship is more economically significant to Lakeview (the Appointment Data indicates Barrow &amp; Thistlewood LLP is the far more frequent referrer — see Issue 9).</w:t>
      </w:r>
    </w:p>
    <w:p>
      <w:pPr>
        <w:pStyle w:val="Compact"/>
        <w:numPr>
          <w:ilvl w:val="0"/>
          <w:numId w:val="1010"/>
        </w:numPr>
      </w:pPr>
      <w:r>
        <w:rPr>
          <w:b/>
          <w:bCs/>
        </w:rPr>
        <w:t xml:space="preserve">Assessment:</w:t>
      </w:r>
      <w:r>
        <w:t xml:space="preserve"> </w:t>
      </w:r>
      <w:r>
        <w:rPr>
          <w:b/>
          <w:bCs/>
        </w:rPr>
        <w:t xml:space="preserve">Moderate.</w:t>
      </w:r>
      <w:r>
        <w:t xml:space="preserve"> </w:t>
      </w:r>
      <w:r>
        <w:t xml:space="preserve">The affiliation was disclosed, but the financial terms were not. The connection to the undisclosed CLE event (hosted at Lakeview) increases its relevance. Supplemental disclosure of the financial/structural terms is warranted.</w:t>
      </w:r>
    </w:p>
    <w:bookmarkEnd w:id="39"/>
    <w:bookmarkStart w:id="40" w:name="X6362d3321a5cd309d8c7408e347a3e4a3805d5a"/>
    <w:p>
      <w:pPr>
        <w:pStyle w:val="Heading4"/>
      </w:pPr>
      <w:r>
        <w:t xml:space="preserve">Issue 8 — Understated repeat-appointment history; inaccurate</w:t>
      </w:r>
      <w:r>
        <w:t xml:space="preserve"> </w:t>
      </w:r>
      <w:r>
        <w:t xml:space="preserve">“</w:t>
      </w:r>
      <w:r>
        <w:t xml:space="preserve">complete list</w:t>
      </w:r>
      <w:r>
        <w:t xml:space="preserve">”</w:t>
      </w:r>
      <w:r>
        <w:t xml:space="preserve"> </w:t>
      </w:r>
      <w:r>
        <w:t xml:space="preserve">certification</w:t>
      </w:r>
    </w:p>
    <w:p>
      <w:pPr>
        <w:pStyle w:val="FirstParagraph"/>
      </w:pPr>
      <w:r>
        <w:t xml:space="preserve">The Disclosure Statement (Section III) lists</w:t>
      </w:r>
      <w:r>
        <w:t xml:space="preserve"> </w:t>
      </w:r>
      <w:r>
        <w:rPr>
          <w:b/>
          <w:bCs/>
        </w:rPr>
        <w:t xml:space="preserve">seven</w:t>
      </w:r>
      <w:r>
        <w:t xml:space="preserve"> </w:t>
      </w:r>
      <w:r>
        <w:t xml:space="preserve">prior or pending arbitrations involving Barrow &amp; Thistlewood LLP or Fielding Marsh &amp; Collier LLP and certifies that</w:t>
      </w:r>
      <w:r>
        <w:t xml:space="preserve"> </w:t>
      </w:r>
      <w:r>
        <w:t xml:space="preserve">“</w:t>
      </w:r>
      <w:r>
        <w:t xml:space="preserve">to the best of my recollection, the foregoing represents a</w:t>
      </w:r>
      <w:r>
        <w:t xml:space="preserve"> </w:t>
      </w:r>
      <w:r>
        <w:rPr>
          <w:b/>
          <w:bCs/>
        </w:rPr>
        <w:t xml:space="preserve">complete list</w:t>
      </w:r>
      <w:r>
        <w:t xml:space="preserve"> </w:t>
      </w:r>
      <w:r>
        <w:t xml:space="preserve">of arbitrations in which I have served alongside counsel from either</w:t>
      </w:r>
      <w:r>
        <w:t xml:space="preserve">”</w:t>
      </w:r>
      <w:r>
        <w:t xml:space="preserve"> </w:t>
      </w:r>
      <w:r>
        <w:t xml:space="preserve">firm. The Appointment Data shows that this representation</w:t>
      </w:r>
      <w:r>
        <w:t xml:space="preserve"> </w:t>
      </w:r>
      <w:r>
        <w:rPr>
          <w:b/>
          <w:bCs/>
        </w:rPr>
        <w:t xml:space="preserve">understates</w:t>
      </w:r>
      <w:r>
        <w:t xml:space="preserve"> </w:t>
      </w:r>
      <w:r>
        <w:t xml:space="preserve">the arbitrator’s engagement history with these firms. Over the arbitrator’s last 20 completed arbitrations (2021–2024):</w:t>
      </w:r>
    </w:p>
    <w:p>
      <w:pPr>
        <w:pStyle w:val="Compact"/>
        <w:numPr>
          <w:ilvl w:val="0"/>
          <w:numId w:val="1011"/>
        </w:numPr>
      </w:pPr>
      <w:r>
        <w:rPr>
          <w:b/>
          <w:bCs/>
        </w:rPr>
        <w:t xml:space="preserve">Barrow &amp; Thistlewood LLP</w:t>
      </w:r>
      <w:r>
        <w:t xml:space="preserve"> </w:t>
      </w:r>
      <w:r>
        <w:t xml:space="preserve">appeared as counsel in</w:t>
      </w:r>
      <w:r>
        <w:t xml:space="preserve"> </w:t>
      </w:r>
      <w:r>
        <w:rPr>
          <w:b/>
          <w:bCs/>
        </w:rPr>
        <w:t xml:space="preserve">9 of 20</w:t>
      </w:r>
      <w:r>
        <w:t xml:space="preserve"> </w:t>
      </w:r>
      <w:r>
        <w:t xml:space="preserve">completed matters (45%), generating an estimated</w:t>
      </w:r>
      <w:r>
        <w:t xml:space="preserve"> </w:t>
      </w:r>
      <w:r>
        <w:rPr>
          <w:b/>
          <w:bCs/>
        </w:rPr>
        <w:t xml:space="preserve">$1,020,000</w:t>
      </w:r>
      <w:r>
        <w:t xml:space="preserve"> </w:t>
      </w:r>
      <w:r>
        <w:t xml:space="preserve">in fees (approximately</w:t>
      </w:r>
      <w:r>
        <w:t xml:space="preserve"> </w:t>
      </w:r>
      <w:r>
        <w:rPr>
          <w:b/>
          <w:bCs/>
        </w:rPr>
        <w:t xml:space="preserve">48%</w:t>
      </w:r>
      <w:r>
        <w:t xml:space="preserve"> </w:t>
      </w:r>
      <w:r>
        <w:t xml:space="preserve">of the arbitrator’s estimated total arbitration income of ~$2,125,000 over the period), with the Barrow &amp; Thistlewood client prevailing in</w:t>
      </w:r>
      <w:r>
        <w:t xml:space="preserve"> </w:t>
      </w:r>
      <w:r>
        <w:rPr>
          <w:b/>
          <w:bCs/>
        </w:rPr>
        <w:t xml:space="preserve">7 of 9</w:t>
      </w:r>
      <w:r>
        <w:t xml:space="preserve"> </w:t>
      </w:r>
      <w:r>
        <w:t xml:space="preserve">matters (77.8%).</w:t>
      </w:r>
    </w:p>
    <w:p>
      <w:pPr>
        <w:pStyle w:val="Compact"/>
        <w:numPr>
          <w:ilvl w:val="0"/>
          <w:numId w:val="1011"/>
        </w:numPr>
      </w:pPr>
      <w:r>
        <w:rPr>
          <w:b/>
          <w:bCs/>
        </w:rPr>
        <w:t xml:space="preserve">Fielding Marsh &amp; Collier LLP</w:t>
      </w:r>
      <w:r>
        <w:t xml:space="preserve"> </w:t>
      </w:r>
      <w:r>
        <w:t xml:space="preserve">appeared as counsel in</w:t>
      </w:r>
      <w:r>
        <w:t xml:space="preserve"> </w:t>
      </w:r>
      <w:r>
        <w:rPr>
          <w:b/>
          <w:bCs/>
        </w:rPr>
        <w:t xml:space="preserve">5 of 20</w:t>
      </w:r>
      <w:r>
        <w:t xml:space="preserve"> </w:t>
      </w:r>
      <w:r>
        <w:t xml:space="preserve">completed matters (25%), generating an estimated</w:t>
      </w:r>
      <w:r>
        <w:t xml:space="preserve"> </w:t>
      </w:r>
      <w:r>
        <w:rPr>
          <w:b/>
          <w:bCs/>
        </w:rPr>
        <w:t xml:space="preserve">$410,000</w:t>
      </w:r>
      <w:r>
        <w:t xml:space="preserve"> </w:t>
      </w:r>
      <w:r>
        <w:t xml:space="preserve">in fees (approximately 19.3% of total), with the Fielding Marsh client prevailing in</w:t>
      </w:r>
      <w:r>
        <w:t xml:space="preserve"> </w:t>
      </w:r>
      <w:r>
        <w:rPr>
          <w:b/>
          <w:bCs/>
        </w:rPr>
        <w:t xml:space="preserve">1 of 4</w:t>
      </w:r>
      <w:r>
        <w:t xml:space="preserve"> </w:t>
      </w:r>
      <w:r>
        <w:t xml:space="preserve">adjudicated matters (25%; one matter settled).</w:t>
      </w:r>
    </w:p>
    <w:p>
      <w:pPr>
        <w:pStyle w:val="FirstParagraph"/>
      </w:pPr>
      <w:r>
        <w:t xml:space="preserve">The Disclosure Statement’s seven listed matters correspond to only a subset of these. The Appointment Data identifies the following</w:t>
      </w:r>
      <w:r>
        <w:t xml:space="preserve"> </w:t>
      </w:r>
      <w:r>
        <w:rPr>
          <w:b/>
          <w:bCs/>
        </w:rPr>
        <w:t xml:space="preserve">seven completed</w:t>
      </w:r>
      <w:r>
        <w:t xml:space="preserve"> </w:t>
      </w:r>
      <w:r>
        <w:t xml:space="preserve">matters involving Barrow &amp; Thistlewood LLP or Fielding Marsh &amp; Collier LLP that were</w:t>
      </w:r>
      <w:r>
        <w:t xml:space="preserve"> </w:t>
      </w:r>
      <w:r>
        <w:rPr>
          <w:b/>
          <w:bCs/>
        </w:rPr>
        <w:t xml:space="preserve">not disclosed</w:t>
      </w:r>
      <w:r>
        <w:t xml:space="preserve"> </w:t>
      </w:r>
      <w:r>
        <w:t xml:space="preserve">(each marked</w:t>
      </w:r>
      <w:r>
        <w:t xml:space="preserve"> </w:t>
      </w:r>
      <w:r>
        <w:t xml:space="preserve">“</w:t>
      </w:r>
      <w:r>
        <w:t xml:space="preserve">Not disclosed by arbitrator</w:t>
      </w:r>
      <w:r>
        <w:t xml:space="preserve">”</w:t>
      </w:r>
      <w:r>
        <w:t xml:space="preserve"> </w:t>
      </w:r>
      <w:r>
        <w:t xml:space="preserve">in the case-list notes, except as indicated):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 No.</w:t>
            </w:r>
          </w:p>
        </w:tc>
        <w:tc>
          <w:tcPr/>
          <w:p>
            <w:pPr>
              <w:pStyle w:val="Compact"/>
              <w:jc w:val="left"/>
            </w:pPr>
            <w:r>
              <w:t xml:space="preserve">Caption (Year)</w:t>
            </w:r>
          </w:p>
        </w:tc>
        <w:tc>
          <w:tcPr/>
          <w:p>
            <w:pPr>
              <w:pStyle w:val="Compact"/>
              <w:jc w:val="left"/>
            </w:pPr>
            <w:r>
              <w:t xml:space="preserve">Counsel overlap</w:t>
            </w:r>
          </w:p>
        </w:tc>
        <w:tc>
          <w:tcPr/>
          <w:p>
            <w:pPr>
              <w:pStyle w:val="Compact"/>
              <w:jc w:val="left"/>
            </w:pPr>
            <w:r>
              <w:t xml:space="preserve">Est. fees</w:t>
            </w:r>
          </w:p>
        </w:tc>
        <w:tc>
          <w:tcPr/>
          <w:p>
            <w:pPr>
              <w:pStyle w:val="Compact"/>
              <w:jc w:val="left"/>
            </w:pPr>
            <w:r>
              <w:t xml:space="preserve">Note</w:t>
            </w:r>
          </w:p>
        </w:tc>
      </w:tr>
      <w:tr>
        <w:tc>
          <w:tcPr/>
          <w:p>
            <w:pPr>
              <w:pStyle w:val="Compact"/>
              <w:jc w:val="left"/>
            </w:pPr>
            <w:r>
              <w:t xml:space="preserve">01-22-0002015</w:t>
            </w:r>
          </w:p>
        </w:tc>
        <w:tc>
          <w:tcPr/>
          <w:p>
            <w:pPr>
              <w:pStyle w:val="Compact"/>
              <w:jc w:val="left"/>
            </w:pPr>
            <w:r>
              <w:rPr>
                <w:i/>
                <w:iCs/>
              </w:rPr>
              <w:t xml:space="preserve">Crestfield Energy v. Loran Industrial</w:t>
            </w:r>
            <w:r>
              <w:t xml:space="preserve"> </w:t>
            </w:r>
            <w:r>
              <w:t xml:space="preserve">(2022)</w:t>
            </w:r>
          </w:p>
        </w:tc>
        <w:tc>
          <w:tcPr/>
          <w:p>
            <w:pPr>
              <w:pStyle w:val="Compact"/>
              <w:jc w:val="left"/>
            </w:pPr>
            <w:r>
              <w:t xml:space="preserve">B&amp;T (claimant)</w:t>
            </w:r>
          </w:p>
        </w:tc>
        <w:tc>
          <w:tcPr/>
          <w:p>
            <w:pPr>
              <w:pStyle w:val="Compact"/>
              <w:jc w:val="left"/>
            </w:pPr>
            <w:r>
              <w:t xml:space="preserve">$110,000</w:t>
            </w:r>
          </w:p>
        </w:tc>
        <w:tc>
          <w:tcPr/>
          <w:p>
            <w:pPr>
              <w:pStyle w:val="Compact"/>
              <w:jc w:val="left"/>
            </w:pPr>
            <w:r>
              <w:t xml:space="preserve">Not disclosed</w:t>
            </w:r>
          </w:p>
        </w:tc>
      </w:tr>
      <w:tr>
        <w:tc>
          <w:tcPr/>
          <w:p>
            <w:pPr>
              <w:pStyle w:val="Compact"/>
              <w:jc w:val="left"/>
            </w:pPr>
            <w:r>
              <w:t xml:space="preserve">01-22-0002089</w:t>
            </w:r>
          </w:p>
        </w:tc>
        <w:tc>
          <w:tcPr/>
          <w:p>
            <w:pPr>
              <w:pStyle w:val="Compact"/>
              <w:jc w:val="left"/>
            </w:pPr>
            <w:r>
              <w:rPr>
                <w:i/>
                <w:iCs/>
              </w:rPr>
              <w:t xml:space="preserve">Ashford Medical Devices v. Greenway Therapeutics</w:t>
            </w:r>
            <w:r>
              <w:t xml:space="preserve"> </w:t>
            </w:r>
            <w:r>
              <w:t xml:space="preserve">(2022)</w:t>
            </w:r>
          </w:p>
        </w:tc>
        <w:tc>
          <w:tcPr/>
          <w:p>
            <w:pPr>
              <w:pStyle w:val="Compact"/>
              <w:jc w:val="left"/>
            </w:pPr>
            <w:r>
              <w:t xml:space="preserve">B&amp;T (respondent)</w:t>
            </w:r>
          </w:p>
        </w:tc>
        <w:tc>
          <w:tcPr/>
          <w:p>
            <w:pPr>
              <w:pStyle w:val="Compact"/>
              <w:jc w:val="left"/>
            </w:pPr>
            <w:r>
              <w:t xml:space="preserve">$92,000</w:t>
            </w:r>
          </w:p>
        </w:tc>
        <w:tc>
          <w:tcPr/>
          <w:p>
            <w:pPr>
              <w:pStyle w:val="Compact"/>
              <w:jc w:val="left"/>
            </w:pPr>
            <w:r>
              <w:t xml:space="preserve">Not disclosed</w:t>
            </w:r>
          </w:p>
        </w:tc>
      </w:tr>
      <w:tr>
        <w:tc>
          <w:tcPr/>
          <w:p>
            <w:pPr>
              <w:pStyle w:val="Compact"/>
              <w:jc w:val="left"/>
            </w:pPr>
            <w:r>
              <w:t xml:space="preserve">01-22-0002134</w:t>
            </w:r>
          </w:p>
        </w:tc>
        <w:tc>
          <w:tcPr/>
          <w:p>
            <w:pPr>
              <w:pStyle w:val="Compact"/>
              <w:jc w:val="left"/>
            </w:pPr>
            <w:r>
              <w:rPr>
                <w:i/>
                <w:iCs/>
              </w:rPr>
              <w:t xml:space="preserve">Westbrook Partners v. Arcadian Ventures</w:t>
            </w:r>
            <w:r>
              <w:t xml:space="preserve"> </w:t>
            </w:r>
            <w:r>
              <w:t xml:space="preserve">(2022)</w:t>
            </w:r>
          </w:p>
        </w:tc>
        <w:tc>
          <w:tcPr/>
          <w:p>
            <w:pPr>
              <w:pStyle w:val="Compact"/>
              <w:jc w:val="left"/>
            </w:pPr>
            <w:r>
              <w:t xml:space="preserve">B&amp;T (respondent)</w:t>
            </w:r>
            <w:r>
              <w:t xml:space="preserve"> </w:t>
            </w:r>
            <w:r>
              <w:rPr>
                <w:b/>
                <w:bCs/>
              </w:rPr>
              <w:t xml:space="preserve">and FM (claimant)</w:t>
            </w:r>
          </w:p>
        </w:tc>
        <w:tc>
          <w:tcPr/>
          <w:p>
            <w:pPr>
              <w:pStyle w:val="Compact"/>
              <w:jc w:val="left"/>
            </w:pPr>
            <w:r>
              <w:t xml:space="preserve">$130,000</w:t>
            </w:r>
          </w:p>
        </w:tc>
        <w:tc>
          <w:tcPr/>
          <w:p>
            <w:pPr>
              <w:pStyle w:val="Compact"/>
              <w:jc w:val="left"/>
            </w:pPr>
            <w:r>
              <w:t xml:space="preserve">Not disclosed; both firms involved</w:t>
            </w:r>
          </w:p>
        </w:tc>
      </w:tr>
      <w:tr>
        <w:tc>
          <w:tcPr/>
          <w:p>
            <w:pPr>
              <w:pStyle w:val="Compact"/>
              <w:jc w:val="left"/>
            </w:pPr>
            <w:r>
              <w:t xml:space="preserve">01-23-0002445</w:t>
            </w:r>
          </w:p>
        </w:tc>
        <w:tc>
          <w:tcPr/>
          <w:p>
            <w:pPr>
              <w:pStyle w:val="Compact"/>
              <w:jc w:val="left"/>
            </w:pPr>
            <w:r>
              <w:rPr>
                <w:i/>
                <w:iCs/>
              </w:rPr>
              <w:t xml:space="preserve">Trident Coatings v. Bayshore Chemical</w:t>
            </w:r>
            <w:r>
              <w:t xml:space="preserve"> </w:t>
            </w:r>
            <w:r>
              <w:t xml:space="preserve">(2023)</w:t>
            </w:r>
          </w:p>
        </w:tc>
        <w:tc>
          <w:tcPr/>
          <w:p>
            <w:pPr>
              <w:pStyle w:val="Compact"/>
              <w:jc w:val="left"/>
            </w:pPr>
            <w:r>
              <w:t xml:space="preserve">B&amp;T (claimant)</w:t>
            </w:r>
          </w:p>
        </w:tc>
        <w:tc>
          <w:tcPr/>
          <w:p>
            <w:pPr>
              <w:pStyle w:val="Compact"/>
              <w:jc w:val="left"/>
            </w:pPr>
            <w:r>
              <w:t xml:space="preserve">$105,000</w:t>
            </w:r>
          </w:p>
        </w:tc>
        <w:tc>
          <w:tcPr/>
          <w:p>
            <w:pPr>
              <w:pStyle w:val="Compact"/>
              <w:jc w:val="left"/>
            </w:pPr>
            <w:r>
              <w:t xml:space="preserve">Not disclosed (B&amp;T client did not prevail)</w:t>
            </w:r>
          </w:p>
        </w:tc>
      </w:tr>
      <w:tr>
        <w:tc>
          <w:tcPr/>
          <w:p>
            <w:pPr>
              <w:pStyle w:val="Compact"/>
              <w:jc w:val="left"/>
            </w:pPr>
            <w:r>
              <w:t xml:space="preserve">01-23-0002578</w:t>
            </w:r>
          </w:p>
        </w:tc>
        <w:tc>
          <w:tcPr/>
          <w:p>
            <w:pPr>
              <w:pStyle w:val="Compact"/>
              <w:jc w:val="left"/>
            </w:pPr>
            <w:r>
              <w:rPr>
                <w:i/>
                <w:iCs/>
              </w:rPr>
              <w:t xml:space="preserve">Redstone Logistics v. Fairfield Transport</w:t>
            </w:r>
            <w:r>
              <w:t xml:space="preserve"> </w:t>
            </w:r>
            <w:r>
              <w:t xml:space="preserve">(2023)</w:t>
            </w:r>
          </w:p>
        </w:tc>
        <w:tc>
          <w:tcPr/>
          <w:p>
            <w:pPr>
              <w:pStyle w:val="Compact"/>
              <w:jc w:val="left"/>
            </w:pPr>
            <w:r>
              <w:t xml:space="preserve">B&amp;T (respondent)</w:t>
            </w:r>
          </w:p>
        </w:tc>
        <w:tc>
          <w:tcPr/>
          <w:p>
            <w:pPr>
              <w:pStyle w:val="Compact"/>
              <w:jc w:val="left"/>
            </w:pPr>
            <w:r>
              <w:t xml:space="preserve">$118,000</w:t>
            </w:r>
          </w:p>
        </w:tc>
        <w:tc>
          <w:tcPr/>
          <w:p>
            <w:pPr>
              <w:pStyle w:val="Compact"/>
              <w:jc w:val="left"/>
            </w:pPr>
            <w:r>
              <w:t xml:space="preserve">Not disclosed</w:t>
            </w:r>
          </w:p>
        </w:tc>
      </w:tr>
      <w:tr>
        <w:tc>
          <w:tcPr/>
          <w:p>
            <w:pPr>
              <w:pStyle w:val="Compact"/>
              <w:jc w:val="left"/>
            </w:pPr>
            <w:r>
              <w:t xml:space="preserve">01-23-0002789</w:t>
            </w:r>
          </w:p>
        </w:tc>
        <w:tc>
          <w:tcPr/>
          <w:p>
            <w:pPr>
              <w:pStyle w:val="Compact"/>
              <w:jc w:val="left"/>
            </w:pPr>
            <w:r>
              <w:rPr>
                <w:i/>
                <w:iCs/>
              </w:rPr>
              <w:t xml:space="preserve">Warwick Technologies v. Cypress Digital</w:t>
            </w:r>
            <w:r>
              <w:t xml:space="preserve"> </w:t>
            </w:r>
            <w:r>
              <w:t xml:space="preserve">(2023)</w:t>
            </w:r>
          </w:p>
        </w:tc>
        <w:tc>
          <w:tcPr/>
          <w:p>
            <w:pPr>
              <w:pStyle w:val="Compact"/>
              <w:jc w:val="left"/>
            </w:pPr>
            <w:r>
              <w:t xml:space="preserve">B&amp;T (claimant)</w:t>
            </w:r>
          </w:p>
        </w:tc>
        <w:tc>
          <w:tcPr/>
          <w:p>
            <w:pPr>
              <w:pStyle w:val="Compact"/>
              <w:jc w:val="left"/>
            </w:pPr>
            <w:r>
              <w:t xml:space="preserve">$97,000</w:t>
            </w:r>
          </w:p>
        </w:tc>
        <w:tc>
          <w:tcPr/>
          <w:p>
            <w:pPr>
              <w:pStyle w:val="Compact"/>
              <w:jc w:val="left"/>
            </w:pPr>
            <w:r>
              <w:t xml:space="preserve">Not disclosed</w:t>
            </w:r>
          </w:p>
        </w:tc>
      </w:tr>
      <w:tr>
        <w:tc>
          <w:tcPr/>
          <w:p>
            <w:pPr>
              <w:pStyle w:val="Compact"/>
              <w:jc w:val="left"/>
            </w:pPr>
            <w:r>
              <w:t xml:space="preserve">01-23-0002643</w:t>
            </w:r>
          </w:p>
        </w:tc>
        <w:tc>
          <w:tcPr/>
          <w:p>
            <w:pPr>
              <w:pStyle w:val="Compact"/>
              <w:jc w:val="left"/>
            </w:pPr>
            <w:r>
              <w:rPr>
                <w:i/>
                <w:iCs/>
              </w:rPr>
              <w:t xml:space="preserve">Thornwall Systems v. Kessler Automation</w:t>
            </w:r>
            <w:r>
              <w:t xml:space="preserve"> </w:t>
            </w:r>
            <w:r>
              <w:t xml:space="preserve">(2023)</w:t>
            </w:r>
          </w:p>
        </w:tc>
        <w:tc>
          <w:tcPr/>
          <w:p>
            <w:pPr>
              <w:pStyle w:val="Compact"/>
              <w:jc w:val="left"/>
            </w:pPr>
            <w:r>
              <w:t xml:space="preserve">FM (respondent)</w:t>
            </w:r>
          </w:p>
        </w:tc>
        <w:tc>
          <w:tcPr/>
          <w:p>
            <w:pPr>
              <w:pStyle w:val="Compact"/>
              <w:jc w:val="left"/>
            </w:pPr>
            <w:r>
              <w:t xml:space="preserve">$82,000</w:t>
            </w:r>
          </w:p>
        </w:tc>
        <w:tc>
          <w:tcPr/>
          <w:p>
            <w:pPr>
              <w:pStyle w:val="Compact"/>
              <w:jc w:val="left"/>
            </w:pPr>
            <w:r>
              <w:t xml:space="preserve">Not in the disclosed list (FM client did not prevail)</w:t>
            </w:r>
          </w:p>
        </w:tc>
      </w:tr>
    </w:tbl>
    <w:p>
      <w:pPr>
        <w:pStyle w:val="BodyText"/>
      </w:pPr>
      <w:r>
        <w:t xml:space="preserve">Together with the undisclosed</w:t>
      </w:r>
      <w:r>
        <w:t xml:space="preserve"> </w:t>
      </w:r>
      <w:r>
        <w:rPr>
          <w:b/>
          <w:bCs/>
        </w:rPr>
        <w:t xml:space="preserve">pending</w:t>
      </w:r>
      <w:r>
        <w:t xml:space="preserve"> </w:t>
      </w:r>
      <w:r>
        <w:t xml:space="preserve">matter</w:t>
      </w:r>
      <w:r>
        <w:t xml:space="preserve"> </w:t>
      </w:r>
      <w:r>
        <w:rPr>
          <w:i/>
          <w:iCs/>
        </w:rPr>
        <w:t xml:space="preserve">Halcyon Biotech v. Stonewall Partners</w:t>
      </w:r>
      <w:r>
        <w:t xml:space="preserve"> </w:t>
      </w:r>
      <w:r>
        <w:t xml:space="preserve">(Issue 6), the Appointment Data reveals a substantially larger body of concurrent and prior engagements with the parties’ counsel than the Disclosure Statement reflects —</w:t>
      </w:r>
      <w:r>
        <w:t xml:space="preserve"> </w:t>
      </w:r>
      <w:r>
        <w:rPr>
          <w:b/>
          <w:bCs/>
        </w:rPr>
        <w:t xml:space="preserve">seven additional completed matters plus one additional pending matter (eight total) not disclosed</w:t>
      </w:r>
      <w:r>
        <w:t xml:space="preserve">. The</w:t>
      </w:r>
      <w:r>
        <w:t xml:space="preserve"> </w:t>
      </w:r>
      <w:r>
        <w:t xml:space="preserve">“</w:t>
      </w:r>
      <w:r>
        <w:t xml:space="preserve">complete list</w:t>
      </w:r>
      <w:r>
        <w:t xml:space="preserve">”</w:t>
      </w:r>
      <w:r>
        <w:t xml:space="preserve"> </w:t>
      </w:r>
      <w:r>
        <w:t xml:space="preserve">certification in Section III is therefore inaccurate.</w:t>
      </w:r>
    </w:p>
    <w:p>
      <w:pPr>
        <w:pStyle w:val="BodyText"/>
      </w:pPr>
      <w:r>
        <w:rPr>
          <w:i/>
          <w:iCs/>
        </w:rPr>
        <w:t xml:space="preserve">(Note on the source data: The Entity Memo’s narrative reports Fielding Marsh &amp; Collier LLP as appearing in 4 completed matters (~$280,000; ~13.2% of income), whereas the Appointment Data shows 5 matters (~$410,000; ~19.3%). The variance arises from the dual-firm matter</w:t>
      </w:r>
      <w:r>
        <w:rPr>
          <w:i/>
          <w:iCs/>
        </w:rPr>
        <w:t xml:space="preserve"> </w:t>
      </w:r>
      <w:r>
        <w:t xml:space="preserve">Westbrook Partners v. Arcadian Ventures* (01-22-0002134), in which both Barrow &amp; Thistlewood LLP and Fielding Marsh &amp; Collier LLP appeared; the Appointment Data counts each firm’s appearances independently, while the Entity Memo’s narrative appears to count that matter under Barrow &amp; Thistlewood LLP only. Both sources agree on the Barrow &amp; Thistlewood LLP figures (9 matters; ~$1,020,000; ~48% of income; 77.8% prevailing rate) and on Fielding Marsh’s 25% prevailing rate. The variance does not affect the conclusions below.)*</w:t>
      </w:r>
    </w:p>
    <w:p>
      <w:pPr>
        <w:pStyle w:val="Compact"/>
        <w:numPr>
          <w:ilvl w:val="0"/>
          <w:numId w:val="1012"/>
        </w:numPr>
      </w:pPr>
      <w:r>
        <w:rPr>
          <w:b/>
          <w:bCs/>
        </w:rPr>
        <w:t xml:space="preserve">Governing standard:</w:t>
      </w:r>
      <w:r>
        <w:t xml:space="preserve"> </w:t>
      </w:r>
      <w:r>
        <w:t xml:space="preserve">Rule R-17(a)(iii) (prior or pending cases with a party’s counsel); Rule R-17(d) (consequences of incomplete disclosure).</w:t>
      </w:r>
    </w:p>
    <w:p>
      <w:pPr>
        <w:pStyle w:val="Compact"/>
        <w:numPr>
          <w:ilvl w:val="0"/>
          <w:numId w:val="1012"/>
        </w:numPr>
      </w:pPr>
      <w:r>
        <w:rPr>
          <w:b/>
          <w:bCs/>
        </w:rPr>
        <w:t xml:space="preserve">Direction of apparent partiality:</w:t>
      </w:r>
      <w:r>
        <w:t xml:space="preserve"> </w:t>
      </w:r>
      <w:r>
        <w:t xml:space="preserve">Toward the Respondent (the understatement disproportionately concerns Barrow &amp; Thistlewood LLP, the Respondent’s counsel).</w:t>
      </w:r>
    </w:p>
    <w:p>
      <w:pPr>
        <w:pStyle w:val="Compact"/>
        <w:numPr>
          <w:ilvl w:val="0"/>
          <w:numId w:val="1012"/>
        </w:numPr>
      </w:pPr>
      <w:r>
        <w:rPr>
          <w:b/>
          <w:bCs/>
        </w:rPr>
        <w:t xml:space="preserve">Assessment:</w:t>
      </w:r>
      <w:r>
        <w:t xml:space="preserve"> </w:t>
      </w:r>
      <w:r>
        <w:rPr>
          <w:b/>
          <w:bCs/>
        </w:rPr>
        <w:t xml:space="preserve">Strong.</w:t>
      </w:r>
      <w:r>
        <w:t xml:space="preserve"> </w:t>
      </w:r>
      <w:r>
        <w:t xml:space="preserve">The certification of a</w:t>
      </w:r>
      <w:r>
        <w:t xml:space="preserve"> </w:t>
      </w:r>
      <w:r>
        <w:t xml:space="preserve">“</w:t>
      </w:r>
      <w:r>
        <w:t xml:space="preserve">complete list</w:t>
      </w:r>
      <w:r>
        <w:t xml:space="preserve">”</w:t>
      </w:r>
      <w:r>
        <w:t xml:space="preserve"> </w:t>
      </w:r>
      <w:r>
        <w:t xml:space="preserve">is directly contradicted by the Appointment Data. The omission of multiple matters — including one in which</w:t>
      </w:r>
      <w:r>
        <w:t xml:space="preserve"> </w:t>
      </w:r>
      <w:r>
        <w:rPr>
          <w:i/>
          <w:iCs/>
        </w:rPr>
        <w:t xml:space="preserve">both</w:t>
      </w:r>
      <w:r>
        <w:t xml:space="preserve"> </w:t>
      </w:r>
      <w:r>
        <w:t xml:space="preserve">parties’ counsel appeared — is a material disclosure deficiency.</w:t>
      </w:r>
    </w:p>
    <w:bookmarkEnd w:id="40"/>
    <w:bookmarkStart w:id="41" w:name="X58eb7364d5210315978782f841c9f4481ab8268"/>
    <w:p>
      <w:pPr>
        <w:pStyle w:val="Heading4"/>
      </w:pPr>
      <w:r>
        <w:t xml:space="preserve">Issue 9 — Economic-dependency and outcome-asymmetry concern arising from the repeat-appointment pattern</w:t>
      </w:r>
    </w:p>
    <w:p>
      <w:pPr>
        <w:pStyle w:val="FirstParagraph"/>
      </w:pPr>
      <w:r>
        <w:t xml:space="preserve">Standing alone, repeat appointments are common in the arbitration community and are not, without more, disqualifying; the AAA Rules contemplate that parties and counsel will appear before experienced arbitrators more than once. Here, however, the repeat-appointment pattern has features that, taken together with the non-disclosure of its full extent, give rise to justifiable doubt:</w:t>
      </w:r>
    </w:p>
    <w:p>
      <w:pPr>
        <w:numPr>
          <w:ilvl w:val="0"/>
          <w:numId w:val="1013"/>
        </w:numPr>
      </w:pPr>
      <w:r>
        <w:rPr>
          <w:b/>
          <w:bCs/>
        </w:rPr>
        <w:t xml:space="preserve">Economic concentration.</w:t>
      </w:r>
      <w:r>
        <w:t xml:space="preserve"> </w:t>
      </w:r>
      <w:r>
        <w:t xml:space="preserve">An estimated</w:t>
      </w:r>
      <w:r>
        <w:t xml:space="preserve"> </w:t>
      </w:r>
      <w:r>
        <w:rPr>
          <w:b/>
          <w:bCs/>
        </w:rPr>
        <w:t xml:space="preserve">~48% of the arbitrator’s arbitration income</w:t>
      </w:r>
      <w:r>
        <w:t xml:space="preserve"> </w:t>
      </w:r>
      <w:r>
        <w:t xml:space="preserve">over the past 36 months is attributable to matters in which Barrow &amp; Thistlewood LLP (the Respondent’s counsel) appeared, and Barrow &amp; Thistlewood LLP is involved in</w:t>
      </w:r>
      <w:r>
        <w:t xml:space="preserve"> </w:t>
      </w:r>
      <w:r>
        <w:rPr>
          <w:b/>
          <w:bCs/>
        </w:rPr>
        <w:t xml:space="preserve">3 of the arbitrator’s 5 currently pending matters</w:t>
      </w:r>
      <w:r>
        <w:t xml:space="preserve">, accounting for an estimated</w:t>
      </w:r>
      <w:r>
        <w:t xml:space="preserve"> </w:t>
      </w:r>
      <w:r>
        <w:rPr>
          <w:b/>
          <w:bCs/>
        </w:rPr>
        <w:t xml:space="preserve">$560,000 (67.1%)</w:t>
      </w:r>
      <w:r>
        <w:t xml:space="preserve"> </w:t>
      </w:r>
      <w:r>
        <w:t xml:space="preserve">of pending fees (Appointment Data, Pending Matters and Fee Summary sheets). This includes the pending</w:t>
      </w:r>
      <w:r>
        <w:t xml:space="preserve"> </w:t>
      </w:r>
      <w:r>
        <w:rPr>
          <w:i/>
          <w:iCs/>
        </w:rPr>
        <w:t xml:space="preserve">Orion Fabrication</w:t>
      </w:r>
      <w:r>
        <w:t xml:space="preserve"> </w:t>
      </w:r>
      <w:r>
        <w:t xml:space="preserve">matter (disclosed), in which the arbitrator has completed the evidentiary hearing and is deliberating an award for a Barrow &amp; Thistlewood LLP client while simultaneously being asked to preside over this matter for the same firm.</w:t>
      </w:r>
    </w:p>
    <w:p>
      <w:pPr>
        <w:numPr>
          <w:ilvl w:val="0"/>
          <w:numId w:val="1013"/>
        </w:numPr>
      </w:pPr>
      <w:r>
        <w:rPr>
          <w:b/>
          <w:bCs/>
        </w:rPr>
        <w:t xml:space="preserve">Outcome asymmetry.</w:t>
      </w:r>
      <w:r>
        <w:t xml:space="preserve"> </w:t>
      </w:r>
      <w:r>
        <w:t xml:space="preserve">The Barrow &amp; Thistlewood LLP client prevailed in</w:t>
      </w:r>
      <w:r>
        <w:t xml:space="preserve"> </w:t>
      </w:r>
      <w:r>
        <w:rPr>
          <w:b/>
          <w:bCs/>
        </w:rPr>
        <w:t xml:space="preserve">7 of 9</w:t>
      </w:r>
      <w:r>
        <w:t xml:space="preserve"> </w:t>
      </w:r>
      <w:r>
        <w:t xml:space="preserve">completed matters (77.8%), while the Fielding Marsh &amp; Collier LLP client prevailed in only</w:t>
      </w:r>
      <w:r>
        <w:t xml:space="preserve"> </w:t>
      </w:r>
      <w:r>
        <w:rPr>
          <w:b/>
          <w:bCs/>
        </w:rPr>
        <w:t xml:space="preserve">1 of 4</w:t>
      </w:r>
      <w:r>
        <w:t xml:space="preserve"> </w:t>
      </w:r>
      <w:r>
        <w:t xml:space="preserve">adjudicated matters (25%). While outcome data can reflect the merits of individual cases rather than bias, a persistent and substantial disparity — combined with the arbitrator’s significant economic dependence on one firm and the non-disclosure of the full extent of that relationship — is a circumstance a reasonable party would consider relevant under Rule R-16.</w:t>
      </w:r>
    </w:p>
    <w:p>
      <w:pPr>
        <w:numPr>
          <w:ilvl w:val="0"/>
          <w:numId w:val="1013"/>
        </w:numPr>
      </w:pPr>
      <w:r>
        <w:rPr>
          <w:b/>
          <w:bCs/>
        </w:rPr>
        <w:t xml:space="preserve">Selection asymmetry.</w:t>
      </w:r>
      <w:r>
        <w:t xml:space="preserve"> </w:t>
      </w:r>
      <w:r>
        <w:t xml:space="preserve">Whitmore (the Respondent) ranked the arbitrator</w:t>
      </w:r>
      <w:r>
        <w:t xml:space="preserve"> </w:t>
      </w:r>
      <w:r>
        <w:rPr>
          <w:b/>
          <w:bCs/>
        </w:rPr>
        <w:t xml:space="preserve">first</w:t>
      </w:r>
      <w:r>
        <w:t xml:space="preserve">, while Cascade (the Claimant) ranked her</w:t>
      </w:r>
      <w:r>
        <w:t xml:space="preserve"> </w:t>
      </w:r>
      <w:r>
        <w:rPr>
          <w:b/>
          <w:bCs/>
        </w:rPr>
        <w:t xml:space="preserve">third</w:t>
      </w:r>
      <w:r>
        <w:t xml:space="preserve"> </w:t>
      </w:r>
      <w:r>
        <w:t xml:space="preserve">— a selection outcome that, in light of the undisclosed pro-Respondent connections, takes on added significance.</w:t>
      </w:r>
    </w:p>
    <w:p>
      <w:pPr>
        <w:numPr>
          <w:ilvl w:val="0"/>
          <w:numId w:val="1013"/>
        </w:numPr>
      </w:pPr>
      <w:r>
        <w:rPr>
          <w:b/>
          <w:bCs/>
        </w:rPr>
        <w:t xml:space="preserve">Governing standard:</w:t>
      </w:r>
      <w:r>
        <w:t xml:space="preserve"> </w:t>
      </w:r>
      <w:r>
        <w:t xml:space="preserve">Rule R-16 (justifiable doubt; all circumstances a reasonable person would consider relevant); Rule R-17(a)(ii)–(iii); FAA § 10(a)(2) (evident partiality).</w:t>
      </w:r>
    </w:p>
    <w:p>
      <w:pPr>
        <w:numPr>
          <w:ilvl w:val="0"/>
          <w:numId w:val="1013"/>
        </w:numPr>
      </w:pPr>
      <w:r>
        <w:rPr>
          <w:b/>
          <w:bCs/>
        </w:rPr>
        <w:t xml:space="preserve">Direction of apparent partiality:</w:t>
      </w:r>
      <w:r>
        <w:t xml:space="preserve"> </w:t>
      </w:r>
      <w:r>
        <w:t xml:space="preserve">Toward the Respondent.</w:t>
      </w:r>
    </w:p>
    <w:p>
      <w:pPr>
        <w:numPr>
          <w:ilvl w:val="0"/>
          <w:numId w:val="1013"/>
        </w:numPr>
      </w:pPr>
      <w:r>
        <w:rPr>
          <w:b/>
          <w:bCs/>
        </w:rPr>
        <w:t xml:space="preserve">Assessment:</w:t>
      </w:r>
      <w:r>
        <w:t xml:space="preserve"> </w:t>
      </w:r>
      <w:r>
        <w:rPr>
          <w:b/>
          <w:bCs/>
        </w:rPr>
        <w:t xml:space="preserve">Moderate-to-strong when combined with Issues 6 and 8.</w:t>
      </w:r>
      <w:r>
        <w:t xml:space="preserve"> </w:t>
      </w:r>
      <w:r>
        <w:t xml:space="preserve">The economic-dependency and outcome-asymmetry data are not, in isolation, a standalone ground for disqualification, but they materially strengthen the challenge by supplying a concrete basis for the</w:t>
      </w:r>
      <w:r>
        <w:t xml:space="preserve"> </w:t>
      </w:r>
      <w:r>
        <w:t xml:space="preserve">“</w:t>
      </w:r>
      <w:r>
        <w:t xml:space="preserve">justifiable doubt</w:t>
      </w:r>
      <w:r>
        <w:t xml:space="preserve">”</w:t>
      </w:r>
      <w:r>
        <w:t xml:space="preserve"> </w:t>
      </w:r>
      <w:r>
        <w:t xml:space="preserve">that the non-disclosures independently raise. The arbitrator’s failure to disclose the full extent of the repeat-appointment relationship (Issue 8) prevents the parties from evaluating this concern on a complete record.</w:t>
      </w:r>
    </w:p>
    <w:bookmarkEnd w:id="41"/>
    <w:bookmarkEnd w:id="42"/>
    <w:bookmarkStart w:id="46" w:name="X48267701473e5cb6649fb367b496be620b1d624"/>
    <w:p>
      <w:pPr>
        <w:pStyle w:val="Heading3"/>
      </w:pPr>
      <w:r>
        <w:t xml:space="preserve">C. Additional Affirmative Misstatements, Selection-Process, and Diligence/Certification Concerns</w:t>
      </w:r>
    </w:p>
    <w:bookmarkStart w:id="43" w:name="X7a08da67306b8fa885dfc4007725f2a0740a022"/>
    <w:p>
      <w:pPr>
        <w:pStyle w:val="Heading4"/>
      </w:pPr>
      <w:r>
        <w:t xml:space="preserve">Issue 10 — Undisclosed role of the arbitrator’s advisory-board colleague (Ellen Wu) in arbitrator-selection strategy for this matter</w:t>
      </w:r>
    </w:p>
    <w:p>
      <w:pPr>
        <w:pStyle w:val="FirstParagraph"/>
      </w:pPr>
      <w:r>
        <w:t xml:space="preserve">The Disclosure Statement (Section VI) discloses that</w:t>
      </w:r>
      <w:r>
        <w:t xml:space="preserve"> </w:t>
      </w:r>
      <w:r>
        <w:rPr>
          <w:b/>
          <w:bCs/>
        </w:rPr>
        <w:t xml:space="preserve">Ellen Wu</w:t>
      </w:r>
      <w:r>
        <w:t xml:space="preserve">, Senior Partner at Barrow &amp; Thistlewood LLP, serves alongside the arbitrator on the advisory board of the Minnesota ADR Ethics Institute. It does</w:t>
      </w:r>
      <w:r>
        <w:t xml:space="preserve"> </w:t>
      </w:r>
      <w:r>
        <w:rPr>
          <w:b/>
          <w:bCs/>
        </w:rPr>
        <w:t xml:space="preserve">not</w:t>
      </w:r>
      <w:r>
        <w:t xml:space="preserve"> </w:t>
      </w:r>
      <w:r>
        <w:t xml:space="preserve">disclose that Ms. Wu, as head of the firm’s national arbitration practice, is</w:t>
      </w:r>
      <w:r>
        <w:t xml:space="preserve"> </w:t>
      </w:r>
      <w:r>
        <w:rPr>
          <w:b/>
          <w:bCs/>
        </w:rPr>
        <w:t xml:space="preserve">involved in arbitrator-selection strategy for matters handled by the practice group, including this arbitration</w:t>
      </w:r>
      <w:r>
        <w:t xml:space="preserve"> </w:t>
      </w:r>
      <w:r>
        <w:t xml:space="preserve">(Entity Memo § 2.1). In other words, the arbitrator’s advisory-board colleague at the Institute participated in the process by which the Respondent’s counsel ranked and selected the arbitrator for this very matter — a process in which Whitmore (the Respondent) ranked the arbitrator first (Entity Memo § 3.1).</w:t>
      </w:r>
    </w:p>
    <w:p>
      <w:pPr>
        <w:pStyle w:val="BodyText"/>
      </w:pPr>
      <w:r>
        <w:t xml:space="preserve">This is distinct from Issue 1 (which concerns the Respondent’s principal’s service on the same organization’s Board of Trustees). Issue 10 concerns a</w:t>
      </w:r>
      <w:r>
        <w:t xml:space="preserve"> </w:t>
      </w:r>
      <w:r>
        <w:rPr>
          <w:i/>
          <w:iCs/>
        </w:rPr>
        <w:t xml:space="preserve">disclosed</w:t>
      </w:r>
      <w:r>
        <w:t xml:space="preserve"> </w:t>
      </w:r>
      <w:r>
        <w:t xml:space="preserve">person (Ms. Wu) and an</w:t>
      </w:r>
      <w:r>
        <w:t xml:space="preserve"> </w:t>
      </w:r>
      <w:r>
        <w:rPr>
          <w:i/>
          <w:iCs/>
        </w:rPr>
        <w:t xml:space="preserve">undisclosed fact</w:t>
      </w:r>
      <w:r>
        <w:t xml:space="preserve"> </w:t>
      </w:r>
      <w:r>
        <w:t xml:space="preserve">about her role: that she was not merely a fellow board member but an active participant in the selection of the arbitrator for this case. The combination — an advisory-board colleague who helped select the arbitrator, on a board whose governing body includes the Respondent’s principal — gives the shared organizational service a significance beyond ordinary professional acquaintance.</w:t>
      </w:r>
    </w:p>
    <w:p>
      <w:pPr>
        <w:pStyle w:val="Compact"/>
        <w:numPr>
          <w:ilvl w:val="0"/>
          <w:numId w:val="1014"/>
        </w:numPr>
      </w:pPr>
      <w:r>
        <w:rPr>
          <w:b/>
          <w:bCs/>
        </w:rPr>
        <w:t xml:space="preserve">Governing standard:</w:t>
      </w:r>
      <w:r>
        <w:t xml:space="preserve"> </w:t>
      </w:r>
      <w:r>
        <w:t xml:space="preserve">Rule R-17(a)(ii) (professional relationship with counsel, including the selection context); Rule R-16 (justifiable doubt); Rule R-17(a)(iv) (catch-all).</w:t>
      </w:r>
    </w:p>
    <w:p>
      <w:pPr>
        <w:pStyle w:val="Compact"/>
        <w:numPr>
          <w:ilvl w:val="0"/>
          <w:numId w:val="1014"/>
        </w:numPr>
      </w:pPr>
      <w:r>
        <w:rPr>
          <w:b/>
          <w:bCs/>
        </w:rPr>
        <w:t xml:space="preserve">Direction of apparent partiality:</w:t>
      </w:r>
      <w:r>
        <w:t xml:space="preserve"> </w:t>
      </w:r>
      <w:r>
        <w:t xml:space="preserve">Toward the Respondent (the arbitrator’s board colleague helped select her on the Respondent’s side).</w:t>
      </w:r>
    </w:p>
    <w:p>
      <w:pPr>
        <w:pStyle w:val="Compact"/>
        <w:numPr>
          <w:ilvl w:val="0"/>
          <w:numId w:val="1014"/>
        </w:numPr>
      </w:pPr>
      <w:r>
        <w:rPr>
          <w:b/>
          <w:bCs/>
        </w:rPr>
        <w:t xml:space="preserve">Assessment:</w:t>
      </w:r>
      <w:r>
        <w:t xml:space="preserve"> </w:t>
      </w:r>
      <w:r>
        <w:rPr>
          <w:b/>
          <w:bCs/>
        </w:rPr>
        <w:t xml:space="preserve">Moderate-to-strong.</w:t>
      </w:r>
      <w:r>
        <w:t xml:space="preserve"> </w:t>
      </w:r>
      <w:r>
        <w:t xml:space="preserve">Standing alone, a firm partner’s involvement in arbitrator selection is routine. What is not routine — and what was not disclosed — is that the partner who participated in the selection sits on the same small nonprofit board as the arbitrator (and that the Respondent’s principal sits on that board’s governing body). The non-disclosure of Ms. Wu’s selection role deprives the parties of information relevant to evaluating the appearance created by the disclosed board service.</w:t>
      </w:r>
    </w:p>
    <w:bookmarkEnd w:id="43"/>
    <w:bookmarkStart w:id="44" w:name="Xc940f917a323b378399af5f38a6e421444284af"/>
    <w:p>
      <w:pPr>
        <w:pStyle w:val="Heading4"/>
      </w:pPr>
      <w:r>
        <w:t xml:space="preserve">Issue 11 — Affirmative misstatement in Section IV (financial) regarding indirect financial interests</w:t>
      </w:r>
    </w:p>
    <w:p>
      <w:pPr>
        <w:pStyle w:val="FirstParagraph"/>
      </w:pPr>
      <w:r>
        <w:t xml:space="preserve">The Disclosure Statement (Section IV) contains an affirmative representation about indirect interests that is the financial-section analog of the Section V misstatement in Issue 3. After stating that she holds</w:t>
      </w:r>
      <w:r>
        <w:t xml:space="preserve"> </w:t>
      </w:r>
      <w:r>
        <w:t xml:space="preserve">“</w:t>
      </w:r>
      <w:r>
        <w:t xml:space="preserve">no direct equity positions in any party,</w:t>
      </w:r>
      <w:r>
        <w:t xml:space="preserve">”</w:t>
      </w:r>
      <w:r>
        <w:t xml:space="preserve"> </w:t>
      </w:r>
      <w:r>
        <w:t xml:space="preserve">the arbitrator represents:</w:t>
      </w:r>
      <w:r>
        <w:t xml:space="preserve"> </w:t>
      </w:r>
      <w:r>
        <w:t xml:space="preserve">“</w:t>
      </w:r>
      <w:r>
        <w:t xml:space="preserve">To the extent any pooled investment vehicle in which I hold an interest may have underlying investments in entities related to the parties,</w:t>
      </w:r>
      <w:r>
        <w:t xml:space="preserve"> </w:t>
      </w:r>
      <w:r>
        <w:rPr>
          <w:b/>
          <w:bCs/>
        </w:rPr>
        <w:t xml:space="preserve">I am not aware of any such investment that would constitute a material financial interest</w:t>
      </w:r>
      <w:r>
        <w:t xml:space="preserve"> </w:t>
      </w:r>
      <w:r>
        <w:t xml:space="preserve">in the outcome of this proceeding.</w:t>
      </w:r>
      <w:r>
        <w:t xml:space="preserve"> </w:t>
      </w:r>
      <w:r>
        <w:rPr>
          <w:b/>
          <w:bCs/>
        </w:rPr>
        <w:t xml:space="preserve">I am not aware of any other financial interest, direct or indirect, that would give rise to justifiable doubt</w:t>
      </w:r>
      <w:r>
        <w:t xml:space="preserve"> </w:t>
      </w:r>
      <w:r>
        <w:t xml:space="preserve">as to my impartiality in this matter.</w:t>
      </w:r>
      <w:r>
        <w:t xml:space="preserve">”</w:t>
      </w:r>
    </w:p>
    <w:p>
      <w:pPr>
        <w:pStyle w:val="BodyText"/>
      </w:pPr>
      <w:r>
        <w:t xml:space="preserve">This affirmative representation is, at minimum, questionable in light of the Entity Memo’s finding (§§ III.4, 4.3) that the arbitrator’s own investment manager, Northbridge Wealth Advisors, manages the Northbridge Select Alternatives Fund, which holds a</w:t>
      </w:r>
      <w:r>
        <w:t xml:space="preserve"> </w:t>
      </w:r>
      <w:r>
        <w:rPr>
          <w:b/>
          <w:bCs/>
        </w:rPr>
        <w:t xml:space="preserve">2.3% limited partner interest in Whitmore Fund II LP</w:t>
      </w:r>
      <w:r>
        <w:t xml:space="preserve"> </w:t>
      </w:r>
      <w:r>
        <w:t xml:space="preserve">— the fund that owns Volaris, the direct beneficiary of the disputed license. The arbitrator concedes elsewhere in the same section that she has</w:t>
      </w:r>
      <w:r>
        <w:t xml:space="preserve"> </w:t>
      </w:r>
      <w:r>
        <w:rPr>
          <w:b/>
          <w:bCs/>
        </w:rPr>
        <w:t xml:space="preserve">not</w:t>
      </w:r>
      <w:r>
        <w:t xml:space="preserve"> </w:t>
      </w:r>
      <w:r>
        <w:t xml:space="preserve">undertaken a</w:t>
      </w:r>
      <w:r>
        <w:t xml:space="preserve"> </w:t>
      </w:r>
      <w:r>
        <w:t xml:space="preserve">“</w:t>
      </w:r>
      <w:r>
        <w:t xml:space="preserve">position-by-position review</w:t>
      </w:r>
      <w:r>
        <w:t xml:space="preserve">”</w:t>
      </w:r>
      <w:r>
        <w:t xml:space="preserve"> </w:t>
      </w:r>
      <w:r>
        <w:t xml:space="preserve">of her pooled vehicles. An affirmative statement that she is</w:t>
      </w:r>
      <w:r>
        <w:t xml:space="preserve"> </w:t>
      </w:r>
      <w:r>
        <w:t xml:space="preserve">“</w:t>
      </w:r>
      <w:r>
        <w:t xml:space="preserve">not aware of any … indirect … financial interest</w:t>
      </w:r>
      <w:r>
        <w:t xml:space="preserve">”</w:t>
      </w:r>
      <w:r>
        <w:t xml:space="preserve"> </w:t>
      </w:r>
      <w:r>
        <w:t xml:space="preserve">is difficult to reconcile with an admitted failure to investigate the very category of holdings (pooled vehicles managed by her adviser) through which an indirect interest in the Respondent’s fund could exist. The statement is either an overstatement of the diligence performed or a narrow construction of</w:t>
      </w:r>
      <w:r>
        <w:t xml:space="preserve"> </w:t>
      </w:r>
      <w:r>
        <w:t xml:space="preserve">“</w:t>
      </w:r>
      <w:r>
        <w:t xml:space="preserve">material</w:t>
      </w:r>
      <w:r>
        <w:t xml:space="preserve">”</w:t>
      </w:r>
      <w:r>
        <w:t xml:space="preserve"> </w:t>
      </w:r>
      <w:r>
        <w:t xml:space="preserve">that does not satisfy the broad</w:t>
      </w:r>
      <w:r>
        <w:t xml:space="preserve"> </w:t>
      </w:r>
      <w:r>
        <w:t xml:space="preserve">“</w:t>
      </w:r>
      <w:r>
        <w:t xml:space="preserve">appearance</w:t>
      </w:r>
      <w:r>
        <w:t xml:space="preserve">”</w:t>
      </w:r>
      <w:r>
        <w:t xml:space="preserve"> </w:t>
      </w:r>
      <w:r>
        <w:t xml:space="preserve">standard of Rules R-16 and R-17(a)(i).</w:t>
      </w:r>
    </w:p>
    <w:p>
      <w:pPr>
        <w:pStyle w:val="Compact"/>
        <w:numPr>
          <w:ilvl w:val="0"/>
          <w:numId w:val="1015"/>
        </w:numPr>
      </w:pPr>
      <w:r>
        <w:rPr>
          <w:b/>
          <w:bCs/>
        </w:rPr>
        <w:t xml:space="preserve">Governing standard:</w:t>
      </w:r>
      <w:r>
        <w:t xml:space="preserve"> </w:t>
      </w:r>
      <w:r>
        <w:t xml:space="preserve">Rule R-17(a)(i) (direct or indirect financial interest); Rule R-17(d) (consequences of incomplete disclosure); FAA § 10(a)(2) (evident partiality).</w:t>
      </w:r>
    </w:p>
    <w:p>
      <w:pPr>
        <w:pStyle w:val="Compact"/>
        <w:numPr>
          <w:ilvl w:val="0"/>
          <w:numId w:val="1015"/>
        </w:numPr>
      </w:pPr>
      <w:r>
        <w:rPr>
          <w:b/>
          <w:bCs/>
        </w:rPr>
        <w:t xml:space="preserve">Direction of apparent partiality:</w:t>
      </w:r>
      <w:r>
        <w:t xml:space="preserve"> </w:t>
      </w:r>
      <w:r>
        <w:t xml:space="preserve">Toward the Respondent; and, independently, it impairs the credibility of the financial disclosure.</w:t>
      </w:r>
    </w:p>
    <w:p>
      <w:pPr>
        <w:pStyle w:val="Compact"/>
        <w:numPr>
          <w:ilvl w:val="0"/>
          <w:numId w:val="1015"/>
        </w:numPr>
      </w:pPr>
      <w:r>
        <w:rPr>
          <w:b/>
          <w:bCs/>
        </w:rPr>
        <w:t xml:space="preserve">Assessment:</w:t>
      </w:r>
      <w:r>
        <w:t xml:space="preserve"> </w:t>
      </w:r>
      <w:r>
        <w:rPr>
          <w:b/>
          <w:bCs/>
        </w:rPr>
        <w:t xml:space="preserve">Strong.</w:t>
      </w:r>
      <w:r>
        <w:t xml:space="preserve"> </w:t>
      </w:r>
      <w:r>
        <w:t xml:space="preserve">Like Issue 3, this is an affirmative misstatement (or, at best, an unjustified assurance) rather than a mere omission, and it concerns the category — indirect financial interests — that Rule R-17(a)(i) expressly reaches. It is distinct from Issue 5 (the underlying non-disclosure of the potential indirect interest) and aggravates it.</w:t>
      </w:r>
    </w:p>
    <w:bookmarkEnd w:id="44"/>
    <w:bookmarkStart w:id="45" w:name="Xd94dcec0dc88999c9e0895ef796b6132bedb496"/>
    <w:p>
      <w:pPr>
        <w:pStyle w:val="Heading4"/>
      </w:pPr>
      <w:r>
        <w:t xml:space="preserve">Issue 12 — Diligence and global-certification deficiency: the Demand named the very witnesses whose connections were omitted</w:t>
      </w:r>
    </w:p>
    <w:p>
      <w:pPr>
        <w:pStyle w:val="FirstParagraph"/>
      </w:pPr>
      <w:r>
        <w:t xml:space="preserve">The Disclosure Statement opens (Section I) by representing that the arbitrator</w:t>
      </w:r>
      <w:r>
        <w:t xml:space="preserve"> </w:t>
      </w:r>
      <w:r>
        <w:t xml:space="preserve">“</w:t>
      </w:r>
      <w:r>
        <w:t xml:space="preserve">reviewed the identities of the parties, their counsel, and the individuals identified in the arbitration demand and answering statement,</w:t>
      </w:r>
      <w:r>
        <w:t xml:space="preserve">”</w:t>
      </w:r>
      <w:r>
        <w:t xml:space="preserve"> </w:t>
      </w:r>
      <w:r>
        <w:t xml:space="preserve">and that she</w:t>
      </w:r>
      <w:r>
        <w:t xml:space="preserve"> </w:t>
      </w:r>
      <w:r>
        <w:t xml:space="preserve">“</w:t>
      </w:r>
      <w:r>
        <w:t xml:space="preserve">considered [her] relationships, if any, with</w:t>
      </w:r>
      <w:r>
        <w:t xml:space="preserve">”</w:t>
      </w:r>
      <w:r>
        <w:t xml:space="preserve"> </w:t>
      </w:r>
      <w:r>
        <w:t xml:space="preserve">the parties and counsel. It closes (Section X) with a certification that</w:t>
      </w:r>
      <w:r>
        <w:t xml:space="preserve"> </w:t>
      </w:r>
      <w:r>
        <w:t xml:space="preserve">“</w:t>
      </w:r>
      <w:r>
        <w:t xml:space="preserve">based on a diligent inquiry, the foregoing represents</w:t>
      </w:r>
      <w:r>
        <w:t xml:space="preserve"> </w:t>
      </w:r>
      <w:r>
        <w:rPr>
          <w:b/>
          <w:bCs/>
        </w:rPr>
        <w:t xml:space="preserve">all circumstances known to me</w:t>
      </w:r>
      <w:r>
        <w:t xml:space="preserve"> </w:t>
      </w:r>
      <w:r>
        <w:t xml:space="preserve">that might give rise to justifiable doubt as to my impartiality or independence in this matter,</w:t>
      </w:r>
      <w:r>
        <w:t xml:space="preserve">”</w:t>
      </w:r>
      <w:r>
        <w:t xml:space="preserve"> </w:t>
      </w:r>
      <w:r>
        <w:t xml:space="preserve">and that she has</w:t>
      </w:r>
      <w:r>
        <w:t xml:space="preserve"> </w:t>
      </w:r>
      <w:r>
        <w:t xml:space="preserve">“</w:t>
      </w:r>
      <w:r>
        <w:t xml:space="preserve">not knowingly withheld any information.</w:t>
      </w:r>
      <w:r>
        <w:t xml:space="preserve">”</w:t>
      </w:r>
    </w:p>
    <w:p>
      <w:pPr>
        <w:pStyle w:val="BodyText"/>
      </w:pPr>
      <w:r>
        <w:t xml:space="preserve">The Demand — which the arbitrator claims to have reviewed — expressly identifies two of the individuals whose connections were omitted:</w:t>
      </w:r>
    </w:p>
    <w:p>
      <w:pPr>
        <w:pStyle w:val="Compact"/>
        <w:numPr>
          <w:ilvl w:val="0"/>
          <w:numId w:val="1016"/>
        </w:numPr>
      </w:pPr>
      <w:r>
        <w:rPr>
          <w:b/>
          <w:bCs/>
        </w:rPr>
        <w:t xml:space="preserve">Garrett T. Whitmore</w:t>
      </w:r>
      <w:r>
        <w:t xml:space="preserve"> </w:t>
      </w:r>
      <w:r>
        <w:t xml:space="preserve">is named in the Demand (§§ III.B, V.A, VIII.A.2) as the Respondent’s Founder/Managing Partner who personally directed the challenged transaction, and as an</w:t>
      </w:r>
      <w:r>
        <w:t xml:space="preserve"> </w:t>
      </w:r>
      <w:r>
        <w:rPr>
          <w:b/>
          <w:bCs/>
        </w:rPr>
        <w:t xml:space="preserve">anticipated adverse fact witness</w:t>
      </w:r>
      <w:r>
        <w:t xml:space="preserve">. His service on the Board of Trustees of the Minnesota ADR Ethics Institute (Issue 1) was not disclosed.</w:t>
      </w:r>
    </w:p>
    <w:p>
      <w:pPr>
        <w:pStyle w:val="Compact"/>
        <w:numPr>
          <w:ilvl w:val="0"/>
          <w:numId w:val="1016"/>
        </w:numPr>
      </w:pPr>
      <w:r>
        <w:rPr>
          <w:b/>
          <w:bCs/>
        </w:rPr>
        <w:t xml:space="preserve">Dr. Rita Peshkov</w:t>
      </w:r>
      <w:r>
        <w:t xml:space="preserve"> </w:t>
      </w:r>
      <w:r>
        <w:t xml:space="preserve">is named in the Demand (§§ V.B, VIII.B.2) as Cascade’s Vice President of R&amp;D, the named inventor on the majority of the ThermalCore patents, and the Claimants’</w:t>
      </w:r>
      <w:r>
        <w:t xml:space="preserve"> </w:t>
      </w:r>
      <w:r>
        <w:rPr>
          <w:b/>
          <w:bCs/>
        </w:rPr>
        <w:t xml:space="preserve">anticipated key expert witness</w:t>
      </w:r>
      <w:r>
        <w:t xml:space="preserve">. Her co-authorship with the arbitrator’s spouse (Issues 2–3) was not disclosed.</w:t>
      </w:r>
    </w:p>
    <w:p>
      <w:pPr>
        <w:pStyle w:val="FirstParagraph"/>
      </w:pPr>
      <w:r>
        <w:t xml:space="preserve">Thus the arbitrator’s claimed review of the Demand did not surface two connections involving individuals the Demand expressly flagged as witnesses — one a party principal, the other a lead expert witness — even though both connections were discoverable through the same kinds of public records the arbitrator’s own disclosure process should have canvassed (IRS Form 990 filings; academic publication databases). This undermines the Section X</w:t>
      </w:r>
      <w:r>
        <w:t xml:space="preserve"> </w:t>
      </w:r>
      <w:r>
        <w:t xml:space="preserve">“</w:t>
      </w:r>
      <w:r>
        <w:t xml:space="preserve">diligent inquiry</w:t>
      </w:r>
      <w:r>
        <w:t xml:space="preserve">”</w:t>
      </w:r>
      <w:r>
        <w:t xml:space="preserve"> </w:t>
      </w:r>
      <w:r>
        <w:t xml:space="preserve">/</w:t>
      </w:r>
      <w:r>
        <w:t xml:space="preserve"> </w:t>
      </w:r>
      <w:r>
        <w:t xml:space="preserve">“</w:t>
      </w:r>
      <w:r>
        <w:t xml:space="preserve">all circumstances known to me</w:t>
      </w:r>
      <w:r>
        <w:t xml:space="preserve">”</w:t>
      </w:r>
      <w:r>
        <w:t xml:space="preserve"> </w:t>
      </w:r>
      <w:r>
        <w:t xml:space="preserve">certification independently of the individual omissions, and it bears on whether the omissions were inadvertent or reflect an insufficient inquiry. The Section X global certification is broader than the Section III</w:t>
      </w:r>
      <w:r>
        <w:t xml:space="preserve"> </w:t>
      </w:r>
      <w:r>
        <w:t xml:space="preserve">“</w:t>
      </w:r>
      <w:r>
        <w:t xml:space="preserve">complete list</w:t>
      </w:r>
      <w:r>
        <w:t xml:space="preserve">”</w:t>
      </w:r>
      <w:r>
        <w:t xml:space="preserve"> </w:t>
      </w:r>
      <w:r>
        <w:t xml:space="preserve">certification addressed in Issue 8: it covers</w:t>
      </w:r>
      <w:r>
        <w:t xml:space="preserve"> </w:t>
      </w:r>
      <w:r>
        <w:rPr>
          <w:i/>
          <w:iCs/>
        </w:rPr>
        <w:t xml:space="preserve">all</w:t>
      </w:r>
      <w:r>
        <w:t xml:space="preserve"> </w:t>
      </w:r>
      <w:r>
        <w:t xml:space="preserve">circumstances, not only the case list.</w:t>
      </w:r>
    </w:p>
    <w:p>
      <w:pPr>
        <w:pStyle w:val="Compact"/>
        <w:numPr>
          <w:ilvl w:val="0"/>
          <w:numId w:val="1017"/>
        </w:numPr>
      </w:pPr>
      <w:r>
        <w:rPr>
          <w:b/>
          <w:bCs/>
        </w:rPr>
        <w:t xml:space="preserve">Governing standard:</w:t>
      </w:r>
      <w:r>
        <w:t xml:space="preserve"> </w:t>
      </w:r>
      <w:r>
        <w:t xml:space="preserve">Rule R-17(a) (the disclosure obligation as a whole); Rule R-17(d) (failure to make complete disclosures); FAA § 10(a)(2) (evident partiality); Code of Ethics Canon II (diligence in disclosure).</w:t>
      </w:r>
    </w:p>
    <w:p>
      <w:pPr>
        <w:pStyle w:val="Compact"/>
        <w:numPr>
          <w:ilvl w:val="0"/>
          <w:numId w:val="1017"/>
        </w:numPr>
      </w:pPr>
      <w:r>
        <w:rPr>
          <w:b/>
          <w:bCs/>
        </w:rPr>
        <w:t xml:space="preserve">Direction of apparent partiality:</w:t>
      </w:r>
      <w:r>
        <w:t xml:space="preserve"> </w:t>
      </w:r>
      <w:r>
        <w:t xml:space="preserve">Both directions (it concerns omissions running toward both the Respondent (Whitmore) and the Claimant (Peshkov)); and, independently, it bears on the diligence and credibility of the disclosure as a whole.</w:t>
      </w:r>
    </w:p>
    <w:p>
      <w:pPr>
        <w:pStyle w:val="Compact"/>
        <w:numPr>
          <w:ilvl w:val="0"/>
          <w:numId w:val="1017"/>
        </w:numPr>
      </w:pPr>
      <w:r>
        <w:rPr>
          <w:b/>
          <w:bCs/>
        </w:rPr>
        <w:t xml:space="preserve">Assessment:</w:t>
      </w:r>
      <w:r>
        <w:t xml:space="preserve"> </w:t>
      </w:r>
      <w:r>
        <w:rPr>
          <w:b/>
          <w:bCs/>
        </w:rPr>
        <w:t xml:space="preserve">Strong (cumulative).</w:t>
      </w:r>
      <w:r>
        <w:t xml:space="preserve"> </w:t>
      </w:r>
      <w:r>
        <w:t xml:space="preserve">This is not a freestanding relationship but a meta-issue: the arbitrator’s own description of her process, measured against the Demand she says she reviewed, is inconsistent with the completeness of her output. It strengthens every issue above by rebutting any inference that the omissions were unavoidable, and it provides an independent basis to question the Section X certification.</w:t>
      </w:r>
    </w:p>
    <w:bookmarkEnd w:id="45"/>
    <w:bookmarkEnd w:id="46"/>
    <w:bookmarkStart w:id="47" w:name="X000106005a0d96b30a72b7b83b4d4a333d5150d"/>
    <w:p>
      <w:pPr>
        <w:pStyle w:val="Heading3"/>
      </w:pPr>
      <w:r>
        <w:t xml:space="preserve">D. Disclosed Connections and Cleared Entities (Context)</w:t>
      </w:r>
    </w:p>
    <w:p>
      <w:pPr>
        <w:pStyle w:val="FirstParagraph"/>
      </w:pPr>
      <w:r>
        <w:t xml:space="preserve">For completeness, the following were disclosed and are not, standing alone, deficient — although several are rendered incomplete by the issues above. The record was also reviewed for connections to certain other participants, and none were identified; those are noted so that the assessment covers every party, counsel member, and witness named in the Demand.</w:t>
      </w:r>
    </w:p>
    <w:p>
      <w:pPr>
        <w:pStyle w:val="Compact"/>
        <w:numPr>
          <w:ilvl w:val="0"/>
          <w:numId w:val="1018"/>
        </w:numPr>
      </w:pPr>
      <w:r>
        <w:rPr>
          <w:b/>
          <w:bCs/>
        </w:rPr>
        <w:t xml:space="preserve">The seven listed prior/pending arbitrations</w:t>
      </w:r>
      <w:r>
        <w:t xml:space="preserve"> </w:t>
      </w:r>
      <w:r>
        <w:t xml:space="preserve">(Section III) — disclosed, but understated (Issue 8) and missing the pending</w:t>
      </w:r>
      <w:r>
        <w:t xml:space="preserve"> </w:t>
      </w:r>
      <w:r>
        <w:rPr>
          <w:i/>
          <w:iCs/>
        </w:rPr>
        <w:t xml:space="preserve">Halcyon Biotech</w:t>
      </w:r>
      <w:r>
        <w:t xml:space="preserve"> </w:t>
      </w:r>
      <w:r>
        <w:t xml:space="preserve">matter (Issue 6).</w:t>
      </w:r>
    </w:p>
    <w:p>
      <w:pPr>
        <w:pStyle w:val="Compact"/>
        <w:numPr>
          <w:ilvl w:val="0"/>
          <w:numId w:val="1018"/>
        </w:numPr>
      </w:pPr>
      <w:r>
        <w:rPr>
          <w:b/>
          <w:bCs/>
        </w:rPr>
        <w:t xml:space="preserve">Ellen Wu’s advisory-board service</w:t>
      </w:r>
      <w:r>
        <w:t xml:space="preserve"> </w:t>
      </w:r>
      <w:r>
        <w:t xml:space="preserve">at the Minnesota ADR Ethics Institute (Section VI) — disclosed, but incomplete because it omits Garrett T. Whitmore’s Board of Trustees service at the same organization (Issue 1) and Ms. Wu’s role in arbitrator-selection strategy for this matter (Issue 10).</w:t>
      </w:r>
    </w:p>
    <w:p>
      <w:pPr>
        <w:pStyle w:val="Compact"/>
        <w:numPr>
          <w:ilvl w:val="0"/>
          <w:numId w:val="1018"/>
        </w:numPr>
      </w:pPr>
      <w:r>
        <w:rPr>
          <w:b/>
          <w:bCs/>
        </w:rPr>
        <w:t xml:space="preserve">The Lakeview affiliation</w:t>
      </w:r>
      <w:r>
        <w:t xml:space="preserve"> </w:t>
      </w:r>
      <w:r>
        <w:t xml:space="preserve">and the fact of referrals from both firms (Section VII) — disclosed, but the financial/structural terms are omitted (Issue 7), and the Lakeview-hosted CLE co-paneling with Mr. Hargrave is omitted (Issue 4).</w:t>
      </w:r>
    </w:p>
    <w:p>
      <w:pPr>
        <w:pStyle w:val="Compact"/>
        <w:numPr>
          <w:ilvl w:val="0"/>
          <w:numId w:val="1018"/>
        </w:numPr>
      </w:pPr>
      <w:r>
        <w:rPr>
          <w:b/>
          <w:bCs/>
        </w:rPr>
        <w:t xml:space="preserve">The arbitrator’s subject-matter experience</w:t>
      </w:r>
      <w:r>
        <w:t xml:space="preserve"> </w:t>
      </w:r>
      <w:r>
        <w:t xml:space="preserve">in technology licensing, IP valuation, and fiduciary-duty claims in the private-equity context (Section VIII) — disclosed and not itself problematic; however, the arbitrator’s expressed views on these very topics at the undisclosed October 14, 2023 CLE are a separate disclosure concern under R-17(a)(iv) (Issue 4).</w:t>
      </w:r>
    </w:p>
    <w:p>
      <w:pPr>
        <w:pStyle w:val="Compact"/>
        <w:numPr>
          <w:ilvl w:val="0"/>
          <w:numId w:val="1018"/>
        </w:numPr>
      </w:pPr>
      <w:r>
        <w:rPr>
          <w:b/>
          <w:bCs/>
        </w:rPr>
        <w:t xml:space="preserve">The fee arrangement</w:t>
      </w:r>
      <w:r>
        <w:t xml:space="preserve"> </w:t>
      </w:r>
      <w:r>
        <w:t xml:space="preserve">($850/hour; ~$340,000 estimated; ~$170,000 per party) (Section IX) — disclosed and not itself a ground for challenge; the broader income-concentration concern is addressed at Issue 9.</w:t>
      </w:r>
    </w:p>
    <w:p>
      <w:pPr>
        <w:pStyle w:val="Compact"/>
        <w:numPr>
          <w:ilvl w:val="0"/>
          <w:numId w:val="1018"/>
        </w:numPr>
      </w:pPr>
      <w:r>
        <w:rPr>
          <w:b/>
          <w:bCs/>
        </w:rPr>
        <w:t xml:space="preserve">The arbitrator’s biographical and panel details</w:t>
      </w:r>
      <w:r>
        <w:t xml:space="preserve"> </w:t>
      </w:r>
      <w:r>
        <w:t xml:space="preserve">(J.D. Wisconsin 1989; LL.M. IP Franklin Pierce 1994; Hennepin County District Court 2004–2020; ~85 arbitrations since 2020; AAA Large Complex Case and Technology Case Management panels) (Section II) — disclosed and consistent with the Entity Memo (§ 3.1); no discrepancy identified.</w:t>
      </w:r>
    </w:p>
    <w:p>
      <w:pPr>
        <w:pStyle w:val="Compact"/>
        <w:numPr>
          <w:ilvl w:val="0"/>
          <w:numId w:val="1018"/>
        </w:numPr>
      </w:pPr>
      <w:r>
        <w:rPr>
          <w:b/>
          <w:bCs/>
        </w:rPr>
        <w:t xml:space="preserve">The arbitrator’s two adult children</w:t>
      </w:r>
      <w:r>
        <w:t xml:space="preserve"> </w:t>
      </w:r>
      <w:r>
        <w:t xml:space="preserve">(Section V) — disclosed as having no relationship with any party, counsel, or witness; the Entity Memo identifies no contrary information.</w:t>
      </w:r>
    </w:p>
    <w:p>
      <w:pPr>
        <w:pStyle w:val="Compact"/>
        <w:numPr>
          <w:ilvl w:val="0"/>
          <w:numId w:val="1018"/>
        </w:numPr>
      </w:pPr>
      <w:r>
        <w:rPr>
          <w:b/>
          <w:bCs/>
        </w:rPr>
        <w:t xml:space="preserve">Ridgeline Advisory Group</w:t>
      </w:r>
      <w:r>
        <w:t xml:space="preserve"> </w:t>
      </w:r>
      <w:r>
        <w:t xml:space="preserve">(the Claimants’ valuation expert) — reviewed; the Entity Memo (§ 4.4) states that</w:t>
      </w:r>
      <w:r>
        <w:t xml:space="preserve"> </w:t>
      </w:r>
      <w:r>
        <w:t xml:space="preserve">“</w:t>
      </w:r>
      <w:r>
        <w:t xml:space="preserve">no connections have been identified between Ridgeline Advisory Group and the arbitrator, either party’s counsel, or any other entity profiled in this memorandum.</w:t>
      </w:r>
      <w:r>
        <w:t xml:space="preserve">”</w:t>
      </w:r>
      <w:r>
        <w:t xml:space="preserve"> </w:t>
      </w:r>
      <w:r>
        <w:t xml:space="preserve">No disclosure issue.</w:t>
      </w:r>
    </w:p>
    <w:p>
      <w:pPr>
        <w:pStyle w:val="Compact"/>
        <w:numPr>
          <w:ilvl w:val="0"/>
          <w:numId w:val="1018"/>
        </w:numPr>
      </w:pPr>
      <w:r>
        <w:rPr>
          <w:b/>
          <w:bCs/>
        </w:rPr>
        <w:t xml:space="preserve">Janet Okafor</w:t>
      </w:r>
      <w:r>
        <w:t xml:space="preserve"> </w:t>
      </w:r>
      <w:r>
        <w:t xml:space="preserve">(Claimant representative / fact witness) and</w:t>
      </w:r>
      <w:r>
        <w:t xml:space="preserve"> </w:t>
      </w:r>
      <w:r>
        <w:rPr>
          <w:b/>
          <w:bCs/>
        </w:rPr>
        <w:t xml:space="preserve">Thomas Kinnear</w:t>
      </w:r>
      <w:r>
        <w:t xml:space="preserve"> </w:t>
      </w:r>
      <w:r>
        <w:t xml:space="preserve">(Volaris CEO / anticipated non-party witness) — reviewed; the Entity Memo identifies no connection between the arbitrator and either individual. No disclosure issue.</w:t>
      </w:r>
    </w:p>
    <w:p>
      <w:pPr>
        <w:pStyle w:val="Compact"/>
        <w:numPr>
          <w:ilvl w:val="0"/>
          <w:numId w:val="1018"/>
        </w:numPr>
      </w:pPr>
      <w:r>
        <w:rPr>
          <w:b/>
          <w:bCs/>
        </w:rPr>
        <w:t xml:space="preserve">The unnamed damages/financial expert</w:t>
      </w:r>
      <w:r>
        <w:t xml:space="preserve"> </w:t>
      </w:r>
      <w:r>
        <w:t xml:space="preserve">(Demand § VIII.B.3) — not yet designated by name; no connection can be assessed from the present record. This should be revisited upon the expert’s designation, consistent with the arbitrator’s continuing duty under Rule R-17(b).</w:t>
      </w:r>
    </w:p>
    <w:bookmarkEnd w:id="47"/>
    <w:bookmarkEnd w:id="48"/>
    <w:bookmarkStart w:id="53" w:name="X8e90467c409119d351a743ae56d6dc5e17b7d52"/>
    <w:p>
      <w:pPr>
        <w:pStyle w:val="Heading2"/>
      </w:pPr>
      <w:r>
        <w:t xml:space="preserve">V. Procedural Considerations — Challenge Deadline, Process, Waiver, and Continuing Duty</w:t>
      </w:r>
    </w:p>
    <w:bookmarkStart w:id="49" w:name="a.-the-challenge-deadline"/>
    <w:p>
      <w:pPr>
        <w:pStyle w:val="Heading3"/>
      </w:pPr>
      <w:r>
        <w:t xml:space="preserve">A. The Challenge Deadline</w:t>
      </w:r>
    </w:p>
    <w:p>
      <w:pPr>
        <w:pStyle w:val="FirstParagraph"/>
      </w:pPr>
      <w:r>
        <w:t xml:space="preserve">The arbitrator states in Section X of the Disclosure Statement that, pursuant to Rule R-18, the parties have until</w:t>
      </w:r>
      <w:r>
        <w:t xml:space="preserve"> </w:t>
      </w:r>
      <w:r>
        <w:rPr>
          <w:b/>
          <w:bCs/>
        </w:rPr>
        <w:t xml:space="preserve">June 24, 2024</w:t>
      </w:r>
      <w:r>
        <w:t xml:space="preserve"> </w:t>
      </w:r>
      <w:r>
        <w:t xml:space="preserve">— seven calendar days from the date of the disclosure — to raise an objection. Rule R-18(a) measures the seven-day period from the later of (i) communication of the appointment (June 10, 2024) or (ii) the date the challenging party knew or should have known of the circumstances giving rise to the challenge. Because the disclosure was communicated on June 17, 2024, June 24, 2024 is the operative deadline for any challenge based on facts disclosed</w:t>
      </w:r>
      <w:r>
        <w:t xml:space="preserve"> </w:t>
      </w:r>
      <w:r>
        <w:rPr>
          <w:i/>
          <w:iCs/>
        </w:rPr>
        <w:t xml:space="preserve">in</w:t>
      </w:r>
      <w:r>
        <w:t xml:space="preserve"> </w:t>
      </w:r>
      <w:r>
        <w:t xml:space="preserve">the Disclosure Statement.</w:t>
      </w:r>
    </w:p>
    <w:bookmarkEnd w:id="49"/>
    <w:bookmarkStart w:id="50" w:name="b.-the-challenge-process-rules-r-18bd"/>
    <w:p>
      <w:pPr>
        <w:pStyle w:val="Heading3"/>
      </w:pPr>
      <w:r>
        <w:t xml:space="preserve">B. The Challenge Process (Rules R-18(b)–(d))</w:t>
      </w:r>
    </w:p>
    <w:p>
      <w:pPr>
        <w:pStyle w:val="FirstParagraph"/>
      </w:pPr>
      <w:r>
        <w:t xml:space="preserve">Once a challenge is filed, the process is as follows. Under Rule R-18(b), the AAA communicates the challenge to the other party, who may respond in writing within seven (7) calendar days; the challenged arbitrator is also notified and may submit a written response within the same period (the AAA may extend for good cause). Under Rule R-18(c), if the other party agrees to the challenge or the arbitrator voluntarily withdraws, a replacement arbitrator is appointed under Rule R-19; neither withdrawal nor agreement implies acceptance of the challenge’s validity. Under Rule R-18(d), if the other party does not agree and the arbitrator does not withdraw, the AAA decides the challenge, considering the disclosed circumstances, the disclosures required but not made, the grounds stated, any responses, and any other relevant information, and may conduct such inquiry as it deems appropriate. Notably, Rule R-18(d) directs the AAA to consider</w:t>
      </w:r>
      <w:r>
        <w:t xml:space="preserve"> </w:t>
      </w:r>
      <w:r>
        <w:t xml:space="preserve">“</w:t>
      </w:r>
      <w:r>
        <w:t xml:space="preserve">the disclosures required but not made</w:t>
      </w:r>
      <w:r>
        <w:t xml:space="preserve">”</w:t>
      </w:r>
      <w:r>
        <w:t xml:space="preserve"> </w:t>
      </w:r>
      <w:r>
        <w:t xml:space="preserve">— which is precisely the category at issue here — and Rule R-17(d) permits the AAA to bring any disclosure deficiency to the arbitrator’s attention and request supplemental disclosure before acting on the challenge. A challenge framed around the</w:t>
      </w:r>
      <w:r>
        <w:t xml:space="preserve"> </w:t>
      </w:r>
      <w:r>
        <w:rPr>
          <w:i/>
          <w:iCs/>
        </w:rPr>
        <w:t xml:space="preserve">omissions</w:t>
      </w:r>
      <w:r>
        <w:t xml:space="preserve"> </w:t>
      </w:r>
      <w:r>
        <w:t xml:space="preserve">(Issues 1–6, 8, 10–12) therefore fits squarely within the factors the AAA must weigh.</w:t>
      </w:r>
    </w:p>
    <w:bookmarkEnd w:id="50"/>
    <w:bookmarkStart w:id="51" w:name="Xd9a3c1f79d8288cf8c5ff549a8c2f06e4fbff3f"/>
    <w:p>
      <w:pPr>
        <w:pStyle w:val="Heading3"/>
      </w:pPr>
      <w:r>
        <w:t xml:space="preserve">C. The Waiver Exception for Newly Discovered Grounds</w:t>
      </w:r>
    </w:p>
    <w:p>
      <w:pPr>
        <w:pStyle w:val="FirstParagraph"/>
      </w:pPr>
      <w:r>
        <w:t xml:space="preserve">Several of the grounds identified above — particularly Issues 1, 2, 3, 4, 5, 6, 10, and 11 — concern facts that were</w:t>
      </w:r>
      <w:r>
        <w:t xml:space="preserve"> </w:t>
      </w:r>
      <w:r>
        <w:rPr>
          <w:b/>
          <w:bCs/>
        </w:rPr>
        <w:t xml:space="preserve">not disclosed</w:t>
      </w:r>
      <w:r>
        <w:t xml:space="preserve"> </w:t>
      </w:r>
      <w:r>
        <w:t xml:space="preserve">and that a party could not have learned from the Disclosure Statement itself. They were surfaced only through independent public-records research (the Entity Memo, dated June 19, 2024, and the Appointment Data). Rule R-18(f) provides that a party is</w:t>
      </w:r>
      <w:r>
        <w:t xml:space="preserve"> </w:t>
      </w:r>
      <w:r>
        <w:rPr>
          <w:b/>
          <w:bCs/>
        </w:rPr>
        <w:t xml:space="preserve">not</w:t>
      </w:r>
      <w:r>
        <w:t xml:space="preserve"> </w:t>
      </w:r>
      <w:r>
        <w:t xml:space="preserve">deemed to have waived its right to challenge</w:t>
      </w:r>
      <w:r>
        <w:t xml:space="preserve"> </w:t>
      </w:r>
      <w:r>
        <w:t xml:space="preserve">“</w:t>
      </w:r>
      <w:r>
        <w:t xml:space="preserve">based on grounds that were not and could not reasonably have been known at the time of the deadline.</w:t>
      </w:r>
      <w:r>
        <w:t xml:space="preserve">”</w:t>
      </w:r>
      <w:r>
        <w:t xml:space="preserve"> </w:t>
      </w:r>
      <w:r>
        <w:t xml:space="preserve">Accordingly, a challenge based on the undisclosed connections would be timely if made within seven calendar days of the date the challenging party knew or should have known of them. For a party in possession of the Entity Memo and Appointment Data, that period would run from approximately June 19–20, 2024. Rule R-18(e) further preserves the right to seek vacatur under FAA § 10(a)(2) or applicable state law, including on grounds of evident partiality not previously known and subject to waiver.</w:t>
      </w:r>
    </w:p>
    <w:bookmarkEnd w:id="51"/>
    <w:bookmarkStart w:id="52" w:name="X84e716ceeebd7b11dc8a7ced7b6826cfd78011d"/>
    <w:p>
      <w:pPr>
        <w:pStyle w:val="Heading3"/>
      </w:pPr>
      <w:r>
        <w:t xml:space="preserve">D. The Arbitrator’s Continuing Duty to Disclose</w:t>
      </w:r>
    </w:p>
    <w:p>
      <w:pPr>
        <w:pStyle w:val="FirstParagraph"/>
      </w:pPr>
      <w:r>
        <w:t xml:space="preserve">Rule R-17(b) imposes a</w:t>
      </w:r>
      <w:r>
        <w:t xml:space="preserve"> </w:t>
      </w:r>
      <w:r>
        <w:rPr>
          <w:b/>
          <w:bCs/>
        </w:rPr>
        <w:t xml:space="preserve">continuing</w:t>
      </w:r>
      <w:r>
        <w:t xml:space="preserve"> </w:t>
      </w:r>
      <w:r>
        <w:t xml:space="preserve">obligation to disclose new information</w:t>
      </w:r>
      <w:r>
        <w:t xml:space="preserve"> </w:t>
      </w:r>
      <w:r>
        <w:t xml:space="preserve">“</w:t>
      </w:r>
      <w:r>
        <w:t xml:space="preserve">as soon as practicable,</w:t>
      </w:r>
      <w:r>
        <w:t xml:space="preserve">”</w:t>
      </w:r>
      <w:r>
        <w:t xml:space="preserve"> </w:t>
      </w:r>
      <w:r>
        <w:t xml:space="preserve">without awaiting inquiry, and Rule R-17(c) requires the AAA to transmit any supplemental disclosures to all parties within two (2) business days of receipt. The arbitrator acknowledges this duty in Sections I and X of the Disclosure Statement. Even if the initial disclosure was deficient, the arbitrator is now on notice (through the Entity Memo and Appointment Data, and through any party inquiry) of facts warranting disclosure and should promptly supplement. A failure to supplement after the facts are brought to her attention would itself strengthen any subsequent challenge or vacatur motion.</w:t>
      </w:r>
    </w:p>
    <w:bookmarkEnd w:id="52"/>
    <w:bookmarkEnd w:id="53"/>
    <w:bookmarkStart w:id="54" w:name="vi.-summary-of-grounds"/>
    <w:p>
      <w:pPr>
        <w:pStyle w:val="Heading2"/>
      </w:pPr>
      <w:r>
        <w:t xml:space="preserve">VI. Summary of Grounds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Disclosed?</w:t>
            </w:r>
          </w:p>
        </w:tc>
        <w:tc>
          <w:tcPr/>
          <w:p>
            <w:pPr>
              <w:pStyle w:val="Compact"/>
              <w:jc w:val="left"/>
            </w:pPr>
            <w:r>
              <w:t xml:space="preserve">Governing standard</w:t>
            </w:r>
          </w:p>
        </w:tc>
        <w:tc>
          <w:tcPr/>
          <w:p>
            <w:pPr>
              <w:pStyle w:val="Compact"/>
              <w:jc w:val="left"/>
            </w:pPr>
            <w:r>
              <w:t xml:space="preserve">Apparent partiality toward</w:t>
            </w:r>
          </w:p>
        </w:tc>
        <w:tc>
          <w:tcPr/>
          <w:p>
            <w:pPr>
              <w:pStyle w:val="Compact"/>
              <w:jc w:val="left"/>
            </w:pPr>
            <w:r>
              <w:t xml:space="preserve">Strength</w:t>
            </w:r>
          </w:p>
        </w:tc>
      </w:tr>
      <w:tr>
        <w:tc>
          <w:tcPr/>
          <w:p>
            <w:pPr>
              <w:pStyle w:val="Compact"/>
              <w:jc w:val="left"/>
            </w:pPr>
            <w:r>
              <w:t xml:space="preserve">1</w:t>
            </w:r>
          </w:p>
        </w:tc>
        <w:tc>
          <w:tcPr/>
          <w:p>
            <w:pPr>
              <w:pStyle w:val="Compact"/>
              <w:jc w:val="left"/>
            </w:pPr>
            <w:r>
              <w:t xml:space="preserve">Garrett T. Whitmore on Board of Trustees of Minn. ADR Ethics Institute (same org as arbitrator’s advisory board)</w:t>
            </w:r>
          </w:p>
        </w:tc>
        <w:tc>
          <w:tcPr/>
          <w:p>
            <w:pPr>
              <w:pStyle w:val="Compact"/>
              <w:jc w:val="left"/>
            </w:pPr>
            <w:r>
              <w:t xml:space="preserve">No</w:t>
            </w:r>
          </w:p>
        </w:tc>
        <w:tc>
          <w:tcPr/>
          <w:p>
            <w:pPr>
              <w:pStyle w:val="Compact"/>
              <w:jc w:val="left"/>
            </w:pPr>
            <w:r>
              <w:t xml:space="preserve">R-17(a)(ii); R-16</w:t>
            </w:r>
          </w:p>
        </w:tc>
        <w:tc>
          <w:tcPr/>
          <w:p>
            <w:pPr>
              <w:pStyle w:val="Compact"/>
              <w:jc w:val="left"/>
            </w:pPr>
            <w:r>
              <w:t xml:space="preserve">Respondent</w:t>
            </w:r>
          </w:p>
        </w:tc>
        <w:tc>
          <w:tcPr/>
          <w:p>
            <w:pPr>
              <w:pStyle w:val="Compact"/>
              <w:jc w:val="left"/>
            </w:pPr>
            <w:r>
              <w:t xml:space="preserve">Strong</w:t>
            </w:r>
          </w:p>
        </w:tc>
      </w:tr>
      <w:tr>
        <w:tc>
          <w:tcPr/>
          <w:p>
            <w:pPr>
              <w:pStyle w:val="Compact"/>
              <w:jc w:val="left"/>
            </w:pPr>
            <w:r>
              <w:t xml:space="preserve">2</w:t>
            </w:r>
          </w:p>
        </w:tc>
        <w:tc>
          <w:tcPr/>
          <w:p>
            <w:pPr>
              <w:pStyle w:val="Compact"/>
              <w:jc w:val="left"/>
            </w:pPr>
            <w:r>
              <w:t xml:space="preserve">Spouse (Dr. Alan Fairhaven) co-authored paper with Dr. Rita Peshkov (Claimant’s key expert witness); topic directly relevant</w:t>
            </w:r>
          </w:p>
        </w:tc>
        <w:tc>
          <w:tcPr/>
          <w:p>
            <w:pPr>
              <w:pStyle w:val="Compact"/>
              <w:jc w:val="left"/>
            </w:pPr>
            <w:r>
              <w:t xml:space="preserve">No</w:t>
            </w:r>
          </w:p>
        </w:tc>
        <w:tc>
          <w:tcPr/>
          <w:p>
            <w:pPr>
              <w:pStyle w:val="Compact"/>
              <w:jc w:val="left"/>
            </w:pPr>
            <w:r>
              <w:t xml:space="preserve">R-17(a)(ii); R-16</w:t>
            </w:r>
          </w:p>
        </w:tc>
        <w:tc>
          <w:tcPr/>
          <w:p>
            <w:pPr>
              <w:pStyle w:val="Compact"/>
              <w:jc w:val="left"/>
            </w:pPr>
            <w:r>
              <w:t xml:space="preserve">Claimant</w:t>
            </w:r>
          </w:p>
        </w:tc>
        <w:tc>
          <w:tcPr/>
          <w:p>
            <w:pPr>
              <w:pStyle w:val="Compact"/>
              <w:jc w:val="left"/>
            </w:pPr>
            <w:r>
              <w:t xml:space="preserve">Strong</w:t>
            </w:r>
          </w:p>
        </w:tc>
      </w:tr>
      <w:tr>
        <w:tc>
          <w:tcPr/>
          <w:p>
            <w:pPr>
              <w:pStyle w:val="Compact"/>
              <w:jc w:val="left"/>
            </w:pPr>
            <w:r>
              <w:t xml:space="preserve">3</w:t>
            </w:r>
          </w:p>
        </w:tc>
        <w:tc>
          <w:tcPr/>
          <w:p>
            <w:pPr>
              <w:pStyle w:val="Compact"/>
              <w:jc w:val="left"/>
            </w:pPr>
            <w:r>
              <w:t xml:space="preserve">Affirmative misstatement (Section V) that spouse has</w:t>
            </w:r>
            <w:r>
              <w:t xml:space="preserve"> </w:t>
            </w:r>
            <w:r>
              <w:t xml:space="preserve">“</w:t>
            </w:r>
            <w:r>
              <w:t xml:space="preserve">no … professional relationship with … any of [the parties’] officers, directors, or employees</w:t>
            </w:r>
            <w:r>
              <w:t xml:space="preserve">”</w:t>
            </w:r>
            <w:r>
              <w:t xml:space="preserve"> </w:t>
            </w:r>
            <w:r>
              <w:t xml:space="preserve">(Peshkov is a Cascade officer)</w:t>
            </w:r>
          </w:p>
        </w:tc>
        <w:tc>
          <w:tcPr/>
          <w:p>
            <w:pPr>
              <w:pStyle w:val="Compact"/>
              <w:jc w:val="left"/>
            </w:pPr>
            <w:r>
              <w:t xml:space="preserve">No (misstatement)</w:t>
            </w:r>
          </w:p>
        </w:tc>
        <w:tc>
          <w:tcPr/>
          <w:p>
            <w:pPr>
              <w:pStyle w:val="Compact"/>
              <w:jc w:val="left"/>
            </w:pPr>
            <w:r>
              <w:t xml:space="preserve">R-17(a)(ii); R-17(d); FAA § 10(a)(2)</w:t>
            </w:r>
          </w:p>
        </w:tc>
        <w:tc>
          <w:tcPr/>
          <w:p>
            <w:pPr>
              <w:pStyle w:val="Compact"/>
              <w:jc w:val="left"/>
            </w:pPr>
            <w:r>
              <w:t xml:space="preserve">Claimant / credibility</w:t>
            </w:r>
          </w:p>
        </w:tc>
        <w:tc>
          <w:tcPr/>
          <w:p>
            <w:pPr>
              <w:pStyle w:val="Compact"/>
              <w:jc w:val="left"/>
            </w:pPr>
            <w:r>
              <w:t xml:space="preserve">Strong</w:t>
            </w:r>
          </w:p>
        </w:tc>
      </w:tr>
      <w:tr>
        <w:tc>
          <w:tcPr/>
          <w:p>
            <w:pPr>
              <w:pStyle w:val="Compact"/>
              <w:jc w:val="left"/>
            </w:pPr>
            <w:r>
              <w:t xml:space="preserve">4</w:t>
            </w:r>
          </w:p>
        </w:tc>
        <w:tc>
          <w:tcPr/>
          <w:p>
            <w:pPr>
              <w:pStyle w:val="Compact"/>
              <w:jc w:val="left"/>
            </w:pPr>
            <w:r>
              <w:t xml:space="preserve">CLE co-panelist with Dominic Hargrave (Respondent’s lead counsel) on</w:t>
            </w:r>
            <w:r>
              <w:t xml:space="preserve"> </w:t>
            </w:r>
            <w:r>
              <w:t xml:space="preserve">“</w:t>
            </w:r>
            <w:r>
              <w:t xml:space="preserve">Arbitrating Complex IP Licensing Disputes</w:t>
            </w:r>
            <w:r>
              <w:t xml:space="preserve">”</w:t>
            </w:r>
            <w:r>
              <w:t xml:space="preserve"> </w:t>
            </w:r>
            <w:r>
              <w:t xml:space="preserve">(Oct. 14, 2023); topic directly germane; hosted at Lakeview</w:t>
            </w:r>
          </w:p>
        </w:tc>
        <w:tc>
          <w:tcPr/>
          <w:p>
            <w:pPr>
              <w:pStyle w:val="Compact"/>
              <w:jc w:val="left"/>
            </w:pPr>
            <w:r>
              <w:t xml:space="preserve">No</w:t>
            </w:r>
          </w:p>
        </w:tc>
        <w:tc>
          <w:tcPr/>
          <w:p>
            <w:pPr>
              <w:pStyle w:val="Compact"/>
              <w:jc w:val="left"/>
            </w:pPr>
            <w:r>
              <w:t xml:space="preserve">R-17(a)(ii); R-17(a)(iv)</w:t>
            </w:r>
          </w:p>
        </w:tc>
        <w:tc>
          <w:tcPr/>
          <w:p>
            <w:pPr>
              <w:pStyle w:val="Compact"/>
              <w:jc w:val="left"/>
            </w:pPr>
            <w:r>
              <w:t xml:space="preserve">Respondent</w:t>
            </w:r>
          </w:p>
        </w:tc>
        <w:tc>
          <w:tcPr/>
          <w:p>
            <w:pPr>
              <w:pStyle w:val="Compact"/>
              <w:jc w:val="left"/>
            </w:pPr>
            <w:r>
              <w:t xml:space="preserve">Strong</w:t>
            </w:r>
          </w:p>
        </w:tc>
      </w:tr>
      <w:tr>
        <w:tc>
          <w:tcPr/>
          <w:p>
            <w:pPr>
              <w:pStyle w:val="Compact"/>
              <w:jc w:val="left"/>
            </w:pPr>
            <w:r>
              <w:t xml:space="preserve">5</w:t>
            </w:r>
          </w:p>
        </w:tc>
        <w:tc>
          <w:tcPr/>
          <w:p>
            <w:pPr>
              <w:pStyle w:val="Compact"/>
              <w:jc w:val="left"/>
            </w:pPr>
            <w:r>
              <w:t xml:space="preserve">Indirect financial interest in Whitmore Fund II LP (owner of Volaris) via Northbridge Select Alternatives Fund (2.3% LP interest);</w:t>
            </w:r>
            <w:r>
              <w:t xml:space="preserve"> </w:t>
            </w:r>
            <w:r>
              <w:t xml:space="preserve">“</w:t>
            </w:r>
            <w:r>
              <w:t xml:space="preserve">no direct equity positions</w:t>
            </w:r>
            <w:r>
              <w:t xml:space="preserve">”</w:t>
            </w:r>
            <w:r>
              <w:t xml:space="preserve"> </w:t>
            </w:r>
            <w:r>
              <w:t xml:space="preserve">omits indirect exposure</w:t>
            </w:r>
          </w:p>
        </w:tc>
        <w:tc>
          <w:tcPr/>
          <w:p>
            <w:pPr>
              <w:pStyle w:val="Compact"/>
              <w:jc w:val="left"/>
            </w:pPr>
            <w:r>
              <w:t xml:space="preserve">No</w:t>
            </w:r>
          </w:p>
        </w:tc>
        <w:tc>
          <w:tcPr/>
          <w:p>
            <w:pPr>
              <w:pStyle w:val="Compact"/>
              <w:jc w:val="left"/>
            </w:pPr>
            <w:r>
              <w:t xml:space="preserve">R-17(a)(i); R-16; IBA Guidelines</w:t>
            </w:r>
          </w:p>
        </w:tc>
        <w:tc>
          <w:tcPr/>
          <w:p>
            <w:pPr>
              <w:pStyle w:val="Compact"/>
              <w:jc w:val="left"/>
            </w:pPr>
            <w:r>
              <w:t xml:space="preserve">Respondent</w:t>
            </w:r>
          </w:p>
        </w:tc>
        <w:tc>
          <w:tcPr/>
          <w:p>
            <w:pPr>
              <w:pStyle w:val="Compact"/>
              <w:jc w:val="left"/>
            </w:pPr>
            <w:r>
              <w:t xml:space="preserve">Strong (warrants inquiry)</w:t>
            </w:r>
          </w:p>
        </w:tc>
      </w:tr>
      <w:tr>
        <w:tc>
          <w:tcPr/>
          <w:p>
            <w:pPr>
              <w:pStyle w:val="Compact"/>
              <w:jc w:val="left"/>
            </w:pPr>
            <w:r>
              <w:t xml:space="preserve">6</w:t>
            </w:r>
          </w:p>
        </w:tc>
        <w:tc>
          <w:tcPr/>
          <w:p>
            <w:pPr>
              <w:pStyle w:val="Compact"/>
              <w:jc w:val="left"/>
            </w:pPr>
            <w:r>
              <w:t xml:space="preserve">Undisclosed pending arbitration</w:t>
            </w:r>
            <w:r>
              <w:t xml:space="preserve"> </w:t>
            </w:r>
            <w:r>
              <w:rPr>
                <w:i/>
                <w:iCs/>
              </w:rPr>
              <w:t xml:space="preserve">Halcyon Biotech v. Stonewall Partners</w:t>
            </w:r>
            <w:r>
              <w:t xml:space="preserve"> </w:t>
            </w:r>
            <w:r>
              <w:t xml:space="preserve">(B&amp;T counsel)</w:t>
            </w:r>
          </w:p>
        </w:tc>
        <w:tc>
          <w:tcPr/>
          <w:p>
            <w:pPr>
              <w:pStyle w:val="Compact"/>
              <w:jc w:val="left"/>
            </w:pPr>
            <w:r>
              <w:t xml:space="preserve">No</w:t>
            </w:r>
          </w:p>
        </w:tc>
        <w:tc>
          <w:tcPr/>
          <w:p>
            <w:pPr>
              <w:pStyle w:val="Compact"/>
              <w:jc w:val="left"/>
            </w:pPr>
            <w:r>
              <w:t xml:space="preserve">R-17(a)(iii)</w:t>
            </w:r>
          </w:p>
        </w:tc>
        <w:tc>
          <w:tcPr/>
          <w:p>
            <w:pPr>
              <w:pStyle w:val="Compact"/>
              <w:jc w:val="left"/>
            </w:pPr>
            <w:r>
              <w:t xml:space="preserve">Respondent</w:t>
            </w:r>
          </w:p>
        </w:tc>
        <w:tc>
          <w:tcPr/>
          <w:p>
            <w:pPr>
              <w:pStyle w:val="Compact"/>
              <w:jc w:val="left"/>
            </w:pPr>
            <w:r>
              <w:t xml:space="preserve">Moderate–strong</w:t>
            </w:r>
          </w:p>
        </w:tc>
      </w:tr>
      <w:tr>
        <w:tc>
          <w:tcPr/>
          <w:p>
            <w:pPr>
              <w:pStyle w:val="Compact"/>
              <w:jc w:val="left"/>
            </w:pPr>
            <w:r>
              <w:t xml:space="preserve">7</w:t>
            </w:r>
          </w:p>
        </w:tc>
        <w:tc>
          <w:tcPr/>
          <w:p>
            <w:pPr>
              <w:pStyle w:val="Compact"/>
              <w:jc w:val="left"/>
            </w:pPr>
            <w:r>
              <w:t xml:space="preserve">Lakeview affiliation: financial/structural terms not disclosed; Lakeview hosted the CLE with Hargrave</w:t>
            </w:r>
          </w:p>
        </w:tc>
        <w:tc>
          <w:tcPr/>
          <w:p>
            <w:pPr>
              <w:pStyle w:val="Compact"/>
              <w:jc w:val="left"/>
            </w:pPr>
            <w:r>
              <w:t xml:space="preserve">Partial</w:t>
            </w:r>
          </w:p>
        </w:tc>
        <w:tc>
          <w:tcPr/>
          <w:p>
            <w:pPr>
              <w:pStyle w:val="Compact"/>
              <w:jc w:val="left"/>
            </w:pPr>
            <w:r>
              <w:t xml:space="preserve">R-17(a)(ii); R-16</w:t>
            </w:r>
          </w:p>
        </w:tc>
        <w:tc>
          <w:tcPr/>
          <w:p>
            <w:pPr>
              <w:pStyle w:val="Compact"/>
              <w:jc w:val="left"/>
            </w:pPr>
            <w:r>
              <w:t xml:space="preserve">Respondent (referral concentration)</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w:t>
            </w:r>
            <w:r>
              <w:t xml:space="preserve">Complete list</w:t>
            </w:r>
            <w:r>
              <w:t xml:space="preserve">”</w:t>
            </w:r>
            <w:r>
              <w:t xml:space="preserve"> </w:t>
            </w:r>
            <w:r>
              <w:t xml:space="preserve">certification (Section III) inaccurate; 7 additional completed matters and 1 additional pending matter involving B&amp;T/FM not disclosed</w:t>
            </w:r>
          </w:p>
        </w:tc>
        <w:tc>
          <w:tcPr/>
          <w:p>
            <w:pPr>
              <w:pStyle w:val="Compact"/>
              <w:jc w:val="left"/>
            </w:pPr>
            <w:r>
              <w:t xml:space="preserve">No (understated)</w:t>
            </w:r>
          </w:p>
        </w:tc>
        <w:tc>
          <w:tcPr/>
          <w:p>
            <w:pPr>
              <w:pStyle w:val="Compact"/>
              <w:jc w:val="left"/>
            </w:pPr>
            <w:r>
              <w:t xml:space="preserve">R-17(a)(iii); R-17(d)</w:t>
            </w:r>
          </w:p>
        </w:tc>
        <w:tc>
          <w:tcPr/>
          <w:p>
            <w:pPr>
              <w:pStyle w:val="Compact"/>
              <w:jc w:val="left"/>
            </w:pPr>
            <w:r>
              <w:t xml:space="preserve">Respondent</w:t>
            </w:r>
          </w:p>
        </w:tc>
        <w:tc>
          <w:tcPr/>
          <w:p>
            <w:pPr>
              <w:pStyle w:val="Compact"/>
              <w:jc w:val="left"/>
            </w:pPr>
            <w:r>
              <w:t xml:space="preserve">Strong</w:t>
            </w:r>
          </w:p>
        </w:tc>
      </w:tr>
      <w:tr>
        <w:tc>
          <w:tcPr/>
          <w:p>
            <w:pPr>
              <w:pStyle w:val="Compact"/>
              <w:jc w:val="left"/>
            </w:pPr>
            <w:r>
              <w:t xml:space="preserve">9</w:t>
            </w:r>
          </w:p>
        </w:tc>
        <w:tc>
          <w:tcPr/>
          <w:p>
            <w:pPr>
              <w:pStyle w:val="Compact"/>
              <w:jc w:val="left"/>
            </w:pPr>
            <w:r>
              <w:t xml:space="preserve">Economic dependency (~48% of income from B&amp;T; 67% of pending fees) and outcome asymmetry (B&amp;T 77.8% vs. FM 25% prevail rates), combined with non-disclosure</w:t>
            </w:r>
          </w:p>
        </w:tc>
        <w:tc>
          <w:tcPr/>
          <w:p>
            <w:pPr>
              <w:pStyle w:val="Compact"/>
              <w:jc w:val="left"/>
            </w:pPr>
            <w:r>
              <w:t xml:space="preserve">No (extent)</w:t>
            </w:r>
          </w:p>
        </w:tc>
        <w:tc>
          <w:tcPr/>
          <w:p>
            <w:pPr>
              <w:pStyle w:val="Compact"/>
              <w:jc w:val="left"/>
            </w:pPr>
            <w:r>
              <w:t xml:space="preserve">R-16; R-17(a)(ii)–(iii); FAA § 10(a)(2)</w:t>
            </w:r>
          </w:p>
        </w:tc>
        <w:tc>
          <w:tcPr/>
          <w:p>
            <w:pPr>
              <w:pStyle w:val="Compact"/>
              <w:jc w:val="left"/>
            </w:pPr>
            <w:r>
              <w:t xml:space="preserve">Respondent</w:t>
            </w:r>
          </w:p>
        </w:tc>
        <w:tc>
          <w:tcPr/>
          <w:p>
            <w:pPr>
              <w:pStyle w:val="Compact"/>
              <w:jc w:val="left"/>
            </w:pPr>
            <w:r>
              <w:t xml:space="preserve">Moderate–strong (cumulative)</w:t>
            </w:r>
          </w:p>
        </w:tc>
      </w:tr>
      <w:tr>
        <w:tc>
          <w:tcPr/>
          <w:p>
            <w:pPr>
              <w:pStyle w:val="Compact"/>
              <w:jc w:val="left"/>
            </w:pPr>
            <w:r>
              <w:t xml:space="preserve">10</w:t>
            </w:r>
          </w:p>
        </w:tc>
        <w:tc>
          <w:tcPr/>
          <w:p>
            <w:pPr>
              <w:pStyle w:val="Compact"/>
              <w:jc w:val="left"/>
            </w:pPr>
            <w:r>
              <w:t xml:space="preserve">Ellen Wu (disclosed advisory-board colleague) was involved in arbitrator-selection strategy for this matter; not disclosed</w:t>
            </w:r>
          </w:p>
        </w:tc>
        <w:tc>
          <w:tcPr/>
          <w:p>
            <w:pPr>
              <w:pStyle w:val="Compact"/>
              <w:jc w:val="left"/>
            </w:pPr>
            <w:r>
              <w:t xml:space="preserve">No (fact)</w:t>
            </w:r>
          </w:p>
        </w:tc>
        <w:tc>
          <w:tcPr/>
          <w:p>
            <w:pPr>
              <w:pStyle w:val="Compact"/>
              <w:jc w:val="left"/>
            </w:pPr>
            <w:r>
              <w:t xml:space="preserve">R-17(a)(ii); R-16; R-17(a)(iv)</w:t>
            </w:r>
          </w:p>
        </w:tc>
        <w:tc>
          <w:tcPr/>
          <w:p>
            <w:pPr>
              <w:pStyle w:val="Compact"/>
              <w:jc w:val="left"/>
            </w:pPr>
            <w:r>
              <w:t xml:space="preserve">Respondent</w:t>
            </w:r>
          </w:p>
        </w:tc>
        <w:tc>
          <w:tcPr/>
          <w:p>
            <w:pPr>
              <w:pStyle w:val="Compact"/>
              <w:jc w:val="left"/>
            </w:pPr>
            <w:r>
              <w:t xml:space="preserve">Moderate–strong</w:t>
            </w:r>
          </w:p>
        </w:tc>
      </w:tr>
      <w:tr>
        <w:tc>
          <w:tcPr/>
          <w:p>
            <w:pPr>
              <w:pStyle w:val="Compact"/>
              <w:jc w:val="left"/>
            </w:pPr>
            <w:r>
              <w:t xml:space="preserve">11</w:t>
            </w:r>
          </w:p>
        </w:tc>
        <w:tc>
          <w:tcPr/>
          <w:p>
            <w:pPr>
              <w:pStyle w:val="Compact"/>
              <w:jc w:val="left"/>
            </w:pPr>
            <w:r>
              <w:t xml:space="preserve">Affirmative misstatement (Section IV) that arbitrator is</w:t>
            </w:r>
            <w:r>
              <w:t xml:space="preserve"> </w:t>
            </w:r>
            <w:r>
              <w:t xml:space="preserve">“</w:t>
            </w:r>
            <w:r>
              <w:t xml:space="preserve">not aware of any … indirect … financial interest,</w:t>
            </w:r>
            <w:r>
              <w:t xml:space="preserve">”</w:t>
            </w:r>
            <w:r>
              <w:t xml:space="preserve"> </w:t>
            </w:r>
            <w:r>
              <w:t xml:space="preserve">despite admitted failure to review pooled vehicles and the Northbridge Select Alternatives Fund’s 2.3% LP interest in Whitmore Fund II LP</w:t>
            </w:r>
          </w:p>
        </w:tc>
        <w:tc>
          <w:tcPr/>
          <w:p>
            <w:pPr>
              <w:pStyle w:val="Compact"/>
              <w:jc w:val="left"/>
            </w:pPr>
            <w:r>
              <w:t xml:space="preserve">No (misstatement)</w:t>
            </w:r>
          </w:p>
        </w:tc>
        <w:tc>
          <w:tcPr/>
          <w:p>
            <w:pPr>
              <w:pStyle w:val="Compact"/>
              <w:jc w:val="left"/>
            </w:pPr>
            <w:r>
              <w:t xml:space="preserve">R-17(a)(i); R-17(d); FAA § 10(a)(2)</w:t>
            </w:r>
          </w:p>
        </w:tc>
        <w:tc>
          <w:tcPr/>
          <w:p>
            <w:pPr>
              <w:pStyle w:val="Compact"/>
              <w:jc w:val="left"/>
            </w:pPr>
            <w:r>
              <w:t xml:space="preserve">Respondent / credibility</w:t>
            </w:r>
          </w:p>
        </w:tc>
        <w:tc>
          <w:tcPr/>
          <w:p>
            <w:pPr>
              <w:pStyle w:val="Compact"/>
              <w:jc w:val="left"/>
            </w:pPr>
            <w:r>
              <w:t xml:space="preserve">Strong</w:t>
            </w:r>
          </w:p>
        </w:tc>
      </w:tr>
      <w:tr>
        <w:tc>
          <w:tcPr/>
          <w:p>
            <w:pPr>
              <w:pStyle w:val="Compact"/>
              <w:jc w:val="left"/>
            </w:pPr>
            <w:r>
              <w:t xml:space="preserve">12</w:t>
            </w:r>
          </w:p>
        </w:tc>
        <w:tc>
          <w:tcPr/>
          <w:p>
            <w:pPr>
              <w:pStyle w:val="Compact"/>
              <w:jc w:val="left"/>
            </w:pPr>
            <w:r>
              <w:t xml:space="preserve">Diligence/global-certification deficiency: Demand expressly named Whitmore (adverse witness) and Peshkov (key expert witness), yet both connections were omitted; Section X</w:t>
            </w:r>
            <w:r>
              <w:t xml:space="preserve"> </w:t>
            </w:r>
            <w:r>
              <w:t xml:space="preserve">“</w:t>
            </w:r>
            <w:r>
              <w:t xml:space="preserve">diligent inquiry / all circumstances known to me</w:t>
            </w:r>
            <w:r>
              <w:t xml:space="preserve">”</w:t>
            </w:r>
            <w:r>
              <w:t xml:space="preserve"> </w:t>
            </w:r>
            <w:r>
              <w:t xml:space="preserve">certification contradicted</w:t>
            </w:r>
          </w:p>
        </w:tc>
        <w:tc>
          <w:tcPr/>
          <w:p>
            <w:pPr>
              <w:pStyle w:val="Compact"/>
              <w:jc w:val="left"/>
            </w:pPr>
            <w:r>
              <w:t xml:space="preserve">No (certification)</w:t>
            </w:r>
          </w:p>
        </w:tc>
        <w:tc>
          <w:tcPr/>
          <w:p>
            <w:pPr>
              <w:pStyle w:val="Compact"/>
              <w:jc w:val="left"/>
            </w:pPr>
            <w:r>
              <w:t xml:space="preserve">R-17(a); R-17(d); FAA § 10(a)(2); Code of Ethics Canon II</w:t>
            </w:r>
          </w:p>
        </w:tc>
        <w:tc>
          <w:tcPr/>
          <w:p>
            <w:pPr>
              <w:pStyle w:val="Compact"/>
              <w:jc w:val="left"/>
            </w:pPr>
            <w:r>
              <w:t xml:space="preserve">Both / credibility</w:t>
            </w:r>
          </w:p>
        </w:tc>
        <w:tc>
          <w:tcPr/>
          <w:p>
            <w:pPr>
              <w:pStyle w:val="Compact"/>
              <w:jc w:val="left"/>
            </w:pPr>
            <w:r>
              <w:t xml:space="preserve">Strong (cumulative)</w:t>
            </w:r>
          </w:p>
        </w:tc>
      </w:tr>
    </w:tbl>
    <w:p>
      <w:pPr>
        <w:pStyle w:val="BodyText"/>
      </w:pPr>
      <w:r>
        <w:rPr>
          <w:b/>
          <w:bCs/>
        </w:rPr>
        <w:t xml:space="preserve">Net assessment.</w:t>
      </w:r>
      <w:r>
        <w:t xml:space="preserve"> </w:t>
      </w:r>
      <w:r>
        <w:t xml:space="preserve">The Disclosure Statement contains</w:t>
      </w:r>
      <w:r>
        <w:t xml:space="preserve"> </w:t>
      </w:r>
      <w:r>
        <w:rPr>
          <w:b/>
          <w:bCs/>
        </w:rPr>
        <w:t xml:space="preserve">five wholly undisclosed connections</w:t>
      </w:r>
      <w:r>
        <w:t xml:space="preserve"> </w:t>
      </w:r>
      <w:r>
        <w:t xml:space="preserve">(Issues 1, 2, 4, 5, 6),</w:t>
      </w:r>
      <w:r>
        <w:t xml:space="preserve"> </w:t>
      </w:r>
      <w:r>
        <w:rPr>
          <w:b/>
          <w:bCs/>
        </w:rPr>
        <w:t xml:space="preserve">two affirmative misstatements</w:t>
      </w:r>
      <w:r>
        <w:t xml:space="preserve"> </w:t>
      </w:r>
      <w:r>
        <w:t xml:space="preserve">(Issues 3 and 11 — one in the family section, one in the financial section),</w:t>
      </w:r>
      <w:r>
        <w:t xml:space="preserve"> </w:t>
      </w:r>
      <w:r>
        <w:rPr>
          <w:b/>
          <w:bCs/>
        </w:rPr>
        <w:t xml:space="preserve">one incomplete disclosure</w:t>
      </w:r>
      <w:r>
        <w:t xml:space="preserve"> </w:t>
      </w:r>
      <w:r>
        <w:t xml:space="preserve">(Issue 7),</w:t>
      </w:r>
      <w:r>
        <w:t xml:space="preserve"> </w:t>
      </w:r>
      <w:r>
        <w:rPr>
          <w:b/>
          <w:bCs/>
        </w:rPr>
        <w:t xml:space="preserve">one inaccurate</w:t>
      </w:r>
      <w:r>
        <w:rPr>
          <w:b/>
          <w:bCs/>
        </w:rPr>
        <w:t xml:space="preserve"> </w:t>
      </w:r>
      <w:r>
        <w:rPr>
          <w:b/>
          <w:bCs/>
        </w:rPr>
        <w:t xml:space="preserve">“</w:t>
      </w:r>
      <w:r>
        <w:rPr>
          <w:b/>
          <w:bCs/>
        </w:rPr>
        <w:t xml:space="preserve">complete list</w:t>
      </w:r>
      <w:r>
        <w:rPr>
          <w:b/>
          <w:bCs/>
        </w:rPr>
        <w:t xml:space="preserve">”</w:t>
      </w:r>
      <w:r>
        <w:rPr>
          <w:b/>
          <w:bCs/>
        </w:rPr>
        <w:t xml:space="preserve"> </w:t>
      </w:r>
      <w:r>
        <w:rPr>
          <w:b/>
          <w:bCs/>
        </w:rPr>
        <w:t xml:space="preserve">certification</w:t>
      </w:r>
      <w:r>
        <w:t xml:space="preserve"> </w:t>
      </w:r>
      <w:r>
        <w:t xml:space="preserve">with an associated economic-dependency/outcome-asymmetry concern (Issues 8–9),</w:t>
      </w:r>
      <w:r>
        <w:t xml:space="preserve"> </w:t>
      </w:r>
      <w:r>
        <w:rPr>
          <w:b/>
          <w:bCs/>
        </w:rPr>
        <w:t xml:space="preserve">one undisclosed fact about a disclosed person’s role in the arbitrator-selection process</w:t>
      </w:r>
      <w:r>
        <w:t xml:space="preserve"> </w:t>
      </w:r>
      <w:r>
        <w:t xml:space="preserve">(Issue 10), and</w:t>
      </w:r>
      <w:r>
        <w:t xml:space="preserve"> </w:t>
      </w:r>
      <w:r>
        <w:rPr>
          <w:b/>
          <w:bCs/>
        </w:rPr>
        <w:t xml:space="preserve">one global diligence/certification deficiency</w:t>
      </w:r>
      <w:r>
        <w:t xml:space="preserve"> </w:t>
      </w:r>
      <w:r>
        <w:t xml:space="preserve">(Issue 12). The undisclosed connections create appearances of partiality in</w:t>
      </w:r>
      <w:r>
        <w:t xml:space="preserve"> </w:t>
      </w:r>
      <w:r>
        <w:rPr>
          <w:b/>
          <w:bCs/>
        </w:rPr>
        <w:t xml:space="preserve">both</w:t>
      </w:r>
      <w:r>
        <w:t xml:space="preserve"> </w:t>
      </w:r>
      <w:r>
        <w:t xml:space="preserve">directions: Issues 1, 4, 5, 6, 7, 8, 9, 10, and 11 tend toward the Respondent; Issues 2 and 3 tend toward the Claimant; Issue 12 runs in both directions and bears on the disclosure’s overall diligence and credibility. The pattern of non-disclosure across multiple categories — financial interest, family/witness relationships, professional relationships with counsel and a party principal, the arbitrator-selection process, and prior/pending matters — is itself a basis for justifiable doubt as to the arbitrator’s independence and the diligence of her disclosure, independent of the direction of any individual connection.</w:t>
      </w:r>
    </w:p>
    <w:bookmarkEnd w:id="54"/>
    <w:bookmarkStart w:id="55" w:name="vii.-recommendation"/>
    <w:p>
      <w:pPr>
        <w:pStyle w:val="Heading2"/>
      </w:pPr>
      <w:r>
        <w:t xml:space="preserve">VII. Recommendation</w:t>
      </w:r>
    </w:p>
    <w:p>
      <w:pPr>
        <w:numPr>
          <w:ilvl w:val="0"/>
          <w:numId w:val="1019"/>
        </w:numPr>
      </w:pPr>
      <w:r>
        <w:rPr>
          <w:b/>
          <w:bCs/>
        </w:rPr>
        <w:t xml:space="preserve">Request a comprehensive supplemental disclosure.</w:t>
      </w:r>
      <w:r>
        <w:t xml:space="preserve"> </w:t>
      </w:r>
      <w:r>
        <w:t xml:space="preserve">Before deciding whether to file a formal challenge, the arbitrator should be asked (through the AAA, with notice to all parties) to supplement her disclosure to address, specifically and in writing: (a) Garrett T. Whitmore’s service on the Board of Trustees of the Minnesota ADR Ethics Institute and the nature of any interaction with the arbitrator through that organization (Issue 1); (b) the co-authorship between Dr. Alan Fairhaven and Dr. Rita Peshkov, the scope and timing of that collaboration, and any ongoing relationship, and to correct the affirmative statement in Section V (Issues 2–3); (c) the October 14, 2023 CLE co-paneling with Dominic Hargrave, including any views the arbitrator expressed on IP-licensing valuation or arbitrator selection in technology cases (Issue 4); (d) whether the arbitrator’s portfolio holds any allocation to the Northbridge Select Alternatives Fund or any other vehicle with exposure to Whitmore Fund II LP, Whitmore Capital Partners LLC, Volaris, or Cascade, directly or indirectly, and to correct the affirmative statement in Section IV (Issues 5, 11); (e) the omitted pending matter</w:t>
      </w:r>
      <w:r>
        <w:t xml:space="preserve"> </w:t>
      </w:r>
      <w:r>
        <w:rPr>
          <w:i/>
          <w:iCs/>
        </w:rPr>
        <w:t xml:space="preserve">Halcyon Biotech v. Stonewall Partners</w:t>
      </w:r>
      <w:r>
        <w:t xml:space="preserve"> </w:t>
      </w:r>
      <w:r>
        <w:t xml:space="preserve">and a complete list of all prior and pending matters involving Barrow &amp; Thistlewood LLP or Fielding Marsh &amp; Collier LLP (Issues 6, 8); (f) the financial and structural terms of the Lakeview affiliation (Issue 7); (g) Ellen Wu’s role in arbitrator-selection strategy for this matter and the nature of the arbitrator’s relationship with Ms. Wu through the Institute (Issue 10); and (h) a renewed certification, in light of the foregoing, of whether the arbitrator reviewed the Demand’s witness identifications and whether the Section X</w:t>
      </w:r>
      <w:r>
        <w:t xml:space="preserve"> </w:t>
      </w:r>
      <w:r>
        <w:t xml:space="preserve">“</w:t>
      </w:r>
      <w:r>
        <w:t xml:space="preserve">diligent inquiry</w:t>
      </w:r>
      <w:r>
        <w:t xml:space="preserve">”</w:t>
      </w:r>
      <w:r>
        <w:t xml:space="preserve"> </w:t>
      </w:r>
      <w:r>
        <w:t xml:space="preserve">certification remains accurate (Issue 12). This request invokes the arbitrator’s continuing duty under Rule R-17(b) and creates a record for any later challenge or vacatur motion; under Rule R-17(d), the AAA may itself bring these deficiencies to the arbitrator’s attention and request supplementation before acting on any challenge.</w:t>
      </w:r>
    </w:p>
    <w:p>
      <w:pPr>
        <w:numPr>
          <w:ilvl w:val="0"/>
          <w:numId w:val="1019"/>
        </w:numPr>
      </w:pPr>
      <w:r>
        <w:rPr>
          <w:b/>
          <w:bCs/>
        </w:rPr>
        <w:t xml:space="preserve">Evaluate the response; prepare a formal challenge if warranted.</w:t>
      </w:r>
      <w:r>
        <w:t xml:space="preserve"> </w:t>
      </w:r>
      <w:r>
        <w:t xml:space="preserve">If the supplemental disclosure confirms the connections identified above (or if the arbitrator declines to supplement), a formal challenge under Rule R-18 should be prepared. The challenge must state the grounds</w:t>
      </w:r>
      <w:r>
        <w:t xml:space="preserve"> </w:t>
      </w:r>
      <w:r>
        <w:t xml:space="preserve">“</w:t>
      </w:r>
      <w:r>
        <w:t xml:space="preserve">with specificity,</w:t>
      </w:r>
      <w:r>
        <w:t xml:space="preserve">”</w:t>
      </w:r>
      <w:r>
        <w:t xml:space="preserve"> </w:t>
      </w:r>
      <w:r>
        <w:t xml:space="preserve">in writing to the AAA with a copy to the other party. Given the breadth and materiality of the non-disclosures — particularly the indirect financial interest in the Respondent’s fund and the Section IV misstatement (Issues 5, 11), the spouse–witness co-authorship and Section V misstatement (Issues 2–3), the CLE co-paneling with the Respondent’s lead counsel on the exact subject matter (Issue 4), the shared organizational service with the Respondent’s principal and the selection-role of the arbitrator’s board colleague (Issues 1, 10), the inaccurate</w:t>
      </w:r>
      <w:r>
        <w:t xml:space="preserve"> </w:t>
      </w:r>
      <w:r>
        <w:t xml:space="preserve">“</w:t>
      </w:r>
      <w:r>
        <w:t xml:space="preserve">complete list</w:t>
      </w:r>
      <w:r>
        <w:t xml:space="preserve">”</w:t>
      </w:r>
      <w:r>
        <w:t xml:space="preserve"> </w:t>
      </w:r>
      <w:r>
        <w:t xml:space="preserve">certification together with the economic-dependency and outcome-asymmetry data (Issues 6, 8, 9), and the global diligence/certification deficiency (Issue 12) — there are substantial grounds to support a challenge on the basis of justifiable doubt as to the arbitrator’s impartiality and independence. Under Rule R-18(d), the AAA must weigh</w:t>
      </w:r>
      <w:r>
        <w:t xml:space="preserve"> </w:t>
      </w:r>
      <w:r>
        <w:t xml:space="preserve">“</w:t>
      </w:r>
      <w:r>
        <w:t xml:space="preserve">the disclosures required but not made,</w:t>
      </w:r>
      <w:r>
        <w:t xml:space="preserve">”</w:t>
      </w:r>
      <w:r>
        <w:t xml:space="preserve"> </w:t>
      </w:r>
      <w:r>
        <w:t xml:space="preserve">which is the core of this challenge.</w:t>
      </w:r>
    </w:p>
    <w:p>
      <w:pPr>
        <w:numPr>
          <w:ilvl w:val="0"/>
          <w:numId w:val="1019"/>
        </w:numPr>
      </w:pPr>
      <w:r>
        <w:rPr>
          <w:b/>
          <w:bCs/>
        </w:rPr>
        <w:t xml:space="preserve">Mind the deadline and the waiver exception.</w:t>
      </w:r>
      <w:r>
        <w:t xml:space="preserve"> </w:t>
      </w:r>
      <w:r>
        <w:t xml:space="preserve">Any challenge based on facts already disclosed in the Disclosure Statement must be filed by</w:t>
      </w:r>
      <w:r>
        <w:t xml:space="preserve"> </w:t>
      </w:r>
      <w:r>
        <w:rPr>
          <w:b/>
          <w:bCs/>
        </w:rPr>
        <w:t xml:space="preserve">June 24, 2024</w:t>
      </w:r>
      <w:r>
        <w:t xml:space="preserve">. Challenges based on the newly discovered, undisclosed connections (Issues 1–6, 10, 11) are preserved under Rule R-18(f) and should be filed within seven calendar days of the date the grounds became known. The supplemental-disclosure request (Recommendation 1) should be made immediately and in any event before the June 24 deadline, so that the arbitrator’s response (or failure to respond) can inform the challenge decision and the record.</w:t>
      </w:r>
    </w:p>
    <w:p>
      <w:pPr>
        <w:numPr>
          <w:ilvl w:val="0"/>
          <w:numId w:val="1019"/>
        </w:numPr>
      </w:pPr>
      <w:r>
        <w:rPr>
          <w:b/>
          <w:bCs/>
        </w:rPr>
        <w:t xml:space="preserve">Preserve FAA § 10(a)(2) rights.</w:t>
      </w:r>
      <w:r>
        <w:t xml:space="preserve"> </w:t>
      </w:r>
      <w:r>
        <w:t xml:space="preserve">Regardless of the AAA’s administrative ruling on any challenge, the parties should preserve their rights to seek vacatur of any resulting award on grounds of evident partiality under FAA § 10(a)(2), particularly as to any non-disclosure or misstatement that is not cured by supplemental disclosure. Rule R-18(e) expressly preserves these rights, and Rule R-17(d) ties disclosure deficiencies to vacatur exposure.</w:t>
      </w:r>
    </w:p>
    <w:p>
      <w:pPr>
        <w:numPr>
          <w:ilvl w:val="0"/>
          <w:numId w:val="1019"/>
        </w:numPr>
      </w:pPr>
      <w:r>
        <w:rPr>
          <w:b/>
          <w:bCs/>
        </w:rPr>
        <w:t xml:space="preserve">Consider the direction of the challenge.</w:t>
      </w:r>
      <w:r>
        <w:t xml:space="preserve"> </w:t>
      </w:r>
      <w:r>
        <w:t xml:space="preserve">The strongest challenge grounds (Issues 1, 4, 5, 6, 7, 8, 9, 10, 11) support a challenge by the</w:t>
      </w:r>
      <w:r>
        <w:t xml:space="preserve"> </w:t>
      </w:r>
      <w:r>
        <w:rPr>
          <w:b/>
          <w:bCs/>
        </w:rPr>
        <w:t xml:space="preserve">Claimant</w:t>
      </w:r>
      <w:r>
        <w:t xml:space="preserve"> </w:t>
      </w:r>
      <w:r>
        <w:t xml:space="preserve">(Cascade / Fielding Marsh &amp; Collier LLP) on the theory that the arbitrator’s undisclosed connections create an appearance of partiality toward the Respondent. The spouse–witness co-authorship and the Section V misstatement (Issues 2–3) support a challenge by the</w:t>
      </w:r>
      <w:r>
        <w:t xml:space="preserve"> </w:t>
      </w:r>
      <w:r>
        <w:rPr>
          <w:b/>
          <w:bCs/>
        </w:rPr>
        <w:t xml:space="preserve">Respondent</w:t>
      </w:r>
      <w:r>
        <w:t xml:space="preserve"> </w:t>
      </w:r>
      <w:r>
        <w:t xml:space="preserve">(Whitmore / Barrow &amp; Thistlewood LLP) on the theory of an appearance of partiality toward the Claimant. Because the non-disclosures run in both directions, either party has a colorable basis to challenge; the Respondent’s own diligence (the Entity Memo and Appointment Data) has surfaced grounds that primarily support a Claimant challenge, which the Respondent should weigh in deciding whether to support the arbitrator’s continued service, to join or anticipate a challenge, or to seek a mutually acceptable replacement under Rule R-19.</w:t>
      </w:r>
    </w:p>
    <w:p>
      <w:r>
        <w:pict>
          <v:rect style="width:0;height:1.5pt" o:hralign="center" o:hrstd="t" o:hr="t"/>
        </w:pict>
      </w:r>
    </w:p>
    <w:p>
      <w:pPr>
        <w:pStyle w:val="FirstParagraph"/>
      </w:pPr>
      <w:r>
        <w:rPr>
          <w:i/>
          <w:iCs/>
        </w:rPr>
        <w:t xml:space="preserve">This memorandum is privileged and confidential, prepared in anticipation of litigation and for the purpose of providing legal advice. It is protected by the attorney-client privilege and the work-product doctrine. Factual assertions are drawn from the source documents identified in Section I; no facts have been supplied beyond the record.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2026-06-27T01:27:43Z</dcterms:created>
  <dcterms:modified xsi:type="dcterms:W3CDTF">2026-06-27T01:27:43Z</dcterms:modified>
</cp:coreProperties>
</file>

<file path=docProps/custom.xml><?xml version="1.0" encoding="utf-8"?>
<Properties xmlns="http://schemas.openxmlformats.org/officeDocument/2006/custom-properties" xmlns:vt="http://schemas.openxmlformats.org/officeDocument/2006/docPropsVTypes"/>
</file>