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p>
    <w:bookmarkStart w:id="20" w:name="memorandum"/>
    <w:p>
      <w:pPr>
        <w:pStyle w:val="Heading1"/>
      </w:pPr>
      <w:r>
        <w:t xml:space="preserve">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Sarah K. Norden, Esq., Lead Partner, Thorncroft &amp; Wexler LLP; Michael D. Hartwell, Chief Financial Officer; Sandra Y. Chen, General Counsel and Corporate Secretary</w:t>
      </w:r>
    </w:p>
    <w:p>
      <w:pPr>
        <w:pStyle w:val="BodyText"/>
      </w:pPr>
      <w:r>
        <w:rPr>
          <w:b/>
          <w:bCs/>
        </w:rPr>
        <w:t xml:space="preserve">FROM:</w:t>
      </w:r>
      <w:r>
        <w:t xml:space="preserve"> </w:t>
      </w:r>
      <w:r>
        <w:t xml:space="preserve">[Drafter]</w:t>
      </w:r>
    </w:p>
    <w:p>
      <w:pPr>
        <w:pStyle w:val="BodyText"/>
      </w:pPr>
      <w:r>
        <w:rPr>
          <w:b/>
          <w:bCs/>
        </w:rPr>
        <w:t xml:space="preserve">DATE:</w:t>
      </w:r>
      <w:r>
        <w:t xml:space="preserve"> </w:t>
      </w:r>
      <w:r>
        <w:t xml:space="preserve">[●], 2025</w:t>
      </w:r>
    </w:p>
    <w:p>
      <w:pPr>
        <w:pStyle w:val="BodyText"/>
      </w:pPr>
      <w:r>
        <w:rPr>
          <w:b/>
          <w:bCs/>
        </w:rPr>
        <w:t xml:space="preserve">RE:</w:t>
      </w:r>
      <w:r>
        <w:t xml:space="preserve"> </w:t>
      </w:r>
      <w:r>
        <w:t xml:space="preserve">Inconsistencies, Disclosure Risks, and Open Items Identified in Connection with the Drafting of the Form S-1 Registration Statement for the Proposed Initial Public Offering of Crestline Software, Inc.</w:t>
      </w:r>
    </w:p>
    <w:p>
      <w:pPr>
        <w:pStyle w:val="BodyText"/>
      </w:pPr>
      <w:r>
        <w:rPr>
          <w:b/>
          <w:bCs/>
        </w:rPr>
        <w:t xml:space="preserve">CLASSIFICATION:</w:t>
      </w:r>
      <w:r>
        <w:t xml:space="preserve"> </w:t>
      </w:r>
      <w:r>
        <w:t xml:space="preserve">Privileged and Confidential — Prepared at the Direction of Counsel</w:t>
      </w:r>
    </w:p>
    <w:bookmarkEnd w:id="20"/>
    <w:bookmarkStart w:id="21" w:name="i.-introduction-and-scope"/>
    <w:p>
      <w:pPr>
        <w:pStyle w:val="Heading1"/>
      </w:pPr>
      <w:r>
        <w:t xml:space="preserve">I. Introduction and Scope</w:t>
      </w:r>
    </w:p>
    <w:p>
      <w:pPr>
        <w:pStyle w:val="FirstParagraph"/>
      </w:pPr>
      <w:r>
        <w:t xml:space="preserve">This memorandum has been prepared in connection with the drafting of the Registration Statement on Form S-1 (the</w:t>
      </w:r>
      <w:r>
        <w:t xml:space="preserve"> </w:t>
      </w:r>
      <w:r>
        <w:t xml:space="preserve">“</w:t>
      </w:r>
      <w:r>
        <w:t xml:space="preserve">Registration Statement</w:t>
      </w:r>
      <w:r>
        <w:t xml:space="preserve">”</w:t>
      </w:r>
      <w:r>
        <w:t xml:space="preserve">) for the proposed initial public offering (the</w:t>
      </w:r>
      <w:r>
        <w:t xml:space="preserve"> </w:t>
      </w:r>
      <w:r>
        <w:t xml:space="preserve">“</w:t>
      </w:r>
      <w:r>
        <w:t xml:space="preserve">IPO</w:t>
      </w:r>
      <w:r>
        <w:t xml:space="preserve">”</w:t>
      </w:r>
      <w:r>
        <w:t xml:space="preserve">) of Class A common stock of Crestline Software, Inc. (the</w:t>
      </w:r>
      <w:r>
        <w:t xml:space="preserve"> </w:t>
      </w:r>
      <w:r>
        <w:t xml:space="preserve">“</w:t>
      </w:r>
      <w:r>
        <w:t xml:space="preserve">Company</w:t>
      </w:r>
      <w:r>
        <w:t xml:space="preserve">”</w:t>
      </w:r>
      <w:r>
        <w:t xml:space="preserve">). It summarizes the inconsistencies, disclosure risks, and open items identified during a review of the following source documents (collectively, the</w:t>
      </w:r>
      <w:r>
        <w:t xml:space="preserve"> </w:t>
      </w:r>
      <w:r>
        <w:t xml:space="preserve">“</w:t>
      </w:r>
      <w:r>
        <w:t xml:space="preserve">Source Documents</w:t>
      </w:r>
      <w:r>
        <w:t xml:space="preserve">”</w:t>
      </w:r>
      <w:r>
        <w:t xml:space="preserve">):</w:t>
      </w:r>
    </w:p>
    <w:p>
      <w:pPr>
        <w:pStyle w:val="Compact"/>
        <w:numPr>
          <w:ilvl w:val="0"/>
          <w:numId w:val="1001"/>
        </w:numPr>
      </w:pPr>
      <w:r>
        <w:t xml:space="preserve">Audited Consolidated Financial Statements for the fiscal years ended December 31, 2024 and 2023, together with the report of Archer Pryce LLP (the</w:t>
      </w:r>
      <w:r>
        <w:t xml:space="preserve"> </w:t>
      </w:r>
      <w:r>
        <w:t xml:space="preserve">“</w:t>
      </w:r>
      <w:r>
        <w:t xml:space="preserve">Audited Financial Statements</w:t>
      </w:r>
      <w:r>
        <w:t xml:space="preserve">”</w:t>
      </w:r>
      <w:r>
        <w:t xml:space="preserve">);</w:t>
      </w:r>
    </w:p>
    <w:p>
      <w:pPr>
        <w:pStyle w:val="Compact"/>
        <w:numPr>
          <w:ilvl w:val="0"/>
          <w:numId w:val="1001"/>
        </w:numPr>
      </w:pPr>
      <w:r>
        <w:t xml:space="preserve">CFO IPO Readiness Memorandum, dated February 14, 2025 (the</w:t>
      </w:r>
      <w:r>
        <w:t xml:space="preserve"> </w:t>
      </w:r>
      <w:r>
        <w:t xml:space="preserve">“</w:t>
      </w:r>
      <w:r>
        <w:t xml:space="preserve">CFO Memo</w:t>
      </w:r>
      <w:r>
        <w:t xml:space="preserve">”</w:t>
      </w:r>
      <w:r>
        <w:t xml:space="preserve">);</w:t>
      </w:r>
    </w:p>
    <w:p>
      <w:pPr>
        <w:pStyle w:val="Compact"/>
        <w:numPr>
          <w:ilvl w:val="0"/>
          <w:numId w:val="1001"/>
        </w:numPr>
      </w:pPr>
      <w:r>
        <w:t xml:space="preserve">Amended and Restated Certificate of Incorporation and Amended and Restated Bylaws (the</w:t>
      </w:r>
      <w:r>
        <w:t xml:space="preserve"> </w:t>
      </w:r>
      <w:r>
        <w:t xml:space="preserve">“</w:t>
      </w:r>
      <w:r>
        <w:t xml:space="preserve">Charter</w:t>
      </w:r>
      <w:r>
        <w:t xml:space="preserve">”</w:t>
      </w:r>
      <w:r>
        <w:t xml:space="preserve"> </w:t>
      </w:r>
      <w:r>
        <w:t xml:space="preserve">and</w:t>
      </w:r>
      <w:r>
        <w:t xml:space="preserve"> </w:t>
      </w:r>
      <w:r>
        <w:t xml:space="preserve">“</w:t>
      </w:r>
      <w:r>
        <w:t xml:space="preserve">Bylaws</w:t>
      </w:r>
      <w:r>
        <w:t xml:space="preserve">”</w:t>
      </w:r>
      <w:r>
        <w:t xml:space="preserve">);</w:t>
      </w:r>
    </w:p>
    <w:p>
      <w:pPr>
        <w:pStyle w:val="Compact"/>
        <w:numPr>
          <w:ilvl w:val="0"/>
          <w:numId w:val="1001"/>
        </w:numPr>
      </w:pPr>
      <w:r>
        <w:t xml:space="preserve">Director and Officer Questionnaire Responses, compiled by Thorncroft &amp; Wexler LLP, February 2025 (the</w:t>
      </w:r>
      <w:r>
        <w:t xml:space="preserve"> </w:t>
      </w:r>
      <w:r>
        <w:t xml:space="preserve">“</w:t>
      </w:r>
      <w:r>
        <w:t xml:space="preserve">Questionnaire</w:t>
      </w:r>
      <w:r>
        <w:t xml:space="preserve">”</w:t>
      </w:r>
      <w:r>
        <w:t xml:space="preserve">);</w:t>
      </w:r>
    </w:p>
    <w:p>
      <w:pPr>
        <w:pStyle w:val="Compact"/>
        <w:numPr>
          <w:ilvl w:val="0"/>
          <w:numId w:val="1001"/>
        </w:numPr>
      </w:pPr>
      <w:r>
        <w:t xml:space="preserve">Term Loan and Security Agreement Executive Summary, dated as of December 15, 2022 (the</w:t>
      </w:r>
      <w:r>
        <w:t xml:space="preserve"> </w:t>
      </w:r>
      <w:r>
        <w:t xml:space="preserve">“</w:t>
      </w:r>
      <w:r>
        <w:t xml:space="preserve">Term Loan Summary</w:t>
      </w:r>
      <w:r>
        <w:t xml:space="preserve">”</w:t>
      </w:r>
      <w:r>
        <w:t xml:space="preserve">);</w:t>
      </w:r>
    </w:p>
    <w:p>
      <w:pPr>
        <w:pStyle w:val="Compact"/>
        <w:numPr>
          <w:ilvl w:val="0"/>
          <w:numId w:val="1001"/>
        </w:numPr>
      </w:pPr>
      <w:r>
        <w:t xml:space="preserve">Underwriting Term Sheet and Lock-Up Agreement, Pinnacle Ridge Capital (the</w:t>
      </w:r>
      <w:r>
        <w:t xml:space="preserve"> </w:t>
      </w:r>
      <w:r>
        <w:t xml:space="preserve">“</w:t>
      </w:r>
      <w:r>
        <w:t xml:space="preserve">Term Sheet</w:t>
      </w:r>
      <w:r>
        <w:t xml:space="preserve">”</w:t>
      </w:r>
      <w:r>
        <w:t xml:space="preserve">);</w:t>
      </w:r>
    </w:p>
    <w:p>
      <w:pPr>
        <w:pStyle w:val="Compact"/>
        <w:numPr>
          <w:ilvl w:val="0"/>
          <w:numId w:val="1001"/>
        </w:numPr>
      </w:pPr>
      <w:r>
        <w:t xml:space="preserve">Equity Plan Summary and Grants workbook (the</w:t>
      </w:r>
      <w:r>
        <w:t xml:space="preserve"> </w:t>
      </w:r>
      <w:r>
        <w:t xml:space="preserve">“</w:t>
      </w:r>
      <w:r>
        <w:t xml:space="preserve">Equity Plan Records</w:t>
      </w:r>
      <w:r>
        <w:t xml:space="preserve">”</w:t>
      </w:r>
      <w:r>
        <w:t xml:space="preserve">); and</w:t>
      </w:r>
    </w:p>
    <w:p>
      <w:pPr>
        <w:pStyle w:val="Compact"/>
        <w:numPr>
          <w:ilvl w:val="0"/>
          <w:numId w:val="1001"/>
        </w:numPr>
      </w:pPr>
      <w:r>
        <w:t xml:space="preserve">Draft IPO Roadshow Presentation (the</w:t>
      </w:r>
      <w:r>
        <w:t xml:space="preserve"> </w:t>
      </w:r>
      <w:r>
        <w:t xml:space="preserve">“</w:t>
      </w:r>
      <w:r>
        <w:t xml:space="preserve">Roadshow</w:t>
      </w:r>
      <w:r>
        <w:t xml:space="preserve">”</w:t>
      </w:r>
      <w:r>
        <w:t xml:space="preserve">).</w:t>
      </w:r>
    </w:p>
    <w:p>
      <w:pPr>
        <w:pStyle w:val="FirstParagraph"/>
      </w:pPr>
      <w:r>
        <w:t xml:space="preserve">The Audited Financial Statements have been treated as the source of truth for all financial figures. Where other Source Documents conflict with the Audited Financial Statements, the audited figures control for purposes of the Registration Statement, and the conflict is flagged below. Each item is assigned a priority:</w:t>
      </w:r>
      <w:r>
        <w:t xml:space="preserve"> </w:t>
      </w:r>
      <w:r>
        <w:rPr>
          <w:b/>
          <w:bCs/>
        </w:rPr>
        <w:t xml:space="preserve">Critical</w:t>
      </w:r>
      <w:r>
        <w:t xml:space="preserve"> </w:t>
      </w:r>
      <w:r>
        <w:t xml:space="preserve">(must be resolved before filing; potential liability, material misstatement, or SEC comment risk),</w:t>
      </w:r>
      <w:r>
        <w:t xml:space="preserve"> </w:t>
      </w:r>
      <w:r>
        <w:rPr>
          <w:b/>
          <w:bCs/>
        </w:rPr>
        <w:t xml:space="preserve">High</w:t>
      </w:r>
      <w:r>
        <w:t xml:space="preserve"> </w:t>
      </w:r>
      <w:r>
        <w:t xml:space="preserve">(must be resolved before filing; disclosure accuracy or completeness),</w:t>
      </w:r>
      <w:r>
        <w:t xml:space="preserve"> </w:t>
      </w:r>
      <w:r>
        <w:rPr>
          <w:b/>
          <w:bCs/>
        </w:rPr>
        <w:t xml:space="preserve">Medium</w:t>
      </w:r>
      <w:r>
        <w:t xml:space="preserve"> </w:t>
      </w:r>
      <w:r>
        <w:t xml:space="preserve">(resolve before effectiveness; consistency or completeness), and</w:t>
      </w:r>
      <w:r>
        <w:t xml:space="preserve"> </w:t>
      </w:r>
      <w:r>
        <w:rPr>
          <w:b/>
          <w:bCs/>
        </w:rPr>
        <w:t xml:space="preserve">Low</w:t>
      </w:r>
      <w:r>
        <w:t xml:space="preserve"> </w:t>
      </w:r>
      <w:r>
        <w:t xml:space="preserve">(clean-up; typographical or minor consistency).</w:t>
      </w:r>
    </w:p>
    <w:p>
      <w:pPr>
        <w:pStyle w:val="BodyText"/>
      </w:pPr>
      <w:r>
        <w:t xml:space="preserve">A summary count:</w:t>
      </w:r>
      <w:r>
        <w:t xml:space="preserve"> </w:t>
      </w:r>
      <w:r>
        <w:rPr>
          <w:b/>
          <w:bCs/>
        </w:rPr>
        <w:t xml:space="preserve">13 Critical</w:t>
      </w:r>
      <w:r>
        <w:t xml:space="preserve">,</w:t>
      </w:r>
      <w:r>
        <w:t xml:space="preserve"> </w:t>
      </w:r>
      <w:r>
        <w:rPr>
          <w:b/>
          <w:bCs/>
        </w:rPr>
        <w:t xml:space="preserve">9 High</w:t>
      </w:r>
      <w:r>
        <w:t xml:space="preserve">,</w:t>
      </w:r>
      <w:r>
        <w:t xml:space="preserve"> </w:t>
      </w:r>
      <w:r>
        <w:rPr>
          <w:b/>
          <w:bCs/>
        </w:rPr>
        <w:t xml:space="preserve">8 Medium</w:t>
      </w:r>
      <w:r>
        <w:t xml:space="preserve">, and</w:t>
      </w:r>
      <w:r>
        <w:t xml:space="preserve"> </w:t>
      </w:r>
      <w:r>
        <w:rPr>
          <w:b/>
          <w:bCs/>
        </w:rPr>
        <w:t xml:space="preserve">6 Low</w:t>
      </w:r>
      <w:r>
        <w:t xml:space="preserve"> </w:t>
      </w:r>
      <w:r>
        <w:t xml:space="preserve">items, plus a consolidated list of open items and risk factors to confirm.</w:t>
      </w:r>
    </w:p>
    <w:bookmarkEnd w:id="21"/>
    <w:bookmarkStart w:id="35" w:name="ii.-critical-inconsistencies"/>
    <w:p>
      <w:pPr>
        <w:pStyle w:val="Heading1"/>
      </w:pPr>
      <w:r>
        <w:t xml:space="preserve">II. Critical Inconsistencies</w:t>
      </w:r>
    </w:p>
    <w:bookmarkStart w:id="22" w:name="X90604a58e3337c927d5394523b6c32dc4fed880"/>
    <w:p>
      <w:pPr>
        <w:pStyle w:val="Heading2"/>
      </w:pPr>
      <w:r>
        <w:t xml:space="preserve">C-1. Adjusted EBITDA is arithmetically incorrect (Regulation G / Item 10(e) risk)</w:t>
      </w:r>
    </w:p>
    <w:p>
      <w:pPr>
        <w:pStyle w:val="FirstParagraph"/>
      </w:pPr>
      <w:r>
        <w:rPr>
          <w:b/>
          <w:bCs/>
        </w:rPr>
        <w:t xml:space="preserve">Priority: Critical.</w:t>
      </w:r>
    </w:p>
    <w:p>
      <w:pPr>
        <w:pStyle w:val="BodyText"/>
      </w:pPr>
      <w:r>
        <w:t xml:space="preserve">The CFO Memo (Section 5.2) and the Roadshow (Slides 3, 23, 34, and 35) state that Adjusted EBITDA for fiscal year 2024 was</w:t>
      </w:r>
      <w:r>
        <w:t xml:space="preserve"> </w:t>
      </w:r>
      <w:r>
        <w:rPr>
          <w:b/>
          <w:bCs/>
        </w:rPr>
        <w:t xml:space="preserve">$22.8 million</w:t>
      </w:r>
      <w:r>
        <w:t xml:space="preserve">. The Roadshow drafting notes expressly acknowledge that this figure is erroneous. Reconciling the stated add-backs to GAAP net loss using the figures presented in those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 thousands)</w:t>
            </w:r>
          </w:p>
        </w:tc>
        <w:tc>
          <w:tcPr/>
          <w:p>
            <w:pPr>
              <w:pStyle w:val="Compact"/>
              <w:jc w:val="right"/>
            </w:pPr>
            <w:r>
              <w:t xml:space="preserve">FY 2024 (as presented)</w:t>
            </w:r>
          </w:p>
        </w:tc>
      </w:tr>
      <w:tr>
        <w:tc>
          <w:tcPr/>
          <w:p>
            <w:pPr>
              <w:pStyle w:val="Compact"/>
              <w:jc w:val="left"/>
            </w:pPr>
            <w:r>
              <w:t xml:space="preserve">Net loss (GAAP)</w:t>
            </w:r>
          </w:p>
        </w:tc>
        <w:tc>
          <w:tcPr/>
          <w:p>
            <w:pPr>
              <w:pStyle w:val="Compact"/>
              <w:jc w:val="right"/>
            </w:pPr>
            <w:r>
              <w:t xml:space="preserve">$(24,800)</w:t>
            </w:r>
          </w:p>
        </w:tc>
      </w:tr>
      <w:tr>
        <w:tc>
          <w:tcPr/>
          <w:p>
            <w:pPr>
              <w:pStyle w:val="Compact"/>
              <w:jc w:val="left"/>
            </w:pPr>
            <w:r>
              <w:t xml:space="preserve">Depreciation and amortization</w:t>
            </w:r>
          </w:p>
        </w:tc>
        <w:tc>
          <w:tcPr/>
          <w:p>
            <w:pPr>
              <w:pStyle w:val="Compact"/>
              <w:jc w:val="right"/>
            </w:pPr>
            <w:r>
              <w:t xml:space="preserve">8,700</w:t>
            </w:r>
          </w:p>
        </w:tc>
      </w:tr>
      <w:tr>
        <w:tc>
          <w:tcPr/>
          <w:p>
            <w:pPr>
              <w:pStyle w:val="Compact"/>
              <w:jc w:val="left"/>
            </w:pPr>
            <w:r>
              <w:t xml:space="preserve">Stock-based compensation</w:t>
            </w:r>
          </w:p>
        </w:tc>
        <w:tc>
          <w:tcPr/>
          <w:p>
            <w:pPr>
              <w:pStyle w:val="Compact"/>
              <w:jc w:val="right"/>
            </w:pPr>
            <w:r>
              <w:t xml:space="preserve">38,200</w:t>
            </w:r>
          </w:p>
        </w:tc>
      </w:tr>
      <w:tr>
        <w:tc>
          <w:tcPr/>
          <w:p>
            <w:pPr>
              <w:pStyle w:val="Compact"/>
              <w:jc w:val="left"/>
            </w:pPr>
            <w:r>
              <w:t xml:space="preserve">Interest expense</w:t>
            </w:r>
          </w:p>
        </w:tc>
        <w:tc>
          <w:tcPr/>
          <w:p>
            <w:pPr>
              <w:pStyle w:val="Compact"/>
              <w:jc w:val="right"/>
            </w:pPr>
            <w:r>
              <w:t xml:space="preserve">3,100</w:t>
            </w:r>
          </w:p>
        </w:tc>
      </w:tr>
      <w:tr>
        <w:tc>
          <w:tcPr/>
          <w:p>
            <w:pPr>
              <w:pStyle w:val="Compact"/>
              <w:jc w:val="left"/>
            </w:pPr>
            <w:r>
              <w:t xml:space="preserve">Interest income</w:t>
            </w:r>
          </w:p>
        </w:tc>
        <w:tc>
          <w:tcPr/>
          <w:p>
            <w:pPr>
              <w:pStyle w:val="Compact"/>
              <w:jc w:val="right"/>
            </w:pPr>
            <w:r>
              <w:t xml:space="preserve">(6,200)</w:t>
            </w:r>
          </w:p>
        </w:tc>
      </w:tr>
      <w:tr>
        <w:tc>
          <w:tcPr/>
          <w:p>
            <w:pPr>
              <w:pStyle w:val="Compact"/>
              <w:jc w:val="left"/>
            </w:pPr>
            <w:r>
              <w:t xml:space="preserve">Income tax provision</w:t>
            </w:r>
          </w:p>
        </w:tc>
        <w:tc>
          <w:tcPr/>
          <w:p>
            <w:pPr>
              <w:pStyle w:val="Compact"/>
              <w:jc w:val="right"/>
            </w:pPr>
            <w:r>
              <w:t xml:space="preserve">300</w:t>
            </w:r>
          </w:p>
        </w:tc>
      </w:tr>
      <w:tr>
        <w:tc>
          <w:tcPr/>
          <w:p>
            <w:pPr>
              <w:pStyle w:val="Compact"/>
              <w:jc w:val="left"/>
            </w:pPr>
            <w:r>
              <w:t xml:space="preserve">Restructuring charges</w:t>
            </w:r>
          </w:p>
        </w:tc>
        <w:tc>
          <w:tcPr/>
          <w:p>
            <w:pPr>
              <w:pStyle w:val="Compact"/>
              <w:jc w:val="right"/>
            </w:pPr>
            <w:r>
              <w:t xml:space="preserve">1,200</w:t>
            </w:r>
          </w:p>
        </w:tc>
      </w:tr>
      <w:tr>
        <w:tc>
          <w:tcPr/>
          <w:p>
            <w:pPr>
              <w:pStyle w:val="Compact"/>
              <w:jc w:val="left"/>
            </w:pPr>
            <w:r>
              <w:rPr>
                <w:b/>
                <w:bCs/>
              </w:rPr>
              <w:t xml:space="preserve">Adjusted EBITDA (correct sum)</w:t>
            </w:r>
          </w:p>
        </w:tc>
        <w:tc>
          <w:tcPr/>
          <w:p>
            <w:pPr>
              <w:pStyle w:val="Compact"/>
              <w:jc w:val="right"/>
            </w:pPr>
            <w:r>
              <w:rPr>
                <w:b/>
                <w:bCs/>
              </w:rPr>
              <w:t xml:space="preserve">20,500</w:t>
            </w:r>
          </w:p>
        </w:tc>
      </w:tr>
    </w:tbl>
    <w:p>
      <w:pPr>
        <w:pStyle w:val="BodyText"/>
      </w:pPr>
      <w:r>
        <w:t xml:space="preserve">The correct total is</w:t>
      </w:r>
      <w:r>
        <w:t xml:space="preserve"> </w:t>
      </w:r>
      <w:r>
        <w:rPr>
          <w:b/>
          <w:bCs/>
        </w:rPr>
        <w:t xml:space="preserve">$20.5 million</w:t>
      </w:r>
      <w:r>
        <w:t xml:space="preserve">, not $22.8 million — an unexplained</w:t>
      </w:r>
      <w:r>
        <w:t xml:space="preserve"> </w:t>
      </w:r>
      <w:r>
        <w:rPr>
          <w:b/>
          <w:bCs/>
        </w:rPr>
        <w:t xml:space="preserve">$2.3 million overstatement</w:t>
      </w:r>
      <w:r>
        <w:t xml:space="preserve">. The corresponding Adjusted EBITDA margin is 10.9% (not 12.2%). Presenting an incorrect non-GAAP reconciliation in a Registration Statement would violate Regulation G and Item 10(e) of Regulation S-K and would likely draw an SEC comment letter. The Registration Statement draft uses the corrected $20.5 million figure. The error must be corrected in all investor-facing materials (CFO Memo, Roadshow, and any other materials) before any use.</w:t>
      </w:r>
    </w:p>
    <w:bookmarkEnd w:id="22"/>
    <w:bookmarkStart w:id="23" w:name="X5db6b91bf981598aa4d94d37eb3a59a07133a59"/>
    <w:p>
      <w:pPr>
        <w:pStyle w:val="Heading2"/>
      </w:pPr>
      <w:r>
        <w:t xml:space="preserve">C-2. Fiscal year 2023 Adjusted EBITDA reconciliation uses inputs that do not match the Audited Financial Statements</w:t>
      </w:r>
    </w:p>
    <w:p>
      <w:pPr>
        <w:pStyle w:val="FirstParagraph"/>
      </w:pPr>
      <w:r>
        <w:rPr>
          <w:b/>
          <w:bCs/>
        </w:rPr>
        <w:t xml:space="preserve">Priority: Critical.</w:t>
      </w:r>
    </w:p>
    <w:p>
      <w:pPr>
        <w:pStyle w:val="BodyText"/>
      </w:pPr>
      <w:r>
        <w:t xml:space="preserve">The CFO Memo (Section 5.2) reconciles fiscal year 2023 GAAP net loss to Adjusted EBITDA of $7.6 million. Several of the add-backs used in that reconciliation do not agree with the Audited Financial Statements: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 thousands)</w:t>
            </w:r>
          </w:p>
        </w:tc>
        <w:tc>
          <w:tcPr/>
          <w:p>
            <w:pPr>
              <w:pStyle w:val="Compact"/>
              <w:jc w:val="right"/>
            </w:pPr>
            <w:r>
              <w:t xml:space="preserve">CFO Memo (FY 2023)</w:t>
            </w:r>
          </w:p>
        </w:tc>
        <w:tc>
          <w:tcPr/>
          <w:p>
            <w:pPr>
              <w:pStyle w:val="Compact"/>
              <w:jc w:val="right"/>
            </w:pPr>
            <w:r>
              <w:t xml:space="preserve">Audited (FY 2023)</w:t>
            </w:r>
          </w:p>
        </w:tc>
        <w:tc>
          <w:tcPr/>
          <w:p>
            <w:pPr>
              <w:pStyle w:val="Compact"/>
              <w:jc w:val="right"/>
            </w:pPr>
            <w:r>
              <w:t xml:space="preserve">Difference</w:t>
            </w:r>
          </w:p>
        </w:tc>
      </w:tr>
      <w:tr>
        <w:tc>
          <w:tcPr/>
          <w:p>
            <w:pPr>
              <w:pStyle w:val="Compact"/>
              <w:jc w:val="left"/>
            </w:pPr>
            <w:r>
              <w:t xml:space="preserve">Depreciation and amortization</w:t>
            </w:r>
          </w:p>
        </w:tc>
        <w:tc>
          <w:tcPr/>
          <w:p>
            <w:pPr>
              <w:pStyle w:val="Compact"/>
              <w:jc w:val="right"/>
            </w:pPr>
            <w:r>
              <w:t xml:space="preserve">6,900</w:t>
            </w:r>
          </w:p>
        </w:tc>
        <w:tc>
          <w:tcPr/>
          <w:p>
            <w:pPr>
              <w:pStyle w:val="Compact"/>
              <w:jc w:val="right"/>
            </w:pPr>
            <w:r>
              <w:t xml:space="preserve">7,100</w:t>
            </w:r>
          </w:p>
        </w:tc>
        <w:tc>
          <w:tcPr/>
          <w:p>
            <w:pPr>
              <w:pStyle w:val="Compact"/>
              <w:jc w:val="right"/>
            </w:pPr>
            <w:r>
              <w:t xml:space="preserve">(200)</w:t>
            </w:r>
          </w:p>
        </w:tc>
      </w:tr>
      <w:tr>
        <w:tc>
          <w:tcPr/>
          <w:p>
            <w:pPr>
              <w:pStyle w:val="Compact"/>
              <w:jc w:val="left"/>
            </w:pPr>
            <w:r>
              <w:t xml:space="preserve">Stock-based compensation</w:t>
            </w:r>
          </w:p>
        </w:tc>
        <w:tc>
          <w:tcPr/>
          <w:p>
            <w:pPr>
              <w:pStyle w:val="Compact"/>
              <w:jc w:val="right"/>
            </w:pPr>
            <w:r>
              <w:t xml:space="preserve">29,100</w:t>
            </w:r>
          </w:p>
        </w:tc>
        <w:tc>
          <w:tcPr/>
          <w:p>
            <w:pPr>
              <w:pStyle w:val="Compact"/>
              <w:jc w:val="right"/>
            </w:pPr>
            <w:r>
              <w:t xml:space="preserve">26,400</w:t>
            </w:r>
          </w:p>
        </w:tc>
        <w:tc>
          <w:tcPr/>
          <w:p>
            <w:pPr>
              <w:pStyle w:val="Compact"/>
              <w:jc w:val="right"/>
            </w:pPr>
            <w:r>
              <w:t xml:space="preserve">2,700</w:t>
            </w:r>
          </w:p>
        </w:tc>
      </w:tr>
      <w:tr>
        <w:tc>
          <w:tcPr/>
          <w:p>
            <w:pPr>
              <w:pStyle w:val="Compact"/>
              <w:jc w:val="left"/>
            </w:pPr>
            <w:r>
              <w:t xml:space="preserve">Interest expense</w:t>
            </w:r>
          </w:p>
        </w:tc>
        <w:tc>
          <w:tcPr/>
          <w:p>
            <w:pPr>
              <w:pStyle w:val="Compact"/>
              <w:jc w:val="right"/>
            </w:pPr>
            <w:r>
              <w:t xml:space="preserve">2,800</w:t>
            </w:r>
          </w:p>
        </w:tc>
        <w:tc>
          <w:tcPr/>
          <w:p>
            <w:pPr>
              <w:pStyle w:val="Compact"/>
              <w:jc w:val="right"/>
            </w:pPr>
            <w:r>
              <w:t xml:space="preserve">3,100</w:t>
            </w:r>
          </w:p>
        </w:tc>
        <w:tc>
          <w:tcPr/>
          <w:p>
            <w:pPr>
              <w:pStyle w:val="Compact"/>
              <w:jc w:val="right"/>
            </w:pPr>
            <w:r>
              <w:t xml:space="preserve">(300)</w:t>
            </w:r>
          </w:p>
        </w:tc>
      </w:tr>
      <w:tr>
        <w:tc>
          <w:tcPr/>
          <w:p>
            <w:pPr>
              <w:pStyle w:val="Compact"/>
              <w:jc w:val="left"/>
            </w:pPr>
            <w:r>
              <w:t xml:space="preserve">Interest income</w:t>
            </w:r>
          </w:p>
        </w:tc>
        <w:tc>
          <w:tcPr/>
          <w:p>
            <w:pPr>
              <w:pStyle w:val="Compact"/>
              <w:jc w:val="right"/>
            </w:pPr>
            <w:r>
              <w:t xml:space="preserve">4,600</w:t>
            </w:r>
          </w:p>
        </w:tc>
        <w:tc>
          <w:tcPr/>
          <w:p>
            <w:pPr>
              <w:pStyle w:val="Compact"/>
              <w:jc w:val="right"/>
            </w:pPr>
            <w:r>
              <w:t xml:space="preserve">5,800</w:t>
            </w:r>
          </w:p>
        </w:tc>
        <w:tc>
          <w:tcPr/>
          <w:p>
            <w:pPr>
              <w:pStyle w:val="Compact"/>
              <w:jc w:val="right"/>
            </w:pPr>
            <w:r>
              <w:t xml:space="preserve">(1,200)</w:t>
            </w:r>
          </w:p>
        </w:tc>
      </w:tr>
      <w:tr>
        <w:tc>
          <w:tcPr/>
          <w:p>
            <w:pPr>
              <w:pStyle w:val="Compact"/>
              <w:jc w:val="left"/>
            </w:pPr>
            <w:r>
              <w:t xml:space="preserve">Income tax provision</w:t>
            </w:r>
          </w:p>
        </w:tc>
        <w:tc>
          <w:tcPr/>
          <w:p>
            <w:pPr>
              <w:pStyle w:val="Compact"/>
              <w:jc w:val="right"/>
            </w:pPr>
            <w:r>
              <w:t xml:space="preserve">200</w:t>
            </w:r>
          </w:p>
        </w:tc>
        <w:tc>
          <w:tcPr/>
          <w:p>
            <w:pPr>
              <w:pStyle w:val="Compact"/>
              <w:jc w:val="right"/>
            </w:pPr>
            <w:r>
              <w:t xml:space="preserve">100</w:t>
            </w:r>
          </w:p>
        </w:tc>
        <w:tc>
          <w:tcPr/>
          <w:p>
            <w:pPr>
              <w:pStyle w:val="Compact"/>
              <w:jc w:val="right"/>
            </w:pPr>
            <w:r>
              <w:t xml:space="preserve">100</w:t>
            </w:r>
          </w:p>
        </w:tc>
      </w:tr>
      <w:tr>
        <w:tc>
          <w:tcPr/>
          <w:p>
            <w:pPr>
              <w:pStyle w:val="Compact"/>
              <w:jc w:val="left"/>
            </w:pPr>
            <w:r>
              <w:t xml:space="preserve">Restructuring charges</w:t>
            </w:r>
          </w:p>
        </w:tc>
        <w:tc>
          <w:tcPr/>
          <w:p>
            <w:pPr>
              <w:pStyle w:val="Compact"/>
              <w:jc w:val="right"/>
            </w:pPr>
            <w:r>
              <w:t xml:space="preserve">600</w:t>
            </w:r>
          </w:p>
        </w:tc>
        <w:tc>
          <w:tcPr/>
          <w:p>
            <w:pPr>
              <w:pStyle w:val="Compact"/>
              <w:jc w:val="right"/>
            </w:pPr>
            <w:r>
              <w:t xml:space="preserve">—</w:t>
            </w:r>
          </w:p>
        </w:tc>
        <w:tc>
          <w:tcPr/>
          <w:p>
            <w:pPr>
              <w:pStyle w:val="Compact"/>
              <w:jc w:val="right"/>
            </w:pPr>
            <w:r>
              <w:t xml:space="preserve">600</w:t>
            </w:r>
          </w:p>
        </w:tc>
      </w:tr>
    </w:tbl>
    <w:p>
      <w:pPr>
        <w:pStyle w:val="BodyText"/>
      </w:pPr>
      <w:r>
        <w:t xml:space="preserve">Using the audited inputs, fiscal year 2023 Adjusted EBITDA is approximately</w:t>
      </w:r>
      <w:r>
        <w:t xml:space="preserve"> </w:t>
      </w:r>
      <w:r>
        <w:rPr>
          <w:b/>
          <w:bCs/>
        </w:rPr>
        <w:t xml:space="preserve">$3.5 million</w:t>
      </w:r>
      <w:r>
        <w:t xml:space="preserve">, not $7.6 million. Notably, the Audited Financial Statements (Note 9) reflect</w:t>
      </w:r>
      <w:r>
        <w:t xml:space="preserve"> </w:t>
      </w:r>
      <w:r>
        <w:rPr>
          <w:b/>
          <w:bCs/>
        </w:rPr>
        <w:t xml:space="preserve">no restructuring activity in fiscal year 2023</w:t>
      </w:r>
      <w:r>
        <w:t xml:space="preserve"> </w:t>
      </w:r>
      <w:r>
        <w:t xml:space="preserve">(the restructuring accrual was $0 as of December 31, 2023), so the $0.6 million restructuring add-back in the CFO Memo has no basis. The Registration Statement draft uses the audited inputs and the corrected $3.5 million figure. All non-GAAP reconciliations must be rebuilt from the Audited Financial Statements.</w:t>
      </w:r>
    </w:p>
    <w:bookmarkEnd w:id="23"/>
    <w:bookmarkStart w:id="24" w:name="X9a7619653646ad2a3282b7a57e79985bec33201"/>
    <w:p>
      <w:pPr>
        <w:pStyle w:val="Heading2"/>
      </w:pPr>
      <w:r>
        <w:t xml:space="preserve">C-3. Professional services are described as</w:t>
      </w:r>
      <w:r>
        <w:t xml:space="preserve"> </w:t>
      </w:r>
      <w:r>
        <w:t xml:space="preserve">“</w:t>
      </w:r>
      <w:r>
        <w:t xml:space="preserve">high-margin</w:t>
      </w:r>
      <w:r>
        <w:t xml:space="preserve">”</w:t>
      </w:r>
      <w:r>
        <w:t xml:space="preserve"> </w:t>
      </w:r>
      <w:r>
        <w:t xml:space="preserve">despite a negative gross margin</w:t>
      </w:r>
    </w:p>
    <w:p>
      <w:pPr>
        <w:pStyle w:val="FirstParagraph"/>
      </w:pPr>
      <w:r>
        <w:rPr>
          <w:b/>
          <w:bCs/>
        </w:rPr>
        <w:t xml:space="preserve">Priority: Critical.</w:t>
      </w:r>
    </w:p>
    <w:p>
      <w:pPr>
        <w:pStyle w:val="BodyText"/>
      </w:pPr>
      <w:r>
        <w:t xml:space="preserve">The Roadshow (Slides 12, 17, 21, and 27) describes professional services as</w:t>
      </w:r>
      <w:r>
        <w:t xml:space="preserve"> </w:t>
      </w:r>
      <w:r>
        <w:t xml:space="preserve">“</w:t>
      </w:r>
      <w:r>
        <w:t xml:space="preserve">high-margin and accretive</w:t>
      </w:r>
      <w:r>
        <w:t xml:space="preserve">”</w:t>
      </w:r>
      <w:r>
        <w:t xml:space="preserve"> </w:t>
      </w:r>
      <w:r>
        <w:t xml:space="preserve">and projects professional services gross margins of 15–20%. The Audited Financial Statements show the opposite: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 thousands)</w:t>
            </w:r>
          </w:p>
        </w:tc>
        <w:tc>
          <w:tcPr/>
          <w:p>
            <w:pPr>
              <w:pStyle w:val="Compact"/>
              <w:jc w:val="right"/>
            </w:pPr>
            <w:r>
              <w:t xml:space="preserve">FY 2024</w:t>
            </w:r>
          </w:p>
        </w:tc>
      </w:tr>
      <w:tr>
        <w:tc>
          <w:tcPr/>
          <w:p>
            <w:pPr>
              <w:pStyle w:val="Compact"/>
              <w:jc w:val="left"/>
            </w:pPr>
            <w:r>
              <w:t xml:space="preserve">Professional services revenue</w:t>
            </w:r>
          </w:p>
        </w:tc>
        <w:tc>
          <w:tcPr/>
          <w:p>
            <w:pPr>
              <w:pStyle w:val="Compact"/>
              <w:jc w:val="right"/>
            </w:pPr>
            <w:r>
              <w:t xml:space="preserve">18,700</w:t>
            </w:r>
          </w:p>
        </w:tc>
      </w:tr>
      <w:tr>
        <w:tc>
          <w:tcPr/>
          <w:p>
            <w:pPr>
              <w:pStyle w:val="Compact"/>
              <w:jc w:val="left"/>
            </w:pPr>
            <w:r>
              <w:t xml:space="preserve">Professional services cost of revenue</w:t>
            </w:r>
          </w:p>
        </w:tc>
        <w:tc>
          <w:tcPr/>
          <w:p>
            <w:pPr>
              <w:pStyle w:val="Compact"/>
              <w:jc w:val="right"/>
            </w:pPr>
            <w:r>
              <w:t xml:space="preserve">18,800</w:t>
            </w:r>
          </w:p>
        </w:tc>
      </w:tr>
      <w:tr>
        <w:tc>
          <w:tcPr/>
          <w:p>
            <w:pPr>
              <w:pStyle w:val="Compact"/>
              <w:jc w:val="left"/>
            </w:pPr>
            <w:r>
              <w:rPr>
                <w:b/>
                <w:bCs/>
              </w:rPr>
              <w:t xml:space="preserve">Professional services gross profit (margin)</w:t>
            </w:r>
          </w:p>
        </w:tc>
        <w:tc>
          <w:tcPr/>
          <w:p>
            <w:pPr>
              <w:pStyle w:val="Compact"/>
              <w:jc w:val="right"/>
            </w:pPr>
            <w:r>
              <w:rPr>
                <w:b/>
                <w:bCs/>
              </w:rPr>
              <w:t xml:space="preserve">(100) / (0.5)%</w:t>
            </w:r>
          </w:p>
        </w:tc>
      </w:tr>
    </w:tbl>
    <w:p>
      <w:pPr>
        <w:pStyle w:val="BodyText"/>
      </w:pPr>
      <w:r>
        <w:t xml:space="preserve">Professional services gross margin was approximately</w:t>
      </w:r>
      <w:r>
        <w:t xml:space="preserve"> </w:t>
      </w:r>
      <w:r>
        <w:rPr>
          <w:b/>
          <w:bCs/>
        </w:rPr>
        <w:t xml:space="preserve">(0.5)%</w:t>
      </w:r>
      <w:r>
        <w:t xml:space="preserve"> </w:t>
      </w:r>
      <w:r>
        <w:t xml:space="preserve">in fiscal year 2024 (i.e., negative). The</w:t>
      </w:r>
      <w:r>
        <w:t xml:space="preserve"> </w:t>
      </w:r>
      <w:r>
        <w:t xml:space="preserve">“</w:t>
      </w:r>
      <w:r>
        <w:t xml:space="preserve">high-margin</w:t>
      </w:r>
      <w:r>
        <w:t xml:space="preserve">”</w:t>
      </w:r>
      <w:r>
        <w:t xml:space="preserve"> </w:t>
      </w:r>
      <w:r>
        <w:t xml:space="preserve">characterization is contradicted by the audited results and by the Roadshow’s own appendix (Slide 35), which correctly shows professional services gross margin of (0.5)%. The Registration Statement draft describes the current professional services gross margin accurately and frames any forward improvement as a target. The Roadshow and CFO Memo must be corrected to avoid a misleading characterization that could support a claim under Sections 11 and 12 of the Securities Act.</w:t>
      </w:r>
    </w:p>
    <w:bookmarkEnd w:id="24"/>
    <w:bookmarkStart w:id="25" w:name="Xd08fb1dd297c0f0ac807a6e1c9ec3346ae62c14"/>
    <w:p>
      <w:pPr>
        <w:pStyle w:val="Heading2"/>
      </w:pPr>
      <w:r>
        <w:t xml:space="preserve">C-4. Direct contradiction on whether IPO proceeds will be used to repay the term loan</w:t>
      </w:r>
    </w:p>
    <w:p>
      <w:pPr>
        <w:pStyle w:val="FirstParagraph"/>
      </w:pPr>
      <w:r>
        <w:rPr>
          <w:b/>
          <w:bCs/>
        </w:rPr>
        <w:t xml:space="preserve">Priority: Critical.</w:t>
      </w:r>
    </w:p>
    <w:p>
      <w:pPr>
        <w:pStyle w:val="BodyText"/>
      </w:pPr>
      <w:r>
        <w:t xml:space="preserve">The Source Documents contain three different and mutually inconsistent statements regarding the use of IPO proceeds to repay the $40.0 million term loan: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t xml:space="preserve">CFO Memo, Section 3.2</w:t>
            </w:r>
          </w:p>
        </w:tc>
        <w:tc>
          <w:tcPr/>
          <w:p>
            <w:pPr>
              <w:pStyle w:val="Compact"/>
              <w:jc w:val="left"/>
            </w:pPr>
            <w:r>
              <w:t xml:space="preserve">Allocates approximately 15% of net proceeds (~$49.8 million) to debt repayment, including the $40.0 million term loan.</w:t>
            </w:r>
          </w:p>
        </w:tc>
      </w:tr>
      <w:tr>
        <w:tc>
          <w:tcPr/>
          <w:p>
            <w:pPr>
              <w:pStyle w:val="Compact"/>
              <w:jc w:val="left"/>
            </w:pPr>
            <w:r>
              <w:t xml:space="preserve">Term Loan Summary, Section 13(4)</w:t>
            </w:r>
          </w:p>
        </w:tc>
        <w:tc>
          <w:tcPr/>
          <w:p>
            <w:pPr>
              <w:pStyle w:val="Compact"/>
              <w:jc w:val="left"/>
            </w:pPr>
            <w:r>
              <w:t xml:space="preserve">“</w:t>
            </w:r>
            <w:r>
              <w:t xml:space="preserve">The Company does not intend to use IPO proceeds to repay the term loan.</w:t>
            </w:r>
            <w:r>
              <w:t xml:space="preserve">”</w:t>
            </w:r>
          </w:p>
        </w:tc>
      </w:tr>
      <w:tr>
        <w:tc>
          <w:tcPr/>
          <w:p>
            <w:pPr>
              <w:pStyle w:val="Compact"/>
              <w:jc w:val="left"/>
            </w:pPr>
            <w:r>
              <w:t xml:space="preserve">Roadshow, Slide 27</w:t>
            </w:r>
          </w:p>
        </w:tc>
        <w:tc>
          <w:tcPr/>
          <w:p>
            <w:pPr>
              <w:pStyle w:val="Compact"/>
              <w:jc w:val="left"/>
            </w:pPr>
            <w:r>
              <w:t xml:space="preserve">Allocates approximately 5% of net proceeds (~$16.6 million) to</w:t>
            </w:r>
            <w:r>
              <w:t xml:space="preserve"> </w:t>
            </w:r>
            <w:r>
              <w:t xml:space="preserve">“</w:t>
            </w:r>
            <w:r>
              <w:t xml:space="preserve">Term Loan Repayment.</w:t>
            </w:r>
            <w:r>
              <w:t xml:space="preserve">”</w:t>
            </w:r>
          </w:p>
        </w:tc>
      </w:tr>
      <w:tr>
        <w:tc>
          <w:tcPr/>
          <w:p>
            <w:pPr>
              <w:pStyle w:val="Compact"/>
              <w:jc w:val="left"/>
            </w:pPr>
            <w:r>
              <w:t xml:space="preserve">Term Sheet, Section 4</w:t>
            </w:r>
          </w:p>
        </w:tc>
        <w:tc>
          <w:tcPr/>
          <w:p>
            <w:pPr>
              <w:pStyle w:val="Compact"/>
              <w:jc w:val="left"/>
            </w:pPr>
            <w:r>
              <w:t xml:space="preserve">“</w:t>
            </w:r>
            <w:r>
              <w:t xml:space="preserve">A portion of net proceeds may be used to repay indebtedness… The Company has not determined the specific allocation.</w:t>
            </w:r>
            <w:r>
              <w:t xml:space="preserve">”</w:t>
            </w:r>
          </w:p>
        </w:tc>
      </w:tr>
    </w:tbl>
    <w:p>
      <w:pPr>
        <w:pStyle w:val="BodyText"/>
      </w:pPr>
      <w:r>
        <w:t xml:space="preserve">The Use of Proceeds section of the Registration Statement cannot be finalized until management and the Board determine, and document, the intended use of proceeds with respect to the term loan. The Registration Statement draft currently presents the principal intended uses without committing to a specific term-loan repayment amount, consistent with the Term Sheet. This must be resolved and made consistent across all documents. Note also that voluntary prepayment of the term loan would trigger the 1.00% exit fee (approximately $0.4 million on $40.0 million).</w:t>
      </w:r>
    </w:p>
    <w:bookmarkEnd w:id="25"/>
    <w:bookmarkStart w:id="26" w:name="X64b36cc701912f5b57cdde45bd3eb8679f8363d"/>
    <w:p>
      <w:pPr>
        <w:pStyle w:val="Heading2"/>
      </w:pPr>
      <w:r>
        <w:t xml:space="preserve">C-5. Inconsistent name for the term loan lender</w:t>
      </w:r>
    </w:p>
    <w:p>
      <w:pPr>
        <w:pStyle w:val="FirstParagraph"/>
      </w:pPr>
      <w:r>
        <w:rPr>
          <w:b/>
          <w:bCs/>
        </w:rPr>
        <w:t xml:space="preserve">Priority: Critical.</w:t>
      </w:r>
    </w:p>
    <w:p>
      <w:pPr>
        <w:pStyle w:val="BodyText"/>
      </w:pPr>
      <w:r>
        <w:t xml:space="preserve">The term loan lender is identified as</w:t>
      </w:r>
      <w:r>
        <w:t xml:space="preserve"> </w:t>
      </w:r>
      <w:r>
        <w:rPr>
          <w:b/>
          <w:bCs/>
        </w:rPr>
        <w:t xml:space="preserve">“</w:t>
      </w:r>
      <w:r>
        <w:rPr>
          <w:b/>
          <w:bCs/>
        </w:rPr>
        <w:t xml:space="preserve">Kestridge West Credit Partners</w:t>
      </w:r>
      <w:r>
        <w:rPr>
          <w:b/>
          <w:bCs/>
        </w:rPr>
        <w:t xml:space="preserve">”</w:t>
      </w:r>
      <w:r>
        <w:t xml:space="preserve"> </w:t>
      </w:r>
      <w:r>
        <w:t xml:space="preserve">in the Audited Financial Statements (Note 8), the Term Loan Summary, and the Term Sheet, but as</w:t>
      </w:r>
      <w:r>
        <w:t xml:space="preserve"> </w:t>
      </w:r>
      <w:r>
        <w:rPr>
          <w:b/>
          <w:bCs/>
        </w:rPr>
        <w:t xml:space="preserve">“</w:t>
      </w:r>
      <w:r>
        <w:rPr>
          <w:b/>
          <w:bCs/>
        </w:rPr>
        <w:t xml:space="preserve">Silicon Valley Credit Partners</w:t>
      </w:r>
      <w:r>
        <w:rPr>
          <w:b/>
          <w:bCs/>
        </w:rPr>
        <w:t xml:space="preserve">”</w:t>
      </w:r>
      <w:r>
        <w:t xml:space="preserve"> </w:t>
      </w:r>
      <w:r>
        <w:t xml:space="preserve">in the Roadshow (Slides 20, 24, and 27). In addition, the Term Loan Summary (Section 1) defines the lender as</w:t>
      </w:r>
      <w:r>
        <w:t xml:space="preserve"> </w:t>
      </w:r>
      <w:r>
        <w:t xml:space="preserve">“</w:t>
      </w:r>
      <w:r>
        <w:t xml:space="preserve">Kestridge West Credit Partners (</w:t>
      </w:r>
      <w:r>
        <w:t xml:space="preserve">‘</w:t>
      </w:r>
      <w:r>
        <w:t xml:space="preserve">SVCP</w:t>
      </w:r>
      <w:r>
        <w:t xml:space="preserve">’</w:t>
      </w:r>
      <w:r>
        <w:t xml:space="preserve">),</w:t>
      </w:r>
      <w:r>
        <w:t xml:space="preserve">”</w:t>
      </w:r>
      <w:r>
        <w:t xml:space="preserve"> </w:t>
      </w:r>
      <w:r>
        <w:t xml:space="preserve">an abbreviation (</w:t>
      </w:r>
      <w:r>
        <w:t xml:space="preserve">“</w:t>
      </w:r>
      <w:r>
        <w:t xml:space="preserve">SVCP</w:t>
      </w:r>
      <w:r>
        <w:t xml:space="preserve">”</w:t>
      </w:r>
      <w:r>
        <w:t xml:space="preserve">) that corresponds to</w:t>
      </w:r>
      <w:r>
        <w:t xml:space="preserve"> </w:t>
      </w:r>
      <w:r>
        <w:t xml:space="preserve">“</w:t>
      </w:r>
      <w:r>
        <w:t xml:space="preserve">Silicon Valley Credit Partners,</w:t>
      </w:r>
      <w:r>
        <w:t xml:space="preserve">”</w:t>
      </w:r>
      <w:r>
        <w:t xml:space="preserve"> </w:t>
      </w:r>
      <w:r>
        <w:t xml:space="preserve">not</w:t>
      </w:r>
      <w:r>
        <w:t xml:space="preserve"> </w:t>
      </w:r>
      <w:r>
        <w:t xml:space="preserve">“</w:t>
      </w:r>
      <w:r>
        <w:t xml:space="preserve">Kestridge West Credit Partners.</w:t>
      </w:r>
      <w:r>
        <w:t xml:space="preserve">”</w:t>
      </w:r>
      <w:r>
        <w:t xml:space="preserve"> </w:t>
      </w:r>
      <w:r>
        <w:t xml:space="preserve">This suggests the lender may have been renamed or that the documents were prepared at different times using different names. The correct current legal name of the lender must be confirmed and used consistently throughout the Registration Statement, the Description of Indebtedness, the credit agreement exhibit, and all investor materials. The</w:t>
      </w:r>
      <w:r>
        <w:t xml:space="preserve"> </w:t>
      </w:r>
      <w:r>
        <w:t xml:space="preserve">“</w:t>
      </w:r>
      <w:r>
        <w:t xml:space="preserve">SVCP</w:t>
      </w:r>
      <w:r>
        <w:t xml:space="preserve">”</w:t>
      </w:r>
      <w:r>
        <w:t xml:space="preserve"> </w:t>
      </w:r>
      <w:r>
        <w:t xml:space="preserve">abbreviation in the Term Loan Summary should be corrected.</w:t>
      </w:r>
    </w:p>
    <w:bookmarkEnd w:id="26"/>
    <w:bookmarkStart w:id="27" w:name="Xe3668496977f278c37003a4090e161ee694b934"/>
    <w:p>
      <w:pPr>
        <w:pStyle w:val="Heading2"/>
      </w:pPr>
      <w:r>
        <w:t xml:space="preserve">C-6. Term loan origination date and draw/repayment history do not reconcile</w:t>
      </w:r>
    </w:p>
    <w:p>
      <w:pPr>
        <w:pStyle w:val="FirstParagraph"/>
      </w:pPr>
      <w:r>
        <w:rPr>
          <w:b/>
          <w:bCs/>
        </w:rPr>
        <w:t xml:space="preserve">Priority: Critical.</w:t>
      </w:r>
    </w:p>
    <w:p>
      <w:pPr>
        <w:pStyle w:val="BodyText"/>
      </w:pPr>
      <w:r>
        <w:t xml:space="preserve">The Term Loan Summary and the Audited Financial Statements are inconsistent regarding the term loan: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Term Loan Summary</w:t>
            </w:r>
          </w:p>
        </w:tc>
        <w:tc>
          <w:tcPr/>
          <w:p>
            <w:pPr>
              <w:pStyle w:val="Compact"/>
              <w:jc w:val="left"/>
            </w:pPr>
            <w:r>
              <w:t xml:space="preserve">Audited Financial Statements</w:t>
            </w:r>
          </w:p>
        </w:tc>
      </w:tr>
      <w:tr>
        <w:tc>
          <w:tcPr/>
          <w:p>
            <w:pPr>
              <w:pStyle w:val="Compact"/>
              <w:jc w:val="left"/>
            </w:pPr>
            <w:r>
              <w:t xml:space="preserve">Date facility entered</w:t>
            </w:r>
          </w:p>
        </w:tc>
        <w:tc>
          <w:tcPr/>
          <w:p>
            <w:pPr>
              <w:pStyle w:val="Compact"/>
              <w:jc w:val="left"/>
            </w:pPr>
            <w:r>
              <w:t xml:space="preserve">December 15, 2022</w:t>
            </w:r>
          </w:p>
        </w:tc>
        <w:tc>
          <w:tcPr/>
          <w:p>
            <w:pPr>
              <w:pStyle w:val="Compact"/>
              <w:jc w:val="left"/>
            </w:pPr>
            <w:r>
              <w:t xml:space="preserve">June 2023 (Note 8)</w:t>
            </w:r>
          </w:p>
        </w:tc>
      </w:tr>
      <w:tr>
        <w:tc>
          <w:tcPr/>
          <w:p>
            <w:pPr>
              <w:pStyle w:val="Compact"/>
              <w:jc w:val="left"/>
            </w:pPr>
            <w:r>
              <w:t xml:space="preserve">Initial draw</w:t>
            </w:r>
          </w:p>
        </w:tc>
        <w:tc>
          <w:tcPr/>
          <w:p>
            <w:pPr>
              <w:pStyle w:val="Compact"/>
              <w:jc w:val="left"/>
            </w:pPr>
            <w:r>
              <w:t xml:space="preserve">$40.0 million on closing date</w:t>
            </w:r>
          </w:p>
        </w:tc>
        <w:tc>
          <w:tcPr/>
          <w:p>
            <w:pPr>
              <w:pStyle w:val="Compact"/>
              <w:jc w:val="left"/>
            </w:pPr>
            <w:r>
              <w:t xml:space="preserve">Not stated as a single $40.0 million draw</w:t>
            </w:r>
          </w:p>
        </w:tc>
      </w:tr>
      <w:tr>
        <w:tc>
          <w:tcPr/>
          <w:p>
            <w:pPr>
              <w:pStyle w:val="Compact"/>
              <w:jc w:val="left"/>
            </w:pPr>
            <w:r>
              <w:t xml:space="preserve">FY 2023 borrowings</w:t>
            </w:r>
          </w:p>
        </w:tc>
        <w:tc>
          <w:tcPr/>
          <w:p>
            <w:pPr>
              <w:pStyle w:val="Compact"/>
              <w:jc w:val="left"/>
            </w:pPr>
            <w:r>
              <w:t xml:space="preserve">None (initial draw only)</w:t>
            </w:r>
          </w:p>
        </w:tc>
        <w:tc>
          <w:tcPr/>
          <w:p>
            <w:pPr>
              <w:pStyle w:val="Compact"/>
              <w:jc w:val="left"/>
            </w:pPr>
            <w:r>
              <w:t xml:space="preserve">$15.0 million (Statement of Cash Flows)</w:t>
            </w:r>
          </w:p>
        </w:tc>
      </w:tr>
      <w:tr>
        <w:tc>
          <w:tcPr/>
          <w:p>
            <w:pPr>
              <w:pStyle w:val="Compact"/>
              <w:jc w:val="left"/>
            </w:pPr>
            <w:r>
              <w:t xml:space="preserve">FY 2024 activity</w:t>
            </w:r>
          </w:p>
        </w:tc>
        <w:tc>
          <w:tcPr/>
          <w:p>
            <w:pPr>
              <w:pStyle w:val="Compact"/>
              <w:jc w:val="left"/>
            </w:pPr>
            <w:r>
              <w:t xml:space="preserve">None</w:t>
            </w:r>
          </w:p>
        </w:tc>
        <w:tc>
          <w:tcPr/>
          <w:p>
            <w:pPr>
              <w:pStyle w:val="Compact"/>
              <w:jc w:val="left"/>
            </w:pPr>
            <w:r>
              <w:t xml:space="preserve">$5.0 million repayment (Statement of Cash Flows)</w:t>
            </w:r>
          </w:p>
        </w:tc>
      </w:tr>
      <w:tr>
        <w:tc>
          <w:tcPr/>
          <w:p>
            <w:pPr>
              <w:pStyle w:val="Compact"/>
              <w:jc w:val="left"/>
            </w:pPr>
            <w:r>
              <w:t xml:space="preserve">Amortization</w:t>
            </w:r>
          </w:p>
        </w:tc>
        <w:tc>
          <w:tcPr/>
          <w:p>
            <w:pPr>
              <w:pStyle w:val="Compact"/>
              <w:jc w:val="left"/>
            </w:pPr>
            <w:r>
              <w:t xml:space="preserve">$500,000 per quarter (~$2.0 million/year)</w:t>
            </w:r>
          </w:p>
        </w:tc>
        <w:tc>
          <w:tcPr/>
          <w:p>
            <w:pPr>
              <w:pStyle w:val="Compact"/>
              <w:jc w:val="left"/>
            </w:pPr>
            <w:r>
              <w:t xml:space="preserve">Future repayments: $5.0M (2025), $10.0M (2026), $25.0M (2027)</w:t>
            </w:r>
          </w:p>
        </w:tc>
      </w:tr>
    </w:tbl>
    <w:p>
      <w:pPr>
        <w:pStyle w:val="BodyText"/>
      </w:pPr>
      <w:r>
        <w:t xml:space="preserve">The draw and repayment history does not reconcile. If $40.0 million was drawn at the December 15, 2022 closing (as the Term Loan Summary states), the fiscal year 2023 Statement of Cash Flows should not reflect $15.0 million of new term loan borrowings, and the $40.0 million balance at both December 31, 2023 and December 31, 2024 is inconsistent with $15.0 million of borrowings in 2023 and $5.0 million of repayments in 2024. In addition, the stated quarterly amortization of $500,000 (~$2.0 million per year) does not match the future principal repayment schedule in Note 8 ($5.0 million due in 2025 alone). These discrepancies must be reconciled with the actual credit agreement and the general ledger before the Description of Indebtedness and the financial statement notes are finalized. The auditor should be asked to confirm the debt rollforward.</w:t>
      </w:r>
    </w:p>
    <w:bookmarkEnd w:id="27"/>
    <w:bookmarkStart w:id="28" w:name="X9315850ad355b2dc9e578f1cef54ce2197386a0"/>
    <w:p>
      <w:pPr>
        <w:pStyle w:val="Heading2"/>
      </w:pPr>
      <w:r>
        <w:t xml:space="preserve">C-7. Board of directors size and the co-founder’s director status are inconsistent</w:t>
      </w:r>
    </w:p>
    <w:p>
      <w:pPr>
        <w:pStyle w:val="FirstParagraph"/>
      </w:pPr>
      <w:r>
        <w:rPr>
          <w:b/>
          <w:bCs/>
        </w:rPr>
        <w:t xml:space="preserve">Priority: Critical.</w:t>
      </w:r>
    </w:p>
    <w:p>
      <w:pPr>
        <w:pStyle w:val="BodyText"/>
      </w:pPr>
      <w:r>
        <w:t xml:space="preserve">The Source Documents do not agree on the size of the Board or whether co-founder Katerina Litvak serves as a director: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Board Size</w:t>
            </w:r>
          </w:p>
        </w:tc>
        <w:tc>
          <w:tcPr/>
          <w:p>
            <w:pPr>
              <w:pStyle w:val="Compact"/>
              <w:jc w:val="left"/>
            </w:pPr>
            <w:r>
              <w:t xml:space="preserve">Katerina Litvak a Director?</w:t>
            </w:r>
          </w:p>
        </w:tc>
      </w:tr>
      <w:tr>
        <w:tc>
          <w:tcPr/>
          <w:p>
            <w:pPr>
              <w:pStyle w:val="Compact"/>
              <w:jc w:val="left"/>
            </w:pPr>
            <w:r>
              <w:t xml:space="preserve">Charter, Article V, Sections 5.2–5.3</w:t>
            </w:r>
          </w:p>
        </w:tc>
        <w:tc>
          <w:tcPr/>
          <w:p>
            <w:pPr>
              <w:pStyle w:val="Compact"/>
              <w:jc w:val="left"/>
            </w:pPr>
            <w:r>
              <w:t xml:space="preserve">7 directors</w:t>
            </w:r>
          </w:p>
        </w:tc>
        <w:tc>
          <w:tcPr/>
          <w:p>
            <w:pPr>
              <w:pStyle w:val="Compact"/>
              <w:jc w:val="left"/>
            </w:pPr>
            <w:r>
              <w:t xml:space="preserve">Yes — Class III director</w:t>
            </w:r>
          </w:p>
        </w:tc>
      </w:tr>
      <w:tr>
        <w:tc>
          <w:tcPr/>
          <w:p>
            <w:pPr>
              <w:pStyle w:val="Compact"/>
              <w:jc w:val="left"/>
            </w:pPr>
            <w:r>
              <w:t xml:space="preserve">Questionnaire, Section 6</w:t>
            </w:r>
          </w:p>
        </w:tc>
        <w:tc>
          <w:tcPr/>
          <w:p>
            <w:pPr>
              <w:pStyle w:val="Compact"/>
              <w:jc w:val="left"/>
            </w:pPr>
            <w:r>
              <w:t xml:space="preserve">6 directors</w:t>
            </w:r>
          </w:p>
        </w:tc>
        <w:tc>
          <w:tcPr/>
          <w:p>
            <w:pPr>
              <w:pStyle w:val="Compact"/>
              <w:jc w:val="left"/>
            </w:pPr>
            <w:r>
              <w:t xml:space="preserve">No —</w:t>
            </w:r>
            <w:r>
              <w:t xml:space="preserve"> </w:t>
            </w:r>
            <w:r>
              <w:t xml:space="preserve">“</w:t>
            </w:r>
            <w:r>
              <w:t xml:space="preserve">executive officer[]… do not serve on the Board</w:t>
            </w:r>
            <w:r>
              <w:t xml:space="preserve">”</w:t>
            </w:r>
          </w:p>
        </w:tc>
      </w:tr>
      <w:tr>
        <w:tc>
          <w:tcPr/>
          <w:p>
            <w:pPr>
              <w:pStyle w:val="Compact"/>
              <w:jc w:val="left"/>
            </w:pPr>
            <w:r>
              <w:t xml:space="preserve">Term Sheet, Schedule 1</w:t>
            </w:r>
          </w:p>
        </w:tc>
        <w:tc>
          <w:tcPr/>
          <w:p>
            <w:pPr>
              <w:pStyle w:val="Compact"/>
              <w:jc w:val="left"/>
            </w:pPr>
            <w:r>
              <w:t xml:space="preserve">6 (5 non-employee + CEO)</w:t>
            </w:r>
          </w:p>
        </w:tc>
        <w:tc>
          <w:tcPr/>
          <w:p>
            <w:pPr>
              <w:pStyle w:val="Compact"/>
              <w:jc w:val="left"/>
            </w:pPr>
            <w:r>
              <w:t xml:space="preserve">No — listed as CTO (officer) only</w:t>
            </w:r>
          </w:p>
        </w:tc>
      </w:tr>
      <w:tr>
        <w:tc>
          <w:tcPr/>
          <w:p>
            <w:pPr>
              <w:pStyle w:val="Compact"/>
              <w:jc w:val="left"/>
            </w:pPr>
            <w:r>
              <w:t xml:space="preserve">Roadshow, Slide 7</w:t>
            </w:r>
          </w:p>
        </w:tc>
        <w:tc>
          <w:tcPr/>
          <w:p>
            <w:pPr>
              <w:pStyle w:val="Compact"/>
              <w:jc w:val="left"/>
            </w:pPr>
            <w:r>
              <w:t xml:space="preserve">6 (5 non-employee + CEO)</w:t>
            </w:r>
          </w:p>
        </w:tc>
        <w:tc>
          <w:tcPr/>
          <w:p>
            <w:pPr>
              <w:pStyle w:val="Compact"/>
              <w:jc w:val="left"/>
            </w:pPr>
            <w:r>
              <w:t xml:space="preserve">No</w:t>
            </w:r>
          </w:p>
        </w:tc>
      </w:tr>
      <w:tr>
        <w:tc>
          <w:tcPr/>
          <w:p>
            <w:pPr>
              <w:pStyle w:val="Compact"/>
              <w:jc w:val="left"/>
            </w:pPr>
            <w:r>
              <w:t xml:space="preserve">Roadshow, Slide 30</w:t>
            </w:r>
          </w:p>
        </w:tc>
        <w:tc>
          <w:tcPr/>
          <w:p>
            <w:pPr>
              <w:pStyle w:val="Compact"/>
              <w:jc w:val="left"/>
            </w:pPr>
            <w:r>
              <w:t xml:space="preserve">7 total directors</w:t>
            </w:r>
          </w:p>
        </w:tc>
        <w:tc>
          <w:tcPr/>
          <w:p>
            <w:pPr>
              <w:pStyle w:val="Compact"/>
              <w:jc w:val="left"/>
            </w:pPr>
            <w:r>
              <w:t xml:space="preserve">Implied yes (</w:t>
            </w:r>
            <w:r>
              <w:t xml:space="preserve">“</w:t>
            </w:r>
            <w:r>
              <w:t xml:space="preserve">3 of 7 total directors</w:t>
            </w:r>
            <w:r>
              <w:t xml:space="preserve">”</w:t>
            </w:r>
            <w:r>
              <w:t xml:space="preserve">)</w:t>
            </w:r>
          </w:p>
        </w:tc>
      </w:tr>
    </w:tbl>
    <w:p>
      <w:pPr>
        <w:pStyle w:val="BodyText"/>
      </w:pPr>
      <w:r>
        <w:t xml:space="preserve">The Charter — which will be filed as an exhibit and is the governing document — provides for a seven-member classified board with Ms. Litvak as a Class III director. The Questionnaire and Term Sheet describe a six-member board without Ms. Litvak. This affects: (i) the Management section (Item 401) director roster; (ii) the classified-board disclosure and the initial class assignments; (iii) the independence analysis (3 of 6 = 50% independent per the Questionnaire, versus 3 of 7 = 43% independent per the Charter); and (iv) the controlled-company analysis. The Registration Statement draft follows the Charter (seven directors, Ms. Litvak as a Class III director) but flags the conflict. The actual board composition must be confirmed, and the Charter, Questionnaire, Term Sheet, and Roadshow must be made consistent. If the board is in fact six members, the Charter must be corrected before filing.</w:t>
      </w:r>
    </w:p>
    <w:bookmarkEnd w:id="28"/>
    <w:bookmarkStart w:id="29" w:name="Xc42a5fb4140fcfccae5456f6892cfa2e48bd5f5"/>
    <w:p>
      <w:pPr>
        <w:pStyle w:val="Heading2"/>
      </w:pPr>
      <w:r>
        <w:t xml:space="preserve">C-8. Inconsistent legal surname of the co-founder and Chief Technology Officer</w:t>
      </w:r>
    </w:p>
    <w:p>
      <w:pPr>
        <w:pStyle w:val="FirstParagraph"/>
      </w:pPr>
      <w:r>
        <w:rPr>
          <w:b/>
          <w:bCs/>
        </w:rPr>
        <w:t xml:space="preserve">Priority: Critical.</w:t>
      </w:r>
    </w:p>
    <w:p>
      <w:pPr>
        <w:pStyle w:val="BodyText"/>
      </w:pPr>
      <w:r>
        <w:t xml:space="preserve">The co-founder and Chief Technology Officer’s surname appears as</w:t>
      </w:r>
      <w:r>
        <w:t xml:space="preserve"> </w:t>
      </w:r>
      <w:r>
        <w:rPr>
          <w:b/>
          <w:bCs/>
        </w:rPr>
        <w:t xml:space="preserve">“</w:t>
      </w:r>
      <w:r>
        <w:rPr>
          <w:b/>
          <w:bCs/>
        </w:rPr>
        <w:t xml:space="preserve">Litvak</w:t>
      </w:r>
      <w:r>
        <w:rPr>
          <w:b/>
          <w:bCs/>
        </w:rPr>
        <w:t xml:space="preserve">”</w:t>
      </w:r>
      <w:r>
        <w:t xml:space="preserve"> </w:t>
      </w:r>
      <w:r>
        <w:t xml:space="preserve">in the Charter (including the Permitted Transferee definition and the director classification), the Term Loan Summary, the Term Sheet, and the Roadshow, but as</w:t>
      </w:r>
      <w:r>
        <w:t xml:space="preserve"> </w:t>
      </w:r>
      <w:r>
        <w:rPr>
          <w:b/>
          <w:bCs/>
        </w:rPr>
        <w:t xml:space="preserve">“</w:t>
      </w:r>
      <w:r>
        <w:rPr>
          <w:b/>
          <w:bCs/>
        </w:rPr>
        <w:t xml:space="preserve">Litvanova</w:t>
      </w:r>
      <w:r>
        <w:rPr>
          <w:b/>
          <w:bCs/>
        </w:rPr>
        <w:t xml:space="preserve">”</w:t>
      </w:r>
      <w:r>
        <w:t xml:space="preserve"> </w:t>
      </w:r>
      <w:r>
        <w:t xml:space="preserve">in the CFO Memo, the Questionnaire (Section 2.2), and the Equity Plan Records (Option Grants and RSU Grants tabs). Because the Charter, the equity grant agreements, and the Registration Statement must all reflect the individual’s correct legal name, this must be confirmed against the individual’s legal identification and the actual grant agreements, and then used consistently throughout the Registration Statement and all exhibits (including the Charter, the equity plan exhibits, and the signatures). The Registration Statement draft uses</w:t>
      </w:r>
      <w:r>
        <w:t xml:space="preserve"> </w:t>
      </w:r>
      <w:r>
        <w:t xml:space="preserve">“</w:t>
      </w:r>
      <w:r>
        <w:t xml:space="preserve">Litvak</w:t>
      </w:r>
      <w:r>
        <w:t xml:space="preserve">”</w:t>
      </w:r>
      <w:r>
        <w:t xml:space="preserve"> </w:t>
      </w:r>
      <w:r>
        <w:t xml:space="preserve">(matching the Charter) pending confirmation.</w:t>
      </w:r>
    </w:p>
    <w:bookmarkEnd w:id="29"/>
    <w:bookmarkStart w:id="30" w:name="Xff522c1ed29fc9baf01ff5464b6bbb9348b33d0"/>
    <w:p>
      <w:pPr>
        <w:pStyle w:val="Heading2"/>
      </w:pPr>
      <w:r>
        <w:t xml:space="preserve">C-9. Transfer agent identified inconsistently; apparent typographical error</w:t>
      </w:r>
    </w:p>
    <w:p>
      <w:pPr>
        <w:pStyle w:val="FirstParagraph"/>
      </w:pPr>
      <w:r>
        <w:rPr>
          <w:b/>
          <w:bCs/>
        </w:rPr>
        <w:t xml:space="preserve">Priority: Critical.</w:t>
      </w:r>
    </w:p>
    <w:p>
      <w:pPr>
        <w:pStyle w:val="BodyText"/>
      </w:pPr>
      <w:r>
        <w:t xml:space="preserve">The Bylaws (Article V, Section 5.1) identify the transfer agent and registrar as</w:t>
      </w:r>
      <w:r>
        <w:t xml:space="preserve"> </w:t>
      </w:r>
      <w:r>
        <w:rPr>
          <w:b/>
          <w:bCs/>
        </w:rPr>
        <w:t xml:space="preserve">“</w:t>
      </w:r>
      <w:r>
        <w:rPr>
          <w:b/>
          <w:bCs/>
        </w:rPr>
        <w:t xml:space="preserve">Computershare Transfer Co.</w:t>
      </w:r>
      <w:r>
        <w:rPr>
          <w:b/>
          <w:bCs/>
        </w:rPr>
        <w:t xml:space="preserve">”</w:t>
      </w:r>
      <w:r>
        <w:t xml:space="preserve"> </w:t>
      </w:r>
      <w:r>
        <w:t xml:space="preserve">The CFO Memo (Section 10, item 6), the Questionnaire (Open Item 3), the Term Sheet (Section 1), and the Lock-Up Agreement (Section 6) identify the transfer agent as</w:t>
      </w:r>
      <w:r>
        <w:t xml:space="preserve"> </w:t>
      </w:r>
      <w:r>
        <w:rPr>
          <w:b/>
          <w:bCs/>
        </w:rPr>
        <w:t xml:space="preserve">“</w:t>
      </w:r>
      <w:r>
        <w:rPr>
          <w:b/>
          <w:bCs/>
        </w:rPr>
        <w:t xml:space="preserve">Oakvale Transfer Transfer Co.</w:t>
      </w:r>
      <w:r>
        <w:rPr>
          <w:b/>
          <w:bCs/>
        </w:rPr>
        <w:t xml:space="preserve">”</w:t>
      </w:r>
      <w:r>
        <w:t xml:space="preserve"> </w:t>
      </w:r>
      <w:r>
        <w:t xml:space="preserve">— which also appears to contain a typographical error (the doubled word</w:t>
      </w:r>
      <w:r>
        <w:t xml:space="preserve"> </w:t>
      </w:r>
      <w:r>
        <w:t xml:space="preserve">“</w:t>
      </w:r>
      <w:r>
        <w:t xml:space="preserve">Transfer</w:t>
      </w:r>
      <w:r>
        <w:t xml:space="preserve">”</w:t>
      </w:r>
      <w:r>
        <w:t xml:space="preserve">). The correct transfer agent must be confirmed, the Bylaws must be updated to match (or the actual transfer agent engaged), and the typographical error corrected. The Registration Statement draft leaves the transfer agent as a placeholder pending confirmation.</w:t>
      </w:r>
    </w:p>
    <w:bookmarkEnd w:id="30"/>
    <w:bookmarkStart w:id="31" w:name="Xfe09b3ce635234f409f19eaddcc35de487966e3"/>
    <w:p>
      <w:pPr>
        <w:pStyle w:val="Heading2"/>
      </w:pPr>
      <w:r>
        <w:t xml:space="preserve">C-10. Beneficial ownership of the co-founders appears to omit their founder stock options</w:t>
      </w:r>
    </w:p>
    <w:p>
      <w:pPr>
        <w:pStyle w:val="FirstParagraph"/>
      </w:pPr>
      <w:r>
        <w:rPr>
          <w:b/>
          <w:bCs/>
        </w:rPr>
        <w:t xml:space="preserve">Priority: Critical.</w:t>
      </w:r>
    </w:p>
    <w:p>
      <w:pPr>
        <w:pStyle w:val="BodyText"/>
      </w:pPr>
      <w:r>
        <w:t xml:space="preserve">The CFO Memo (Section 7.1) and the Questionnaire (Section 4.1) report the co-founders’ beneficial ownership as follows: Arun Ramaswamy — 12,222,533 shares (11.6%); Katerina Litvak — 9,693,733 shares (9.2%). These figures appear to count only the co-founders’ common stock (12,200,000 and 8,600,000 shares, respectively) plus a small number of additional shares, and to</w:t>
      </w:r>
      <w:r>
        <w:t xml:space="preserve"> </w:t>
      </w:r>
      <w:r>
        <w:rPr>
          <w:b/>
          <w:bCs/>
        </w:rPr>
        <w:t xml:space="preserve">omit the co-founders’ large founder stock option grants</w:t>
      </w:r>
      <w:r>
        <w:t xml:space="preserve">, which are outstanding and exercisable:</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Grantee</w:t>
            </w:r>
          </w:p>
        </w:tc>
        <w:tc>
          <w:tcPr/>
          <w:p>
            <w:pPr>
              <w:pStyle w:val="Compact"/>
              <w:jc w:val="right"/>
            </w:pPr>
            <w:r>
              <w:t xml:space="preserve">Common Stock</w:t>
            </w:r>
          </w:p>
        </w:tc>
        <w:tc>
          <w:tcPr/>
          <w:p>
            <w:pPr>
              <w:pStyle w:val="Compact"/>
              <w:jc w:val="right"/>
            </w:pPr>
            <w:r>
              <w:t xml:space="preserve">Founder Options (vested/exercisable)</w:t>
            </w:r>
          </w:p>
        </w:tc>
        <w:tc>
          <w:tcPr/>
          <w:p>
            <w:pPr>
              <w:pStyle w:val="Compact"/>
              <w:jc w:val="left"/>
            </w:pPr>
            <w:r>
              <w:t xml:space="preserve">Equity Plan Record</w:t>
            </w:r>
          </w:p>
        </w:tc>
      </w:tr>
      <w:tr>
        <w:tc>
          <w:tcPr/>
          <w:p>
            <w:pPr>
              <w:pStyle w:val="Compact"/>
              <w:jc w:val="left"/>
            </w:pPr>
            <w:r>
              <w:t xml:space="preserve">Arun Ramaswamy</w:t>
            </w:r>
          </w:p>
        </w:tc>
        <w:tc>
          <w:tcPr/>
          <w:p>
            <w:pPr>
              <w:pStyle w:val="Compact"/>
              <w:jc w:val="right"/>
            </w:pPr>
            <w:r>
              <w:t xml:space="preserve">12,200,000</w:t>
            </w:r>
          </w:p>
        </w:tc>
        <w:tc>
          <w:tcPr/>
          <w:p>
            <w:pPr>
              <w:pStyle w:val="Compact"/>
              <w:jc w:val="right"/>
            </w:pPr>
            <w:r>
              <w:t xml:space="preserve">4,000,000 (OPT-2017-001, $0.10)</w:t>
            </w:r>
          </w:p>
        </w:tc>
        <w:tc>
          <w:tcPr/>
          <w:p>
            <w:pPr>
              <w:pStyle w:val="Compact"/>
              <w:jc w:val="left"/>
            </w:pPr>
            <w:r>
              <w:t xml:space="preserve">“</w:t>
            </w:r>
            <w:r>
              <w:t xml:space="preserve">Shares Exercised: 0</w:t>
            </w:r>
            <w:r>
              <w:t xml:space="preserve">”</w:t>
            </w:r>
          </w:p>
        </w:tc>
      </w:tr>
      <w:tr>
        <w:tc>
          <w:tcPr/>
          <w:p>
            <w:pPr>
              <w:pStyle w:val="Compact"/>
              <w:jc w:val="left"/>
            </w:pPr>
            <w:r>
              <w:t xml:space="preserve">Katerina Litvak</w:t>
            </w:r>
          </w:p>
        </w:tc>
        <w:tc>
          <w:tcPr/>
          <w:p>
            <w:pPr>
              <w:pStyle w:val="Compact"/>
              <w:jc w:val="right"/>
            </w:pPr>
            <w:r>
              <w:t xml:space="preserve">8,600,000</w:t>
            </w:r>
          </w:p>
        </w:tc>
        <w:tc>
          <w:tcPr/>
          <w:p>
            <w:pPr>
              <w:pStyle w:val="Compact"/>
              <w:jc w:val="right"/>
            </w:pPr>
            <w:r>
              <w:t xml:space="preserve">3,500,000 (OPT-2017-002, $0.10)</w:t>
            </w:r>
          </w:p>
        </w:tc>
        <w:tc>
          <w:tcPr/>
          <w:p>
            <w:pPr>
              <w:pStyle w:val="Compact"/>
              <w:jc w:val="left"/>
            </w:pPr>
            <w:r>
              <w:t xml:space="preserve">“</w:t>
            </w:r>
            <w:r>
              <w:t xml:space="preserve">Shares Exercised: 0</w:t>
            </w:r>
            <w:r>
              <w:t xml:space="preserve">”</w:t>
            </w:r>
          </w:p>
        </w:tc>
      </w:tr>
    </w:tbl>
    <w:p>
      <w:pPr>
        <w:pStyle w:val="BodyText"/>
      </w:pPr>
      <w:r>
        <w:t xml:space="preserve">Under SEC Rule 13d-3, shares subject to options exercisable within 60 days are deemed beneficially owned. Including the founder options, Mr. Ramaswamy’s beneficial ownership would be at least 16,200,000 shares (~15.4% on a fully diluted basis) and Dr. Litvak’s at least 12,100,000 shares (~11.5%), before giving effect to their additional FY 2024 option and RSU grants. The reported figures (and the</w:t>
      </w:r>
      <w:r>
        <w:t xml:space="preserve"> </w:t>
      </w:r>
      <w:r>
        <w:t xml:space="preserve">“</w:t>
      </w:r>
      <w:r>
        <w:t xml:space="preserve">all directors and executive officers as a group (9 persons) — 62.1%</w:t>
      </w:r>
      <w:r>
        <w:t xml:space="preserve">”</w:t>
      </w:r>
      <w:r>
        <w:t xml:space="preserve"> </w:t>
      </w:r>
      <w:r>
        <w:t xml:space="preserve">total) therefore appear to be understated. The principal stockholders table (Item 403) and the related narrative must be recalculated and verified against the transfer agent records and the equity plan records before filing. The Registration Statement draft flags this issue in the Principal Stockholders section.</w:t>
      </w:r>
    </w:p>
    <w:bookmarkEnd w:id="31"/>
    <w:bookmarkStart w:id="32" w:name="X560f3a90c02356b7f3460173b6f4d5299d83d4d"/>
    <w:p>
      <w:pPr>
        <w:pStyle w:val="Heading2"/>
      </w:pPr>
      <w:r>
        <w:t xml:space="preserve">C-11. Equity plan records name different individuals as the recipients of non-employee director RSU grants</w:t>
      </w:r>
    </w:p>
    <w:p>
      <w:pPr>
        <w:pStyle w:val="FirstParagraph"/>
      </w:pPr>
      <w:r>
        <w:rPr>
          <w:b/>
          <w:bCs/>
        </w:rPr>
        <w:t xml:space="preserve">Priority: Critical.</w:t>
      </w:r>
    </w:p>
    <w:p>
      <w:pPr>
        <w:pStyle w:val="BodyText"/>
      </w:pPr>
      <w:r>
        <w:t xml:space="preserve">The Equity Plan Records (RSU Grants tab, grants RSU-2024-009 through RSU-2024-013) attribute the fiscal year 2024 non-employee director RSU grants (15,000 shares each) to the following individuals:</w:t>
      </w:r>
      <w:r>
        <w:t xml:space="preserve"> </w:t>
      </w:r>
      <w:r>
        <w:rPr>
          <w:b/>
          <w:bCs/>
        </w:rPr>
        <w:t xml:space="preserve">Anand Venkatesh, Claudia Moreno, David Park, Soo-Yeon Kwon, and Emmanuel Obi.</w:t>
      </w:r>
      <w:r>
        <w:t xml:space="preserve"> </w:t>
      </w:r>
      <w:r>
        <w:t xml:space="preserve">The named non-employee directors in the Charter, the Questionnaire, and the Roadshow are</w:t>
      </w:r>
      <w:r>
        <w:t xml:space="preserve"> </w:t>
      </w:r>
      <w:r>
        <w:rPr>
          <w:b/>
          <w:bCs/>
        </w:rPr>
        <w:t xml:space="preserve">Priya Venkatesh, Thomas J. Moreno, Dr. Helen Park, James Kwon, and Adaora Obi.</w:t>
      </w:r>
      <w:r>
        <w:t xml:space="preserve"> </w:t>
      </w:r>
      <w:r>
        <w:t xml:space="preserve">The surnames match but the first names do not. This must be investigated: either the equity plan records contain incorrect grantee names (which would call into question the accuracy of the equity plan records generally and the stock-based compensation expense), or the grants were made to different individuals than the named directors (which would raise questions about director compensation disclosure under Item 402). The grant agreements and board approvals should be reviewed to confirm the actual grantees. The Registration Statement’s executive compensation and director compensation disclosures depend on the resolution of this item.</w:t>
      </w:r>
    </w:p>
    <w:bookmarkEnd w:id="32"/>
    <w:bookmarkStart w:id="33" w:name="X75577f775d8004bc291deea0f80235578038048"/>
    <w:p>
      <w:pPr>
        <w:pStyle w:val="Heading2"/>
      </w:pPr>
      <w:r>
        <w:t xml:space="preserve">C-12. Executive officer titles in the equity plan records conflict with the governing documents</w:t>
      </w:r>
    </w:p>
    <w:p>
      <w:pPr>
        <w:pStyle w:val="FirstParagraph"/>
      </w:pPr>
      <w:r>
        <w:rPr>
          <w:b/>
          <w:bCs/>
        </w:rPr>
        <w:t xml:space="preserve">Priority: Critical.</w:t>
      </w:r>
    </w:p>
    <w:p>
      <w:pPr>
        <w:pStyle w:val="BodyText"/>
      </w:pPr>
      <w:r>
        <w:t xml:space="preserve">The Equity Plan Records label</w:t>
      </w:r>
      <w:r>
        <w:t xml:space="preserve"> </w:t>
      </w:r>
      <w:r>
        <w:rPr>
          <w:b/>
          <w:bCs/>
        </w:rPr>
        <w:t xml:space="preserve">Sandra Chen</w:t>
      </w:r>
      <w:r>
        <w:t xml:space="preserve"> </w:t>
      </w:r>
      <w:r>
        <w:t xml:space="preserve">as</w:t>
      </w:r>
      <w:r>
        <w:t xml:space="preserve"> </w:t>
      </w:r>
      <w:r>
        <w:rPr>
          <w:b/>
          <w:bCs/>
        </w:rPr>
        <w:t xml:space="preserve">“</w:t>
      </w:r>
      <w:r>
        <w:rPr>
          <w:b/>
          <w:bCs/>
        </w:rPr>
        <w:t xml:space="preserve">CRO</w:t>
      </w:r>
      <w:r>
        <w:rPr>
          <w:b/>
          <w:bCs/>
        </w:rPr>
        <w:t xml:space="preserve">”</w:t>
      </w:r>
      <w:r>
        <w:t xml:space="preserve"> </w:t>
      </w:r>
      <w:r>
        <w:t xml:space="preserve">(Chief Revenue Officer) — see OPT-2018-002 (</w:t>
      </w:r>
      <w:r>
        <w:t xml:space="preserve">“</w:t>
      </w:r>
      <w:r>
        <w:t xml:space="preserve">VP Sales (now CRO)</w:t>
      </w:r>
      <w:r>
        <w:t xml:space="preserve">”</w:t>
      </w:r>
      <w:r>
        <w:t xml:space="preserve">) and RSU-2024-004 (</w:t>
      </w:r>
      <w:r>
        <w:t xml:space="preserve">“</w:t>
      </w:r>
      <w:r>
        <w:t xml:space="preserve">CRO</w:t>
      </w:r>
      <w:r>
        <w:t xml:space="preserve">”</w:t>
      </w:r>
      <w:r>
        <w:t xml:space="preserve">) — and label</w:t>
      </w:r>
      <w:r>
        <w:t xml:space="preserve"> </w:t>
      </w:r>
      <w:r>
        <w:rPr>
          <w:b/>
          <w:bCs/>
        </w:rPr>
        <w:t xml:space="preserve">Thomas Brennan</w:t>
      </w:r>
      <w:r>
        <w:t xml:space="preserve"> </w:t>
      </w:r>
      <w:r>
        <w:t xml:space="preserve">as</w:t>
      </w:r>
      <w:r>
        <w:t xml:space="preserve"> </w:t>
      </w:r>
      <w:r>
        <w:rPr>
          <w:b/>
          <w:bCs/>
        </w:rPr>
        <w:t xml:space="preserve">“</w:t>
      </w:r>
      <w:r>
        <w:rPr>
          <w:b/>
          <w:bCs/>
        </w:rPr>
        <w:t xml:space="preserve">General Counsel</w:t>
      </w:r>
      <w:r>
        <w:rPr>
          <w:b/>
          <w:bCs/>
        </w:rPr>
        <w:t xml:space="preserve">”</w:t>
      </w:r>
      <w:r>
        <w:t xml:space="preserve"> </w:t>
      </w:r>
      <w:r>
        <w:t xml:space="preserve">— see OPT-2022-002 (</w:t>
      </w:r>
      <w:r>
        <w:t xml:space="preserve">“</w:t>
      </w:r>
      <w:r>
        <w:t xml:space="preserve">General Counsel onboarding</w:t>
      </w:r>
      <w:r>
        <w:t xml:space="preserve">”</w:t>
      </w:r>
      <w:r>
        <w:t xml:space="preserve">) and RSU-2024-005 (</w:t>
      </w:r>
      <w:r>
        <w:t xml:space="preserve">“</w:t>
      </w:r>
      <w:r>
        <w:t xml:space="preserve">General Counsel,</w:t>
      </w:r>
      <w:r>
        <w:t xml:space="preserve">”</w:t>
      </w:r>
      <w:r>
        <w:t xml:space="preserve"> </w:t>
      </w:r>
      <w:r>
        <w:t xml:space="preserve">with a March 1, 2024 grant). The Charter and Bylaws (Article IV, Section 4.1), the CFO Memo, the Questionnaire (Section 2.4), and the Roadshow (Slide 6) all identify</w:t>
      </w:r>
      <w:r>
        <w:t xml:space="preserve"> </w:t>
      </w:r>
      <w:r>
        <w:rPr>
          <w:b/>
          <w:bCs/>
        </w:rPr>
        <w:t xml:space="preserve">Sandra Y. Chen</w:t>
      </w:r>
      <w:r>
        <w:t xml:space="preserve"> </w:t>
      </w:r>
      <w:r>
        <w:t xml:space="preserve">as the</w:t>
      </w:r>
      <w:r>
        <w:t xml:space="preserve"> </w:t>
      </w:r>
      <w:r>
        <w:rPr>
          <w:b/>
          <w:bCs/>
        </w:rPr>
        <w:t xml:space="preserve">General Counsel and Corporate Secretary</w:t>
      </w:r>
      <w:r>
        <w:t xml:space="preserve">, and do not list a</w:t>
      </w:r>
      <w:r>
        <w:t xml:space="preserve"> </w:t>
      </w:r>
      <w:r>
        <w:t xml:space="preserve">“</w:t>
      </w:r>
      <w:r>
        <w:t xml:space="preserve">CRO</w:t>
      </w:r>
      <w:r>
        <w:t xml:space="preserve">”</w:t>
      </w:r>
      <w:r>
        <w:t xml:space="preserve"> </w:t>
      </w:r>
      <w:r>
        <w:t xml:space="preserve">or a</w:t>
      </w:r>
      <w:r>
        <w:t xml:space="preserve"> </w:t>
      </w:r>
      <w:r>
        <w:t xml:space="preserve">“</w:t>
      </w:r>
      <w:r>
        <w:t xml:space="preserve">Thomas Brennan</w:t>
      </w:r>
      <w:r>
        <w:t xml:space="preserve">”</w:t>
      </w:r>
      <w:r>
        <w:t xml:space="preserve"> </w:t>
      </w:r>
      <w:r>
        <w:t xml:space="preserve">among the executive officers. The current executive officer roster and titles must be confirmed. If Sandra Y. Chen is the General Counsel (as the governing documents state), the equity plan records’ titles are stale or erroneous and must be corrected; if there has been a change in the General Counsel role, the Management section (Item 401) and the executive compensation disclosures (Item 402) must be updated. The Registration Statement draft follows the Charter and Bylaws (Sandra Y. Chen as General Counsel and Corporate Secretary).</w:t>
      </w:r>
    </w:p>
    <w:bookmarkEnd w:id="33"/>
    <w:bookmarkStart w:id="34" w:name="Xb988268a9425d5f62eb944cd5dcdfe07bf67365"/>
    <w:p>
      <w:pPr>
        <w:pStyle w:val="Heading2"/>
      </w:pPr>
      <w:r>
        <w:t xml:space="preserve">C-13. The 409A valuation records describe the Series A, B, and C financings incorrectly</w:t>
      </w:r>
    </w:p>
    <w:p>
      <w:pPr>
        <w:pStyle w:val="FirstParagraph"/>
      </w:pPr>
      <w:r>
        <w:rPr>
          <w:b/>
          <w:bCs/>
        </w:rPr>
        <w:t xml:space="preserve">Priority: Critical.</w:t>
      </w:r>
    </w:p>
    <w:p>
      <w:pPr>
        <w:pStyle w:val="BodyText"/>
      </w:pPr>
      <w:r>
        <w:t xml:space="preserve">The Equity Plan Records (409A Valuations tab) describe the Company’s preferred stock financings in a manner that does not match the Audited Financial Statements (Note 10), the CFO Memo, or the Questionnaire: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Round</w:t>
            </w:r>
          </w:p>
        </w:tc>
        <w:tc>
          <w:tcPr/>
          <w:p>
            <w:pPr>
              <w:pStyle w:val="Compact"/>
              <w:jc w:val="left"/>
            </w:pPr>
            <w:r>
              <w:t xml:space="preserve">409A Valuations tab</w:t>
            </w:r>
          </w:p>
        </w:tc>
        <w:tc>
          <w:tcPr/>
          <w:p>
            <w:pPr>
              <w:pStyle w:val="Compact"/>
              <w:jc w:val="left"/>
            </w:pPr>
            <w:r>
              <w:t xml:space="preserve">Audited Financial Statements / CFO Memo</w:t>
            </w:r>
          </w:p>
        </w:tc>
      </w:tr>
      <w:tr>
        <w:tc>
          <w:tcPr/>
          <w:p>
            <w:pPr>
              <w:pStyle w:val="Compact"/>
              <w:jc w:val="left"/>
            </w:pPr>
            <w:r>
              <w:t xml:space="preserve">Series A</w:t>
            </w:r>
          </w:p>
        </w:tc>
        <w:tc>
          <w:tcPr/>
          <w:p>
            <w:pPr>
              <w:pStyle w:val="Compact"/>
              <w:jc w:val="left"/>
            </w:pPr>
            <w:r>
              <w:t xml:space="preserve">“</w:t>
            </w:r>
            <w:r>
              <w:t xml:space="preserve">July 2018 at $2.50/share ($25M round, $50M post-money)</w:t>
            </w:r>
            <w:r>
              <w:t xml:space="preserve">”</w:t>
            </w:r>
          </w:p>
        </w:tc>
        <w:tc>
          <w:tcPr/>
          <w:p>
            <w:pPr>
              <w:pStyle w:val="Compact"/>
              <w:jc w:val="left"/>
            </w:pPr>
            <w:r>
              <w:t xml:space="preserve">October 2018; 8,000,000 shares at $1.50/share; $12.0 million</w:t>
            </w:r>
          </w:p>
        </w:tc>
      </w:tr>
      <w:tr>
        <w:tc>
          <w:tcPr/>
          <w:p>
            <w:pPr>
              <w:pStyle w:val="Compact"/>
              <w:jc w:val="left"/>
            </w:pPr>
            <w:r>
              <w:t xml:space="preserve">Series B</w:t>
            </w:r>
          </w:p>
        </w:tc>
        <w:tc>
          <w:tcPr/>
          <w:p>
            <w:pPr>
              <w:pStyle w:val="Compact"/>
              <w:jc w:val="left"/>
            </w:pPr>
            <w:r>
              <w:t xml:space="preserve">“</w:t>
            </w:r>
            <w:r>
              <w:t xml:space="preserve">February 2020 at $6.00/share ($60M round, $180M post-money)</w:t>
            </w:r>
            <w:r>
              <w:t xml:space="preserve">”</w:t>
            </w:r>
          </w:p>
        </w:tc>
        <w:tc>
          <w:tcPr/>
          <w:p>
            <w:pPr>
              <w:pStyle w:val="Compact"/>
              <w:jc w:val="left"/>
            </w:pPr>
            <w:r>
              <w:t xml:space="preserve">April 2020; 9,500,000 shares at $4.00/share; $38.0 million</w:t>
            </w:r>
          </w:p>
        </w:tc>
      </w:tr>
      <w:tr>
        <w:tc>
          <w:tcPr/>
          <w:p>
            <w:pPr>
              <w:pStyle w:val="Compact"/>
              <w:jc w:val="left"/>
            </w:pPr>
            <w:r>
              <w:t xml:space="preserve">Series C</w:t>
            </w:r>
          </w:p>
        </w:tc>
        <w:tc>
          <w:tcPr/>
          <w:p>
            <w:pPr>
              <w:pStyle w:val="Compact"/>
              <w:jc w:val="left"/>
            </w:pPr>
            <w:r>
              <w:t xml:space="preserve">“</w:t>
            </w:r>
            <w:r>
              <w:t xml:space="preserve">November 2021 at $12.00/share ($120M round, $720M post-money)</w:t>
            </w:r>
            <w:r>
              <w:t xml:space="preserve">”</w:t>
            </w:r>
          </w:p>
        </w:tc>
        <w:tc>
          <w:tcPr/>
          <w:p>
            <w:pPr>
              <w:pStyle w:val="Compact"/>
              <w:jc w:val="left"/>
            </w:pPr>
            <w:r>
              <w:t xml:space="preserve">November 2021; 7,916,667 shares at $12.00/share; $95.0 million</w:t>
            </w:r>
          </w:p>
        </w:tc>
      </w:tr>
      <w:tr>
        <w:tc>
          <w:tcPr/>
          <w:p>
            <w:pPr>
              <w:pStyle w:val="Compact"/>
              <w:jc w:val="left"/>
            </w:pPr>
            <w:r>
              <w:t xml:space="preserve">Series D</w:t>
            </w:r>
          </w:p>
        </w:tc>
        <w:tc>
          <w:tcPr/>
          <w:p>
            <w:pPr>
              <w:pStyle w:val="Compact"/>
              <w:jc w:val="left"/>
            </w:pPr>
            <w:r>
              <w:t xml:space="preserve">“</w:t>
            </w:r>
            <w:r>
              <w:t xml:space="preserve">June 2023 at $24.00/share ($1.92B post-money)</w:t>
            </w:r>
            <w:r>
              <w:t xml:space="preserve">”</w:t>
            </w:r>
          </w:p>
        </w:tc>
        <w:tc>
          <w:tcPr/>
          <w:p>
            <w:pPr>
              <w:pStyle w:val="Compact"/>
              <w:jc w:val="left"/>
            </w:pPr>
            <w:r>
              <w:t xml:space="preserve">June 2023; 10,000,000 shares at $24.00/share; $240.0 million; ~$1.92B post-money</w:t>
            </w:r>
          </w:p>
        </w:tc>
      </w:tr>
    </w:tbl>
    <w:p>
      <w:pPr>
        <w:pStyle w:val="BodyText"/>
      </w:pPr>
      <w:r>
        <w:t xml:space="preserve">The Series D description is consistent, but the Series A, B, and C descriptions in the 409A Valuations tab are wrong as to date, price, and/or round size. Because the 409A valuations backsolved from these financing events (using the OPM), the reliability of the historical common stock valuations — and therefore the grant-date fair values used for stock-based compensation — may be affected. The valuation firm (Meridian Valuation Partners LLC) should be asked to confirm the financing inputs used in each valuation. This item also bears on the</w:t>
      </w:r>
      <w:r>
        <w:t xml:space="preserve"> </w:t>
      </w:r>
      <w:r>
        <w:t xml:space="preserve">“</w:t>
      </w:r>
      <w:r>
        <w:t xml:space="preserve">cheap stock</w:t>
      </w:r>
      <w:r>
        <w:t xml:space="preserve">”</w:t>
      </w:r>
      <w:r>
        <w:t xml:space="preserve"> </w:t>
      </w:r>
      <w:r>
        <w:t xml:space="preserve">disclosure (see O-5).</w:t>
      </w:r>
    </w:p>
    <w:bookmarkEnd w:id="34"/>
    <w:bookmarkEnd w:id="35"/>
    <w:bookmarkStart w:id="45" w:name="iii.-high-priority-inconsistencies"/>
    <w:p>
      <w:pPr>
        <w:pStyle w:val="Heading1"/>
      </w:pPr>
      <w:r>
        <w:t xml:space="preserve">III. High-Priority Inconsistencies</w:t>
      </w:r>
    </w:p>
    <w:bookmarkStart w:id="36" w:name="X3c32cea875aa20828a4be4148ec61ce611ffd37"/>
    <w:p>
      <w:pPr>
        <w:pStyle w:val="Heading2"/>
      </w:pPr>
      <w:r>
        <w:t xml:space="preserve">H-1. Fiscal year 2023 revenue split between subscription and professional services is wrong in the CFO Memo</w:t>
      </w:r>
    </w:p>
    <w:p>
      <w:pPr>
        <w:pStyle w:val="FirstParagraph"/>
      </w:pPr>
      <w:r>
        <w:rPr>
          <w:b/>
          <w:bCs/>
        </w:rPr>
        <w:t xml:space="preserve">Priority: High.</w:t>
      </w:r>
    </w:p>
    <w:p>
      <w:pPr>
        <w:pStyle w:val="BodyText"/>
      </w:pPr>
      <w:r>
        <w:t xml:space="preserve">The CFO Memo (Section 4.1) reports fiscal year 2023 subscription revenue of $113.4 million and professional services revenue of $15.5 million. The Audited Financial Statements (Note 3) report subscription revenue of</w:t>
      </w:r>
      <w:r>
        <w:t xml:space="preserve"> </w:t>
      </w:r>
      <w:r>
        <w:rPr>
          <w:b/>
          <w:bCs/>
        </w:rPr>
        <w:t xml:space="preserve">$116.4 million</w:t>
      </w:r>
      <w:r>
        <w:t xml:space="preserve"> </w:t>
      </w:r>
      <w:r>
        <w:t xml:space="preserve">and professional services revenue of</w:t>
      </w:r>
      <w:r>
        <w:t xml:space="preserve"> </w:t>
      </w:r>
      <w:r>
        <w:rPr>
          <w:b/>
          <w:bCs/>
        </w:rPr>
        <w:t xml:space="preserve">$12.5 million</w:t>
      </w:r>
      <w:r>
        <w:t xml:space="preserve">. The total ($128.9 million) is correct, but $3.0 million has been shifted from subscription to professional services in the CFO Memo. This affects the subscription-revenue mix narrative (the</w:t>
      </w:r>
      <w:r>
        <w:t xml:space="preserve"> </w:t>
      </w:r>
      <w:r>
        <w:t xml:space="preserve">“</w:t>
      </w:r>
      <w:r>
        <w:t xml:space="preserve">90% subscription</w:t>
      </w:r>
      <w:r>
        <w:t xml:space="preserve">”</w:t>
      </w:r>
      <w:r>
        <w:t xml:space="preserve"> </w:t>
      </w:r>
      <w:r>
        <w:t xml:space="preserve">characterization) and the professional services gross margin. The Registration Statement draft uses the audited split.</w:t>
      </w:r>
    </w:p>
    <w:bookmarkEnd w:id="36"/>
    <w:bookmarkStart w:id="37" w:name="X39ece9378778f842f8aba091ec164c6bc6a8395"/>
    <w:p>
      <w:pPr>
        <w:pStyle w:val="Heading2"/>
      </w:pPr>
      <w:r>
        <w:t xml:space="preserve">H-2. Restructuring description differs between the CFO Memo and the Audited Financial Statements</w:t>
      </w:r>
    </w:p>
    <w:p>
      <w:pPr>
        <w:pStyle w:val="FirstParagraph"/>
      </w:pPr>
      <w:r>
        <w:rPr>
          <w:b/>
          <w:bCs/>
        </w:rPr>
        <w:t xml:space="preserve">Priority: High.</w:t>
      </w:r>
    </w:p>
    <w:p>
      <w:pPr>
        <w:pStyle w:val="BodyText"/>
      </w:pPr>
      <w:r>
        <w:t xml:space="preserve">The CFO Memo (Section 5.3) describes the fiscal year 2024 restructuring as a</w:t>
      </w:r>
      <w:r>
        <w:t xml:space="preserve"> </w:t>
      </w:r>
      <w:r>
        <w:t xml:space="preserve">“</w:t>
      </w:r>
      <w:r>
        <w:t xml:space="preserve">workforce reduction of approximately 30 positions</w:t>
      </w:r>
      <w:r>
        <w:t xml:space="preserve">”</w:t>
      </w:r>
      <w:r>
        <w:t xml:space="preserve"> </w:t>
      </w:r>
      <w:r>
        <w:t xml:space="preserve">in the</w:t>
      </w:r>
      <w:r>
        <w:t xml:space="preserve"> </w:t>
      </w:r>
      <w:r>
        <w:t xml:space="preserve">“</w:t>
      </w:r>
      <w:r>
        <w:t xml:space="preserve">second quarter of 2024</w:t>
      </w:r>
      <w:r>
        <w:t xml:space="preserve">”</w:t>
      </w:r>
      <w:r>
        <w:t xml:space="preserve"> </w:t>
      </w:r>
      <w:r>
        <w:t xml:space="preserve">in the professional services organization. The Audited Financial Statements (Note 9) describe a</w:t>
      </w:r>
      <w:r>
        <w:t xml:space="preserve"> </w:t>
      </w:r>
      <w:r>
        <w:t xml:space="preserve">“</w:t>
      </w:r>
      <w:r>
        <w:t xml:space="preserve">workforce reduction affecting approximately 46 employees</w:t>
      </w:r>
      <w:r>
        <w:t xml:space="preserve">”</w:t>
      </w:r>
      <w:r>
        <w:t xml:space="preserve"> </w:t>
      </w:r>
      <w:r>
        <w:t xml:space="preserve">implemented in the</w:t>
      </w:r>
      <w:r>
        <w:t xml:space="preserve"> </w:t>
      </w:r>
      <w:r>
        <w:t xml:space="preserve">“</w:t>
      </w:r>
      <w:r>
        <w:t xml:space="preserve">third quarter of 2024.</w:t>
      </w:r>
      <w:r>
        <w:t xml:space="preserve">”</w:t>
      </w:r>
      <w:r>
        <w:t xml:space="preserve"> </w:t>
      </w:r>
      <w:r>
        <w:t xml:space="preserve">The headcount (30 vs. 46) and the timing (Q2 vs. Q3) differ. The Registration Statement draft follows the Audited Financial Statements (approximately 46 employees, third quarter of 2024). The CFO Memo and Roadshow should be corrected.</w:t>
      </w:r>
    </w:p>
    <w:bookmarkEnd w:id="37"/>
    <w:bookmarkStart w:id="38" w:name="Xaabed06fdf6d0dd283058f76b4eb631c3db4e0c"/>
    <w:p>
      <w:pPr>
        <w:pStyle w:val="Heading2"/>
      </w:pPr>
      <w:r>
        <w:t xml:space="preserve">H-3. Condensed balance sheet line items in the CFO Memo do not match the Audited Financial Statements</w:t>
      </w:r>
    </w:p>
    <w:p>
      <w:pPr>
        <w:pStyle w:val="FirstParagraph"/>
      </w:pPr>
      <w:r>
        <w:rPr>
          <w:b/>
          <w:bCs/>
        </w:rPr>
        <w:t xml:space="preserve">Priority: High.</w:t>
      </w:r>
    </w:p>
    <w:p>
      <w:pPr>
        <w:pStyle w:val="BodyText"/>
      </w:pPr>
      <w:r>
        <w:t xml:space="preserve">The CFO Memo (Section 6.1) presents a condensed balance sheet in which several line items differ from the Audited Financial Statements, even though the subtotals agree: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thousands)</w:t>
            </w:r>
          </w:p>
        </w:tc>
        <w:tc>
          <w:tcPr/>
          <w:p>
            <w:pPr>
              <w:pStyle w:val="Compact"/>
              <w:jc w:val="right"/>
            </w:pPr>
            <w:r>
              <w:t xml:space="preserve">CFO Memo</w:t>
            </w:r>
          </w:p>
        </w:tc>
        <w:tc>
          <w:tcPr/>
          <w:p>
            <w:pPr>
              <w:pStyle w:val="Compact"/>
              <w:jc w:val="right"/>
            </w:pPr>
            <w:r>
              <w:t xml:space="preserve">Audited</w:t>
            </w:r>
          </w:p>
        </w:tc>
      </w:tr>
      <w:tr>
        <w:tc>
          <w:tcPr/>
          <w:p>
            <w:pPr>
              <w:pStyle w:val="Compact"/>
              <w:jc w:val="left"/>
            </w:pPr>
            <w:r>
              <w:t xml:space="preserve">Accounts receivable, net</w:t>
            </w:r>
          </w:p>
        </w:tc>
        <w:tc>
          <w:tcPr/>
          <w:p>
            <w:pPr>
              <w:pStyle w:val="Compact"/>
              <w:jc w:val="right"/>
            </w:pPr>
            <w:r>
              <w:t xml:space="preserve">28,200</w:t>
            </w:r>
          </w:p>
        </w:tc>
        <w:tc>
          <w:tcPr/>
          <w:p>
            <w:pPr>
              <w:pStyle w:val="Compact"/>
              <w:jc w:val="right"/>
            </w:pPr>
            <w:r>
              <w:t xml:space="preserve">29,800</w:t>
            </w:r>
          </w:p>
        </w:tc>
      </w:tr>
      <w:tr>
        <w:tc>
          <w:tcPr/>
          <w:p>
            <w:pPr>
              <w:pStyle w:val="Compact"/>
              <w:jc w:val="left"/>
            </w:pPr>
            <w:r>
              <w:t xml:space="preserve">Prepaid expenses and other current assets</w:t>
            </w:r>
          </w:p>
        </w:tc>
        <w:tc>
          <w:tcPr/>
          <w:p>
            <w:pPr>
              <w:pStyle w:val="Compact"/>
              <w:jc w:val="right"/>
            </w:pPr>
            <w:r>
              <w:t xml:space="preserve">13,200</w:t>
            </w:r>
          </w:p>
        </w:tc>
        <w:tc>
          <w:tcPr/>
          <w:p>
            <w:pPr>
              <w:pStyle w:val="Compact"/>
              <w:jc w:val="right"/>
            </w:pPr>
            <w:r>
              <w:t xml:space="preserve">11,600</w:t>
            </w:r>
          </w:p>
        </w:tc>
      </w:tr>
      <w:tr>
        <w:tc>
          <w:tcPr/>
          <w:p>
            <w:pPr>
              <w:pStyle w:val="Compact"/>
              <w:jc w:val="left"/>
            </w:pPr>
            <w:r>
              <w:t xml:space="preserve">Accounts payable</w:t>
            </w:r>
          </w:p>
        </w:tc>
        <w:tc>
          <w:tcPr/>
          <w:p>
            <w:pPr>
              <w:pStyle w:val="Compact"/>
              <w:jc w:val="right"/>
            </w:pPr>
            <w:r>
              <w:t xml:space="preserve">9,800</w:t>
            </w:r>
          </w:p>
        </w:tc>
        <w:tc>
          <w:tcPr/>
          <w:p>
            <w:pPr>
              <w:pStyle w:val="Compact"/>
              <w:jc w:val="right"/>
            </w:pPr>
            <w:r>
              <w:t xml:space="preserve">8,200</w:t>
            </w:r>
          </w:p>
        </w:tc>
      </w:tr>
      <w:tr>
        <w:tc>
          <w:tcPr/>
          <w:p>
            <w:pPr>
              <w:pStyle w:val="Compact"/>
              <w:jc w:val="left"/>
            </w:pPr>
            <w:r>
              <w:t xml:space="preserve">Accrued liabilities</w:t>
            </w:r>
          </w:p>
        </w:tc>
        <w:tc>
          <w:tcPr/>
          <w:p>
            <w:pPr>
              <w:pStyle w:val="Compact"/>
              <w:jc w:val="right"/>
            </w:pPr>
            <w:r>
              <w:t xml:space="preserve">14,700</w:t>
            </w:r>
          </w:p>
        </w:tc>
        <w:tc>
          <w:tcPr/>
          <w:p>
            <w:pPr>
              <w:pStyle w:val="Compact"/>
              <w:jc w:val="right"/>
            </w:pPr>
            <w:r>
              <w:t xml:space="preserve">12,100</w:t>
            </w:r>
          </w:p>
        </w:tc>
      </w:tr>
    </w:tbl>
    <w:p>
      <w:pPr>
        <w:pStyle w:val="BodyText"/>
      </w:pPr>
      <w:r>
        <w:t xml:space="preserve">The current-asset and current-liability subtotals match, but the individual line items have been re-grouped or misstated. The Registration Statement draft uses the audited line items. The CFO Memo should be corrected to avoid confusion in the working group.</w:t>
      </w:r>
    </w:p>
    <w:bookmarkEnd w:id="38"/>
    <w:bookmarkStart w:id="39" w:name="Xa54687c65f6d7c2b63e189e1e85757cd5521218"/>
    <w:p>
      <w:pPr>
        <w:pStyle w:val="Heading2"/>
      </w:pPr>
      <w:r>
        <w:t xml:space="preserve">H-4. The Series B participating investor is named inconsistently</w:t>
      </w:r>
    </w:p>
    <w:p>
      <w:pPr>
        <w:pStyle w:val="FirstParagraph"/>
      </w:pPr>
      <w:r>
        <w:rPr>
          <w:b/>
          <w:bCs/>
        </w:rPr>
        <w:t xml:space="preserve">Priority: High.</w:t>
      </w:r>
    </w:p>
    <w:p>
      <w:pPr>
        <w:pStyle w:val="BodyText"/>
      </w:pPr>
      <w:r>
        <w:t xml:space="preserve">The Series B participating investor (other than Graymont Ventures) is identified as</w:t>
      </w:r>
      <w:r>
        <w:t xml:space="preserve"> </w:t>
      </w:r>
      <w:r>
        <w:rPr>
          <w:b/>
          <w:bCs/>
        </w:rPr>
        <w:t xml:space="preserve">“</w:t>
      </w:r>
      <w:r>
        <w:rPr>
          <w:b/>
          <w:bCs/>
        </w:rPr>
        <w:t xml:space="preserve">Aldersgate Capital</w:t>
      </w:r>
      <w:r>
        <w:rPr>
          <w:b/>
          <w:bCs/>
        </w:rPr>
        <w:t xml:space="preserve">”</w:t>
      </w:r>
      <w:r>
        <w:t xml:space="preserve"> </w:t>
      </w:r>
      <w:r>
        <w:t xml:space="preserve">in the Audited Financial Statements (Note 10), the CFO Memo, and the Questionnaire, but as</w:t>
      </w:r>
      <w:r>
        <w:t xml:space="preserve"> </w:t>
      </w:r>
      <w:r>
        <w:rPr>
          <w:b/>
          <w:bCs/>
        </w:rPr>
        <w:t xml:space="preserve">“</w:t>
      </w:r>
      <w:r>
        <w:rPr>
          <w:b/>
          <w:bCs/>
        </w:rPr>
        <w:t xml:space="preserve">Crestview Capital</w:t>
      </w:r>
      <w:r>
        <w:rPr>
          <w:b/>
          <w:bCs/>
        </w:rPr>
        <w:t xml:space="preserve">”</w:t>
      </w:r>
      <w:r>
        <w:t xml:space="preserve"> </w:t>
      </w:r>
      <w:r>
        <w:t xml:space="preserve">in the Roadshow (Slide 29 notes). The correct name must be confirmed. This is related to the Aldersgate Capital beneficial ownership gap (see O-3).</w:t>
      </w:r>
    </w:p>
    <w:bookmarkEnd w:id="39"/>
    <w:bookmarkStart w:id="40" w:name="X4ee6fd154e643f53df2ffb8314c4a65ff94ab70"/>
    <w:p>
      <w:pPr>
        <w:pStyle w:val="Heading2"/>
      </w:pPr>
      <w:r>
        <w:t xml:space="preserve">H-5. Post-IPO ownership percentage for Graymont Ventures does not reconcile</w:t>
      </w:r>
    </w:p>
    <w:p>
      <w:pPr>
        <w:pStyle w:val="FirstParagraph"/>
      </w:pPr>
      <w:r>
        <w:rPr>
          <w:b/>
          <w:bCs/>
        </w:rPr>
        <w:t xml:space="preserve">Priority: High.</w:t>
      </w:r>
    </w:p>
    <w:p>
      <w:pPr>
        <w:pStyle w:val="BodyText"/>
      </w:pPr>
      <w:r>
        <w:t xml:space="preserve">The CFO Memo (Section 7.2) estimates Graymont Ventures’ post-IPO ownership at approximately 19.3%. This does not reconcile to Graymont’s pre-IPO beneficial ownership: 23,607,067 shares (22.4% fully diluted) divided by 102,416,667 post-IPO shares equals approximately 23.0% (or approximately 22.0% using preferred-only shares of 22,500,000). The Ridgeline Growth Partners post-IPO figure (~12.7%) and the Arun Ramaswamy figure (~11.9%) do reconcile, but the Katerina Litvak figure (~8.4%) appears to use only her Class B shares (8,600,000) and to exclude her options, which is inconsistent with the treatment of Mr. Ramaswamy. The post-IPO ownership table must be rebuilt on a consistent basis.</w:t>
      </w:r>
    </w:p>
    <w:bookmarkEnd w:id="40"/>
    <w:bookmarkStart w:id="41" w:name="X65760b3c83a488ab2ffe06852f5a3c8ba928367"/>
    <w:p>
      <w:pPr>
        <w:pStyle w:val="Heading2"/>
      </w:pPr>
      <w:r>
        <w:t xml:space="preserve">H-6. Graymont Ventures share count differs between the CFO Memo and the Questionnaire</w:t>
      </w:r>
    </w:p>
    <w:p>
      <w:pPr>
        <w:pStyle w:val="FirstParagraph"/>
      </w:pPr>
      <w:r>
        <w:rPr>
          <w:b/>
          <w:bCs/>
        </w:rPr>
        <w:t xml:space="preserve">Priority: High.</w:t>
      </w:r>
    </w:p>
    <w:p>
      <w:pPr>
        <w:pStyle w:val="BodyText"/>
      </w:pPr>
      <w:r>
        <w:t xml:space="preserve">The CFO Memo (Section 7.1) attributes 23,607,067 shares to Graymont Ventures, while the Questionnaire (Section 3.1) attributes approximately 23,602,133 shares — a difference of 4,934 shares. Both purport to be as of December 31, 2024. The correct figure must be confirmed against the transfer agent records. (The sum of the Graymont and Ridgeline figures in the CFO Memo — 39,201,334 — also exceeds the 35,416,667 total preferred shares outstanding, suggesting the figures may include common stock or options attributed to the funds; this should be confirmed.)</w:t>
      </w:r>
    </w:p>
    <w:bookmarkEnd w:id="41"/>
    <w:bookmarkStart w:id="42" w:name="X1db39d87da7ba9851eaa6e72d2b694e6708be07"/>
    <w:p>
      <w:pPr>
        <w:pStyle w:val="Heading2"/>
      </w:pPr>
      <w:r>
        <w:t xml:space="preserve">H-7. Subsequent-events note states the S-1 was filed in February 2025; the CFO Memo anticipates a March 2025 filing</w:t>
      </w:r>
    </w:p>
    <w:p>
      <w:pPr>
        <w:pStyle w:val="FirstParagraph"/>
      </w:pPr>
      <w:r>
        <w:rPr>
          <w:b/>
          <w:bCs/>
        </w:rPr>
        <w:t xml:space="preserve">Priority: High.</w:t>
      </w:r>
    </w:p>
    <w:p>
      <w:pPr>
        <w:pStyle w:val="BodyText"/>
      </w:pPr>
      <w:r>
        <w:t xml:space="preserve">The Audited Financial Statements (Note 17) state that</w:t>
      </w:r>
      <w:r>
        <w:t xml:space="preserve"> </w:t>
      </w:r>
      <w:r>
        <w:t xml:space="preserve">“</w:t>
      </w:r>
      <w:r>
        <w:t xml:space="preserve">[i]n February 2025, the Company filed a Registration Statement on Form S-1.</w:t>
      </w:r>
      <w:r>
        <w:t xml:space="preserve">”</w:t>
      </w:r>
      <w:r>
        <w:t xml:space="preserve"> </w:t>
      </w:r>
      <w:r>
        <w:t xml:space="preserve">The CFO Memo (dated February 14, 2025) states that the Company</w:t>
      </w:r>
      <w:r>
        <w:t xml:space="preserve"> </w:t>
      </w:r>
      <w:r>
        <w:t xml:space="preserve">“</w:t>
      </w:r>
      <w:r>
        <w:t xml:space="preserve">anticipate[s] filing the initial Form S-1 in March 2025,</w:t>
      </w:r>
      <w:r>
        <w:t xml:space="preserve">”</w:t>
      </w:r>
      <w:r>
        <w:t xml:space="preserve"> </w:t>
      </w:r>
      <w:r>
        <w:t xml:space="preserve">and the Term Sheet is dated</w:t>
      </w:r>
      <w:r>
        <w:t xml:space="preserve"> </w:t>
      </w:r>
      <w:r>
        <w:t xml:space="preserve">“</w:t>
      </w:r>
      <w:r>
        <w:t xml:space="preserve">[●] March 2025.</w:t>
      </w:r>
      <w:r>
        <w:t xml:space="preserve">”</w:t>
      </w:r>
      <w:r>
        <w:t xml:space="preserve"> </w:t>
      </w:r>
      <w:r>
        <w:t xml:space="preserve">The actual filing date of the Registration Statement must be confirmed, and the subsequent-events note in the Audited Financial Statements (and the auditor’s report date, currently “March __, 2025”) must be made consistent with the actual filing date. If the Registration Statement is filed in March 2025, the February 2025 statement in Note 17 is inaccurate and must be corrected (and the auditor asked to update the subsequent-events evaluation date).</w:t>
      </w:r>
    </w:p>
    <w:bookmarkEnd w:id="42"/>
    <w:bookmarkStart w:id="43" w:name="Xf0607309d8c653dda1a0fce01118e59b8cbfcd5"/>
    <w:p>
      <w:pPr>
        <w:pStyle w:val="Heading2"/>
      </w:pPr>
      <w:r>
        <w:t xml:space="preserve">H-8. Issuer’s counsel address differs between the Questionnaire and the other documents</w:t>
      </w:r>
    </w:p>
    <w:p>
      <w:pPr>
        <w:pStyle w:val="FirstParagraph"/>
      </w:pPr>
      <w:r>
        <w:rPr>
          <w:b/>
          <w:bCs/>
        </w:rPr>
        <w:t xml:space="preserve">Priority: High.</w:t>
      </w:r>
    </w:p>
    <w:p>
      <w:pPr>
        <w:pStyle w:val="BodyText"/>
      </w:pPr>
      <w:r>
        <w:t xml:space="preserve">The Questionnaire identifies issuer’s counsel Thorncroft &amp; Wexler LLP at</w:t>
      </w:r>
      <w:r>
        <w:t xml:space="preserve"> </w:t>
      </w:r>
      <w:r>
        <w:rPr>
          <w:b/>
          <w:bCs/>
        </w:rPr>
        <w:t xml:space="preserve">“</w:t>
      </w:r>
      <w:r>
        <w:rPr>
          <w:b/>
          <w:bCs/>
        </w:rPr>
        <w:t xml:space="preserve">610 Lexington Avenue, 38th Floor, New York, NY 10022,</w:t>
      </w:r>
      <w:r>
        <w:rPr>
          <w:b/>
          <w:bCs/>
        </w:rPr>
        <w:t xml:space="preserve">”</w:t>
      </w:r>
      <w:r>
        <w:t xml:space="preserve"> </w:t>
      </w:r>
      <w:r>
        <w:t xml:space="preserve">while the Term Loan Summary and the Term Sheet identify the firm at</w:t>
      </w:r>
      <w:r>
        <w:t xml:space="preserve"> </w:t>
      </w:r>
      <w:r>
        <w:rPr>
          <w:b/>
          <w:bCs/>
        </w:rPr>
        <w:t xml:space="preserve">“</w:t>
      </w:r>
      <w:r>
        <w:rPr>
          <w:b/>
          <w:bCs/>
        </w:rPr>
        <w:t xml:space="preserve">600 Lexington Avenue, 38th Floor, New York, NY 10022.</w:t>
      </w:r>
      <w:r>
        <w:rPr>
          <w:b/>
          <w:bCs/>
        </w:rPr>
        <w:t xml:space="preserve">”</w:t>
      </w:r>
      <w:r>
        <w:t xml:space="preserve"> </w:t>
      </w:r>
      <w:r>
        <w:t xml:space="preserve">The correct address must be confirmed and used consistently (including in the Legal Matters section and the opinions to be delivered at closing).</w:t>
      </w:r>
    </w:p>
    <w:bookmarkEnd w:id="43"/>
    <w:bookmarkStart w:id="44" w:name="Xbd24b1e6ce5a0bd9f88d3ac75cbe1ce6629ca87"/>
    <w:p>
      <w:pPr>
        <w:pStyle w:val="Heading2"/>
      </w:pPr>
      <w:r>
        <w:t xml:space="preserve">H-9. Customer concentration rounding in the Roadshow</w:t>
      </w:r>
    </w:p>
    <w:p>
      <w:pPr>
        <w:pStyle w:val="FirstParagraph"/>
      </w:pPr>
      <w:r>
        <w:rPr>
          <w:b/>
          <w:bCs/>
        </w:rPr>
        <w:t xml:space="preserve">Priority: High.</w:t>
      </w:r>
    </w:p>
    <w:p>
      <w:pPr>
        <w:pStyle w:val="BodyText"/>
      </w:pPr>
      <w:r>
        <w:t xml:space="preserve">The Roadshow (Slide 13) states that</w:t>
      </w:r>
      <w:r>
        <w:t xml:space="preserve"> </w:t>
      </w:r>
      <w:r>
        <w:t xml:space="preserve">“</w:t>
      </w:r>
      <w:r>
        <w:t xml:space="preserve">[n]o single customer exceeds ~8% of total revenue.</w:t>
      </w:r>
      <w:r>
        <w:t xml:space="preserve">”</w:t>
      </w:r>
      <w:r>
        <w:t xml:space="preserve"> </w:t>
      </w:r>
      <w:r>
        <w:t xml:space="preserve">The Audited Financial Statements (Note 3) and the CFO Memo state that the largest customer (Harmon Industries Inc.) represented approximately</w:t>
      </w:r>
      <w:r>
        <w:t xml:space="preserve"> </w:t>
      </w:r>
      <w:r>
        <w:rPr>
          <w:b/>
          <w:bCs/>
        </w:rPr>
        <w:t xml:space="preserve">8.2%</w:t>
      </w:r>
      <w:r>
        <w:t xml:space="preserve"> </w:t>
      </w:r>
      <w:r>
        <w:t xml:space="preserve">of total revenue in fiscal year 2024. The</w:t>
      </w:r>
      <w:r>
        <w:t xml:space="preserve"> </w:t>
      </w:r>
      <w:r>
        <w:t xml:space="preserve">“</w:t>
      </w:r>
      <w:r>
        <w:t xml:space="preserve">~8%</w:t>
      </w:r>
      <w:r>
        <w:t xml:space="preserve">”</w:t>
      </w:r>
      <w:r>
        <w:t xml:space="preserve"> </w:t>
      </w:r>
      <w:r>
        <w:t xml:space="preserve">characterization, while approximate, understates the actual concentration and is inconsistent with the audited disclosure. The Registration Statement draft states 8.2%.</w:t>
      </w:r>
    </w:p>
    <w:bookmarkEnd w:id="44"/>
    <w:bookmarkEnd w:id="45"/>
    <w:bookmarkStart w:id="54" w:name="iv.-medium-priority-inconsistencies"/>
    <w:p>
      <w:pPr>
        <w:pStyle w:val="Heading1"/>
      </w:pPr>
      <w:r>
        <w:t xml:space="preserve">IV. Medium-Priority Inconsistencies</w:t>
      </w:r>
    </w:p>
    <w:bookmarkStart w:id="46" w:name="Xdd2681895e4b54fe6a9787f10f288907024a7f6"/>
    <w:p>
      <w:pPr>
        <w:pStyle w:val="Heading2"/>
      </w:pPr>
      <w:r>
        <w:t xml:space="preserve">M-1. The 2017 Stock Option Plan is not mentioned in the Audited Financial Statements</w:t>
      </w:r>
    </w:p>
    <w:p>
      <w:pPr>
        <w:pStyle w:val="FirstParagraph"/>
      </w:pPr>
      <w:r>
        <w:rPr>
          <w:b/>
          <w:bCs/>
        </w:rPr>
        <w:t xml:space="preserve">Priority: Medium.</w:t>
      </w:r>
    </w:p>
    <w:p>
      <w:pPr>
        <w:pStyle w:val="BodyText"/>
      </w:pPr>
      <w:r>
        <w:t xml:space="preserve">The Equity Plan Records (Plan Overview tab) describe the 2024 Equity Incentive Plan as the</w:t>
      </w:r>
      <w:r>
        <w:t xml:space="preserve"> </w:t>
      </w:r>
      <w:r>
        <w:t xml:space="preserve">“</w:t>
      </w:r>
      <w:r>
        <w:t xml:space="preserve">Successor to 2017 Stock Option Plan</w:t>
      </w:r>
      <w:r>
        <w:t xml:space="preserve">”</w:t>
      </w:r>
      <w:r>
        <w:t xml:space="preserve"> </w:t>
      </w:r>
      <w:r>
        <w:t xml:space="preserve">and state that</w:t>
      </w:r>
      <w:r>
        <w:t xml:space="preserve"> </w:t>
      </w:r>
      <w:r>
        <w:t xml:space="preserve">“</w:t>
      </w:r>
      <w:r>
        <w:t xml:space="preserve">all outstanding awards under 2017 Plan rolled into 2024 Plan.</w:t>
      </w:r>
      <w:r>
        <w:t xml:space="preserve">”</w:t>
      </w:r>
      <w:r>
        <w:t xml:space="preserve"> </w:t>
      </w:r>
      <w:r>
        <w:t xml:space="preserve">The Audited Financial Statements (Note 12) and the other Source Documents mention only the 2024 Equity Incentive Plan and do not describe the 2017 Plan or the rollover. The Registration Statement’s description of the equity plans (and the Item 16 recent sales disclosure) should describe the 2017 Plan, its termination, and the rollover of outstanding awards into the 2024 Plan. The plan history should be confirmed.</w:t>
      </w:r>
    </w:p>
    <w:bookmarkEnd w:id="46"/>
    <w:bookmarkStart w:id="47" w:name="X958c75d11fc58525129738dd26526b1fbaf2231"/>
    <w:p>
      <w:pPr>
        <w:pStyle w:val="Heading2"/>
      </w:pPr>
      <w:r>
        <w:t xml:space="preserve">M-2. The December 31, 2024 409A valuation is preliminary</w:t>
      </w:r>
    </w:p>
    <w:p>
      <w:pPr>
        <w:pStyle w:val="FirstParagraph"/>
      </w:pPr>
      <w:r>
        <w:rPr>
          <w:b/>
          <w:bCs/>
        </w:rPr>
        <w:t xml:space="preserve">Priority: Medium.</w:t>
      </w:r>
    </w:p>
    <w:p>
      <w:pPr>
        <w:pStyle w:val="BodyText"/>
      </w:pPr>
      <w:r>
        <w:t xml:space="preserve">The Equity Plan Records (409A Valuations tab) describe the December 31, 2024 valuation (fair value $18.50 per share) as</w:t>
      </w:r>
      <w:r>
        <w:t xml:space="preserve"> </w:t>
      </w:r>
      <w:r>
        <w:t xml:space="preserve">“</w:t>
      </w:r>
      <w:r>
        <w:t xml:space="preserve">Preliminary,</w:t>
      </w:r>
      <w:r>
        <w:t xml:space="preserve">”</w:t>
      </w:r>
      <w:r>
        <w:t xml:space="preserve"> </w:t>
      </w:r>
      <w:r>
        <w:t xml:space="preserve">with the final report and Board approval</w:t>
      </w:r>
      <w:r>
        <w:t xml:space="preserve"> </w:t>
      </w:r>
      <w:r>
        <w:t xml:space="preserve">“</w:t>
      </w:r>
      <w:r>
        <w:t xml:space="preserve">Pending — expected February 2025.</w:t>
      </w:r>
      <w:r>
        <w:t xml:space="preserve">”</w:t>
      </w:r>
      <w:r>
        <w:t xml:space="preserve"> </w:t>
      </w:r>
      <w:r>
        <w:t xml:space="preserve">This valuation is expected to be referenced in the Registration Statement for stock-based compensation disclosure purposes. The final valuation report and Board approval should be obtained before the Registration Statement is filed, and the stock-based compensation footnote updated accordingly.</w:t>
      </w:r>
    </w:p>
    <w:bookmarkEnd w:id="47"/>
    <w:bookmarkStart w:id="48" w:name="Xe05afff1119e798f58eac822b040a1016008da1"/>
    <w:p>
      <w:pPr>
        <w:pStyle w:val="Heading2"/>
      </w:pPr>
      <w:r>
        <w:t xml:space="preserve">M-3. Underwriting concession split between the book-runners is not agreed</w:t>
      </w:r>
    </w:p>
    <w:p>
      <w:pPr>
        <w:pStyle w:val="FirstParagraph"/>
      </w:pPr>
      <w:r>
        <w:rPr>
          <w:b/>
          <w:bCs/>
        </w:rPr>
        <w:t xml:space="preserve">Priority: Medium.</w:t>
      </w:r>
    </w:p>
    <w:p>
      <w:pPr>
        <w:pStyle w:val="BodyText"/>
      </w:pPr>
      <w:r>
        <w:t xml:space="preserve">The Term Sheet (Section 2) leaves the split of selling concessions between Pinnacle Ridge Capital and Stonebridge Greer &amp; Co. as</w:t>
      </w:r>
      <w:r>
        <w:t xml:space="preserve"> </w:t>
      </w:r>
      <w:r>
        <w:t xml:space="preserve">“</w:t>
      </w:r>
      <w:r>
        <w:t xml:space="preserve">[●]%… (to be agreed).</w:t>
      </w:r>
      <w:r>
        <w:t xml:space="preserve">”</w:t>
      </w:r>
      <w:r>
        <w:t xml:space="preserve"> </w:t>
      </w:r>
      <w:r>
        <w:t xml:space="preserve">This should be finalized and confirmed to comply with FINRA Rule 5110 before the underwriting agreement is executed.</w:t>
      </w:r>
    </w:p>
    <w:bookmarkEnd w:id="48"/>
    <w:bookmarkStart w:id="49" w:name="X0d53aaa0abfcb0893e33e87241faf312164b526"/>
    <w:p>
      <w:pPr>
        <w:pStyle w:val="Heading2"/>
      </w:pPr>
      <w:r>
        <w:t xml:space="preserve">M-4. Committee composition is not fully finalized</w:t>
      </w:r>
    </w:p>
    <w:p>
      <w:pPr>
        <w:pStyle w:val="FirstParagraph"/>
      </w:pPr>
      <w:r>
        <w:rPr>
          <w:b/>
          <w:bCs/>
        </w:rPr>
        <w:t xml:space="preserve">Priority: Medium.</w:t>
      </w:r>
    </w:p>
    <w:p>
      <w:pPr>
        <w:pStyle w:val="BodyText"/>
      </w:pPr>
      <w:r>
        <w:t xml:space="preserve">The Questionnaire (Section 6) states that the Audit Committee is chaired by Adaora Obi (with Thomas J. Moreno and Dr. Helen Park), but that the Compensation Committee has</w:t>
      </w:r>
      <w:r>
        <w:t xml:space="preserve"> </w:t>
      </w:r>
      <w:r>
        <w:t xml:space="preserve">“</w:t>
      </w:r>
      <w:r>
        <w:t xml:space="preserve">one additional member to be determined</w:t>
      </w:r>
      <w:r>
        <w:t xml:space="preserve">”</w:t>
      </w:r>
      <w:r>
        <w:t xml:space="preserve"> </w:t>
      </w:r>
      <w:r>
        <w:t xml:space="preserve">and the Nominating and Corporate Governance Committee’s composition is</w:t>
      </w:r>
      <w:r>
        <w:t xml:space="preserve"> </w:t>
      </w:r>
      <w:r>
        <w:t xml:space="preserve">“</w:t>
      </w:r>
      <w:r>
        <w:t xml:space="preserve">to be determined.</w:t>
      </w:r>
      <w:r>
        <w:t xml:space="preserve">”</w:t>
      </w:r>
      <w:r>
        <w:t xml:space="preserve"> </w:t>
      </w:r>
      <w:r>
        <w:t xml:space="preserve">Nasdaq listing standards (and, if the controlled-company exemption is not relied upon for committee matters, the independence requirements) require finalized committee composition. The committees should be finalized and disclosed in the Management section.</w:t>
      </w:r>
    </w:p>
    <w:bookmarkEnd w:id="49"/>
    <w:bookmarkStart w:id="50" w:name="m-5.-director-ages-are-not-provided"/>
    <w:p>
      <w:pPr>
        <w:pStyle w:val="Heading2"/>
      </w:pPr>
      <w:r>
        <w:t xml:space="preserve">M-5. Director ages are not provided</w:t>
      </w:r>
    </w:p>
    <w:p>
      <w:pPr>
        <w:pStyle w:val="FirstParagraph"/>
      </w:pPr>
      <w:r>
        <w:rPr>
          <w:b/>
          <w:bCs/>
        </w:rPr>
        <w:t xml:space="preserve">Priority: Medium.</w:t>
      </w:r>
    </w:p>
    <w:p>
      <w:pPr>
        <w:pStyle w:val="BodyText"/>
      </w:pPr>
      <w:r>
        <w:t xml:space="preserve">The Questionnaire (Open Item 4) notes that the ages of the non-employee directors (Venkatesh, Moreno, Park, Kwon, and Obi) were not provided. Item 401 of Regulation S-K requires disclosure of the age of each director and executive officer. The ages must be obtained and included in the Management section. The Registration Statement draft leaves these as placeholders.</w:t>
      </w:r>
    </w:p>
    <w:bookmarkEnd w:id="50"/>
    <w:bookmarkStart w:id="51" w:name="X36434c8c817ed15ee8e79b0b670320e0d2f714d"/>
    <w:p>
      <w:pPr>
        <w:pStyle w:val="Heading2"/>
      </w:pPr>
      <w:r>
        <w:t xml:space="preserve">M-6. Lock-up agreements must bind the fund-level entities</w:t>
      </w:r>
    </w:p>
    <w:p>
      <w:pPr>
        <w:pStyle w:val="FirstParagraph"/>
      </w:pPr>
      <w:r>
        <w:rPr>
          <w:b/>
          <w:bCs/>
        </w:rPr>
        <w:t xml:space="preserve">Priority: Medium.</w:t>
      </w:r>
    </w:p>
    <w:p>
      <w:pPr>
        <w:pStyle w:val="BodyText"/>
      </w:pPr>
      <w:r>
        <w:t xml:space="preserve">The Questionnaire (Open Item 5) notes that the Crestline shares held by Graymont Ventures and Ridgeline Growth Partners are held at the fund level (Graymont Ventures Fund III, L.P. and Fund IV, L.P.; Ridgeline Growth Partners Fund V, L.P.), not in the individual names of Ms. Venkatesh and Mr. Kwon. The lock-up agreements must be executed by the fund-level entities that hold the shares (and the Term Sheet, Schedule 1, separately lists Graymont Ventures and Ridgeline Growth Partners as 5%+ stockholders, which would sign in their own capacities). Counsel should confirm that the lock-up letter forms and the underwriting agreement bind the correct entities.</w:t>
      </w:r>
    </w:p>
    <w:bookmarkEnd w:id="51"/>
    <w:bookmarkStart w:id="52" w:name="X481c89651471956975affe4b061187c85b00642"/>
    <w:p>
      <w:pPr>
        <w:pStyle w:val="Heading2"/>
      </w:pPr>
      <w:r>
        <w:t xml:space="preserve">M-7. The</w:t>
      </w:r>
      <w:r>
        <w:t xml:space="preserve"> </w:t>
      </w:r>
      <w:r>
        <w:t xml:space="preserve">“</w:t>
      </w:r>
      <w:r>
        <w:t xml:space="preserve">Total capitalization</w:t>
      </w:r>
      <w:r>
        <w:t xml:space="preserve">”</w:t>
      </w:r>
      <w:r>
        <w:t xml:space="preserve"> </w:t>
      </w:r>
      <w:r>
        <w:t xml:space="preserve">row in the CFO Memo’s capitalization table is mislabeled</w:t>
      </w:r>
    </w:p>
    <w:p>
      <w:pPr>
        <w:pStyle w:val="FirstParagraph"/>
      </w:pPr>
      <w:r>
        <w:rPr>
          <w:b/>
          <w:bCs/>
        </w:rPr>
        <w:t xml:space="preserve">Priority: Medium.</w:t>
      </w:r>
    </w:p>
    <w:p>
      <w:pPr>
        <w:pStyle w:val="BodyText"/>
      </w:pPr>
      <w:r>
        <w:t xml:space="preserve">In the CFO Memo (Exhibit A), the</w:t>
      </w:r>
      <w:r>
        <w:t xml:space="preserve"> </w:t>
      </w:r>
      <w:r>
        <w:t xml:space="preserve">“</w:t>
      </w:r>
      <w:r>
        <w:t xml:space="preserve">Total capitalization</w:t>
      </w:r>
      <w:r>
        <w:t xml:space="preserve">”</w:t>
      </w:r>
      <w:r>
        <w:t xml:space="preserve"> </w:t>
      </w:r>
      <w:r>
        <w:t xml:space="preserve">row shows $240.1 million in the</w:t>
      </w:r>
      <w:r>
        <w:t xml:space="preserve"> </w:t>
      </w:r>
      <w:r>
        <w:t xml:space="preserve">“</w:t>
      </w:r>
      <w:r>
        <w:t xml:space="preserve">Actual</w:t>
      </w:r>
      <w:r>
        <w:t xml:space="preserve">”</w:t>
      </w:r>
      <w:r>
        <w:t xml:space="preserve"> </w:t>
      </w:r>
      <w:r>
        <w:t xml:space="preserve">column (which equals total assets), $137.0 million in the</w:t>
      </w:r>
      <w:r>
        <w:t xml:space="preserve"> </w:t>
      </w:r>
      <w:r>
        <w:t xml:space="preserve">“</w:t>
      </w:r>
      <w:r>
        <w:t xml:space="preserve">Pro Forma</w:t>
      </w:r>
      <w:r>
        <w:t xml:space="preserve">”</w:t>
      </w:r>
      <w:r>
        <w:t xml:space="preserve"> </w:t>
      </w:r>
      <w:r>
        <w:t xml:space="preserve">column (which equals cash and short-term investments), and $468.8 million in the</w:t>
      </w:r>
      <w:r>
        <w:t xml:space="preserve"> </w:t>
      </w:r>
      <w:r>
        <w:t xml:space="preserve">“</w:t>
      </w:r>
      <w:r>
        <w:t xml:space="preserve">Pro Forma As Adjusted</w:t>
      </w:r>
      <w:r>
        <w:t xml:space="preserve">”</w:t>
      </w:r>
      <w:r>
        <w:t xml:space="preserve"> </w:t>
      </w:r>
      <w:r>
        <w:t xml:space="preserve">column (which equals cash, short-term investments, plus net proceeds). The row label is inconsistent across the columns: the Pro Forma figure should be $240.1 million (preferred conversion does not change total assets or total capitalization), and the Pro Forma As Adjusted figure should be $571.9 million (total assets plus net proceeds) if the row is intended to reflect total capitalization. The Registration Statement’s capitalization table should use a consistent and correctly labeled measure.</w:t>
      </w:r>
    </w:p>
    <w:bookmarkEnd w:id="52"/>
    <w:bookmarkStart w:id="53" w:name="Xb8bdaf224b8a6cac68f68eae1a0046059a36669"/>
    <w:p>
      <w:pPr>
        <w:pStyle w:val="Heading2"/>
      </w:pPr>
      <w:r>
        <w:t xml:space="preserve">M-8. Use-of-proceeds percentages differ between the CFO Memo and the Roadshow</w:t>
      </w:r>
    </w:p>
    <w:p>
      <w:pPr>
        <w:pStyle w:val="FirstParagraph"/>
      </w:pPr>
      <w:r>
        <w:rPr>
          <w:b/>
          <w:bCs/>
        </w:rPr>
        <w:t xml:space="preserve">Priority: Medium.</w:t>
      </w:r>
    </w:p>
    <w:p>
      <w:pPr>
        <w:pStyle w:val="BodyText"/>
      </w:pPr>
      <w:r>
        <w:t xml:space="preserve">The CFO Memo (Section 3.2) and the Roadshow (Slide 27) present different use-of-proceeds allocations (e.g., R&amp;D 35% in the CFO Memo vs. 40% in the Roadshow; term loan 15% vs. 5%). This is related to C-4. The final Use of Proceeds disclosure must be a single, internally consistent allocation approved by the Board.</w:t>
      </w:r>
    </w:p>
    <w:bookmarkEnd w:id="53"/>
    <w:bookmarkEnd w:id="54"/>
    <w:bookmarkStart w:id="61" w:name="v.-low-priority-clean-up-items"/>
    <w:p>
      <w:pPr>
        <w:pStyle w:val="Heading1"/>
      </w:pPr>
      <w:r>
        <w:t xml:space="preserve">V. Low-Priority / Clean-Up Items</w:t>
      </w:r>
    </w:p>
    <w:bookmarkStart w:id="55" w:name="X3456930f9f915eb5521ba44a7e06cb4caf93590"/>
    <w:p>
      <w:pPr>
        <w:pStyle w:val="Heading2"/>
      </w:pPr>
      <w:r>
        <w:t xml:space="preserve">L-1.</w:t>
      </w:r>
      <w:r>
        <w:t xml:space="preserve"> </w:t>
      </w:r>
      <w:r>
        <w:t xml:space="preserve">“</w:t>
      </w:r>
      <w:r>
        <w:t xml:space="preserve">Oakvale Transfer Transfer Co.</w:t>
      </w:r>
      <w:r>
        <w:t xml:space="preserve">”</w:t>
      </w:r>
      <w:r>
        <w:t xml:space="preserve"> </w:t>
      </w:r>
      <w:r>
        <w:t xml:space="preserve">contains a doubled word</w:t>
      </w:r>
    </w:p>
    <w:p>
      <w:pPr>
        <w:pStyle w:val="FirstParagraph"/>
      </w:pPr>
      <w:r>
        <w:rPr>
          <w:b/>
          <w:bCs/>
        </w:rPr>
        <w:t xml:space="preserve">Priority: Low.</w:t>
      </w:r>
      <w:r>
        <w:t xml:space="preserve"> </w:t>
      </w:r>
      <w:r>
        <w:t xml:space="preserve">The transfer agent name</w:t>
      </w:r>
      <w:r>
        <w:t xml:space="preserve"> </w:t>
      </w:r>
      <w:r>
        <w:t xml:space="preserve">“</w:t>
      </w:r>
      <w:r>
        <w:t xml:space="preserve">Oakvale Transfer Transfer Co.</w:t>
      </w:r>
      <w:r>
        <w:t xml:space="preserve">”</w:t>
      </w:r>
      <w:r>
        <w:t xml:space="preserve"> </w:t>
      </w:r>
      <w:r>
        <w:t xml:space="preserve">(appearing in the CFO Memo, Questionnaire, Term Sheet, and Lock-Up Agreement) appears to contain a typographical error (the doubled word</w:t>
      </w:r>
      <w:r>
        <w:t xml:space="preserve"> </w:t>
      </w:r>
      <w:r>
        <w:t xml:space="preserve">“</w:t>
      </w:r>
      <w:r>
        <w:t xml:space="preserve">Transfer</w:t>
      </w:r>
      <w:r>
        <w:t xml:space="preserve">”</w:t>
      </w:r>
      <w:r>
        <w:t xml:space="preserve">). See C-9.</w:t>
      </w:r>
    </w:p>
    <w:bookmarkEnd w:id="55"/>
    <w:bookmarkStart w:id="56" w:name="X643e80c1d12c548844ba9adfd523a4a5427b890"/>
    <w:p>
      <w:pPr>
        <w:pStyle w:val="Heading2"/>
      </w:pPr>
      <w:r>
        <w:t xml:space="preserve">L-2.</w:t>
      </w:r>
      <w:r>
        <w:t xml:space="preserve"> </w:t>
      </w:r>
      <w:r>
        <w:t xml:space="preserve">“</w:t>
      </w:r>
      <w:r>
        <w:t xml:space="preserve">SVCP</w:t>
      </w:r>
      <w:r>
        <w:t xml:space="preserve">”</w:t>
      </w:r>
      <w:r>
        <w:t xml:space="preserve"> </w:t>
      </w:r>
      <w:r>
        <w:t xml:space="preserve">abbreviation in the Term Loan Summary</w:t>
      </w:r>
    </w:p>
    <w:p>
      <w:pPr>
        <w:pStyle w:val="FirstParagraph"/>
      </w:pPr>
      <w:r>
        <w:rPr>
          <w:b/>
          <w:bCs/>
        </w:rPr>
        <w:t xml:space="preserve">Priority: Low.</w:t>
      </w:r>
      <w:r>
        <w:t xml:space="preserve"> </w:t>
      </w:r>
      <w:r>
        <w:t xml:space="preserve">The Term Loan Summary (Section 1) defines the lender as</w:t>
      </w:r>
      <w:r>
        <w:t xml:space="preserve"> </w:t>
      </w:r>
      <w:r>
        <w:t xml:space="preserve">“</w:t>
      </w:r>
      <w:r>
        <w:t xml:space="preserve">Kestridge West Credit Partners (</w:t>
      </w:r>
      <w:r>
        <w:t xml:space="preserve">‘</w:t>
      </w:r>
      <w:r>
        <w:t xml:space="preserve">SVCP</w:t>
      </w:r>
      <w:r>
        <w:t xml:space="preserve">’</w:t>
      </w:r>
      <w:r>
        <w:t xml:space="preserve">).</w:t>
      </w:r>
      <w:r>
        <w:t xml:space="preserve">”</w:t>
      </w:r>
      <w:r>
        <w:t xml:space="preserve"> </w:t>
      </w:r>
      <w:r>
        <w:t xml:space="preserve">The abbreviation</w:t>
      </w:r>
      <w:r>
        <w:t xml:space="preserve"> </w:t>
      </w:r>
      <w:r>
        <w:t xml:space="preserve">“</w:t>
      </w:r>
      <w:r>
        <w:t xml:space="preserve">SVCP</w:t>
      </w:r>
      <w:r>
        <w:t xml:space="preserve">”</w:t>
      </w:r>
      <w:r>
        <w:t xml:space="preserve"> </w:t>
      </w:r>
      <w:r>
        <w:t xml:space="preserve">does not correspond to</w:t>
      </w:r>
      <w:r>
        <w:t xml:space="preserve"> </w:t>
      </w:r>
      <w:r>
        <w:t xml:space="preserve">“</w:t>
      </w:r>
      <w:r>
        <w:t xml:space="preserve">Kestridge West Credit Partners</w:t>
      </w:r>
      <w:r>
        <w:t xml:space="preserve">”</w:t>
      </w:r>
      <w:r>
        <w:t xml:space="preserve"> </w:t>
      </w:r>
      <w:r>
        <w:t xml:space="preserve">and appears to be a holdover from a prior lender name. See C-5.</w:t>
      </w:r>
    </w:p>
    <w:bookmarkEnd w:id="56"/>
    <w:bookmarkStart w:id="57" w:name="Xfd9064d9bb29acb1d26a4844d4cb84a1ed63e50"/>
    <w:p>
      <w:pPr>
        <w:pStyle w:val="Heading2"/>
      </w:pPr>
      <w:r>
        <w:t xml:space="preserve">L-3. Roadshow Slide 7 vs. Slide 30 director count</w:t>
      </w:r>
    </w:p>
    <w:p>
      <w:pPr>
        <w:pStyle w:val="FirstParagraph"/>
      </w:pPr>
      <w:r>
        <w:rPr>
          <w:b/>
          <w:bCs/>
        </w:rPr>
        <w:t xml:space="preserve">Priority: Low.</w:t>
      </w:r>
      <w:r>
        <w:t xml:space="preserve"> </w:t>
      </w:r>
      <w:r>
        <w:t xml:space="preserve">Within the Roadshow itself, Slide 7 implies six total directors (</w:t>
      </w:r>
      <w:r>
        <w:t xml:space="preserve">“</w:t>
      </w:r>
      <w:r>
        <w:t xml:space="preserve">three of five non-employee directors are independent</w:t>
      </w:r>
      <w:r>
        <w:t xml:space="preserve">”</w:t>
      </w:r>
      <w:r>
        <w:t xml:space="preserve">) while Slide 30 states</w:t>
      </w:r>
      <w:r>
        <w:t xml:space="preserve"> </w:t>
      </w:r>
      <w:r>
        <w:t xml:space="preserve">“</w:t>
      </w:r>
      <w:r>
        <w:t xml:space="preserve">3 of 7 total directors.</w:t>
      </w:r>
      <w:r>
        <w:t xml:space="preserve">”</w:t>
      </w:r>
      <w:r>
        <w:t xml:space="preserve"> </w:t>
      </w:r>
      <w:r>
        <w:t xml:space="preserve">This internal inconsistency is a subset of C-7.</w:t>
      </w:r>
    </w:p>
    <w:bookmarkEnd w:id="57"/>
    <w:bookmarkStart w:id="58" w:name="l-4.-customer-concentration-8-rounding"/>
    <w:p>
      <w:pPr>
        <w:pStyle w:val="Heading2"/>
      </w:pPr>
      <w:r>
        <w:t xml:space="preserve">L-4. Customer concentration</w:t>
      </w:r>
      <w:r>
        <w:t xml:space="preserve"> </w:t>
      </w:r>
      <w:r>
        <w:t xml:space="preserve">“</w:t>
      </w:r>
      <w:r>
        <w:t xml:space="preserve">~8%</w:t>
      </w:r>
      <w:r>
        <w:t xml:space="preserve">”</w:t>
      </w:r>
      <w:r>
        <w:t xml:space="preserve"> </w:t>
      </w:r>
      <w:r>
        <w:t xml:space="preserve">rounding</w:t>
      </w:r>
    </w:p>
    <w:p>
      <w:pPr>
        <w:pStyle w:val="FirstParagraph"/>
      </w:pPr>
      <w:r>
        <w:rPr>
          <w:b/>
          <w:bCs/>
        </w:rPr>
        <w:t xml:space="preserve">Priority: Low.</w:t>
      </w:r>
      <w:r>
        <w:t xml:space="preserve"> </w:t>
      </w:r>
      <w:r>
        <w:t xml:space="preserve">See H-9. The Roadshow’s</w:t>
      </w:r>
      <w:r>
        <w:t xml:space="preserve"> </w:t>
      </w:r>
      <w:r>
        <w:t xml:space="preserve">“</w:t>
      </w:r>
      <w:r>
        <w:t xml:space="preserve">~8%</w:t>
      </w:r>
      <w:r>
        <w:t xml:space="preserve">”</w:t>
      </w:r>
      <w:r>
        <w:t xml:space="preserve"> </w:t>
      </w:r>
      <w:r>
        <w:t xml:space="preserve">should be stated as 8.2% to match the audited disclosure.</w:t>
      </w:r>
    </w:p>
    <w:bookmarkEnd w:id="58"/>
    <w:bookmarkStart w:id="59" w:name="Xf7d475d6a20cef5d3a791d15771ab5235385aaf"/>
    <w:p>
      <w:pPr>
        <w:pStyle w:val="Heading2"/>
      </w:pPr>
      <w:r>
        <w:t xml:space="preserve">L-5. Pro forma post-IPO market capitalization excludes dilutive securities</w:t>
      </w:r>
    </w:p>
    <w:p>
      <w:pPr>
        <w:pStyle w:val="FirstParagraph"/>
      </w:pPr>
      <w:r>
        <w:rPr>
          <w:b/>
          <w:bCs/>
        </w:rPr>
        <w:t xml:space="preserve">Priority: Low.</w:t>
      </w:r>
      <w:r>
        <w:t xml:space="preserve"> </w:t>
      </w:r>
      <w:r>
        <w:t xml:space="preserve">The Roadshow (Slide 26 notes) computes pro forma post-IPO market capitalization as 102,416,667 shares × $24.00 = ~$2.458 billion, which excludes the 14,750,000 outstanding options and 3,200,000 outstanding RSUs. This is acceptable as a rough figure but should be noted as excluding dilutive securities if used in investor materials.</w:t>
      </w:r>
    </w:p>
    <w:bookmarkEnd w:id="59"/>
    <w:bookmarkStart w:id="60" w:name="Xfa50f16f9433cb36ff072a63f67158c9079e518"/>
    <w:p>
      <w:pPr>
        <w:pStyle w:val="Heading2"/>
      </w:pPr>
      <w:r>
        <w:t xml:space="preserve">L-6. Auditor report date and subsequent-events date are blank</w:t>
      </w:r>
    </w:p>
    <w:p>
      <w:pPr>
        <w:pStyle w:val="FirstParagraph"/>
      </w:pPr>
      <w:r>
        <w:rPr>
          <w:b/>
          <w:bCs/>
        </w:rPr>
        <w:t xml:space="preserve">Priority: Low.</w:t>
      </w:r>
      <w:r>
        <w:t xml:space="preserve"> </w:t>
      </w:r>
      <w:r>
        <w:t xml:space="preserve">The Audited Financial Statements show the auditor’s report date and the subsequent-events evaluation date as “March __, 2025.” These must be completed with the actual dates. See H-7.</w:t>
      </w:r>
    </w:p>
    <w:bookmarkEnd w:id="60"/>
    <w:bookmarkEnd w:id="61"/>
    <w:bookmarkStart w:id="62" w:name="vi.-open-items-and-information-gaps"/>
    <w:p>
      <w:pPr>
        <w:pStyle w:val="Heading1"/>
      </w:pPr>
      <w:r>
        <w:t xml:space="preserve">VI. Open Items and Information Gaps</w:t>
      </w:r>
    </w:p>
    <w:p>
      <w:pPr>
        <w:pStyle w:val="FirstParagraph"/>
      </w:pPr>
      <w:r>
        <w:t xml:space="preserve">The following open items must be resolved before the Registration Statement is filed or declared effective:</w:t>
      </w:r>
    </w:p>
    <w:p>
      <w:pPr>
        <w:pStyle w:val="BodyText"/>
      </w:pPr>
      <w:r>
        <w:rPr>
          <w:b/>
          <w:bCs/>
        </w:rPr>
        <w:t xml:space="preserve">O-1. Controlled company exemption election.</w:t>
      </w:r>
      <w:r>
        <w:t xml:space="preserve"> </w:t>
      </w:r>
      <w:r>
        <w:t xml:space="preserve">No Board resolution is on record regarding whether the Company will rely on the controlled company exemption under Nasdaq Listing Rule 5615(c) (Questionnaire, Open Item 1). Given that only three of the directors are independent (whether the board is six or seven members), reliance on at least the majority-independent-board exemption appears necessary unless an additional independent director is appointed. The Board should make a formal determination, and the Registration Statement’s risk factors and corporate governance disclosure should reflect the election. The Registration Statement draft assumes the exemption will be relied upon.</w:t>
      </w:r>
    </w:p>
    <w:p>
      <w:pPr>
        <w:pStyle w:val="BodyText"/>
      </w:pPr>
      <w:r>
        <w:rPr>
          <w:b/>
          <w:bCs/>
        </w:rPr>
        <w:t xml:space="preserve">O-2. Vantara Logistics related-party disclosure inconsistency.</w:t>
      </w:r>
      <w:r>
        <w:t xml:space="preserve"> </w:t>
      </w:r>
      <w:r>
        <w:t xml:space="preserve">Ms. Venkatesh disclosed the Vantara Logistics SaaS agreement as a related party transaction; the CFO did not identify it as such in his questionnaire response; and the CFO Memo and Roadshow present Vantara as a standard customer and customer case study without related-party notation (Questionnaire, Open Item 2; Roadshow Slide 14). The Item 404 disclosure must be completed, the arm’s-length determination confirmed with the Audit Committee, and all investor-facing materials updated. In addition, the Vantara agreement ($1.2 million annually) may require notification to the term loan lender under the affiliate-transactions covenant in the credit agreement (Term Loan Summary, Section 7.2); counsel should confirm whether such notification was provided.</w:t>
      </w:r>
    </w:p>
    <w:p>
      <w:pPr>
        <w:pStyle w:val="BodyText"/>
      </w:pPr>
      <w:r>
        <w:rPr>
          <w:b/>
          <w:bCs/>
        </w:rPr>
        <w:t xml:space="preserve">O-3. Aldersgate Capital / Crestview Capital beneficial ownership gap.</w:t>
      </w:r>
      <w:r>
        <w:t xml:space="preserve"> </w:t>
      </w:r>
      <w:r>
        <w:t xml:space="preserve">The Series B participating investor does not appear in any current beneficial ownership disclosure (Questionnaire, Open Item 3). If it holds 5% or more of any class of securities, it must be included in the principal stockholders table (Item 403). The transfer agent records should be reviewed to confirm its current holdings, and a D&amp;O questionnaire or equivalent disclosure obtained if required. The correct name (Aldersgate Capital vs. Crestview Capital) must also be confirmed (see H-4).</w:t>
      </w:r>
    </w:p>
    <w:p>
      <w:pPr>
        <w:pStyle w:val="BodyText"/>
      </w:pPr>
      <w:r>
        <w:rPr>
          <w:b/>
          <w:bCs/>
        </w:rPr>
        <w:t xml:space="preserve">O-4. Section 382 study not completed.</w:t>
      </w:r>
      <w:r>
        <w:t xml:space="preserve"> </w:t>
      </w:r>
      <w:r>
        <w:t xml:space="preserve">The Audited Financial Statements (Note 13) state that the Company has not completed a Section 382 study. The Company has approximately $228.0 million of federal net operating loss carryforwards and $166.0 million of state net operating loss carryforwards. An IPO and other equity transactions may trigger an ownership change under Section 382 of the Internal Revenue Code, which could materially limit the Company’s ability to utilize its NOLs. The Section 382 study should be completed, and the risk factor and tax footnote updated to disclose any ownership-change limitation.</w:t>
      </w:r>
    </w:p>
    <w:p>
      <w:pPr>
        <w:pStyle w:val="BodyText"/>
      </w:pPr>
      <w:r>
        <w:rPr>
          <w:b/>
          <w:bCs/>
        </w:rPr>
        <w:t xml:space="preserve">O-5.</w:t>
      </w:r>
      <w:r>
        <w:rPr>
          <w:b/>
          <w:bCs/>
        </w:rPr>
        <w:t xml:space="preserve"> </w:t>
      </w:r>
      <w:r>
        <w:rPr>
          <w:b/>
          <w:bCs/>
        </w:rPr>
        <w:t xml:space="preserve">“</w:t>
      </w:r>
      <w:r>
        <w:rPr>
          <w:b/>
          <w:bCs/>
        </w:rPr>
        <w:t xml:space="preserve">Cheap stock</w:t>
      </w:r>
      <w:r>
        <w:rPr>
          <w:b/>
          <w:bCs/>
        </w:rPr>
        <w:t xml:space="preserve">”</w:t>
      </w:r>
      <w:r>
        <w:rPr>
          <w:b/>
          <w:bCs/>
        </w:rPr>
        <w:t xml:space="preserve"> </w:t>
      </w:r>
      <w:r>
        <w:rPr>
          <w:b/>
          <w:bCs/>
        </w:rPr>
        <w:t xml:space="preserve">/ 409A valuation timing risk.</w:t>
      </w:r>
      <w:r>
        <w:t xml:space="preserve"> </w:t>
      </w:r>
      <w:r>
        <w:t xml:space="preserve">The Equity Plan Records and the Audited Financial Statements (Note 12) reflect that 2,400,000 stock options were granted in the first quarter of fiscal year 2023 at an exercise price of $9.50 per share, based on the September 30, 2022 409A valuation. A subsequent 409A valuation as of March 31, 2023 determined the fair value of common stock to be $14.20 per share. The grants were made before the updated valuation was obtained. This</w:t>
      </w:r>
      <w:r>
        <w:t xml:space="preserve"> </w:t>
      </w:r>
      <w:r>
        <w:t xml:space="preserve">“</w:t>
      </w:r>
      <w:r>
        <w:t xml:space="preserve">cheap stock</w:t>
      </w:r>
      <w:r>
        <w:t xml:space="preserve">”</w:t>
      </w:r>
      <w:r>
        <w:t xml:space="preserve"> </w:t>
      </w:r>
      <w:r>
        <w:t xml:space="preserve">timing issue is a common SEC comment area and should be addressed in the stock-based compensation footnote (including the Company’s rationale for relying on the then-most-recent valuation) and, if necessary, through a correction of expense. The reliability of the historical 409A valuations is also affected by C-13 (incorrect financing inputs).</w:t>
      </w:r>
    </w:p>
    <w:p>
      <w:pPr>
        <w:pStyle w:val="BodyText"/>
      </w:pPr>
      <w:r>
        <w:rPr>
          <w:b/>
          <w:bCs/>
        </w:rPr>
        <w:t xml:space="preserve">O-6. D&amp;O insurance and other IPO-readiness action items.</w:t>
      </w:r>
      <w:r>
        <w:t xml:space="preserve"> </w:t>
      </w:r>
      <w:r>
        <w:t xml:space="preserve">The CFO Memo (Section 10) lists several action items not yet completed, including placing directors’ and officers’ liability insurance with public company coverage limits (item 9), finalizing the transfer agent engagement (item 6), and updating the 409A valuation (item 11). These should be completed before pricing.</w:t>
      </w:r>
    </w:p>
    <w:p>
      <w:pPr>
        <w:pStyle w:val="BodyText"/>
      </w:pPr>
      <w:r>
        <w:rPr>
          <w:b/>
          <w:bCs/>
        </w:rPr>
        <w:t xml:space="preserve">O-7. Emerging growth company transition-period election.</w:t>
      </w:r>
      <w:r>
        <w:t xml:space="preserve"> </w:t>
      </w:r>
      <w:r>
        <w:t xml:space="preserve">The Term Sheet (Section 10) and the Roadshow (Slide 2) note that the Company qualifies as an emerging growth company, but the Company has not yet determined whether it will take advantage of the extended transition period for complying with new or revised accounting standards. This election should be made and disclosed.</w:t>
      </w:r>
    </w:p>
    <w:p>
      <w:pPr>
        <w:pStyle w:val="BodyText"/>
      </w:pPr>
      <w:r>
        <w:rPr>
          <w:b/>
          <w:bCs/>
        </w:rPr>
        <w:t xml:space="preserve">O-8. Material contracts and exhibits.</w:t>
      </w:r>
      <w:r>
        <w:t xml:space="preserve"> </w:t>
      </w:r>
      <w:r>
        <w:t xml:space="preserve">The Term Sheet (Section 10) and the Term Loan Summary (Section 13) identify several material agreements that must be filed as exhibits and described in the Registration Statement, including the term loan and security agreement, the Investor Rights Agreement, the Voting Agreement, and the Right of First Refusal and Co-Sale Agreement. The exhibit list should be finalized.</w:t>
      </w:r>
    </w:p>
    <w:bookmarkEnd w:id="62"/>
    <w:bookmarkStart w:id="63" w:name="Xe0bbff3d807432fbf4f31200d82af42e269058a"/>
    <w:p>
      <w:pPr>
        <w:pStyle w:val="Heading1"/>
      </w:pPr>
      <w:r>
        <w:t xml:space="preserve">VII. Key Risk Factors to Confirm in the Registration Statement</w:t>
      </w:r>
    </w:p>
    <w:p>
      <w:pPr>
        <w:pStyle w:val="FirstParagraph"/>
      </w:pPr>
      <w:r>
        <w:t xml:space="preserve">The Registration Statement draft includes risk factors addressing the following matters, which are supported by the Source Documents and should be confirmed with management:</w:t>
      </w:r>
    </w:p>
    <w:p>
      <w:pPr>
        <w:pStyle w:val="Compact"/>
        <w:numPr>
          <w:ilvl w:val="0"/>
          <w:numId w:val="1002"/>
        </w:numPr>
      </w:pPr>
      <w:r>
        <w:rPr>
          <w:b/>
          <w:bCs/>
        </w:rPr>
        <w:t xml:space="preserve">History of net losses and accumulated deficit</w:t>
      </w:r>
      <w:r>
        <w:t xml:space="preserve"> </w:t>
      </w:r>
      <w:r>
        <w:t xml:space="preserve">($312.6 million accumulated deficit as of December 31, 2024; net losses since inception).</w:t>
      </w:r>
    </w:p>
    <w:p>
      <w:pPr>
        <w:pStyle w:val="Compact"/>
        <w:numPr>
          <w:ilvl w:val="0"/>
          <w:numId w:val="1002"/>
        </w:numPr>
      </w:pPr>
      <w:r>
        <w:rPr>
          <w:b/>
          <w:bCs/>
        </w:rPr>
        <w:t xml:space="preserve">Declining revenue growth rate</w:t>
      </w:r>
      <w:r>
        <w:t xml:space="preserve"> </w:t>
      </w:r>
      <w:r>
        <w:t xml:space="preserve">(45.3% growth in fiscal year 2024 may not be sustained).</w:t>
      </w:r>
    </w:p>
    <w:p>
      <w:pPr>
        <w:pStyle w:val="Compact"/>
        <w:numPr>
          <w:ilvl w:val="0"/>
          <w:numId w:val="1002"/>
        </w:numPr>
      </w:pPr>
      <w:r>
        <w:rPr>
          <w:b/>
          <w:bCs/>
        </w:rPr>
        <w:t xml:space="preserve">Customer concentration</w:t>
      </w:r>
      <w:r>
        <w:t xml:space="preserve"> </w:t>
      </w:r>
      <w:r>
        <w:t xml:space="preserve">(largest customer 8.2%; top 10 customers 31.7%).</w:t>
      </w:r>
    </w:p>
    <w:p>
      <w:pPr>
        <w:pStyle w:val="Compact"/>
        <w:numPr>
          <w:ilvl w:val="0"/>
          <w:numId w:val="1002"/>
        </w:numPr>
      </w:pPr>
      <w:r>
        <w:rPr>
          <w:b/>
          <w:bCs/>
        </w:rPr>
        <w:t xml:space="preserve">Intellectual property litigation</w:t>
      </w:r>
      <w:r>
        <w:t xml:space="preserve"> </w:t>
      </w:r>
      <w:r>
        <w:t xml:space="preserve">(Optivance, Inc. v. Crestline Software, Inc., Case No. 6:24-cv-00831 (E.D. Tex.); estimated exposure $5.0–$20.0 million).</w:t>
      </w:r>
    </w:p>
    <w:p>
      <w:pPr>
        <w:pStyle w:val="Compact"/>
        <w:numPr>
          <w:ilvl w:val="0"/>
          <w:numId w:val="1002"/>
        </w:numPr>
      </w:pPr>
      <w:r>
        <w:rPr>
          <w:b/>
          <w:bCs/>
        </w:rPr>
        <w:t xml:space="preserve">Interaction between the Optivance litigation and the term loan cross-default threshold</w:t>
      </w:r>
      <w:r>
        <w:t xml:space="preserve"> </w:t>
      </w:r>
      <w:r>
        <w:t xml:space="preserve">(judgments exceeding $5.0 million undischarged for 60 days constitute an event of default under the term loan).</w:t>
      </w:r>
    </w:p>
    <w:p>
      <w:pPr>
        <w:pStyle w:val="Compact"/>
        <w:numPr>
          <w:ilvl w:val="0"/>
          <w:numId w:val="1002"/>
        </w:numPr>
      </w:pPr>
      <w:r>
        <w:rPr>
          <w:b/>
          <w:bCs/>
        </w:rPr>
        <w:t xml:space="preserve">Term loan covenants, 30-day IPO notice requirement, change-of-control provision, and key-person provision</w:t>
      </w:r>
      <w:r>
        <w:t xml:space="preserve"> </w:t>
      </w:r>
      <w:r>
        <w:t xml:space="preserve">(collateral includes substantially all assets, including intellectual property).</w:t>
      </w:r>
    </w:p>
    <w:p>
      <w:pPr>
        <w:pStyle w:val="Compact"/>
        <w:numPr>
          <w:ilvl w:val="0"/>
          <w:numId w:val="1002"/>
        </w:numPr>
      </w:pPr>
      <w:r>
        <w:rPr>
          <w:b/>
          <w:bCs/>
        </w:rPr>
        <w:t xml:space="preserve">Dual-class common stock structure and concentration of voting control with the co-founders</w:t>
      </w:r>
      <w:r>
        <w:t xml:space="preserve"> </w:t>
      </w:r>
      <w:r>
        <w:t xml:space="preserve">(approximately 71.8% of voting power post-IPO).</w:t>
      </w:r>
    </w:p>
    <w:p>
      <w:pPr>
        <w:pStyle w:val="Compact"/>
        <w:numPr>
          <w:ilvl w:val="0"/>
          <w:numId w:val="1002"/>
        </w:numPr>
      </w:pPr>
      <w:r>
        <w:rPr>
          <w:b/>
          <w:bCs/>
        </w:rPr>
        <w:t xml:space="preserve">Absence of a sunset provision on the Class B common stock</w:t>
      </w:r>
      <w:r>
        <w:t xml:space="preserve"> </w:t>
      </w:r>
      <w:r>
        <w:t xml:space="preserve">(the dual-class structure continues indefinitely).</w:t>
      </w:r>
    </w:p>
    <w:p>
      <w:pPr>
        <w:pStyle w:val="Compact"/>
        <w:numPr>
          <w:ilvl w:val="0"/>
          <w:numId w:val="1002"/>
        </w:numPr>
      </w:pPr>
      <w:r>
        <w:rPr>
          <w:b/>
          <w:bCs/>
        </w:rPr>
        <w:t xml:space="preserve">Controlled company status</w:t>
      </w:r>
      <w:r>
        <w:t xml:space="preserve"> </w:t>
      </w:r>
      <w:r>
        <w:t xml:space="preserve">and the reduced corporate governance protections available to public stockholders.</w:t>
      </w:r>
    </w:p>
    <w:p>
      <w:pPr>
        <w:pStyle w:val="Compact"/>
        <w:numPr>
          <w:ilvl w:val="0"/>
          <w:numId w:val="1002"/>
        </w:numPr>
      </w:pPr>
      <w:r>
        <w:rPr>
          <w:b/>
          <w:bCs/>
        </w:rPr>
        <w:t xml:space="preserve">Anti-takeover provisions</w:t>
      </w:r>
      <w:r>
        <w:t xml:space="preserve"> </w:t>
      </w:r>
      <w:r>
        <w:t xml:space="preserve">(classified board, no written consent for Class A holders, supermajority vote requirements, advance notice bylaws, board vacancy-filling, removal only for cause).</w:t>
      </w:r>
    </w:p>
    <w:p>
      <w:pPr>
        <w:pStyle w:val="Compact"/>
        <w:numPr>
          <w:ilvl w:val="0"/>
          <w:numId w:val="1002"/>
        </w:numPr>
      </w:pPr>
      <w:r>
        <w:rPr>
          <w:b/>
          <w:bCs/>
        </w:rPr>
        <w:t xml:space="preserve">Exclusive forum provisions</w:t>
      </w:r>
      <w:r>
        <w:t xml:space="preserve"> </w:t>
      </w:r>
      <w:r>
        <w:t xml:space="preserve">(Delaware Court of Chancery for state-law claims; federal district courts for Securities Act claims).</w:t>
      </w:r>
    </w:p>
    <w:p>
      <w:pPr>
        <w:pStyle w:val="Compact"/>
        <w:numPr>
          <w:ilvl w:val="0"/>
          <w:numId w:val="1002"/>
        </w:numPr>
      </w:pPr>
      <w:r>
        <w:rPr>
          <w:b/>
          <w:bCs/>
        </w:rPr>
        <w:t xml:space="preserve">Immediate and substantial dilution</w:t>
      </w:r>
      <w:r>
        <w:t xml:space="preserve"> </w:t>
      </w:r>
      <w:r>
        <w:t xml:space="preserve">($19.85 per share at the midpoint price).</w:t>
      </w:r>
    </w:p>
    <w:p>
      <w:pPr>
        <w:pStyle w:val="Compact"/>
        <w:numPr>
          <w:ilvl w:val="0"/>
          <w:numId w:val="1002"/>
        </w:numPr>
      </w:pPr>
      <w:r>
        <w:rPr>
          <w:b/>
          <w:bCs/>
        </w:rPr>
        <w:t xml:space="preserve">Future sales eligible for public market sale</w:t>
      </w:r>
      <w:r>
        <w:t xml:space="preserve"> </w:t>
      </w:r>
      <w:r>
        <w:t xml:space="preserve">(lock-up expiration; outstanding options and RSUs; equity plan reserves).</w:t>
      </w:r>
    </w:p>
    <w:p>
      <w:pPr>
        <w:pStyle w:val="Compact"/>
        <w:numPr>
          <w:ilvl w:val="0"/>
          <w:numId w:val="1002"/>
        </w:numPr>
      </w:pPr>
      <w:r>
        <w:rPr>
          <w:b/>
          <w:bCs/>
        </w:rPr>
        <w:t xml:space="preserve">No dividends</w:t>
      </w:r>
      <w:r>
        <w:t xml:space="preserve"> </w:t>
      </w:r>
      <w:r>
        <w:t xml:space="preserve">(and term loan restriction on restricted payments).</w:t>
      </w:r>
    </w:p>
    <w:p>
      <w:pPr>
        <w:pStyle w:val="Compact"/>
        <w:numPr>
          <w:ilvl w:val="0"/>
          <w:numId w:val="1002"/>
        </w:numPr>
      </w:pPr>
      <w:r>
        <w:rPr>
          <w:b/>
          <w:bCs/>
        </w:rPr>
        <w:t xml:space="preserve">Key person dependence</w:t>
      </w:r>
      <w:r>
        <w:t xml:space="preserve"> </w:t>
      </w:r>
      <w:r>
        <w:t xml:space="preserve">(co-founders; term loan key-person provision tied to the CEO).</w:t>
      </w:r>
    </w:p>
    <w:p>
      <w:pPr>
        <w:pStyle w:val="Compact"/>
        <w:numPr>
          <w:ilvl w:val="0"/>
          <w:numId w:val="1002"/>
        </w:numPr>
      </w:pPr>
      <w:r>
        <w:rPr>
          <w:b/>
          <w:bCs/>
        </w:rPr>
        <w:t xml:space="preserve">International operations</w:t>
      </w:r>
      <w:r>
        <w:t xml:space="preserve"> </w:t>
      </w:r>
      <w:r>
        <w:t xml:space="preserve">(U.K. and India; GDPR; foreign currency translation).</w:t>
      </w:r>
    </w:p>
    <w:p>
      <w:pPr>
        <w:pStyle w:val="Compact"/>
        <w:numPr>
          <w:ilvl w:val="0"/>
          <w:numId w:val="1002"/>
        </w:numPr>
      </w:pPr>
      <w:r>
        <w:rPr>
          <w:b/>
          <w:bCs/>
        </w:rPr>
        <w:t xml:space="preserve">Data security and privacy</w:t>
      </w:r>
      <w:r>
        <w:t xml:space="preserve"> </w:t>
      </w:r>
      <w:r>
        <w:t xml:space="preserve">(SOC 2 Type II; GDPR; CCPA).</w:t>
      </w:r>
    </w:p>
    <w:p>
      <w:pPr>
        <w:pStyle w:val="Compact"/>
        <w:numPr>
          <w:ilvl w:val="0"/>
          <w:numId w:val="1002"/>
        </w:numPr>
      </w:pPr>
      <w:r>
        <w:rPr>
          <w:b/>
          <w:bCs/>
        </w:rPr>
        <w:t xml:space="preserve">Restructuring</w:t>
      </w:r>
      <w:r>
        <w:t xml:space="preserve"> </w:t>
      </w:r>
      <w:r>
        <w:t xml:space="preserve">(fiscal year 2024 workforce reduction; potential future restructuring).</w:t>
      </w:r>
    </w:p>
    <w:p>
      <w:pPr>
        <w:pStyle w:val="Compact"/>
        <w:numPr>
          <w:ilvl w:val="0"/>
          <w:numId w:val="1002"/>
        </w:numPr>
      </w:pPr>
      <w:r>
        <w:rPr>
          <w:b/>
          <w:bCs/>
        </w:rPr>
        <w:t xml:space="preserve">Redeemable convertible preferred stock</w:t>
      </w:r>
      <w:r>
        <w:t xml:space="preserve"> </w:t>
      </w:r>
      <w:r>
        <w:t xml:space="preserve">(mezzanine equity; automatic conversion at the IPO; historical redemption and liquidation rights).</w:t>
      </w:r>
    </w:p>
    <w:p>
      <w:pPr>
        <w:pStyle w:val="Compact"/>
        <w:numPr>
          <w:ilvl w:val="0"/>
          <w:numId w:val="1002"/>
        </w:numPr>
      </w:pPr>
      <w:r>
        <w:rPr>
          <w:b/>
          <w:bCs/>
        </w:rPr>
        <w:t xml:space="preserve">Index exclusion risk</w:t>
      </w:r>
      <w:r>
        <w:t xml:space="preserve"> </w:t>
      </w:r>
      <w:r>
        <w:t xml:space="preserve">(multi-class capital structures may be excluded from certain indices).</w:t>
      </w:r>
    </w:p>
    <w:bookmarkEnd w:id="63"/>
    <w:bookmarkStart w:id="64" w:name="viii.-summary-of-recommended-actions"/>
    <w:p>
      <w:pPr>
        <w:pStyle w:val="Heading1"/>
      </w:pPr>
      <w:r>
        <w:t xml:space="preserve">VIII. Summary of Recommended Actions</w:t>
      </w:r>
    </w:p>
    <w:p>
      <w:pPr>
        <w:pStyle w:val="FirstParagraph"/>
      </w:pPr>
      <w:r>
        <w:t xml:space="preserve">The following actions are recommended before the Registration Statement is filed:</w:t>
      </w:r>
    </w:p>
    <w:p>
      <w:pPr>
        <w:pStyle w:val="Compact"/>
        <w:numPr>
          <w:ilvl w:val="0"/>
          <w:numId w:val="1003"/>
        </w:numPr>
      </w:pPr>
      <w:r>
        <w:rPr>
          <w:b/>
          <w:bCs/>
        </w:rPr>
        <w:t xml:space="preserve">Correct the Adjusted EBITDA reconciliation</w:t>
      </w:r>
      <w:r>
        <w:t xml:space="preserve"> </w:t>
      </w:r>
      <w:r>
        <w:t xml:space="preserve">to $20.5 million (FY 2024) and $3.5 million (FY 2023) using audited inputs, and correct all investor-facing materials (C-1, C-2).</w:t>
      </w:r>
    </w:p>
    <w:p>
      <w:pPr>
        <w:pStyle w:val="Compact"/>
        <w:numPr>
          <w:ilvl w:val="0"/>
          <w:numId w:val="1003"/>
        </w:numPr>
      </w:pPr>
      <w:r>
        <w:rPr>
          <w:b/>
          <w:bCs/>
        </w:rPr>
        <w:t xml:space="preserve">Correct the professional services</w:t>
      </w:r>
      <w:r>
        <w:rPr>
          <w:b/>
          <w:bCs/>
        </w:rPr>
        <w:t xml:space="preserve"> </w:t>
      </w:r>
      <w:r>
        <w:rPr>
          <w:b/>
          <w:bCs/>
        </w:rPr>
        <w:t xml:space="preserve">“</w:t>
      </w:r>
      <w:r>
        <w:rPr>
          <w:b/>
          <w:bCs/>
        </w:rPr>
        <w:t xml:space="preserve">high-margin</w:t>
      </w:r>
      <w:r>
        <w:rPr>
          <w:b/>
          <w:bCs/>
        </w:rPr>
        <w:t xml:space="preserve">”</w:t>
      </w:r>
      <w:r>
        <w:rPr>
          <w:b/>
          <w:bCs/>
        </w:rPr>
        <w:t xml:space="preserve"> </w:t>
      </w:r>
      <w:r>
        <w:rPr>
          <w:b/>
          <w:bCs/>
        </w:rPr>
        <w:t xml:space="preserve">characterization</w:t>
      </w:r>
      <w:r>
        <w:t xml:space="preserve"> </w:t>
      </w:r>
      <w:r>
        <w:t xml:space="preserve">in the Roadshow and CFO Memo (C-3).</w:t>
      </w:r>
    </w:p>
    <w:p>
      <w:pPr>
        <w:pStyle w:val="Compact"/>
        <w:numPr>
          <w:ilvl w:val="0"/>
          <w:numId w:val="1003"/>
        </w:numPr>
      </w:pPr>
      <w:r>
        <w:rPr>
          <w:b/>
          <w:bCs/>
        </w:rPr>
        <w:t xml:space="preserve">Resolve the use-of-proceeds conflict</w:t>
      </w:r>
      <w:r>
        <w:t xml:space="preserve"> </w:t>
      </w:r>
      <w:r>
        <w:t xml:space="preserve">regarding term loan repayment and obtain a Board-approved allocation (C-4, M-8).</w:t>
      </w:r>
    </w:p>
    <w:p>
      <w:pPr>
        <w:pStyle w:val="Compact"/>
        <w:numPr>
          <w:ilvl w:val="0"/>
          <w:numId w:val="1003"/>
        </w:numPr>
      </w:pPr>
      <w:r>
        <w:rPr>
          <w:b/>
          <w:bCs/>
        </w:rPr>
        <w:t xml:space="preserve">Confirm the correct legal name of the term loan lender</w:t>
      </w:r>
      <w:r>
        <w:t xml:space="preserve"> </w:t>
      </w:r>
      <w:r>
        <w:t xml:space="preserve">and correct the</w:t>
      </w:r>
      <w:r>
        <w:t xml:space="preserve"> </w:t>
      </w:r>
      <w:r>
        <w:t xml:space="preserve">“</w:t>
      </w:r>
      <w:r>
        <w:t xml:space="preserve">SVCP</w:t>
      </w:r>
      <w:r>
        <w:t xml:space="preserve">”</w:t>
      </w:r>
      <w:r>
        <w:t xml:space="preserve"> </w:t>
      </w:r>
      <w:r>
        <w:t xml:space="preserve">abbreviation (C-5, L-2).</w:t>
      </w:r>
    </w:p>
    <w:p>
      <w:pPr>
        <w:pStyle w:val="Compact"/>
        <w:numPr>
          <w:ilvl w:val="0"/>
          <w:numId w:val="1003"/>
        </w:numPr>
      </w:pPr>
      <w:r>
        <w:rPr>
          <w:b/>
          <w:bCs/>
        </w:rPr>
        <w:t xml:space="preserve">Reconcile the term loan origination date, draw/repayment history, and amortization schedule</w:t>
      </w:r>
      <w:r>
        <w:t xml:space="preserve"> </w:t>
      </w:r>
      <w:r>
        <w:t xml:space="preserve">with the credit agreement and general ledger; obtain auditor confirmation of the debt rollforward (C-6).</w:t>
      </w:r>
    </w:p>
    <w:p>
      <w:pPr>
        <w:pStyle w:val="Compact"/>
        <w:numPr>
          <w:ilvl w:val="0"/>
          <w:numId w:val="1003"/>
        </w:numPr>
      </w:pPr>
      <w:r>
        <w:rPr>
          <w:b/>
          <w:bCs/>
        </w:rPr>
        <w:t xml:space="preserve">Confirm the size and composition of the Board</w:t>
      </w:r>
      <w:r>
        <w:t xml:space="preserve"> </w:t>
      </w:r>
      <w:r>
        <w:t xml:space="preserve">and whether Dr. Litvak is a director; make the Charter, Questionnaire, Term Sheet, and Roadshow consistent (C-7).</w:t>
      </w:r>
    </w:p>
    <w:p>
      <w:pPr>
        <w:pStyle w:val="Compact"/>
        <w:numPr>
          <w:ilvl w:val="0"/>
          <w:numId w:val="1003"/>
        </w:numPr>
      </w:pPr>
      <w:r>
        <w:rPr>
          <w:b/>
          <w:bCs/>
        </w:rPr>
        <w:t xml:space="preserve">Confirm the correct legal name of the co-founder/CTO</w:t>
      </w:r>
      <w:r>
        <w:t xml:space="preserve"> </w:t>
      </w:r>
      <w:r>
        <w:t xml:space="preserve">and use it consistently (C-8).</w:t>
      </w:r>
    </w:p>
    <w:p>
      <w:pPr>
        <w:pStyle w:val="Compact"/>
        <w:numPr>
          <w:ilvl w:val="0"/>
          <w:numId w:val="1003"/>
        </w:numPr>
      </w:pPr>
      <w:r>
        <w:rPr>
          <w:b/>
          <w:bCs/>
        </w:rPr>
        <w:t xml:space="preserve">Confirm the transfer agent</w:t>
      </w:r>
      <w:r>
        <w:t xml:space="preserve"> </w:t>
      </w:r>
      <w:r>
        <w:t xml:space="preserve">and update the Bylaws; correct the typographical error (C-9, L-1).</w:t>
      </w:r>
    </w:p>
    <w:p>
      <w:pPr>
        <w:pStyle w:val="Compact"/>
        <w:numPr>
          <w:ilvl w:val="0"/>
          <w:numId w:val="1003"/>
        </w:numPr>
      </w:pPr>
      <w:r>
        <w:rPr>
          <w:b/>
          <w:bCs/>
        </w:rPr>
        <w:t xml:space="preserve">Recalculate the principal stockholders table</w:t>
      </w:r>
      <w:r>
        <w:t xml:space="preserve"> </w:t>
      </w:r>
      <w:r>
        <w:t xml:space="preserve">to include the co-founders’ founder options and verify all figures against the transfer agent records (C-10, H-5, H-6).</w:t>
      </w:r>
    </w:p>
    <w:p>
      <w:pPr>
        <w:pStyle w:val="Compact"/>
        <w:numPr>
          <w:ilvl w:val="0"/>
          <w:numId w:val="1003"/>
        </w:numPr>
      </w:pPr>
      <w:r>
        <w:rPr>
          <w:b/>
          <w:bCs/>
        </w:rPr>
        <w:t xml:space="preserve">Investigate the non-employee director RSU grantee names</w:t>
      </w:r>
      <w:r>
        <w:t xml:space="preserve"> </w:t>
      </w:r>
      <w:r>
        <w:t xml:space="preserve">in the Equity Plan Records and confirm the actual grantees (C-11).</w:t>
      </w:r>
    </w:p>
    <w:p>
      <w:pPr>
        <w:pStyle w:val="Compact"/>
        <w:numPr>
          <w:ilvl w:val="0"/>
          <w:numId w:val="1003"/>
        </w:numPr>
      </w:pPr>
      <w:r>
        <w:rPr>
          <w:b/>
          <w:bCs/>
        </w:rPr>
        <w:t xml:space="preserve">Confirm the executive officer titles</w:t>
      </w:r>
      <w:r>
        <w:t xml:space="preserve"> </w:t>
      </w:r>
      <w:r>
        <w:t xml:space="preserve">and reconcile the Equity Plan Records with the governing documents (C-12).</w:t>
      </w:r>
    </w:p>
    <w:p>
      <w:pPr>
        <w:pStyle w:val="Compact"/>
        <w:numPr>
          <w:ilvl w:val="0"/>
          <w:numId w:val="1003"/>
        </w:numPr>
      </w:pPr>
      <w:r>
        <w:rPr>
          <w:b/>
          <w:bCs/>
        </w:rPr>
        <w:t xml:space="preserve">Confirm the financing inputs</w:t>
      </w:r>
      <w:r>
        <w:t xml:space="preserve"> </w:t>
      </w:r>
      <w:r>
        <w:t xml:space="preserve">in the 409A valuations with the valuation firm (C-13, O-5).</w:t>
      </w:r>
    </w:p>
    <w:p>
      <w:pPr>
        <w:pStyle w:val="Compact"/>
        <w:numPr>
          <w:ilvl w:val="0"/>
          <w:numId w:val="1003"/>
        </w:numPr>
      </w:pPr>
      <w:r>
        <w:rPr>
          <w:b/>
          <w:bCs/>
        </w:rPr>
        <w:t xml:space="preserve">Correct the FY 2023 revenue split, restructuring description, and balance sheet line items</w:t>
      </w:r>
      <w:r>
        <w:t xml:space="preserve"> </w:t>
      </w:r>
      <w:r>
        <w:t xml:space="preserve">in the CFO Memo (H-1, H-2, H-3).</w:t>
      </w:r>
    </w:p>
    <w:p>
      <w:pPr>
        <w:pStyle w:val="Compact"/>
        <w:numPr>
          <w:ilvl w:val="0"/>
          <w:numId w:val="1003"/>
        </w:numPr>
      </w:pPr>
      <w:r>
        <w:rPr>
          <w:b/>
          <w:bCs/>
        </w:rPr>
        <w:t xml:space="preserve">Confirm the Series B participating investor’s name and current ownership</w:t>
      </w:r>
      <w:r>
        <w:t xml:space="preserve"> </w:t>
      </w:r>
      <w:r>
        <w:t xml:space="preserve">(H-4, O-3).</w:t>
      </w:r>
    </w:p>
    <w:p>
      <w:pPr>
        <w:pStyle w:val="Compact"/>
        <w:numPr>
          <w:ilvl w:val="0"/>
          <w:numId w:val="1003"/>
        </w:numPr>
      </w:pPr>
      <w:r>
        <w:rPr>
          <w:b/>
          <w:bCs/>
        </w:rPr>
        <w:t xml:space="preserve">Confirm the actual S-1 filing date</w:t>
      </w:r>
      <w:r>
        <w:t xml:space="preserve"> </w:t>
      </w:r>
      <w:r>
        <w:t xml:space="preserve">and update the subsequent-events note and auditor’s report date (H-7, L-6).</w:t>
      </w:r>
    </w:p>
    <w:p>
      <w:pPr>
        <w:pStyle w:val="Compact"/>
        <w:numPr>
          <w:ilvl w:val="0"/>
          <w:numId w:val="1003"/>
        </w:numPr>
      </w:pPr>
      <w:r>
        <w:rPr>
          <w:b/>
          <w:bCs/>
        </w:rPr>
        <w:t xml:space="preserve">Confirm issuer’s counsel’s address</w:t>
      </w:r>
      <w:r>
        <w:t xml:space="preserve"> </w:t>
      </w:r>
      <w:r>
        <w:t xml:space="preserve">(H-8).</w:t>
      </w:r>
    </w:p>
    <w:p>
      <w:pPr>
        <w:pStyle w:val="Compact"/>
        <w:numPr>
          <w:ilvl w:val="0"/>
          <w:numId w:val="1003"/>
        </w:numPr>
      </w:pPr>
      <w:r>
        <w:rPr>
          <w:b/>
          <w:bCs/>
        </w:rPr>
        <w:t xml:space="preserve">Obtain the controlled company exemption determination</w:t>
      </w:r>
      <w:r>
        <w:t xml:space="preserve"> </w:t>
      </w:r>
      <w:r>
        <w:t xml:space="preserve">from the Board (O-1).</w:t>
      </w:r>
    </w:p>
    <w:p>
      <w:pPr>
        <w:pStyle w:val="Compact"/>
        <w:numPr>
          <w:ilvl w:val="0"/>
          <w:numId w:val="1003"/>
        </w:numPr>
      </w:pPr>
      <w:r>
        <w:rPr>
          <w:b/>
          <w:bCs/>
        </w:rPr>
        <w:t xml:space="preserve">Complete the Vantara related-party disclosure</w:t>
      </w:r>
      <w:r>
        <w:t xml:space="preserve"> </w:t>
      </w:r>
      <w:r>
        <w:t xml:space="preserve">and confirm the lender notification (O-2).</w:t>
      </w:r>
    </w:p>
    <w:p>
      <w:pPr>
        <w:pStyle w:val="Compact"/>
        <w:numPr>
          <w:ilvl w:val="0"/>
          <w:numId w:val="1003"/>
        </w:numPr>
      </w:pPr>
      <w:r>
        <w:rPr>
          <w:b/>
          <w:bCs/>
        </w:rPr>
        <w:t xml:space="preserve">Complete the Section 382 study</w:t>
      </w:r>
      <w:r>
        <w:t xml:space="preserve"> </w:t>
      </w:r>
      <w:r>
        <w:t xml:space="preserve">(O-4).</w:t>
      </w:r>
    </w:p>
    <w:p>
      <w:pPr>
        <w:pStyle w:val="Compact"/>
        <w:numPr>
          <w:ilvl w:val="0"/>
          <w:numId w:val="1003"/>
        </w:numPr>
      </w:pPr>
      <w:r>
        <w:rPr>
          <w:b/>
          <w:bCs/>
        </w:rPr>
        <w:t xml:space="preserve">Obtain the final December 31, 2024 409A valuation</w:t>
      </w:r>
      <w:r>
        <w:t xml:space="preserve"> </w:t>
      </w:r>
      <w:r>
        <w:t xml:space="preserve">and Board approval (M-2, O-5).</w:t>
      </w:r>
    </w:p>
    <w:p>
      <w:pPr>
        <w:pStyle w:val="Compact"/>
        <w:numPr>
          <w:ilvl w:val="0"/>
          <w:numId w:val="1003"/>
        </w:numPr>
      </w:pPr>
      <w:r>
        <w:rPr>
          <w:b/>
          <w:bCs/>
        </w:rPr>
        <w:t xml:space="preserve">Finalize committee composition, director ages, and the underwriting concession split</w:t>
      </w:r>
      <w:r>
        <w:t xml:space="preserve"> </w:t>
      </w:r>
      <w:r>
        <w:t xml:space="preserve">(M-3, M-4, M-5).</w:t>
      </w:r>
    </w:p>
    <w:p>
      <w:pPr>
        <w:pStyle w:val="Compact"/>
        <w:numPr>
          <w:ilvl w:val="0"/>
          <w:numId w:val="1003"/>
        </w:numPr>
      </w:pPr>
      <w:r>
        <w:rPr>
          <w:b/>
          <w:bCs/>
        </w:rPr>
        <w:t xml:space="preserve">Confirm lock-up coverage at the fund-entity level</w:t>
      </w:r>
      <w:r>
        <w:t xml:space="preserve"> </w:t>
      </w:r>
      <w:r>
        <w:t xml:space="preserve">(M-6).</w:t>
      </w:r>
    </w:p>
    <w:p>
      <w:pPr>
        <w:pStyle w:val="Compact"/>
        <w:numPr>
          <w:ilvl w:val="0"/>
          <w:numId w:val="1003"/>
        </w:numPr>
      </w:pPr>
      <w:r>
        <w:rPr>
          <w:b/>
          <w:bCs/>
        </w:rPr>
        <w:t xml:space="preserve">Describe the 2017 Stock Option Plan and rollover</w:t>
      </w:r>
      <w:r>
        <w:t xml:space="preserve"> </w:t>
      </w:r>
      <w:r>
        <w:t xml:space="preserve">in the equity plan disclosure (M-1).</w:t>
      </w:r>
    </w:p>
    <w:p>
      <w:pPr>
        <w:pStyle w:val="Compact"/>
        <w:numPr>
          <w:ilvl w:val="0"/>
          <w:numId w:val="1003"/>
        </w:numPr>
      </w:pPr>
      <w:r>
        <w:rPr>
          <w:b/>
          <w:bCs/>
        </w:rPr>
        <w:t xml:space="preserve">Make the EGC transition-period election</w:t>
      </w:r>
      <w:r>
        <w:t xml:space="preserve"> </w:t>
      </w:r>
      <w:r>
        <w:t xml:space="preserve">and disclose it (O-7).</w:t>
      </w:r>
    </w:p>
    <w:p>
      <w:pPr>
        <w:pStyle w:val="Compact"/>
        <w:numPr>
          <w:ilvl w:val="0"/>
          <w:numId w:val="1003"/>
        </w:numPr>
      </w:pPr>
      <w:r>
        <w:rPr>
          <w:b/>
          <w:bCs/>
        </w:rPr>
        <w:t xml:space="preserve">Finalize the exhibit list and material contracts</w:t>
      </w:r>
      <w:r>
        <w:t xml:space="preserve"> </w:t>
      </w:r>
      <w:r>
        <w:t xml:space="preserve">(O-8).</w:t>
      </w:r>
    </w:p>
    <w:p>
      <w:pPr>
        <w:pStyle w:val="FirstParagraph"/>
      </w:pPr>
      <w:r>
        <w:t xml:space="preserve">This memorandum is intended for the internal use of the Company, its outside counsel, and the IPO working group in connection with the preparation of the Registration Statement, and is privileged and confidential. It does not constitute a legal opinion and should not be relied upon as such. Please contact the undersigned with any questions.</w:t>
      </w:r>
    </w:p>
    <w:p>
      <w:pPr>
        <w:pStyle w:val="BodyText"/>
      </w:pPr>
      <w:r>
        <w:rPr>
          <w:i/>
          <w:iCs/>
        </w:rPr>
        <w:t xml:space="preserve">[Prepared in connection with the proposed initial public offering of Crestline Software, Inc.]</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dc:title>
  <dc:creator/>
  <cp:keywords/>
  <dcterms:created xsi:type="dcterms:W3CDTF">2026-06-26T23:17:34Z</dcterms:created>
  <dcterms:modified xsi:type="dcterms:W3CDTF">2026-06-26T23:17:34Z</dcterms:modified>
</cp:coreProperties>
</file>

<file path=docProps/custom.xml><?xml version="1.0" encoding="utf-8"?>
<Properties xmlns="http://schemas.openxmlformats.org/officeDocument/2006/custom-properties" xmlns:vt="http://schemas.openxmlformats.org/officeDocument/2006/docPropsVTypes"/>
</file>