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Sarah K. Norden, Esq. and James T. Okafor, Esq., Thorncroft &amp;</w:t>
      </w:r>
      <w:r>
        <w:t xml:space="preserve"> </w:t>
      </w:r>
      <w:r>
        <w:t xml:space="preserve">Wexler LLP; Michael D. Hartwell, Chief Financial Officer; Sandra Y.</w:t>
      </w:r>
      <w:r>
        <w:t xml:space="preserve"> </w:t>
      </w:r>
      <w:r>
        <w:t xml:space="preserve">Chen,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[Drafting Counsel]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[●],</w:t>
      </w:r>
      <w:r>
        <w:t xml:space="preserve"> </w:t>
      </w:r>
      <w:r>
        <w:t xml:space="preserve">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Inconsistencies, Disclosure Gaps, and Risks Identified in</w:t>
      </w:r>
      <w:r>
        <w:t xml:space="preserve"> </w:t>
      </w:r>
      <w:r>
        <w:t xml:space="preserve">Connection with the Form S-1 Registration Statement for the Proposed</w:t>
      </w:r>
      <w:r>
        <w:t xml:space="preserve"> </w:t>
      </w:r>
      <w:r>
        <w:t xml:space="preserve">Initial Public Offering of Crestline Software, Inc. </w:t>
      </w:r>
      <w:r>
        <w:rPr>
          <w:b/>
          <w:bCs/>
        </w:rPr>
        <w:t xml:space="preserve">PRIVILEGED AND</w:t>
      </w:r>
      <w:r>
        <w:rPr>
          <w:b/>
          <w:bCs/>
        </w:rPr>
        <w:t xml:space="preserve"> </w:t>
      </w:r>
      <w:r>
        <w:rPr>
          <w:b/>
          <w:bCs/>
        </w:rPr>
        <w:t xml:space="preserve">CONFIDENTIAL — PREPARED AT THE DIRECTION OF COUNSEL</w:t>
      </w:r>
    </w:p>
    <w:bookmarkStart w:id="20" w:name="i.-introduction-and-scope"/>
    <w:p>
      <w:pPr>
        <w:pStyle w:val="Heading2"/>
      </w:pPr>
      <w:r>
        <w:t xml:space="preserve">I. Introduction and Scope</w:t>
      </w:r>
    </w:p>
    <w:p>
      <w:pPr>
        <w:pStyle w:val="FirstParagraph"/>
      </w:pPr>
      <w:r>
        <w:t xml:space="preserve">This memorandum identifies inconsistencies, disclosure gaps, and risks</w:t>
      </w:r>
      <w:r>
        <w:t xml:space="preserve"> </w:t>
      </w:r>
      <w:r>
        <w:t xml:space="preserve">identified during our review of the source documents made available in</w:t>
      </w:r>
      <w:r>
        <w:t xml:space="preserve"> </w:t>
      </w:r>
      <w:r>
        <w:t xml:space="preserve">connection with the preparation of the Registration Statement on Form</w:t>
      </w:r>
      <w:r>
        <w:t xml:space="preserve"> </w:t>
      </w:r>
      <w:r>
        <w:t xml:space="preserve">S-1 for the proposed initial public offering (</w:t>
      </w:r>
      <w:r>
        <w:t xml:space="preserve">“</w:t>
      </w:r>
      <w:r>
        <w:t xml:space="preserve">IPO</w:t>
      </w:r>
      <w:r>
        <w:t xml:space="preserve">”</w:t>
      </w:r>
      <w:r>
        <w:t xml:space="preserve">) of Crestline</w:t>
      </w:r>
      <w:r>
        <w:t xml:space="preserve"> </w:t>
      </w:r>
      <w:r>
        <w:t xml:space="preserve">Software,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The documents reviewed include: (1) the</w:t>
      </w:r>
      <w:r>
        <w:t xml:space="preserve"> </w:t>
      </w:r>
      <w:r>
        <w:t xml:space="preserve">audited consolidated financial statements for fiscal years 2023 and</w:t>
      </w:r>
      <w:r>
        <w:t xml:space="preserve"> </w:t>
      </w:r>
      <w:r>
        <w:t xml:space="preserve">2024; (2) the CFO’s IPO readiness memorandum dated February 14, 2025;</w:t>
      </w:r>
      <w:r>
        <w:t xml:space="preserve"> </w:t>
      </w:r>
      <w:r>
        <w:t xml:space="preserve">(3) the amended and restated certificate of incorporation and bylaws;</w:t>
      </w:r>
      <w:r>
        <w:t xml:space="preserve"> </w:t>
      </w:r>
      <w:r>
        <w:t xml:space="preserve">(4) the management (director and officer) questionnaire responses; (5)</w:t>
      </w:r>
      <w:r>
        <w:t xml:space="preserve"> </w:t>
      </w:r>
      <w:r>
        <w:t xml:space="preserve">the term loan summary; (6) the underwriting term sheet and form of</w:t>
      </w:r>
      <w:r>
        <w:t xml:space="preserve"> </w:t>
      </w:r>
      <w:r>
        <w:t xml:space="preserve">lock-up agreement; (7) the equity plan summary and grant records; and</w:t>
      </w:r>
      <w:r>
        <w:t xml:space="preserve"> </w:t>
      </w:r>
      <w:r>
        <w:t xml:space="preserve">(8) the draft roadshow presentation.</w:t>
      </w:r>
    </w:p>
    <w:p>
      <w:pPr>
        <w:pStyle w:val="BodyText"/>
      </w:pPr>
      <w:r>
        <w:t xml:space="preserve">Each item below is stated separately so that it can be tracked to</w:t>
      </w:r>
      <w:r>
        <w:t xml:space="preserve"> </w:t>
      </w:r>
      <w:r>
        <w:t xml:space="preserve">resolution. Items are grouped by category for ease of reference, but</w:t>
      </w:r>
      <w:r>
        <w:t xml:space="preserve"> </w:t>
      </w:r>
      <w:r>
        <w:t xml:space="preserve">each numbered item is a distinct issue. Where a figure in the Company’s</w:t>
      </w:r>
      <w:r>
        <w:t xml:space="preserve"> </w:t>
      </w:r>
      <w:r>
        <w:t xml:space="preserve">internal materials conflicts with the audited financial statements, the</w:t>
      </w:r>
      <w:r>
        <w:t xml:space="preserve"> </w:t>
      </w:r>
      <w:r>
        <w:t xml:space="preserve">audited financial statements control for purposes of the Form S-1, and</w:t>
      </w:r>
      <w:r>
        <w:t xml:space="preserve"> </w:t>
      </w:r>
      <w:r>
        <w:t xml:space="preserve">the conflict is flagged here for correction of the internal materials</w:t>
      </w:r>
      <w:r>
        <w:t xml:space="preserve"> </w:t>
      </w:r>
      <w:r>
        <w:t xml:space="preserve">and for confirmation that the audited figures are correct.</w:t>
      </w:r>
    </w:p>
    <w:p>
      <w:pPr>
        <w:pStyle w:val="BodyText"/>
      </w:pPr>
      <w:r>
        <w:t xml:space="preserve">This memorandum is not exhaustive of all matters that may arise during</w:t>
      </w:r>
      <w:r>
        <w:t xml:space="preserve"> </w:t>
      </w:r>
      <w:r>
        <w:t xml:space="preserve">the SEC review process, and additional issues may be identified as</w:t>
      </w:r>
      <w:r>
        <w:t xml:space="preserve"> </w:t>
      </w:r>
      <w:r>
        <w:t xml:space="preserve">drafting continues.</w:t>
      </w:r>
    </w:p>
    <w:bookmarkEnd w:id="20"/>
    <w:bookmarkStart w:id="21" w:name="X25012d59dcab736966b18be588e658b0ed885a6"/>
    <w:p>
      <w:pPr>
        <w:pStyle w:val="Heading2"/>
      </w:pPr>
      <w:r>
        <w:t xml:space="preserve">II. Financial Statement and Non-GAAP Inconsistencies</w:t>
      </w:r>
    </w:p>
    <w:p>
      <w:pPr>
        <w:pStyle w:val="FirstParagraph"/>
      </w:pPr>
      <w:r>
        <w:rPr>
          <w:b/>
          <w:bCs/>
        </w:rPr>
        <w:t xml:space="preserve">1. Fiscal year 2023 subscription revenue is inconsistent.</w:t>
      </w:r>
      <w:r>
        <w:t xml:space="preserve"> </w:t>
      </w:r>
      <w:r>
        <w:t xml:space="preserve">The CFO</w:t>
      </w:r>
      <w:r>
        <w:t xml:space="preserve"> </w:t>
      </w:r>
      <w:r>
        <w:t xml:space="preserve">memorandum (Section 4.1) states fiscal year 2023 subscription revenue of</w:t>
      </w:r>
      <w:r>
        <w:t xml:space="preserve"> </w:t>
      </w:r>
      <w:r>
        <w:t xml:space="preserve">$113.4 million, while the audited consolidated statements of operations</w:t>
      </w:r>
      <w:r>
        <w:t xml:space="preserve"> </w:t>
      </w:r>
      <w:r>
        <w:t xml:space="preserve">report $116.4 million. The CFO memorandum’s figure also drives an</w:t>
      </w:r>
      <w:r>
        <w:t xml:space="preserve"> </w:t>
      </w:r>
      <w:r>
        <w:t xml:space="preserve">overstated subscription growth rate of 48.7% (the correct rate, using</w:t>
      </w:r>
      <w:r>
        <w:t xml:space="preserve"> </w:t>
      </w:r>
      <w:r>
        <w:t xml:space="preserve">the audited $116.4 million base, is 44.8%). The $3.0 million</w:t>
      </w:r>
      <w:r>
        <w:t xml:space="preserve"> </w:t>
      </w:r>
      <w:r>
        <w:t xml:space="preserve">difference appears to have been shifted to professional services (see</w:t>
      </w:r>
      <w:r>
        <w:t xml:space="preserve"> </w:t>
      </w:r>
      <w:r>
        <w:t xml:space="preserve">Item 2). The Form S-1 uses the audited $116.4 million.</w:t>
      </w:r>
    </w:p>
    <w:p>
      <w:pPr>
        <w:pStyle w:val="BodyText"/>
      </w:pPr>
      <w:r>
        <w:rPr>
          <w:b/>
          <w:bCs/>
        </w:rPr>
        <w:t xml:space="preserve">2. Fiscal year 2023 professional services revenue is inconsistent.</w:t>
      </w:r>
      <w:r>
        <w:t xml:space="preserve"> </w:t>
      </w:r>
      <w:r>
        <w:t xml:space="preserve">The CFO memorandum (Section 4.1) states fiscal year 2023 professional</w:t>
      </w:r>
      <w:r>
        <w:t xml:space="preserve"> </w:t>
      </w:r>
      <w:r>
        <w:t xml:space="preserve">services revenue of $15.5 million, while the audited financial</w:t>
      </w:r>
      <w:r>
        <w:t xml:space="preserve"> </w:t>
      </w:r>
      <w:r>
        <w:t xml:space="preserve">statements report $12.5 million. The CFO memorandum’s figure drives an</w:t>
      </w:r>
      <w:r>
        <w:t xml:space="preserve"> </w:t>
      </w:r>
      <w:r>
        <w:t xml:space="preserve">understated professional services growth rate of 20.6% (the correct</w:t>
      </w:r>
      <w:r>
        <w:t xml:space="preserve"> </w:t>
      </w:r>
      <w:r>
        <w:t xml:space="preserve">rate, using the audited $12.5 million base, is 49.6%). The Form S-1</w:t>
      </w:r>
      <w:r>
        <w:t xml:space="preserve"> </w:t>
      </w:r>
      <w:r>
        <w:t xml:space="preserve">uses the audited $12.5 million.</w:t>
      </w:r>
    </w:p>
    <w:p>
      <w:pPr>
        <w:pStyle w:val="BodyText"/>
      </w:pPr>
      <w:r>
        <w:rPr>
          <w:b/>
          <w:bCs/>
        </w:rPr>
        <w:t xml:space="preserve">3. Fiscal year 2023 stock-based compensation is inconsistent.</w:t>
      </w:r>
      <w:r>
        <w:t xml:space="preserve"> </w:t>
      </w:r>
      <w:r>
        <w:t xml:space="preserve">The</w:t>
      </w:r>
      <w:r>
        <w:t xml:space="preserve"> </w:t>
      </w:r>
      <w:r>
        <w:t xml:space="preserve">CFO memorandum’s Adjusted EBITDA reconciliation (Section 5.2) uses</w:t>
      </w:r>
      <w:r>
        <w:t xml:space="preserve"> </w:t>
      </w:r>
      <w:r>
        <w:t xml:space="preserve">fiscal year 2023 stock-based compensation of $29.1 million, while the</w:t>
      </w:r>
      <w:r>
        <w:t xml:space="preserve"> </w:t>
      </w:r>
      <w:r>
        <w:t xml:space="preserve">audited financial statements (Note 12(d) and the cash flow statement)</w:t>
      </w:r>
      <w:r>
        <w:t xml:space="preserve"> </w:t>
      </w:r>
      <w:r>
        <w:t xml:space="preserve">report $26.4 million.</w:t>
      </w:r>
    </w:p>
    <w:p>
      <w:pPr>
        <w:pStyle w:val="BodyText"/>
      </w:pPr>
      <w:r>
        <w:rPr>
          <w:b/>
          <w:bCs/>
        </w:rPr>
        <w:t xml:space="preserve">4. Fiscal year 2023 interest expense is inconsistent.</w:t>
      </w:r>
      <w:r>
        <w:t xml:space="preserve"> </w:t>
      </w:r>
      <w:r>
        <w:t xml:space="preserve">The CFO</w:t>
      </w:r>
      <w:r>
        <w:t xml:space="preserve"> </w:t>
      </w:r>
      <w:r>
        <w:t xml:space="preserve">memorandum’s reconciliation uses fiscal year 2023 interest expense of</w:t>
      </w:r>
      <w:r>
        <w:t xml:space="preserve"> </w:t>
      </w:r>
      <w:r>
        <w:t xml:space="preserve">$2.8 million, while the audited financial statements report $3.1</w:t>
      </w:r>
      <w:r>
        <w:t xml:space="preserve"> </w:t>
      </w:r>
      <w:r>
        <w:t xml:space="preserve">million.</w:t>
      </w:r>
    </w:p>
    <w:p>
      <w:pPr>
        <w:pStyle w:val="BodyText"/>
      </w:pPr>
      <w:r>
        <w:rPr>
          <w:b/>
          <w:bCs/>
        </w:rPr>
        <w:t xml:space="preserve">5. Fiscal year 2023 interest income is inconsistent.</w:t>
      </w:r>
      <w:r>
        <w:t xml:space="preserve"> </w:t>
      </w:r>
      <w:r>
        <w:t xml:space="preserve">The CFO</w:t>
      </w:r>
      <w:r>
        <w:t xml:space="preserve"> </w:t>
      </w:r>
      <w:r>
        <w:t xml:space="preserve">memorandum’s reconciliation uses fiscal year 2023 interest income of</w:t>
      </w:r>
      <w:r>
        <w:t xml:space="preserve"> </w:t>
      </w:r>
      <w:r>
        <w:t xml:space="preserve">$4.6 million, while the audited financial statements report $5.8</w:t>
      </w:r>
      <w:r>
        <w:t xml:space="preserve"> </w:t>
      </w:r>
      <w:r>
        <w:t xml:space="preserve">million.</w:t>
      </w:r>
    </w:p>
    <w:p>
      <w:pPr>
        <w:pStyle w:val="BodyText"/>
      </w:pPr>
      <w:r>
        <w:rPr>
          <w:b/>
          <w:bCs/>
        </w:rPr>
        <w:t xml:space="preserve">6. Fiscal year 2023 income tax provision is inconsistent.</w:t>
      </w:r>
      <w:r>
        <w:t xml:space="preserve"> </w:t>
      </w:r>
      <w:r>
        <w:t xml:space="preserve">The CFO</w:t>
      </w:r>
      <w:r>
        <w:t xml:space="preserve"> </w:t>
      </w:r>
      <w:r>
        <w:t xml:space="preserve">memorandum’s reconciliation uses fiscal year 2023 income tax provision</w:t>
      </w:r>
      <w:r>
        <w:t xml:space="preserve"> </w:t>
      </w:r>
      <w:r>
        <w:t xml:space="preserve">of $0.2 million, while the audited financial statements report $0.1</w:t>
      </w:r>
      <w:r>
        <w:t xml:space="preserve"> </w:t>
      </w:r>
      <w:r>
        <w:t xml:space="preserve">million.</w:t>
      </w:r>
    </w:p>
    <w:p>
      <w:pPr>
        <w:pStyle w:val="BodyText"/>
      </w:pPr>
      <w:r>
        <w:rPr>
          <w:b/>
          <w:bCs/>
        </w:rPr>
        <w:t xml:space="preserve">7. Fiscal year 2023 restructuring charge is fabricated.</w:t>
      </w:r>
      <w:r>
        <w:t xml:space="preserve"> </w:t>
      </w:r>
      <w:r>
        <w:t xml:space="preserve">The CFO</w:t>
      </w:r>
      <w:r>
        <w:t xml:space="preserve"> </w:t>
      </w:r>
      <w:r>
        <w:t xml:space="preserve">memorandum’s reconciliation (Section 5.2) adds back $0.6 million of</w:t>
      </w:r>
      <w:r>
        <w:t xml:space="preserve"> </w:t>
      </w:r>
      <w:r>
        <w:t xml:space="preserve">restructuring charges for fiscal year 2023. The audited financial</w:t>
      </w:r>
      <w:r>
        <w:t xml:space="preserve"> </w:t>
      </w:r>
      <w:r>
        <w:t xml:space="preserve">statements (Note 9) reflect no restructuring accrual or charge in fiscal</w:t>
      </w:r>
      <w:r>
        <w:t xml:space="preserve"> </w:t>
      </w:r>
      <w:r>
        <w:t xml:space="preserve">year 2023; the restructuring occurred in the third quarter of fiscal</w:t>
      </w:r>
      <w:r>
        <w:t xml:space="preserve"> </w:t>
      </w:r>
      <w:r>
        <w:t xml:space="preserve">year 2024. There is no support for a fiscal year 2023 restructuring</w:t>
      </w:r>
      <w:r>
        <w:t xml:space="preserve"> </w:t>
      </w:r>
      <w:r>
        <w:t xml:space="preserve">add-back.</w:t>
      </w:r>
    </w:p>
    <w:p>
      <w:pPr>
        <w:pStyle w:val="BodyText"/>
      </w:pPr>
      <w:r>
        <w:rPr>
          <w:b/>
          <w:bCs/>
        </w:rPr>
        <w:t xml:space="preserve">8. Fiscal year 2023 depreciation and amortization is inconsistent.</w:t>
      </w:r>
      <w:r>
        <w:t xml:space="preserve"> </w:t>
      </w:r>
      <w:r>
        <w:t xml:space="preserve">The CFO memorandum’s reconciliation uses fiscal year 2023 D&amp;A of $6.9</w:t>
      </w:r>
      <w:r>
        <w:t xml:space="preserve"> </w:t>
      </w:r>
      <w:r>
        <w:t xml:space="preserve">million. The audited cash flow statement reports D&amp;A of $7.1 million</w:t>
      </w:r>
      <w:r>
        <w:t xml:space="preserve"> </w:t>
      </w:r>
      <w:r>
        <w:t xml:space="preserve">for fiscal year 2023, and Note 5 reports property and equipment D&amp;A of</w:t>
      </w:r>
      <w:r>
        <w:t xml:space="preserve"> </w:t>
      </w:r>
      <w:r>
        <w:t xml:space="preserve">$5.5 million. The $6.9 million figure matches neither audited figure.</w:t>
      </w:r>
    </w:p>
    <w:p>
      <w:pPr>
        <w:pStyle w:val="BodyText"/>
      </w:pPr>
      <w:r>
        <w:rPr>
          <w:b/>
          <w:bCs/>
        </w:rPr>
        <w:t xml:space="preserve">9. Fiscal year 2023 Adjusted EBITDA is overstated.</w:t>
      </w:r>
      <w:r>
        <w:t xml:space="preserve"> </w:t>
      </w:r>
      <w:r>
        <w:t xml:space="preserve">Using the CFO</w:t>
      </w:r>
      <w:r>
        <w:t xml:space="preserve"> </w:t>
      </w:r>
      <w:r>
        <w:t xml:space="preserve">memorandum’s (incorrect) inputs, fiscal year 2023 Adjusted EBITDA is</w:t>
      </w:r>
      <w:r>
        <w:t xml:space="preserve"> </w:t>
      </w:r>
      <w:r>
        <w:t xml:space="preserve">stated as $7.6 million. Using the audited financial statement inputs</w:t>
      </w:r>
      <w:r>
        <w:t xml:space="preserve"> </w:t>
      </w:r>
      <w:r>
        <w:t xml:space="preserve">(net loss $(27.4)M + D&amp;A $7.1M + SBC $26.4M + interest expense $3.1M</w:t>
      </w:r>
      <w:r>
        <w:t xml:space="preserve"> </w:t>
      </w:r>
      <w:r>
        <w:t xml:space="preserve">− interest income $5.8M + tax $0.1M + restructuring $0), Adjusted</w:t>
      </w:r>
      <w:r>
        <w:t xml:space="preserve"> </w:t>
      </w:r>
      <w:r>
        <w:t xml:space="preserve">EBITDA would be approximately $3.5 million. The $7.6 million figure is</w:t>
      </w:r>
      <w:r>
        <w:t xml:space="preserve"> </w:t>
      </w:r>
      <w:r>
        <w:t xml:space="preserve">overstated by approximately $4.1 million.</w:t>
      </w:r>
    </w:p>
    <w:p>
      <w:pPr>
        <w:pStyle w:val="BodyText"/>
      </w:pPr>
      <w:r>
        <w:rPr>
          <w:b/>
          <w:bCs/>
        </w:rPr>
        <w:t xml:space="preserve">10. Fiscal year 2024 Adjusted EBITDA does not foot.</w:t>
      </w:r>
      <w:r>
        <w:t xml:space="preserve"> </w:t>
      </w:r>
      <w:r>
        <w:t xml:space="preserve">The CFO</w:t>
      </w:r>
      <w:r>
        <w:t xml:space="preserve"> </w:t>
      </w:r>
      <w:r>
        <w:t xml:space="preserve">memorandum (Section 5.2) and the roadshow presentation (Slides 3, 23,</w:t>
      </w:r>
      <w:r>
        <w:t xml:space="preserve"> </w:t>
      </w:r>
      <w:r>
        <w:t xml:space="preserve">34, and 35) state fiscal year 2024 Adjusted EBITDA of $22.8 million.</w:t>
      </w:r>
      <w:r>
        <w:t xml:space="preserve"> </w:t>
      </w:r>
      <w:r>
        <w:t xml:space="preserve">However, the stated line items sum to $20.5 million: $(24.8) + $8.7 +</w:t>
      </w:r>
      <w:r>
        <w:t xml:space="preserve"> </w:t>
      </w:r>
      <w:r>
        <w:t xml:space="preserve">$38.2 + $3.1 − $6.2 + $0.3 + $1.2 = $20.5 million. The $2.3</w:t>
      </w:r>
      <w:r>
        <w:t xml:space="preserve"> </w:t>
      </w:r>
      <w:r>
        <w:t xml:space="preserve">million discrepancy is unexplained. The roadshow notes expressly</w:t>
      </w:r>
      <w:r>
        <w:t xml:space="preserve"> </w:t>
      </w:r>
      <w:r>
        <w:t xml:space="preserve">acknowledge this error. Presenting a non-GAAP reconciliation that does</w:t>
      </w:r>
      <w:r>
        <w:t xml:space="preserve"> </w:t>
      </w:r>
      <w:r>
        <w:t xml:space="preserve">not reconcile would violate Regulation G and Item 10(e) of Regulation</w:t>
      </w:r>
      <w:r>
        <w:t xml:space="preserve"> </w:t>
      </w:r>
      <w:r>
        <w:t xml:space="preserve">S-K and would likely draw an SEC comment letter. The Form S-1 presents</w:t>
      </w:r>
      <w:r>
        <w:t xml:space="preserve"> </w:t>
      </w:r>
      <w:r>
        <w:t xml:space="preserve">$20.5 million, which must be confirmed with the Company.</w:t>
      </w:r>
    </w:p>
    <w:p>
      <w:pPr>
        <w:pStyle w:val="BodyText"/>
      </w:pPr>
      <w:r>
        <w:rPr>
          <w:b/>
          <w:bCs/>
        </w:rPr>
        <w:t xml:space="preserve">11. Fiscal year 2024 Adjusted EBITDA margin is incorrect.</w:t>
      </w:r>
      <w:r>
        <w:t xml:space="preserve"> </w:t>
      </w:r>
      <w:r>
        <w:t xml:space="preserve">The</w:t>
      </w:r>
      <w:r>
        <w:t xml:space="preserve"> </w:t>
      </w:r>
      <w:r>
        <w:t xml:space="preserve">roadshow (Slide 23) states an Adjusted EBITDA margin of 12.2% (based on</w:t>
      </w:r>
      <w:r>
        <w:t xml:space="preserve"> </w:t>
      </w:r>
      <w:r>
        <w:t xml:space="preserve">the erroneous $22.8 million). Using the correct $20.5 million, the</w:t>
      </w:r>
      <w:r>
        <w:t xml:space="preserve"> </w:t>
      </w:r>
      <w:r>
        <w:t xml:space="preserve">margin is 10.9% ($20.5 / $187.3). This must be corrected.</w:t>
      </w:r>
    </w:p>
    <w:p>
      <w:pPr>
        <w:pStyle w:val="BodyText"/>
      </w:pPr>
      <w:r>
        <w:rPr>
          <w:b/>
          <w:bCs/>
        </w:rPr>
        <w:t xml:space="preserve">12. Condensed balance sheet figures in the CFO memorandum differ from</w:t>
      </w:r>
      <w:r>
        <w:rPr>
          <w:b/>
          <w:bCs/>
        </w:rPr>
        <w:t xml:space="preserve"> </w:t>
      </w:r>
      <w:r>
        <w:rPr>
          <w:b/>
          <w:bCs/>
        </w:rPr>
        <w:t xml:space="preserve">the audited balance sheet.</w:t>
      </w:r>
      <w:r>
        <w:t xml:space="preserve"> </w:t>
      </w:r>
      <w:r>
        <w:t xml:space="preserve">The CFO memorandum (Section 6.1) states the</w:t>
      </w:r>
      <w:r>
        <w:t xml:space="preserve"> </w:t>
      </w:r>
      <w:r>
        <w:t xml:space="preserve">following as of December 31, 2024, each of which differs from the</w:t>
      </w:r>
      <w:r>
        <w:t xml:space="preserve"> </w:t>
      </w:r>
      <w:r>
        <w:t xml:space="preserve">audited consolidated balance sheet: accounts receivable, net $28.2</w:t>
      </w:r>
      <w:r>
        <w:t xml:space="preserve"> </w:t>
      </w:r>
      <w:r>
        <w:t xml:space="preserve">million (audited: $29.8 million); prepaid expenses and other current</w:t>
      </w:r>
      <w:r>
        <w:t xml:space="preserve"> </w:t>
      </w:r>
      <w:r>
        <w:t xml:space="preserve">assets $13.2 million (audited: $11.6 million); accounts payable $9.8</w:t>
      </w:r>
      <w:r>
        <w:t xml:space="preserve"> </w:t>
      </w:r>
      <w:r>
        <w:t xml:space="preserve">million (audited: $8.2 million); accrued liabilities $14.7 million</w:t>
      </w:r>
      <w:r>
        <w:t xml:space="preserve"> </w:t>
      </w:r>
      <w:r>
        <w:t xml:space="preserve">(audited: $12.1 million). The Form S-1 uses the audited figures.</w:t>
      </w:r>
    </w:p>
    <w:p>
      <w:pPr>
        <w:pStyle w:val="BodyText"/>
      </w:pPr>
      <w:r>
        <w:rPr>
          <w:b/>
          <w:bCs/>
        </w:rPr>
        <w:t xml:space="preserve">13. Restructuring description is inconsistent as to headcount and</w:t>
      </w:r>
      <w:r>
        <w:rPr>
          <w:b/>
          <w:bCs/>
        </w:rPr>
        <w:t xml:space="preserve"> </w:t>
      </w:r>
      <w:r>
        <w:rPr>
          <w:b/>
          <w:bCs/>
        </w:rPr>
        <w:t xml:space="preserve">timing.</w:t>
      </w:r>
      <w:r>
        <w:t xml:space="preserve"> </w:t>
      </w:r>
      <w:r>
        <w:t xml:space="preserve">The CFO memorandum (Section 5.3) describes the fiscal year</w:t>
      </w:r>
      <w:r>
        <w:t xml:space="preserve"> </w:t>
      </w:r>
      <w:r>
        <w:t xml:space="preserve">2024 restructuring as affecting</w:t>
      </w:r>
      <w:r>
        <w:t xml:space="preserve"> </w:t>
      </w:r>
      <w:r>
        <w:t xml:space="preserve">“</w:t>
      </w:r>
      <w:r>
        <w:t xml:space="preserve">approximately 30 positions</w:t>
      </w:r>
      <w:r>
        <w:t xml:space="preserve">”</w:t>
      </w:r>
      <w:r>
        <w:t xml:space="preserve"> </w:t>
      </w:r>
      <w:r>
        <w:t xml:space="preserve">in the</w:t>
      </w:r>
      <w:r>
        <w:t xml:space="preserve"> </w:t>
      </w:r>
      <w:r>
        <w:t xml:space="preserve">“</w:t>
      </w:r>
      <w:r>
        <w:t xml:space="preserve">second quarter of 2024</w:t>
      </w:r>
      <w:r>
        <w:t xml:space="preserve">”</w:t>
      </w:r>
      <w:r>
        <w:t xml:space="preserve"> </w:t>
      </w:r>
      <w:r>
        <w:t xml:space="preserve">in the professional services organization. The</w:t>
      </w:r>
      <w:r>
        <w:t xml:space="preserve"> </w:t>
      </w:r>
      <w:r>
        <w:t xml:space="preserve">audited financial statements (Note 9) describe a workforce reduction</w:t>
      </w:r>
      <w:r>
        <w:t xml:space="preserve"> </w:t>
      </w:r>
      <w:r>
        <w:t xml:space="preserve">affecting</w:t>
      </w:r>
      <w:r>
        <w:t xml:space="preserve"> </w:t>
      </w:r>
      <w:r>
        <w:t xml:space="preserve">“</w:t>
      </w:r>
      <w:r>
        <w:t xml:space="preserve">approximately 46 employees</w:t>
      </w:r>
      <w:r>
        <w:t xml:space="preserve">”</w:t>
      </w:r>
      <w:r>
        <w:t xml:space="preserve"> </w:t>
      </w:r>
      <w:r>
        <w:t xml:space="preserve">in the</w:t>
      </w:r>
      <w:r>
        <w:t xml:space="preserve"> </w:t>
      </w:r>
      <w:r>
        <w:t xml:space="preserve">“</w:t>
      </w:r>
      <w:r>
        <w:t xml:space="preserve">third quarter of 2024.</w:t>
      </w:r>
      <w:r>
        <w:t xml:space="preserve">”</w:t>
      </w:r>
      <w:r>
        <w:t xml:space="preserve"> </w:t>
      </w:r>
      <w:r>
        <w:t xml:space="preserve">Both the headcount (30 vs. 46) and the timing (Q2 vs. Q3) conflict and</w:t>
      </w:r>
      <w:r>
        <w:t xml:space="preserve"> </w:t>
      </w:r>
      <w:r>
        <w:t xml:space="preserve">must be reconciled.</w:t>
      </w:r>
    </w:p>
    <w:p>
      <w:pPr>
        <w:pStyle w:val="BodyText"/>
      </w:pPr>
      <w:r>
        <w:rPr>
          <w:b/>
          <w:bCs/>
        </w:rPr>
        <w:t xml:space="preserve">14. Professional services are mischaracterized as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high-margin.</w:t>
      </w:r>
      <w:r>
        <w:rPr>
          <w:b/>
          <w:bCs/>
        </w:rP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roadshow presentation (Slides 12, 17, 21, and 27) describes professional</w:t>
      </w:r>
      <w:r>
        <w:t xml:space="preserve"> </w:t>
      </w:r>
      <w:r>
        <w:t xml:space="preserve">services as</w:t>
      </w:r>
      <w:r>
        <w:t xml:space="preserve"> </w:t>
      </w:r>
      <w:r>
        <w:t xml:space="preserve">“</w:t>
      </w:r>
      <w:r>
        <w:t xml:space="preserve">high-margin and accretive</w:t>
      </w:r>
      <w:r>
        <w:t xml:space="preserve">”</w:t>
      </w:r>
      <w:r>
        <w:t xml:space="preserve"> </w:t>
      </w:r>
      <w:r>
        <w:t xml:space="preserve">and projects professional</w:t>
      </w:r>
      <w:r>
        <w:t xml:space="preserve"> </w:t>
      </w:r>
      <w:r>
        <w:t xml:space="preserve">services gross margins of 15–20%. The audited financial statements show</w:t>
      </w:r>
      <w:r>
        <w:t xml:space="preserve"> </w:t>
      </w:r>
      <w:r>
        <w:t xml:space="preserve">fiscal year 2024 professional services revenue of $18.7 million against</w:t>
      </w:r>
      <w:r>
        <w:t xml:space="preserve"> </w:t>
      </w:r>
      <w:r>
        <w:t xml:space="preserve">professional services cost of revenue of $18.8 million, a gross margin</w:t>
      </w:r>
      <w:r>
        <w:t xml:space="preserve"> </w:t>
      </w:r>
      <w:r>
        <w:t xml:space="preserve">of approximately negative 0.5%. The roadshow appendix (Slide 35)</w:t>
      </w:r>
      <w:r>
        <w:t xml:space="preserve"> </w:t>
      </w:r>
      <w:r>
        <w:t xml:space="preserve">correctly shows the negative 0.5% margin, creating an internal</w:t>
      </w:r>
      <w:r>
        <w:t xml:space="preserve"> </w:t>
      </w:r>
      <w:r>
        <w:t xml:space="preserve">inconsistency within the presentation. The</w:t>
      </w:r>
      <w:r>
        <w:t xml:space="preserve"> </w:t>
      </w:r>
      <w:r>
        <w:t xml:space="preserve">“</w:t>
      </w:r>
      <w:r>
        <w:t xml:space="preserve">high-margin</w:t>
      </w:r>
      <w:r>
        <w:t xml:space="preserve">”</w:t>
      </w:r>
      <w:r>
        <w:t xml:space="preserve"> </w:t>
      </w:r>
      <w:r>
        <w:t xml:space="preserve">characterization is contradicted by the audited financials and must be</w:t>
      </w:r>
      <w:r>
        <w:t xml:space="preserve"> </w:t>
      </w:r>
      <w:r>
        <w:t xml:space="preserve">corrected in all investor-facing materials. The Form S-1 discloses the</w:t>
      </w:r>
      <w:r>
        <w:t xml:space="preserve"> </w:t>
      </w:r>
      <w:r>
        <w:t xml:space="preserve">negative professional services gross margin.</w:t>
      </w:r>
    </w:p>
    <w:bookmarkEnd w:id="21"/>
    <w:bookmarkStart w:id="22" w:name="iii.-term-loan-inconsistencies"/>
    <w:p>
      <w:pPr>
        <w:pStyle w:val="Heading2"/>
      </w:pPr>
      <w:r>
        <w:t xml:space="preserve">III. Term Loan Inconsistencies</w:t>
      </w:r>
    </w:p>
    <w:p>
      <w:pPr>
        <w:pStyle w:val="FirstParagraph"/>
      </w:pPr>
      <w:r>
        <w:rPr>
          <w:b/>
          <w:bCs/>
        </w:rPr>
        <w:t xml:space="preserve">15. The date of the term loan facility is inconsistent.</w:t>
      </w:r>
      <w:r>
        <w:t xml:space="preserve"> </w:t>
      </w:r>
      <w:r>
        <w:t xml:space="preserve">The term</w:t>
      </w:r>
      <w:r>
        <w:t xml:space="preserve"> </w:t>
      </w:r>
      <w:r>
        <w:t xml:space="preserve">loan summary states that the Term Loan and Security Agreement is</w:t>
      </w:r>
      <w:r>
        <w:t xml:space="preserve"> </w:t>
      </w:r>
      <w:r>
        <w:t xml:space="preserve">“</w:t>
      </w:r>
      <w:r>
        <w:t xml:space="preserve">dated</w:t>
      </w:r>
      <w:r>
        <w:t xml:space="preserve"> </w:t>
      </w:r>
      <w:r>
        <w:t xml:space="preserve">as of December 15, 2022,</w:t>
      </w:r>
      <w:r>
        <w:t xml:space="preserve">”</w:t>
      </w:r>
      <w:r>
        <w:t xml:space="preserve"> </w:t>
      </w:r>
      <w:r>
        <w:t xml:space="preserve">with a closing date of December 15, 2022, and</w:t>
      </w:r>
      <w:r>
        <w:t xml:space="preserve"> </w:t>
      </w:r>
      <w:r>
        <w:t xml:space="preserve">an initial draw of $40.0 million on the closing date. The audited</w:t>
      </w:r>
      <w:r>
        <w:t xml:space="preserve"> </w:t>
      </w:r>
      <w:r>
        <w:t xml:space="preserve">financial statements (Note 8) state that</w:t>
      </w:r>
      <w:r>
        <w:t xml:space="preserve"> </w:t>
      </w:r>
      <w:r>
        <w:t xml:space="preserve">“</w:t>
      </w:r>
      <w:r>
        <w:t xml:space="preserve">in June 2023, the Company</w:t>
      </w:r>
      <w:r>
        <w:t xml:space="preserve"> </w:t>
      </w:r>
      <w:r>
        <w:t xml:space="preserve">entered into a term loan facility.</w:t>
      </w:r>
      <w:r>
        <w:t xml:space="preserve">”</w:t>
      </w:r>
      <w:r>
        <w:t xml:space="preserve"> </w:t>
      </w:r>
      <w:r>
        <w:t xml:space="preserve">These cannot both be correct. The</w:t>
      </w:r>
      <w:r>
        <w:t xml:space="preserve"> </w:t>
      </w:r>
      <w:r>
        <w:t xml:space="preserve">Form S-1 description of indebtedness and the exhibit list (Exhibit 10.8)</w:t>
      </w:r>
      <w:r>
        <w:t xml:space="preserve"> </w:t>
      </w:r>
      <w:r>
        <w:t xml:space="preserve">must reflect the correct date. This should be confirmed against the</w:t>
      </w:r>
      <w:r>
        <w:t xml:space="preserve"> </w:t>
      </w:r>
      <w:r>
        <w:t xml:space="preserve">executed credit agreement.</w:t>
      </w:r>
    </w:p>
    <w:p>
      <w:pPr>
        <w:pStyle w:val="BodyText"/>
      </w:pPr>
      <w:r>
        <w:rPr>
          <w:b/>
          <w:bCs/>
        </w:rPr>
        <w:t xml:space="preserve">16. The term loan cash flow activity does not reconcile to the balance</w:t>
      </w:r>
      <w:r>
        <w:rPr>
          <w:b/>
          <w:bCs/>
        </w:rPr>
        <w:t xml:space="preserve"> </w:t>
      </w:r>
      <w:r>
        <w:rPr>
          <w:b/>
          <w:bCs/>
        </w:rPr>
        <w:t xml:space="preserve">sheet.</w:t>
      </w:r>
      <w:r>
        <w:t xml:space="preserve"> </w:t>
      </w:r>
      <w:r>
        <w:t xml:space="preserve">The consolidated statements of cash flows reflect $15.0</w:t>
      </w:r>
      <w:r>
        <w:t xml:space="preserve"> </w:t>
      </w:r>
      <w:r>
        <w:t xml:space="preserve">million of</w:t>
      </w:r>
      <w:r>
        <w:t xml:space="preserve"> </w:t>
      </w:r>
      <w:r>
        <w:t xml:space="preserve">“</w:t>
      </w:r>
      <w:r>
        <w:t xml:space="preserve">proceeds from term loan borrowings</w:t>
      </w:r>
      <w:r>
        <w:t xml:space="preserve">”</w:t>
      </w:r>
      <w:r>
        <w:t xml:space="preserve"> </w:t>
      </w:r>
      <w:r>
        <w:t xml:space="preserve">in fiscal year 2023 and</w:t>
      </w:r>
      <w:r>
        <w:t xml:space="preserve"> </w:t>
      </w:r>
      <w:r>
        <w:t xml:space="preserve">$5.0 million of</w:t>
      </w:r>
      <w:r>
        <w:t xml:space="preserve"> </w:t>
      </w:r>
      <w:r>
        <w:t xml:space="preserve">“</w:t>
      </w:r>
      <w:r>
        <w:t xml:space="preserve">repayment of term loan</w:t>
      </w:r>
      <w:r>
        <w:t xml:space="preserve">”</w:t>
      </w:r>
      <w:r>
        <w:t xml:space="preserve"> </w:t>
      </w:r>
      <w:r>
        <w:t xml:space="preserve">in fiscal year 2024, with no</w:t>
      </w:r>
      <w:r>
        <w:t xml:space="preserve"> </w:t>
      </w:r>
      <w:r>
        <w:t xml:space="preserve">borrowings in fiscal year 2024. The balance sheet, however, reflects a</w:t>
      </w:r>
      <w:r>
        <w:t xml:space="preserve"> </w:t>
      </w:r>
      <w:r>
        <w:t xml:space="preserve">constant $40.0 million term loan balance at both December 31, 2023 and</w:t>
      </w:r>
      <w:r>
        <w:t xml:space="preserve"> </w:t>
      </w:r>
      <w:r>
        <w:t xml:space="preserve">December 31, 2024. If $40.0 million was outstanding at the beginning of</w:t>
      </w:r>
      <w:r>
        <w:t xml:space="preserve"> </w:t>
      </w:r>
      <w:r>
        <w:t xml:space="preserve">fiscal year 2023 and $15.0 million was borrowed with no repayments, the</w:t>
      </w:r>
      <w:r>
        <w:t xml:space="preserve"> </w:t>
      </w:r>
      <w:r>
        <w:t xml:space="preserve">year-end 2023 balance should be $55.0 million, not $40.0 million. If</w:t>
      </w:r>
      <w:r>
        <w:t xml:space="preserve"> </w:t>
      </w:r>
      <w:r>
        <w:t xml:space="preserve">$40.0 million was outstanding at the beginning of fiscal year 2024 and</w:t>
      </w:r>
      <w:r>
        <w:t xml:space="preserve"> </w:t>
      </w:r>
      <w:r>
        <w:t xml:space="preserve">$5.0 million was repaid with no borrowings, the year-end 2024 balance</w:t>
      </w:r>
      <w:r>
        <w:t xml:space="preserve"> </w:t>
      </w:r>
      <w:r>
        <w:t xml:space="preserve">should be $35.0 million, not $40.0 million. This internal</w:t>
      </w:r>
      <w:r>
        <w:t xml:space="preserve"> </w:t>
      </w:r>
      <w:r>
        <w:t xml:space="preserve">inconsistency in the audited financial statements must be resolved with</w:t>
      </w:r>
      <w:r>
        <w:t xml:space="preserve"> </w:t>
      </w:r>
      <w:r>
        <w:t xml:space="preserve">Archer Pryce LLP before filing.</w:t>
      </w:r>
    </w:p>
    <w:p>
      <w:pPr>
        <w:pStyle w:val="BodyText"/>
      </w:pPr>
      <w:r>
        <w:rPr>
          <w:b/>
          <w:bCs/>
        </w:rPr>
        <w:t xml:space="preserve">17. The term loan amortization schedule is inconsistent.</w:t>
      </w:r>
      <w:r>
        <w:t xml:space="preserve"> </w:t>
      </w:r>
      <w:r>
        <w:t xml:space="preserve">The term</w:t>
      </w:r>
      <w:r>
        <w:t xml:space="preserve"> </w:t>
      </w:r>
      <w:r>
        <w:t xml:space="preserve">loan summary states that the term loan amortizes in quarterly</w:t>
      </w:r>
      <w:r>
        <w:t xml:space="preserve"> </w:t>
      </w:r>
      <w:r>
        <w:t xml:space="preserve">installments of 1.25% of the original drawn amount, or $500,000 per</w:t>
      </w:r>
      <w:r>
        <w:t xml:space="preserve"> </w:t>
      </w:r>
      <w:r>
        <w:t xml:space="preserve">quarter ($2.0 million per year), with the remaining balance due as a</w:t>
      </w:r>
      <w:r>
        <w:t xml:space="preserve"> </w:t>
      </w:r>
      <w:r>
        <w:t xml:space="preserve">bullet at maturity. The audited financial statements (Note 8) reflect</w:t>
      </w:r>
      <w:r>
        <w:t xml:space="preserve"> </w:t>
      </w:r>
      <w:r>
        <w:t xml:space="preserve">future principal repayments of $5.0 million in 2025, $10.0 million in</w:t>
      </w:r>
      <w:r>
        <w:t xml:space="preserve"> </w:t>
      </w:r>
      <w:r>
        <w:t xml:space="preserve">2026, and $25.0 million in 2027, and the cash flow statement reflects</w:t>
      </w:r>
      <w:r>
        <w:t xml:space="preserve"> </w:t>
      </w:r>
      <w:r>
        <w:t xml:space="preserve">$5.0 million actually repaid in fiscal year 2024. A $2.0 million</w:t>
      </w:r>
      <w:r>
        <w:t xml:space="preserve"> </w:t>
      </w:r>
      <w:r>
        <w:t xml:space="preserve">annual amortization does not produce $5.0 million annual repayments.</w:t>
      </w:r>
      <w:r>
        <w:t xml:space="preserve"> </w:t>
      </w:r>
      <w:r>
        <w:t xml:space="preserve">The amortization schedule in the financial statements must be reconciled</w:t>
      </w:r>
      <w:r>
        <w:t xml:space="preserve"> </w:t>
      </w:r>
      <w:r>
        <w:t xml:space="preserve">to the credit agreement.</w:t>
      </w:r>
    </w:p>
    <w:p>
      <w:pPr>
        <w:pStyle w:val="BodyText"/>
      </w:pPr>
      <w:r>
        <w:rPr>
          <w:b/>
          <w:bCs/>
        </w:rPr>
        <w:t xml:space="preserve">18. The term loan lender is misnamed in the roadshow.</w:t>
      </w:r>
      <w:r>
        <w:t xml:space="preserve"> </w:t>
      </w:r>
      <w:r>
        <w:t xml:space="preserve">The roadshow</w:t>
      </w:r>
      <w:r>
        <w:t xml:space="preserve"> </w:t>
      </w:r>
      <w:r>
        <w:t xml:space="preserve">presentation (Slides 20, 24, and 27) refers to the lender as</w:t>
      </w:r>
      <w:r>
        <w:t xml:space="preserve"> </w:t>
      </w:r>
      <w:r>
        <w:t xml:space="preserve">“</w:t>
      </w:r>
      <w:r>
        <w:t xml:space="preserve">Silicon</w:t>
      </w:r>
      <w:r>
        <w:t xml:space="preserve"> </w:t>
      </w:r>
      <w:r>
        <w:t xml:space="preserve">Valley Credit Partners.</w:t>
      </w:r>
      <w:r>
        <w:t xml:space="preserve">”</w:t>
      </w:r>
      <w:r>
        <w:t xml:space="preserve"> </w:t>
      </w:r>
      <w:r>
        <w:t xml:space="preserve">The correct lender name, as stated in the term</w:t>
      </w:r>
      <w:r>
        <w:t xml:space="preserve"> </w:t>
      </w:r>
      <w:r>
        <w:t xml:space="preserve">loan summary, the audited financial statements, the CFO memorandum, and</w:t>
      </w:r>
      <w:r>
        <w:t xml:space="preserve"> </w:t>
      </w:r>
      <w:r>
        <w:t xml:space="preserve">the underwriting term sheet, is</w:t>
      </w:r>
      <w:r>
        <w:t xml:space="preserve"> </w:t>
      </w:r>
      <w:r>
        <w:t xml:space="preserve">“</w:t>
      </w:r>
      <w:r>
        <w:t xml:space="preserve">Kestridge West Credit Partners.</w:t>
      </w:r>
      <w:r>
        <w:t xml:space="preserve">”</w:t>
      </w:r>
      <w:r>
        <w:t xml:space="preserve"> </w:t>
      </w:r>
      <w:r>
        <w:t xml:space="preserve">(The</w:t>
      </w:r>
      <w:r>
        <w:t xml:space="preserve"> </w:t>
      </w:r>
      <w:r>
        <w:t xml:space="preserve">term loan summary’s abbreviation</w:t>
      </w:r>
      <w:r>
        <w:t xml:space="preserve"> </w:t>
      </w:r>
      <w:r>
        <w:t xml:space="preserve">“</w:t>
      </w:r>
      <w:r>
        <w:t xml:space="preserve">SVCP</w:t>
      </w:r>
      <w:r>
        <w:t xml:space="preserve">”</w:t>
      </w:r>
      <w:r>
        <w:t xml:space="preserve"> </w:t>
      </w:r>
      <w:r>
        <w:t xml:space="preserve">may be the source of the error.)</w:t>
      </w:r>
      <w:r>
        <w:t xml:space="preserve"> </w:t>
      </w:r>
      <w:r>
        <w:t xml:space="preserve">The roadshow must be corrected.</w:t>
      </w:r>
    </w:p>
    <w:bookmarkEnd w:id="22"/>
    <w:bookmarkStart w:id="23" w:name="Xce55eb720759ad1e53d1ae792ec72ea26b5f8e3"/>
    <w:p>
      <w:pPr>
        <w:pStyle w:val="Heading2"/>
      </w:pPr>
      <w:r>
        <w:t xml:space="preserve">IV. Equity, Capitalization, and 409A Valuation Inconsistencies</w:t>
      </w:r>
    </w:p>
    <w:p>
      <w:pPr>
        <w:pStyle w:val="FirstParagraph"/>
      </w:pPr>
      <w:r>
        <w:rPr>
          <w:b/>
          <w:bCs/>
        </w:rPr>
        <w:t xml:space="preserve">19. The 409A valuation history is materially inconsistent between the</w:t>
      </w:r>
      <w:r>
        <w:rPr>
          <w:b/>
          <w:bCs/>
        </w:rPr>
        <w:t xml:space="preserve"> </w:t>
      </w:r>
      <w:r>
        <w:rPr>
          <w:b/>
          <w:bCs/>
        </w:rPr>
        <w:t xml:space="preserve">audited financial statements and the equity plan records.</w:t>
      </w:r>
      <w:r>
        <w:t xml:space="preserve"> </w:t>
      </w:r>
      <w:r>
        <w:t xml:space="preserve">The audited</w:t>
      </w:r>
      <w:r>
        <w:t xml:space="preserve"> </w:t>
      </w:r>
      <w:r>
        <w:t xml:space="preserve">financial statements (Note 12(e)) list the following 409A valuations:</w:t>
      </w:r>
      <w:r>
        <w:t xml:space="preserve"> </w:t>
      </w:r>
      <w:r>
        <w:t xml:space="preserve">June 30, 2022—$7.80; September 30, 2022—$9.50; March 31,</w:t>
      </w:r>
      <w:r>
        <w:t xml:space="preserve"> </w:t>
      </w:r>
      <w:r>
        <w:t xml:space="preserve">2023—$14.20; September 30, 2023—$16.50; March 31, 2024—$18.20;</w:t>
      </w:r>
      <w:r>
        <w:t xml:space="preserve"> </w:t>
      </w:r>
      <w:r>
        <w:t xml:space="preserve">September 30, 2024—$19.60. The equity plan records (409A Valuations</w:t>
      </w:r>
      <w:r>
        <w:t xml:space="preserve"> </w:t>
      </w:r>
      <w:r>
        <w:t xml:space="preserve">tab) list: September 30, 2018—$0.85; March 31, 2020—$2.40;</w:t>
      </w:r>
      <w:r>
        <w:t xml:space="preserve"> </w:t>
      </w:r>
      <w:r>
        <w:t xml:space="preserve">September 30, 2020—$3.10; December 31, 2021—$7.20; September 30,</w:t>
      </w:r>
      <w:r>
        <w:t xml:space="preserve"> </w:t>
      </w:r>
      <w:r>
        <w:t xml:space="preserve">2022—$9.50; March 31, 2023—$14.20; December 31, 2023—$16.80;</w:t>
      </w:r>
      <w:r>
        <w:t xml:space="preserve"> </w:t>
      </w:r>
      <w:r>
        <w:t xml:space="preserve">December 31, 2024 (preliminary)—$18.50. Only two dates (September 30,</w:t>
      </w:r>
      <w:r>
        <w:t xml:space="preserve"> </w:t>
      </w:r>
      <w:r>
        <w:t xml:space="preserve">2022 and March 31, 2023) appear in both. The remaining dates and values</w:t>
      </w:r>
      <w:r>
        <w:t xml:space="preserve"> </w:t>
      </w:r>
      <w:r>
        <w:t xml:space="preserve">are entirely different. This is a material inconsistency affecting the</w:t>
      </w:r>
      <w:r>
        <w:t xml:space="preserve"> </w:t>
      </w:r>
      <w:r>
        <w:t xml:space="preserve">stock-based compensation footnote, the cheap-stock analysis, and the</w:t>
      </w:r>
      <w:r>
        <w:t xml:space="preserve"> </w:t>
      </w:r>
      <w:r>
        <w:t xml:space="preserve">Section 409A compliance disclosure. The correct valuation history must</w:t>
      </w:r>
      <w:r>
        <w:t xml:space="preserve"> </w:t>
      </w:r>
      <w:r>
        <w:t xml:space="preserve">be confirmed with the valuation firm (Meridian Valuation Partners LLC)</w:t>
      </w:r>
      <w:r>
        <w:t xml:space="preserve"> </w:t>
      </w:r>
      <w:r>
        <w:t xml:space="preserve">and the auditor.</w:t>
      </w:r>
    </w:p>
    <w:p>
      <w:pPr>
        <w:pStyle w:val="BodyText"/>
      </w:pPr>
      <w:r>
        <w:rPr>
          <w:b/>
          <w:bCs/>
        </w:rPr>
        <w:t xml:space="preserve">20. The RSU opening balance as of January 1, 2024 is inconsistent.</w:t>
      </w:r>
      <w:r>
        <w:t xml:space="preserve"> </w:t>
      </w:r>
      <w:r>
        <w:t xml:space="preserve">The audited financial statements (Note 12(c)) report 2,800,000 unvested</w:t>
      </w:r>
      <w:r>
        <w:t xml:space="preserve"> </w:t>
      </w:r>
      <w:r>
        <w:t xml:space="preserve">RSUs as of January 1, 2024. The equity plan records reflect only the</w:t>
      </w:r>
      <w:r>
        <w:t xml:space="preserve"> </w:t>
      </w:r>
      <w:r>
        <w:t xml:space="preserve">2023 RSU grants (RSU-2023-001, -002, -003), which total 950,000 granted</w:t>
      </w:r>
      <w:r>
        <w:t xml:space="preserve"> </w:t>
      </w:r>
      <w:r>
        <w:t xml:space="preserve">and, after 90,000 forfeitures, 860,000 outstanding. There is no support</w:t>
      </w:r>
      <w:r>
        <w:t xml:space="preserve"> </w:t>
      </w:r>
      <w:r>
        <w:t xml:space="preserve">in the equity plan records for 2,800,000 unvested RSUs at January 1,</w:t>
      </w:r>
      <w:r>
        <w:t xml:space="preserve"> </w:t>
      </w:r>
      <w:r>
        <w:t xml:space="preserve">2024.</w:t>
      </w:r>
    </w:p>
    <w:p>
      <w:pPr>
        <w:pStyle w:val="BodyText"/>
      </w:pPr>
      <w:r>
        <w:rPr>
          <w:b/>
          <w:bCs/>
        </w:rPr>
        <w:t xml:space="preserve">21. The number of RSUs granted in fiscal year 2024 is inconsistent.</w:t>
      </w:r>
      <w:r>
        <w:t xml:space="preserve"> </w:t>
      </w:r>
      <w:r>
        <w:t xml:space="preserve">The audited financial statements (Note 12(c)) report 1,400,000 RSUs</w:t>
      </w:r>
      <w:r>
        <w:t xml:space="preserve"> </w:t>
      </w:r>
      <w:r>
        <w:t xml:space="preserve">granted in fiscal year 2024. The equity plan records reflect fiscal year</w:t>
      </w:r>
      <w:r>
        <w:t xml:space="preserve"> </w:t>
      </w:r>
      <w:r>
        <w:t xml:space="preserve">2024 RSU grants (RSU-2024-001 through RSU-2024-017) totaling 2,450,000</w:t>
      </w:r>
      <w:r>
        <w:t xml:space="preserve"> </w:t>
      </w:r>
      <w:r>
        <w:t xml:space="preserve">shares. This is a difference of 1,050,000 shares.</w:t>
      </w:r>
    </w:p>
    <w:p>
      <w:pPr>
        <w:pStyle w:val="BodyText"/>
      </w:pPr>
      <w:r>
        <w:rPr>
          <w:b/>
          <w:bCs/>
        </w:rPr>
        <w:t xml:space="preserve">22. The fiscal year 2024 RSU grant-date fair value is inconsistent.</w:t>
      </w:r>
      <w:r>
        <w:t xml:space="preserve"> </w:t>
      </w:r>
      <w:r>
        <w:t xml:space="preserve">The audited financial statements (Note 12(c)) report fiscal year 2024</w:t>
      </w:r>
      <w:r>
        <w:t xml:space="preserve"> </w:t>
      </w:r>
      <w:r>
        <w:t xml:space="preserve">RSU grants at a weighted-average grant-date fair value of $18.20 per</w:t>
      </w:r>
      <w:r>
        <w:t xml:space="preserve"> </w:t>
      </w:r>
      <w:r>
        <w:t xml:space="preserve">share. The equity plan records reflect fiscal year 2024 RSU grants at</w:t>
      </w:r>
      <w:r>
        <w:t xml:space="preserve"> </w:t>
      </w:r>
      <w:r>
        <w:t xml:space="preserve">$18.50 per share.</w:t>
      </w:r>
    </w:p>
    <w:p>
      <w:pPr>
        <w:pStyle w:val="BodyText"/>
      </w:pPr>
      <w:r>
        <w:rPr>
          <w:b/>
          <w:bCs/>
        </w:rPr>
        <w:t xml:space="preserve">23. The RSU weighted-average grant-date fair value as of December 31,</w:t>
      </w:r>
      <w:r>
        <w:rPr>
          <w:b/>
          <w:bCs/>
        </w:rPr>
        <w:t xml:space="preserve"> </w:t>
      </w:r>
      <w:r>
        <w:rPr>
          <w:b/>
          <w:bCs/>
        </w:rPr>
        <w:t xml:space="preserve">2024 is inconsistent.</w:t>
      </w:r>
      <w:r>
        <w:t xml:space="preserve"> </w:t>
      </w:r>
      <w:r>
        <w:t xml:space="preserve">The audited financial statements (Note 12(c))</w:t>
      </w:r>
      <w:r>
        <w:t xml:space="preserve"> </w:t>
      </w:r>
      <w:r>
        <w:t xml:space="preserve">report a weighted-average grant-date fair value of $15.40 per share for</w:t>
      </w:r>
      <w:r>
        <w:t xml:space="preserve"> </w:t>
      </w:r>
      <w:r>
        <w:t xml:space="preserve">the 3,200,000 RSUs outstanding as of December 31, 2024. Computing the</w:t>
      </w:r>
      <w:r>
        <w:t xml:space="preserve"> </w:t>
      </w:r>
      <w:r>
        <w:t xml:space="preserve">weighted average from the equity plan grant records (860,000 shares at</w:t>
      </w:r>
      <w:r>
        <w:t xml:space="preserve"> </w:t>
      </w:r>
      <w:r>
        <w:t xml:space="preserve">$14.20 and 2,340,000 shares at $18.50) yields approximately $17.34</w:t>
      </w:r>
      <w:r>
        <w:t xml:space="preserve"> </w:t>
      </w:r>
      <w:r>
        <w:t xml:space="preserve">per share. These do not match.</w:t>
      </w:r>
    </w:p>
    <w:p>
      <w:pPr>
        <w:pStyle w:val="BodyText"/>
      </w:pPr>
      <w:r>
        <w:rPr>
          <w:b/>
          <w:bCs/>
        </w:rPr>
        <w:t xml:space="preserve">24. The number of option exercises is inconsistent.</w:t>
      </w:r>
      <w:r>
        <w:t xml:space="preserve"> </w:t>
      </w:r>
      <w:r>
        <w:t xml:space="preserve">The equity plan</w:t>
      </w:r>
      <w:r>
        <w:t xml:space="preserve"> </w:t>
      </w:r>
      <w:r>
        <w:t xml:space="preserve">records (Option Grants tab totals) reflect 60,000 shares exercised in</w:t>
      </w:r>
      <w:r>
        <w:t xml:space="preserve"> </w:t>
      </w:r>
      <w:r>
        <w:t xml:space="preserve">the aggregate. The audited financial statements (Note 12(b)) reflect</w:t>
      </w:r>
      <w:r>
        <w:t xml:space="preserve"> </w:t>
      </w:r>
      <w:r>
        <w:t xml:space="preserve">1,100,000 options exercised in fiscal year 2023 and 800,000 in fiscal</w:t>
      </w:r>
      <w:r>
        <w:t xml:space="preserve"> </w:t>
      </w:r>
      <w:r>
        <w:t xml:space="preserve">year 2024, for an aggregate of 1,900,000. The equity plan records</w:t>
      </w:r>
      <w:r>
        <w:t xml:space="preserve"> </w:t>
      </w:r>
      <w:r>
        <w:t xml:space="preserve">understate exercises by 1,840,000 shares.</w:t>
      </w:r>
    </w:p>
    <w:p>
      <w:pPr>
        <w:pStyle w:val="BodyText"/>
      </w:pPr>
      <w:r>
        <w:rPr>
          <w:b/>
          <w:bCs/>
        </w:rPr>
        <w:t xml:space="preserve">25. The number of option forfeitures is inconsistent.</w:t>
      </w:r>
      <w:r>
        <w:t xml:space="preserve"> </w:t>
      </w:r>
      <w:r>
        <w:t xml:space="preserve">The equity</w:t>
      </w:r>
      <w:r>
        <w:t xml:space="preserve"> </w:t>
      </w:r>
      <w:r>
        <w:t xml:space="preserve">plan records reflect 1,100,000 options cancelled/forfeited in the</w:t>
      </w:r>
      <w:r>
        <w:t xml:space="preserve"> </w:t>
      </w:r>
      <w:r>
        <w:t xml:space="preserve">aggregate. The audited financial statements reflect 300,000 forfeitures</w:t>
      </w:r>
      <w:r>
        <w:t xml:space="preserve"> </w:t>
      </w:r>
      <w:r>
        <w:t xml:space="preserve">in fiscal year 2023 and 350,000 in fiscal year 2024, for an aggregate of</w:t>
      </w:r>
      <w:r>
        <w:t xml:space="preserve"> </w:t>
      </w:r>
      <w:r>
        <w:t xml:space="preserve">650,000.</w:t>
      </w:r>
    </w:p>
    <w:p>
      <w:pPr>
        <w:pStyle w:val="BodyText"/>
      </w:pPr>
      <w:r>
        <w:rPr>
          <w:b/>
          <w:bCs/>
        </w:rPr>
        <w:t xml:space="preserve">26. The equity plan option totals do not internally reconcile.</w:t>
      </w:r>
      <w:r>
        <w:t xml:space="preserve"> </w:t>
      </w:r>
      <w:r>
        <w:t xml:space="preserve">The</w:t>
      </w:r>
      <w:r>
        <w:t xml:space="preserve"> </w:t>
      </w:r>
      <w:r>
        <w:t xml:space="preserve">Option Grants tab totals row states 18,910,000 granted, 60,000</w:t>
      </w:r>
      <w:r>
        <w:t xml:space="preserve"> </w:t>
      </w:r>
      <w:r>
        <w:t xml:space="preserve">exercised, 1,100,000 cancelled/forfeited, and 14,750,000 outstanding.</w:t>
      </w:r>
      <w:r>
        <w:t xml:space="preserve"> </w:t>
      </w:r>
      <w:r>
        <w:t xml:space="preserve">However, 18,910,000 − 60,000 − 1,100,000 = 17,750,000, which does not</w:t>
      </w:r>
      <w:r>
        <w:t xml:space="preserve"> </w:t>
      </w:r>
      <w:r>
        <w:t xml:space="preserve">equal the stated 14,750,000 outstanding (a 3,000,000-share gap). In</w:t>
      </w:r>
      <w:r>
        <w:t xml:space="preserve"> </w:t>
      </w:r>
      <w:r>
        <w:t xml:space="preserve">addition, the stated vested shares (17,165,011) plus unvested shares</w:t>
      </w:r>
      <w:r>
        <w:t xml:space="preserve"> </w:t>
      </w:r>
      <w:r>
        <w:t xml:space="preserve">(5,816,209) total 22,981,220, which exceeds both the granted total and</w:t>
      </w:r>
      <w:r>
        <w:t xml:space="preserve"> </w:t>
      </w:r>
      <w:r>
        <w:t xml:space="preserve">the outstanding total. The equity plan records must be reconciled.</w:t>
      </w:r>
    </w:p>
    <w:p>
      <w:pPr>
        <w:pStyle w:val="BodyText"/>
      </w:pPr>
      <w:r>
        <w:rPr>
          <w:b/>
          <w:bCs/>
        </w:rPr>
        <w:t xml:space="preserve">27. The equity plan RSU totals do not internally reconcile.</w:t>
      </w:r>
      <w:r>
        <w:t xml:space="preserve"> </w:t>
      </w:r>
      <w:r>
        <w:t xml:space="preserve">The RSU</w:t>
      </w:r>
      <w:r>
        <w:t xml:space="preserve"> </w:t>
      </w:r>
      <w:r>
        <w:t xml:space="preserve">Grants tab totals row states 3,380,000 unvested and 3,200,000</w:t>
      </w:r>
      <w:r>
        <w:t xml:space="preserve"> </w:t>
      </w:r>
      <w:r>
        <w:t xml:space="preserve">outstanding. Summing the individual</w:t>
      </w:r>
      <w:r>
        <w:t xml:space="preserve"> </w:t>
      </w:r>
      <w:r>
        <w:t xml:space="preserve">“</w:t>
      </w:r>
      <w:r>
        <w:t xml:space="preserve">Shares Unvested as of 12/31/2024</w:t>
      </w:r>
      <w:r>
        <w:t xml:space="preserve">”</w:t>
      </w:r>
      <w:r>
        <w:t xml:space="preserve"> </w:t>
      </w:r>
      <w:r>
        <w:t xml:space="preserve">column yields 3,220,000, which matches neither the stated 3,380,000 nor</w:t>
      </w:r>
      <w:r>
        <w:t xml:space="preserve"> </w:t>
      </w:r>
      <w:r>
        <w:t xml:space="preserve">the stated 3,200,000. The equity plan records must be reconciled.</w:t>
      </w:r>
    </w:p>
    <w:p>
      <w:pPr>
        <w:pStyle w:val="BodyText"/>
      </w:pPr>
      <w:r>
        <w:rPr>
          <w:b/>
          <w:bCs/>
        </w:rPr>
        <w:t xml:space="preserve">28. Cheap-stock / Section 409A risk for first-quarter 2023 option</w:t>
      </w:r>
      <w:r>
        <w:rPr>
          <w:b/>
          <w:bCs/>
        </w:rPr>
        <w:t xml:space="preserve"> </w:t>
      </w:r>
      <w:r>
        <w:rPr>
          <w:b/>
          <w:bCs/>
        </w:rPr>
        <w:t xml:space="preserve">grants.</w:t>
      </w:r>
      <w:r>
        <w:t xml:space="preserve"> </w:t>
      </w:r>
      <w:r>
        <w:t xml:space="preserve">During the three months ended March 31, 2023, the Company</w:t>
      </w:r>
      <w:r>
        <w:t xml:space="preserve"> </w:t>
      </w:r>
      <w:r>
        <w:t xml:space="preserve">granted 2,400,000 stock options at an exercise price of $9.50 per</w:t>
      </w:r>
      <w:r>
        <w:t xml:space="preserve"> </w:t>
      </w:r>
      <w:r>
        <w:t xml:space="preserve">share, based on the September 30, 2022 409A valuation. A subsequent 409A</w:t>
      </w:r>
      <w:r>
        <w:t xml:space="preserve"> </w:t>
      </w:r>
      <w:r>
        <w:t xml:space="preserve">valuation as of March 31, 2023 determined the fair value of the common</w:t>
      </w:r>
      <w:r>
        <w:t xml:space="preserve"> </w:t>
      </w:r>
      <w:r>
        <w:t xml:space="preserve">stock to be $14.20 per share, a 49.5% increase. The grants were made</w:t>
      </w:r>
      <w:r>
        <w:t xml:space="preserve"> </w:t>
      </w:r>
      <w:r>
        <w:t xml:space="preserve">using a valuation that was approximately six months old at the time of</w:t>
      </w:r>
      <w:r>
        <w:t xml:space="preserve"> </w:t>
      </w:r>
      <w:r>
        <w:t xml:space="preserve">grant, and the contemporaneous (March 31, 2023) valuation suggests the</w:t>
      </w:r>
      <w:r>
        <w:t xml:space="preserve"> </w:t>
      </w:r>
      <w:r>
        <w:t xml:space="preserve">$9.50 exercise price may have been below fair market value. This</w:t>
      </w:r>
      <w:r>
        <w:t xml:space="preserve"> </w:t>
      </w:r>
      <w:r>
        <w:t xml:space="preserve">creates (i) a potential Section 409A noncompliance risk (deferred</w:t>
      </w:r>
      <w:r>
        <w:t xml:space="preserve"> </w:t>
      </w:r>
      <w:r>
        <w:t xml:space="preserve">compensation tax consequences for the grantees) and (ii) a potential</w:t>
      </w:r>
      <w:r>
        <w:t xml:space="preserve"> </w:t>
      </w:r>
      <w:r>
        <w:t xml:space="preserve">additional stock-based compensation expense (</w:t>
      </w:r>
      <w:r>
        <w:t xml:space="preserve">“</w:t>
      </w:r>
      <w:r>
        <w:t xml:space="preserve">cheap stock</w:t>
      </w:r>
      <w:r>
        <w:t xml:space="preserve">”</w:t>
      </w:r>
      <w:r>
        <w:t xml:space="preserve">) that may</w:t>
      </w:r>
      <w:r>
        <w:t xml:space="preserve"> </w:t>
      </w:r>
      <w:r>
        <w:t xml:space="preserve">need to be recognized. This should be analyzed with the valuation firm</w:t>
      </w:r>
      <w:r>
        <w:t xml:space="preserve"> </w:t>
      </w:r>
      <w:r>
        <w:t xml:space="preserve">and the auditor, and disclosed as a risk factor.</w:t>
      </w:r>
    </w:p>
    <w:p>
      <w:pPr>
        <w:pStyle w:val="BodyText"/>
      </w:pPr>
      <w:r>
        <w:rPr>
          <w:b/>
          <w:bCs/>
        </w:rPr>
        <w:t xml:space="preserve">29. The December 31, 2024 409A valuation is preliminary.</w:t>
      </w:r>
      <w:r>
        <w:t xml:space="preserve"> </w:t>
      </w:r>
      <w:r>
        <w:t xml:space="preserve">The equity</w:t>
      </w:r>
      <w:r>
        <w:t xml:space="preserve"> </w:t>
      </w:r>
      <w:r>
        <w:t xml:space="preserve">plan records indicate that the December 31, 2024 409A valuation (fair</w:t>
      </w:r>
      <w:r>
        <w:t xml:space="preserve"> </w:t>
      </w:r>
      <w:r>
        <w:t xml:space="preserve">value $18.50 per share) is preliminary, with the final report and Board</w:t>
      </w:r>
      <w:r>
        <w:t xml:space="preserve"> </w:t>
      </w:r>
      <w:r>
        <w:t xml:space="preserve">approval expected in February 2025. This valuation is needed for the</w:t>
      </w:r>
      <w:r>
        <w:t xml:space="preserve"> </w:t>
      </w:r>
      <w:r>
        <w:t xml:space="preserve">stock-based compensation footnote in the Form S-1 and for any pre-IPO</w:t>
      </w:r>
      <w:r>
        <w:t xml:space="preserve"> </w:t>
      </w:r>
      <w:r>
        <w:t xml:space="preserve">equity grants. The final valuation must be obtained and Board-approved</w:t>
      </w:r>
      <w:r>
        <w:t xml:space="preserve"> </w:t>
      </w:r>
      <w:r>
        <w:t xml:space="preserve">before filing.</w:t>
      </w:r>
    </w:p>
    <w:p>
      <w:pPr>
        <w:pStyle w:val="BodyText"/>
      </w:pPr>
      <w:r>
        <w:rPr>
          <w:b/>
          <w:bCs/>
        </w:rPr>
        <w:t xml:space="preserve">30. Secondary common stock transactions occurred in 2024.</w:t>
      </w:r>
      <w:r>
        <w:t xml:space="preserve"> </w:t>
      </w:r>
      <w:r>
        <w:t xml:space="preserve">The equity</w:t>
      </w:r>
      <w:r>
        <w:t xml:space="preserve"> </w:t>
      </w:r>
      <w:r>
        <w:t xml:space="preserve">plan records (409A Valuations tab) note secondary transactions in the</w:t>
      </w:r>
      <w:r>
        <w:t xml:space="preserve"> </w:t>
      </w:r>
      <w:r>
        <w:t xml:space="preserve">third and fourth quarters of 2024 at implied valuations of $18–$20</w:t>
      </w:r>
      <w:r>
        <w:t xml:space="preserve"> </w:t>
      </w:r>
      <w:r>
        <w:t xml:space="preserve">per share of common stock equivalent. These secondary transactions are</w:t>
      </w:r>
      <w:r>
        <w:t xml:space="preserve"> </w:t>
      </w:r>
      <w:r>
        <w:t xml:space="preserve">relevant to the determination of the fair value of the common stock, to</w:t>
      </w:r>
      <w:r>
        <w:t xml:space="preserve"> </w:t>
      </w:r>
      <w:r>
        <w:t xml:space="preserve">the cheap-stock analysis, and potentially to disclosure. The Company</w:t>
      </w:r>
      <w:r>
        <w:t xml:space="preserve"> </w:t>
      </w:r>
      <w:r>
        <w:t xml:space="preserve">should confirm whether any secondary transactions require disclosure and</w:t>
      </w:r>
      <w:r>
        <w:t xml:space="preserve"> </w:t>
      </w:r>
      <w:r>
        <w:t xml:space="preserve">whether they affect the common stock valuation.</w:t>
      </w:r>
    </w:p>
    <w:bookmarkEnd w:id="23"/>
    <w:bookmarkStart w:id="24" w:name="X2782e18b9967a9b904ce1e09472d8462b2018ac"/>
    <w:p>
      <w:pPr>
        <w:pStyle w:val="Heading2"/>
      </w:pPr>
      <w:r>
        <w:t xml:space="preserve">V. Identity and Governance Inconsistencies</w:t>
      </w:r>
    </w:p>
    <w:p>
      <w:pPr>
        <w:pStyle w:val="FirstParagraph"/>
      </w:pPr>
      <w:r>
        <w:rPr>
          <w:b/>
          <w:bCs/>
        </w:rPr>
        <w:t xml:space="preserve">31. The co-founder and CTO’s name is inconsistent.</w:t>
      </w:r>
      <w:r>
        <w:t xml:space="preserve"> </w:t>
      </w:r>
      <w:r>
        <w:t xml:space="preserve">The amended and</w:t>
      </w:r>
      <w:r>
        <w:t xml:space="preserve"> </w:t>
      </w:r>
      <w:r>
        <w:t xml:space="preserve">restated certificate of incorporation (including the Permitted</w:t>
      </w:r>
      <w:r>
        <w:t xml:space="preserve"> </w:t>
      </w:r>
      <w:r>
        <w:t xml:space="preserve">Transferee definition in Section 4.3) and the underwriting term sheet</w:t>
      </w:r>
      <w:r>
        <w:t xml:space="preserve"> </w:t>
      </w:r>
      <w:r>
        <w:t xml:space="preserve">refer to the co-founder and CTO as</w:t>
      </w:r>
      <w:r>
        <w:t xml:space="preserve"> </w:t>
      </w:r>
      <w:r>
        <w:t xml:space="preserve">“</w:t>
      </w:r>
      <w:r>
        <w:t xml:space="preserve">Katerina Litvak.</w:t>
      </w:r>
      <w:r>
        <w:t xml:space="preserve">”</w:t>
      </w:r>
      <w:r>
        <w:t xml:space="preserve"> </w:t>
      </w:r>
      <w:r>
        <w:t xml:space="preserve">The CFO</w:t>
      </w:r>
      <w:r>
        <w:t xml:space="preserve"> </w:t>
      </w:r>
      <w:r>
        <w:t xml:space="preserve">memorandum, the management questionnaire, and the equity plan records</w:t>
      </w:r>
      <w:r>
        <w:t xml:space="preserve"> </w:t>
      </w:r>
      <w:r>
        <w:t xml:space="preserve">refer to her as</w:t>
      </w:r>
      <w:r>
        <w:t xml:space="preserve"> </w:t>
      </w:r>
      <w:r>
        <w:t xml:space="preserve">“</w:t>
      </w:r>
      <w:r>
        <w:t xml:space="preserve">Katerina Litvanova.</w:t>
      </w:r>
      <w:r>
        <w:t xml:space="preserve">”</w:t>
      </w:r>
      <w:r>
        <w:t xml:space="preserve"> </w:t>
      </w:r>
      <w:r>
        <w:t xml:space="preserve">The correct legal name must be</w:t>
      </w:r>
      <w:r>
        <w:t xml:space="preserve"> </w:t>
      </w:r>
      <w:r>
        <w:t xml:space="preserve">confirmed and used consistently throughout the Form S-1, the charter,</w:t>
      </w:r>
      <w:r>
        <w:t xml:space="preserve"> </w:t>
      </w:r>
      <w:r>
        <w:t xml:space="preserve">the underwriting agreement, and all other offering documents. An</w:t>
      </w:r>
      <w:r>
        <w:t xml:space="preserve"> </w:t>
      </w:r>
      <w:r>
        <w:t xml:space="preserve">incorrect name in a registration statement signed under Section 11</w:t>
      </w:r>
      <w:r>
        <w:t xml:space="preserve"> </w:t>
      </w:r>
      <w:r>
        <w:t xml:space="preserve">liability is a material concern.</w:t>
      </w:r>
    </w:p>
    <w:p>
      <w:pPr>
        <w:pStyle w:val="BodyText"/>
      </w:pPr>
      <w:r>
        <w:rPr>
          <w:b/>
          <w:bCs/>
        </w:rPr>
        <w:t xml:space="preserve">32. The size of the board of directors and Ms. Litvak’s director</w:t>
      </w:r>
      <w:r>
        <w:rPr>
          <w:b/>
          <w:bCs/>
        </w:rPr>
        <w:t xml:space="preserve"> </w:t>
      </w:r>
      <w:r>
        <w:rPr>
          <w:b/>
          <w:bCs/>
        </w:rPr>
        <w:t xml:space="preserve">status are inconsistent.</w:t>
      </w:r>
      <w:r>
        <w:t xml:space="preserve"> </w:t>
      </w:r>
      <w:r>
        <w:t xml:space="preserve">The amended and restated certificate of</w:t>
      </w:r>
      <w:r>
        <w:t xml:space="preserve"> </w:t>
      </w:r>
      <w:r>
        <w:t xml:space="preserve">incorporation (Article V, Section 5.3) provides for an initial board of</w:t>
      </w:r>
      <w:r>
        <w:t xml:space="preserve"> </w:t>
      </w:r>
      <w:r>
        <w:t xml:space="preserve">seven directors, with Katerina Litvak named as a Class III director</w:t>
      </w:r>
      <w:r>
        <w:t xml:space="preserve"> </w:t>
      </w:r>
      <w:r>
        <w:t xml:space="preserve">(alongside Arun Ramaswamy and Adaora Obi). The management questionnaire</w:t>
      </w:r>
      <w:r>
        <w:t xml:space="preserve"> </w:t>
      </w:r>
      <w:r>
        <w:t xml:space="preserve">(Section 6) states that the board consists of six members and that</w:t>
      </w:r>
      <w:r>
        <w:t xml:space="preserve"> </w:t>
      </w:r>
      <w:r>
        <w:t xml:space="preserve">“</w:t>
      </w:r>
      <w:r>
        <w:t xml:space="preserve">Katerina Litvanova, Michael D. Hartwell, and Sandra Y. Chen are</w:t>
      </w:r>
      <w:r>
        <w:t xml:space="preserve"> </w:t>
      </w:r>
      <w:r>
        <w:t xml:space="preserve">executive officers but do not serve on the Board.</w:t>
      </w:r>
      <w:r>
        <w:t xml:space="preserve">”</w:t>
      </w:r>
      <w:r>
        <w:t xml:space="preserve"> </w:t>
      </w:r>
      <w:r>
        <w:t xml:space="preserve">The roadshow</w:t>
      </w:r>
      <w:r>
        <w:t xml:space="preserve"> </w:t>
      </w:r>
      <w:r>
        <w:t xml:space="preserve">presentation is internally inconsistent: Slide 7 implies a six-member</w:t>
      </w:r>
      <w:r>
        <w:t xml:space="preserve"> </w:t>
      </w:r>
      <w:r>
        <w:t xml:space="preserve">board (five non-employee directors plus the CEO), while Slide 30 states</w:t>
      </w:r>
      <w:r>
        <w:t xml:space="preserve"> </w:t>
      </w:r>
      <w:r>
        <w:t xml:space="preserve">“</w:t>
      </w:r>
      <w:r>
        <w:t xml:space="preserve">3 of 7 total directors.</w:t>
      </w:r>
      <w:r>
        <w:t xml:space="preserve">”</w:t>
      </w:r>
      <w:r>
        <w:t xml:space="preserve"> </w:t>
      </w:r>
      <w:r>
        <w:t xml:space="preserve">The Form S-1 must state the correct board</w:t>
      </w:r>
      <w:r>
        <w:t xml:space="preserve"> </w:t>
      </w:r>
      <w:r>
        <w:t xml:space="preserve">composition. If Ms. Litvak is a director, the questionnaire and roadshow</w:t>
      </w:r>
      <w:r>
        <w:t xml:space="preserve"> </w:t>
      </w:r>
      <w:r>
        <w:t xml:space="preserve">must be corrected; if she is not, the charter’s classified-board</w:t>
      </w:r>
      <w:r>
        <w:t xml:space="preserve"> </w:t>
      </w:r>
      <w:r>
        <w:t xml:space="preserve">provision (which lists her as a Class III director) must be corrected.</w:t>
      </w:r>
      <w:r>
        <w:t xml:space="preserve"> </w:t>
      </w:r>
      <w:r>
        <w:t xml:space="preserve">This affects the director signatures on the registration statement, the</w:t>
      </w:r>
      <w:r>
        <w:t xml:space="preserve"> </w:t>
      </w:r>
      <w:r>
        <w:t xml:space="preserve">director biographies, the independence analysis, and the</w:t>
      </w:r>
      <w:r>
        <w:t xml:space="preserve"> </w:t>
      </w:r>
      <w:r>
        <w:t xml:space="preserve">controlled-company analysis.</w:t>
      </w:r>
    </w:p>
    <w:p>
      <w:pPr>
        <w:pStyle w:val="BodyText"/>
      </w:pPr>
      <w:r>
        <w:rPr>
          <w:b/>
          <w:bCs/>
        </w:rPr>
        <w:t xml:space="preserve">33. The transfer agent is inconsistent.</w:t>
      </w:r>
      <w:r>
        <w:t xml:space="preserve"> </w:t>
      </w:r>
      <w:r>
        <w:t xml:space="preserve">The amended and restated</w:t>
      </w:r>
      <w:r>
        <w:t xml:space="preserve"> </w:t>
      </w:r>
      <w:r>
        <w:t xml:space="preserve">bylaws (Article V, Section 5.1) identify the transfer agent and</w:t>
      </w:r>
      <w:r>
        <w:t xml:space="preserve"> </w:t>
      </w:r>
      <w:r>
        <w:t xml:space="preserve">registrar as</w:t>
      </w:r>
      <w:r>
        <w:t xml:space="preserve"> </w:t>
      </w:r>
      <w:r>
        <w:t xml:space="preserve">“</w:t>
      </w:r>
      <w:r>
        <w:t xml:space="preserve">Computershare Transfer Co.</w:t>
      </w:r>
      <w:r>
        <w:t xml:space="preserve">”</w:t>
      </w:r>
      <w:r>
        <w:t xml:space="preserve"> </w:t>
      </w:r>
      <w:r>
        <w:t xml:space="preserve">The CFO memorandum (Section</w:t>
      </w:r>
      <w:r>
        <w:t xml:space="preserve"> </w:t>
      </w:r>
      <w:r>
        <w:t xml:space="preserve">10, action item 6), the management questionnaire (Open Item 3), and the</w:t>
      </w:r>
      <w:r>
        <w:t xml:space="preserve"> </w:t>
      </w:r>
      <w:r>
        <w:t xml:space="preserve">underwriting term sheet (Section 1 and the lock-up agreement, Section 6)</w:t>
      </w:r>
      <w:r>
        <w:t xml:space="preserve"> </w:t>
      </w:r>
      <w:r>
        <w:t xml:space="preserve">identify the transfer agent as</w:t>
      </w:r>
      <w:r>
        <w:t xml:space="preserve"> </w:t>
      </w:r>
      <w:r>
        <w:t xml:space="preserve">“</w:t>
      </w:r>
      <w:r>
        <w:t xml:space="preserve">Oakvale Transfer Transfer Co.</w:t>
      </w:r>
      <w:r>
        <w:t xml:space="preserve">”</w:t>
      </w:r>
      <w:r>
        <w:t xml:space="preserve"> </w:t>
      </w:r>
      <w:r>
        <w:t xml:space="preserve">(note the</w:t>
      </w:r>
      <w:r>
        <w:t xml:space="preserve"> </w:t>
      </w:r>
      <w:r>
        <w:t xml:space="preserve">doubled</w:t>
      </w:r>
      <w:r>
        <w:t xml:space="preserve"> </w:t>
      </w:r>
      <w:r>
        <w:t xml:space="preserve">“</w:t>
      </w:r>
      <w:r>
        <w:t xml:space="preserve">Transfer Transfer</w:t>
      </w:r>
      <w:r>
        <w:t xml:space="preserve">”</w:t>
      </w:r>
      <w:r>
        <w:t xml:space="preserve">). The correct transfer agent must be</w:t>
      </w:r>
      <w:r>
        <w:t xml:space="preserve"> </w:t>
      </w:r>
      <w:r>
        <w:t xml:space="preserve">confirmed, the bylaws must be corrected if necessary, and the name must</w:t>
      </w:r>
      <w:r>
        <w:t xml:space="preserve"> </w:t>
      </w:r>
      <w:r>
        <w:t xml:space="preserve">be used consistently. The apparent typographical error in</w:t>
      </w:r>
      <w:r>
        <w:t xml:space="preserve"> </w:t>
      </w:r>
      <w:r>
        <w:t xml:space="preserve">“</w:t>
      </w:r>
      <w:r>
        <w:t xml:space="preserve">Oakvale</w:t>
      </w:r>
      <w:r>
        <w:t xml:space="preserve"> </w:t>
      </w:r>
      <w:r>
        <w:t xml:space="preserve">Transfer Transfer Co.</w:t>
      </w:r>
      <w:r>
        <w:t xml:space="preserve">”</w:t>
      </w:r>
      <w:r>
        <w:t xml:space="preserve"> </w:t>
      </w:r>
      <w:r>
        <w:t xml:space="preserve">should also be corrected.</w:t>
      </w:r>
    </w:p>
    <w:p>
      <w:pPr>
        <w:pStyle w:val="BodyText"/>
      </w:pPr>
      <w:r>
        <w:rPr>
          <w:b/>
          <w:bCs/>
        </w:rPr>
        <w:t xml:space="preserve">34. Sandra Y. Chen’s title is inconsistent.</w:t>
      </w:r>
      <w:r>
        <w:t xml:space="preserve"> </w:t>
      </w:r>
      <w:r>
        <w:t xml:space="preserve">The amended and restated</w:t>
      </w:r>
      <w:r>
        <w:t xml:space="preserve"> </w:t>
      </w:r>
      <w:r>
        <w:t xml:space="preserve">certificate of incorporation and bylaws, the management questionnaire,</w:t>
      </w:r>
      <w:r>
        <w:t xml:space="preserve"> </w:t>
      </w:r>
      <w:r>
        <w:t xml:space="preserve">the CFO memorandum, and the roadshow presentation identify Sandra Y.</w:t>
      </w:r>
      <w:r>
        <w:t xml:space="preserve"> </w:t>
      </w:r>
      <w:r>
        <w:t xml:space="preserve">Chen as General Counsel and Corporate Secretary. The equity plan records</w:t>
      </w:r>
      <w:r>
        <w:t xml:space="preserve"> </w:t>
      </w:r>
      <w:r>
        <w:t xml:space="preserve">(Option Grants tab, OPT-2018-002 and OPT-2024-005; RSU Grants tab,</w:t>
      </w:r>
      <w:r>
        <w:t xml:space="preserve"> </w:t>
      </w:r>
      <w:r>
        <w:t xml:space="preserve">RSU-2024-004) identify</w:t>
      </w:r>
      <w:r>
        <w:t xml:space="preserve"> </w:t>
      </w:r>
      <w:r>
        <w:t xml:space="preserve">“</w:t>
      </w:r>
      <w:r>
        <w:t xml:space="preserve">Sandra Chen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VP Sales (now CRO)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CRO.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addition, the equity plan records (OPT-2022-002 and RSU-2024-005)</w:t>
      </w:r>
      <w:r>
        <w:t xml:space="preserve"> </w:t>
      </w:r>
      <w:r>
        <w:t xml:space="preserve">identify</w:t>
      </w:r>
      <w:r>
        <w:t xml:space="preserve"> </w:t>
      </w:r>
      <w:r>
        <w:t xml:space="preserve">“</w:t>
      </w:r>
      <w:r>
        <w:t xml:space="preserve">Thomas Brennan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General Counsel,</w:t>
      </w:r>
      <w:r>
        <w:t xml:space="preserve">”</w:t>
      </w:r>
      <w:r>
        <w:t xml:space="preserve"> </w:t>
      </w:r>
      <w:r>
        <w:t xml:space="preserve">a person who does not</w:t>
      </w:r>
      <w:r>
        <w:t xml:space="preserve"> </w:t>
      </w:r>
      <w:r>
        <w:t xml:space="preserve">appear in any other document. Either the equity plan records contain</w:t>
      </w:r>
      <w:r>
        <w:t xml:space="preserve"> </w:t>
      </w:r>
      <w:r>
        <w:t xml:space="preserve">mislabeled grantees (possibly conflating two different individuals), or</w:t>
      </w:r>
      <w:r>
        <w:t xml:space="preserve"> </w:t>
      </w:r>
      <w:r>
        <w:t xml:space="preserve">there are persons not reflected in the management questionnaire. The</w:t>
      </w:r>
      <w:r>
        <w:t xml:space="preserve"> </w:t>
      </w:r>
      <w:r>
        <w:t xml:space="preserve">grantee identities and titles must be reconciled, as they affect the</w:t>
      </w:r>
      <w:r>
        <w:t xml:space="preserve"> </w:t>
      </w:r>
      <w:r>
        <w:t xml:space="preserve">named executive officer disclosures and the executive compensation</w:t>
      </w:r>
      <w:r>
        <w:t xml:space="preserve"> </w:t>
      </w:r>
      <w:r>
        <w:t xml:space="preserve">tables.</w:t>
      </w:r>
    </w:p>
    <w:p>
      <w:pPr>
        <w:pStyle w:val="BodyText"/>
      </w:pPr>
      <w:r>
        <w:rPr>
          <w:b/>
          <w:bCs/>
        </w:rPr>
        <w:t xml:space="preserve">35. The non-employee director RSU grantee names in the equity plan</w:t>
      </w:r>
      <w:r>
        <w:rPr>
          <w:b/>
          <w:bCs/>
        </w:rPr>
        <w:t xml:space="preserve"> </w:t>
      </w:r>
      <w:r>
        <w:rPr>
          <w:b/>
          <w:bCs/>
        </w:rPr>
        <w:t xml:space="preserve">records do not match the actual directors.</w:t>
      </w:r>
      <w:r>
        <w:t xml:space="preserve"> </w:t>
      </w:r>
      <w:r>
        <w:t xml:space="preserve">The equity plan records</w:t>
      </w:r>
      <w:r>
        <w:t xml:space="preserve"> </w:t>
      </w:r>
      <w:r>
        <w:t xml:space="preserve">(RSU Grants tab, RSU-2024-009 through RSU-2024-013) reflect fiscal year</w:t>
      </w:r>
      <w:r>
        <w:t xml:space="preserve"> </w:t>
      </w:r>
      <w:r>
        <w:t xml:space="preserve">2024 non-employee director RSU grants of 15,000 shares each to</w:t>
      </w:r>
      <w:r>
        <w:t xml:space="preserve"> </w:t>
      </w:r>
      <w:r>
        <w:t xml:space="preserve">individuals named</w:t>
      </w:r>
      <w:r>
        <w:t xml:space="preserve"> </w:t>
      </w:r>
      <w:r>
        <w:t xml:space="preserve">“</w:t>
      </w:r>
      <w:r>
        <w:t xml:space="preserve">Anand Venkatesh,</w:t>
      </w:r>
      <w:r>
        <w:t xml:space="preserve">”</w:t>
      </w:r>
      <w:r>
        <w:t xml:space="preserve"> </w:t>
      </w:r>
      <w:r>
        <w:t xml:space="preserve">“</w:t>
      </w:r>
      <w:r>
        <w:t xml:space="preserve">Claudia Moreno,</w:t>
      </w:r>
      <w:r>
        <w:t xml:space="preserve">”</w:t>
      </w:r>
      <w:r>
        <w:t xml:space="preserve"> </w:t>
      </w:r>
      <w:r>
        <w:t xml:space="preserve">“</w:t>
      </w:r>
      <w:r>
        <w:t xml:space="preserve">David Park,</w:t>
      </w:r>
      <w:r>
        <w:t xml:space="preserve">”</w:t>
      </w:r>
      <w:r>
        <w:t xml:space="preserve"> </w:t>
      </w:r>
      <w:r>
        <w:t xml:space="preserve">“</w:t>
      </w:r>
      <w:r>
        <w:t xml:space="preserve">Soo-Yeon Kwon,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Emmanuel Obi.</w:t>
      </w:r>
      <w:r>
        <w:t xml:space="preserve">”</w:t>
      </w:r>
      <w:r>
        <w:t xml:space="preserve"> </w:t>
      </w:r>
      <w:r>
        <w:t xml:space="preserve">The actual non-employee directors</w:t>
      </w:r>
      <w:r>
        <w:t xml:space="preserve"> </w:t>
      </w:r>
      <w:r>
        <w:t xml:space="preserve">are Priya Venkatesh, Thomas J. Moreno, Dr. Helen Park, James Kwon, and</w:t>
      </w:r>
      <w:r>
        <w:t xml:space="preserve"> </w:t>
      </w:r>
      <w:r>
        <w:t xml:space="preserve">Adaora Obi. The first names differ (Anand vs. Priya; Claudia vs. Thomas</w:t>
      </w:r>
      <w:r>
        <w:t xml:space="preserve"> </w:t>
      </w:r>
      <w:r>
        <w:t xml:space="preserve">J.; David vs. Dr. Helen; Soo-Yeon vs. James; Emmanuel vs. Adaora) while</w:t>
      </w:r>
      <w:r>
        <w:t xml:space="preserve"> </w:t>
      </w:r>
      <w:r>
        <w:t xml:space="preserve">the last names match. This is a significant red flag: either the equity</w:t>
      </w:r>
      <w:r>
        <w:t xml:space="preserve"> </w:t>
      </w:r>
      <w:r>
        <w:t xml:space="preserve">plan records contain incorrect grantee names, or the director identities</w:t>
      </w:r>
      <w:r>
        <w:t xml:space="preserve"> </w:t>
      </w:r>
      <w:r>
        <w:t xml:space="preserve">in the management questionnaire are incorrect. Director compensation and</w:t>
      </w:r>
      <w:r>
        <w:t xml:space="preserve"> </w:t>
      </w:r>
      <w:r>
        <w:t xml:space="preserve">beneficial ownership disclosure depend on correct identities and must be</w:t>
      </w:r>
      <w:r>
        <w:t xml:space="preserve"> </w:t>
      </w:r>
      <w:r>
        <w:t xml:space="preserve">reconciled against the stock transfer records.</w:t>
      </w:r>
    </w:p>
    <w:p>
      <w:pPr>
        <w:pStyle w:val="BodyText"/>
      </w:pPr>
      <w:r>
        <w:rPr>
          <w:b/>
          <w:bCs/>
        </w:rPr>
        <w:t xml:space="preserve">36. The named executive officers’ equity awards are understated in the</w:t>
      </w:r>
      <w:r>
        <w:rPr>
          <w:b/>
          <w:bCs/>
        </w:rPr>
        <w:t xml:space="preserve"> </w:t>
      </w:r>
      <w:r>
        <w:rPr>
          <w:b/>
          <w:bCs/>
        </w:rPr>
        <w:t xml:space="preserve">management questionnaire.</w:t>
      </w:r>
      <w:r>
        <w:t xml:space="preserve"> </w:t>
      </w:r>
      <w:r>
        <w:t xml:space="preserve">The management questionnaire discloses only</w:t>
      </w:r>
      <w:r>
        <w:t xml:space="preserve"> </w:t>
      </w:r>
      <w:r>
        <w:t xml:space="preserve">the fiscal year 2024 RSU awards for the named executive officers</w:t>
      </w:r>
      <w:r>
        <w:t xml:space="preserve"> </w:t>
      </w:r>
      <w:r>
        <w:t xml:space="preserve">(180,000 to Mr. Ramaswamy; 150,000 to Dr. Litvak; 120,000 to</w:t>
      </w:r>
      <w:r>
        <w:t xml:space="preserve"> </w:t>
      </w:r>
      <w:r>
        <w:t xml:space="preserve">Mr. Hartwell; 90,000 to Ms. Chen). The equity plan records also reflect</w:t>
      </w:r>
      <w:r>
        <w:t xml:space="preserve"> </w:t>
      </w:r>
      <w:r>
        <w:t xml:space="preserve">fiscal year 2024 supplemental non-qualified stock option grants to each</w:t>
      </w:r>
      <w:r>
        <w:t xml:space="preserve"> </w:t>
      </w:r>
      <w:r>
        <w:t xml:space="preserve">named executive officer (100,000 to Mr. Ramaswamy; 80,000 to Dr. Litvak;</w:t>
      </w:r>
      <w:r>
        <w:t xml:space="preserve"> </w:t>
      </w:r>
      <w:r>
        <w:t xml:space="preserve">60,000 to Mr. Hartwell; 50,000 to Ms. Chen, each at an exercise price of</w:t>
      </w:r>
      <w:r>
        <w:t xml:space="preserve"> </w:t>
      </w:r>
      <w:r>
        <w:t xml:space="preserve">$16.80 per share). The summary compensation table and outstanding</w:t>
      </w:r>
      <w:r>
        <w:t xml:space="preserve"> </w:t>
      </w:r>
      <w:r>
        <w:t xml:space="preserve">equity award table in the Form S-1 must reflect both the RSU and option</w:t>
      </w:r>
      <w:r>
        <w:t xml:space="preserve"> </w:t>
      </w:r>
      <w:r>
        <w:t xml:space="preserve">awards.</w:t>
      </w:r>
    </w:p>
    <w:p>
      <w:pPr>
        <w:pStyle w:val="BodyText"/>
      </w:pPr>
      <w:r>
        <w:rPr>
          <w:b/>
          <w:bCs/>
        </w:rPr>
        <w:t xml:space="preserve">37. The Series B participant is misnamed in the roadshow.</w:t>
      </w:r>
      <w:r>
        <w:t xml:space="preserve"> </w:t>
      </w:r>
      <w:r>
        <w:t xml:space="preserve">The</w:t>
      </w:r>
      <w:r>
        <w:t xml:space="preserve"> </w:t>
      </w:r>
      <w:r>
        <w:t xml:space="preserve">roadshow presentation (Slide 29) refers to</w:t>
      </w:r>
      <w:r>
        <w:t xml:space="preserve"> </w:t>
      </w:r>
      <w:r>
        <w:t xml:space="preserve">“</w:t>
      </w:r>
      <w:r>
        <w:t xml:space="preserve">Crestview Capital</w:t>
      </w:r>
      <w:r>
        <w:t xml:space="preserve">”</w:t>
      </w:r>
      <w:r>
        <w:t xml:space="preserve"> </w:t>
      </w:r>
      <w:r>
        <w:t xml:space="preserve">as a</w:t>
      </w:r>
      <w:r>
        <w:t xml:space="preserve"> </w:t>
      </w:r>
      <w:r>
        <w:t xml:space="preserve">Series B participant. The audited financial statements, the CFO</w:t>
      </w:r>
      <w:r>
        <w:t xml:space="preserve"> </w:t>
      </w:r>
      <w:r>
        <w:t xml:space="preserve">memorandum, the management questionnaire, and the equity plan records</w:t>
      </w:r>
      <w:r>
        <w:t xml:space="preserve"> </w:t>
      </w:r>
      <w:r>
        <w:t xml:space="preserve">all refer to the Series B participant as</w:t>
      </w:r>
      <w:r>
        <w:t xml:space="preserve"> </w:t>
      </w:r>
      <w:r>
        <w:t xml:space="preserve">“</w:t>
      </w:r>
      <w:r>
        <w:t xml:space="preserve">Aldersgate Capital.</w:t>
      </w:r>
      <w:r>
        <w:t xml:space="preserve">”</w:t>
      </w:r>
      <w:r>
        <w:t xml:space="preserve"> </w:t>
      </w:r>
      <w:r>
        <w:t xml:space="preserve">“</w:t>
      </w:r>
      <w:r>
        <w:t xml:space="preserve">Crestview Capital</w:t>
      </w:r>
      <w:r>
        <w:t xml:space="preserve">”</w:t>
      </w:r>
      <w:r>
        <w:t xml:space="preserve"> </w:t>
      </w:r>
      <w:r>
        <w:t xml:space="preserve">does not appear in any other document. The roadshow</w:t>
      </w:r>
      <w:r>
        <w:t xml:space="preserve"> </w:t>
      </w:r>
      <w:r>
        <w:t xml:space="preserve">must be corrected, and the current ownership status of Aldersgate</w:t>
      </w:r>
      <w:r>
        <w:t xml:space="preserve"> </w:t>
      </w:r>
      <w:r>
        <w:t xml:space="preserve">Capital must be determined (see Item 41).</w:t>
      </w:r>
    </w:p>
    <w:p>
      <w:pPr>
        <w:pStyle w:val="BodyText"/>
      </w:pPr>
      <w:r>
        <w:rPr>
          <w:b/>
          <w:bCs/>
        </w:rPr>
        <w:t xml:space="preserve">37a. The Ridgeline Growth Partners fund entity name is inconsistent.</w:t>
      </w:r>
      <w:r>
        <w:rPr>
          <w:b/>
          <w:bCs/>
        </w:rPr>
        <w:t xml:space="preserve"> </w:t>
      </w:r>
      <w:r>
        <w:t xml:space="preserve"> </w:t>
      </w:r>
      <w:r>
        <w:t xml:space="preserve">The CFO memorandum (Section 7.1) states that Ridgeline Growth</w:t>
      </w:r>
      <w:r>
        <w:t xml:space="preserve"> </w:t>
      </w:r>
      <w:r>
        <w:t xml:space="preserve">Partners’ shares are held by</w:t>
      </w:r>
      <w:r>
        <w:t xml:space="preserve"> </w:t>
      </w:r>
      <w:r>
        <w:t xml:space="preserve">“</w:t>
      </w:r>
      <w:r>
        <w:t xml:space="preserve">Ridgeline Growth Partners Fund II, L.P.,</w:t>
      </w:r>
      <w:r>
        <w:t xml:space="preserve">”</w:t>
      </w:r>
      <w:r>
        <w:t xml:space="preserve"> </w:t>
      </w:r>
      <w:r>
        <w:t xml:space="preserve">while the management questionnaire (Sections 3.4 and 4.1) states that</w:t>
      </w:r>
      <w:r>
        <w:t xml:space="preserve"> </w:t>
      </w:r>
      <w:r>
        <w:t xml:space="preserve">the shares are held by</w:t>
      </w:r>
      <w:r>
        <w:t xml:space="preserve"> </w:t>
      </w:r>
      <w:r>
        <w:t xml:space="preserve">“</w:t>
      </w:r>
      <w:r>
        <w:t xml:space="preserve">Ridgeline Growth Partners Fund V, LP.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correct fund name must be confirmed, because it affects the beneficial</w:t>
      </w:r>
      <w:r>
        <w:t xml:space="preserve"> </w:t>
      </w:r>
      <w:r>
        <w:t xml:space="preserve">ownership footnote in the Form S-1, the lock-up agreement that must bind</w:t>
      </w:r>
      <w:r>
        <w:t xml:space="preserve"> </w:t>
      </w:r>
      <w:r>
        <w:t xml:space="preserve">the fund-level entity (see Item 62), and the Investor Rights Agreement</w:t>
      </w:r>
      <w:r>
        <w:t xml:space="preserve"> </w:t>
      </w:r>
      <w:r>
        <w:t xml:space="preserve">parties. The Form S-1 currently uses</w:t>
      </w:r>
      <w:r>
        <w:t xml:space="preserve"> </w:t>
      </w:r>
      <w:r>
        <w:t xml:space="preserve">“</w:t>
      </w:r>
      <w:r>
        <w:t xml:space="preserve">Fund V</w:t>
      </w:r>
      <w:r>
        <w:t xml:space="preserve">”</w:t>
      </w:r>
      <w:r>
        <w:t xml:space="preserve"> </w:t>
      </w:r>
      <w:r>
        <w:t xml:space="preserve">per the questionnaire;</w:t>
      </w:r>
      <w:r>
        <w:t xml:space="preserve"> </w:t>
      </w:r>
      <w:r>
        <w:t xml:space="preserve">this must be verified against the Company’s stock transfer records and</w:t>
      </w:r>
      <w:r>
        <w:t xml:space="preserve"> </w:t>
      </w:r>
      <w:r>
        <w:t xml:space="preserve">the executed Investor Rights Agreement.</w:t>
      </w:r>
    </w:p>
    <w:bookmarkEnd w:id="24"/>
    <w:bookmarkStart w:id="25" w:name="vi.-beneficial-ownership-inconsistencies"/>
    <w:p>
      <w:pPr>
        <w:pStyle w:val="Heading2"/>
      </w:pPr>
      <w:r>
        <w:t xml:space="preserve">VI. Beneficial Ownership Inconsistencies</w:t>
      </w:r>
    </w:p>
    <w:p>
      <w:pPr>
        <w:pStyle w:val="FirstParagraph"/>
      </w:pPr>
      <w:r>
        <w:rPr>
          <w:b/>
          <w:bCs/>
        </w:rPr>
        <w:t xml:space="preserve">38. The combined beneficial ownership of the two largest stockholders</w:t>
      </w:r>
      <w:r>
        <w:rPr>
          <w:b/>
          <w:bCs/>
        </w:rPr>
        <w:t xml:space="preserve"> </w:t>
      </w:r>
      <w:r>
        <w:rPr>
          <w:b/>
          <w:bCs/>
        </w:rPr>
        <w:t xml:space="preserve">exceeds total preferred stock.</w:t>
      </w:r>
      <w:r>
        <w:t xml:space="preserve"> </w:t>
      </w:r>
      <w:r>
        <w:t xml:space="preserve">The beneficial ownership table (CFO</w:t>
      </w:r>
      <w:r>
        <w:t xml:space="preserve"> </w:t>
      </w:r>
      <w:r>
        <w:t xml:space="preserve">memorandum Section 7.1 and management questionnaire Section 4.1)</w:t>
      </w:r>
      <w:r>
        <w:t xml:space="preserve"> </w:t>
      </w:r>
      <w:r>
        <w:t xml:space="preserve">attributes 23,607,067 shares to Graymont Ventures and 15,594,267 shares</w:t>
      </w:r>
      <w:r>
        <w:t xml:space="preserve"> </w:t>
      </w:r>
      <w:r>
        <w:t xml:space="preserve">to Ridgeline Growth Partners, for a combined total of 39,201,334 shares.</w:t>
      </w:r>
      <w:r>
        <w:t xml:space="preserve"> </w:t>
      </w:r>
      <w:r>
        <w:t xml:space="preserve">Because these entities are venture funds that hold only preferred stock</w:t>
      </w:r>
      <w:r>
        <w:t xml:space="preserve"> </w:t>
      </w:r>
      <w:r>
        <w:t xml:space="preserve">(which converts one-for-one into common stock), their combined holdings</w:t>
      </w:r>
      <w:r>
        <w:t xml:space="preserve"> </w:t>
      </w:r>
      <w:r>
        <w:t xml:space="preserve">cannot exceed the 35,416,667 total shares of preferred stock</w:t>
      </w:r>
      <w:r>
        <w:t xml:space="preserve"> </w:t>
      </w:r>
      <w:r>
        <w:t xml:space="preserve">outstanding. The share counts attributed to Graymont and/or Ridgeline</w:t>
      </w:r>
      <w:r>
        <w:t xml:space="preserve"> </w:t>
      </w:r>
      <w:r>
        <w:t xml:space="preserve">appear to be overstated by at least 3,784,667 shares in the aggregate</w:t>
      </w:r>
      <w:r>
        <w:t xml:space="preserve"> </w:t>
      </w:r>
      <w:r>
        <w:t xml:space="preserve">and must be reconciled against the capitalization records and stock</w:t>
      </w:r>
      <w:r>
        <w:t xml:space="preserve"> </w:t>
      </w:r>
      <w:r>
        <w:t xml:space="preserve">transfer records.</w:t>
      </w:r>
    </w:p>
    <w:p>
      <w:pPr>
        <w:pStyle w:val="BodyText"/>
      </w:pPr>
      <w:r>
        <w:rPr>
          <w:b/>
          <w:bCs/>
        </w:rPr>
        <w:t xml:space="preserve">39. The beneficial ownership table uses inconsistent numerator and</w:t>
      </w:r>
      <w:r>
        <w:rPr>
          <w:b/>
          <w:bCs/>
        </w:rPr>
        <w:t xml:space="preserve"> </w:t>
      </w:r>
      <w:r>
        <w:rPr>
          <w:b/>
          <w:bCs/>
        </w:rPr>
        <w:t xml:space="preserve">denominator bases.</w:t>
      </w:r>
      <w:r>
        <w:t xml:space="preserve"> </w:t>
      </w:r>
      <w:r>
        <w:t xml:space="preserve">The table computes each holder’s percentage against</w:t>
      </w:r>
      <w:r>
        <w:t xml:space="preserve"> </w:t>
      </w:r>
      <w:r>
        <w:t xml:space="preserve">a denominator of 105,366,667 fully diluted shares (which includes all</w:t>
      </w:r>
      <w:r>
        <w:t xml:space="preserve"> </w:t>
      </w:r>
      <w:r>
        <w:t xml:space="preserve">14,750,000 outstanding options and all 3,200,000 outstanding RSUs).</w:t>
      </w:r>
      <w:r>
        <w:t xml:space="preserve"> </w:t>
      </w:r>
      <w:r>
        <w:t xml:space="preserve">However, the share counts attributed to individuals include only vested</w:t>
      </w:r>
      <w:r>
        <w:t xml:space="preserve"> </w:t>
      </w:r>
      <w:r>
        <w:t xml:space="preserve">options and RSUs (or those vesting within 60 days), not all outstanding</w:t>
      </w:r>
      <w:r>
        <w:t xml:space="preserve"> </w:t>
      </w:r>
      <w:r>
        <w:t xml:space="preserve">options and RSUs. SEC beneficial ownership disclosure generally requires</w:t>
      </w:r>
      <w:r>
        <w:t xml:space="preserve"> </w:t>
      </w:r>
      <w:r>
        <w:t xml:space="preserve">the numerator and denominator to be on a consistent basis. The table</w:t>
      </w:r>
      <w:r>
        <w:t xml:space="preserve"> </w:t>
      </w:r>
      <w:r>
        <w:t xml:space="preserve">should be recomputed on a consistent basis (typically, the denominator</w:t>
      </w:r>
      <w:r>
        <w:t xml:space="preserve"> </w:t>
      </w:r>
      <w:r>
        <w:t xml:space="preserve">should reflect the same securities included in the numerator, plus the</w:t>
      </w:r>
      <w:r>
        <w:t xml:space="preserve"> </w:t>
      </w:r>
      <w:r>
        <w:t xml:space="preserve">shares included in other holders’ numerators).</w:t>
      </w:r>
    </w:p>
    <w:p>
      <w:pPr>
        <w:pStyle w:val="BodyText"/>
      </w:pPr>
      <w:r>
        <w:rPr>
          <w:b/>
          <w:bCs/>
        </w:rPr>
        <w:t xml:space="preserve">40. The founders’ Class B share counts do not reconcile to their</w:t>
      </w:r>
      <w:r>
        <w:rPr>
          <w:b/>
          <w:bCs/>
        </w:rPr>
        <w:t xml:space="preserve"> </w:t>
      </w:r>
      <w:r>
        <w:rPr>
          <w:b/>
          <w:bCs/>
        </w:rPr>
        <w:t xml:space="preserve">beneficial ownership share counts.</w:t>
      </w:r>
      <w:r>
        <w:t xml:space="preserve"> </w:t>
      </w:r>
      <w:r>
        <w:t xml:space="preserve">The Class B common stock holdings</w:t>
      </w:r>
      <w:r>
        <w:t xml:space="preserve"> </w:t>
      </w:r>
      <w:r>
        <w:t xml:space="preserve">are stated as 12,200,000 shares (Mr. Ramaswamy) and 8,600,000 shares</w:t>
      </w:r>
      <w:r>
        <w:t xml:space="preserve"> </w:t>
      </w:r>
      <w:r>
        <w:t xml:space="preserve">(Dr. Litvak), totaling 20,800,000. The beneficial ownership table</w:t>
      </w:r>
      <w:r>
        <w:t xml:space="preserve"> </w:t>
      </w:r>
      <w:r>
        <w:t xml:space="preserve">attributes 12,222,533 shares to Mr. Ramaswamy and 9,693,733 shares to</w:t>
      </w:r>
      <w:r>
        <w:t xml:space="preserve"> </w:t>
      </w:r>
      <w:r>
        <w:t xml:space="preserve">Dr. Litvak. The differences (22,533 and 1,093,733, respectively)</w:t>
      </w:r>
      <w:r>
        <w:t xml:space="preserve"> </w:t>
      </w:r>
      <w:r>
        <w:t xml:space="preserve">presumably reflect vested options and RSUs, but the amounts should be</w:t>
      </w:r>
      <w:r>
        <w:t xml:space="preserve"> </w:t>
      </w:r>
      <w:r>
        <w:t xml:space="preserve">confirmed against the equity plan records and disclosed transparently.</w:t>
      </w:r>
    </w:p>
    <w:p>
      <w:pPr>
        <w:pStyle w:val="BodyText"/>
      </w:pPr>
      <w:r>
        <w:rPr>
          <w:b/>
          <w:bCs/>
        </w:rPr>
        <w:t xml:space="preserve">41. Aldersgate Capital’s current ownership is unknown.</w:t>
      </w:r>
      <w:r>
        <w:t xml:space="preserve"> </w:t>
      </w:r>
      <w:r>
        <w:t xml:space="preserve">Aldersgate</w:t>
      </w:r>
      <w:r>
        <w:t xml:space="preserve"> </w:t>
      </w:r>
      <w:r>
        <w:t xml:space="preserve">Capital participated in the Series B financing (April 2020) but does not</w:t>
      </w:r>
      <w:r>
        <w:t xml:space="preserve"> </w:t>
      </w:r>
      <w:r>
        <w:t xml:space="preserve">appear in any current beneficial ownership disclosure. No questionnaire</w:t>
      </w:r>
      <w:r>
        <w:t xml:space="preserve"> </w:t>
      </w:r>
      <w:r>
        <w:t xml:space="preserve">respondent reports Aldersgate Capital as a current stockholder. If</w:t>
      </w:r>
      <w:r>
        <w:t xml:space="preserve"> </w:t>
      </w:r>
      <w:r>
        <w:t xml:space="preserve">Aldersgate Capital holds 5% or more of any class of the Company’s</w:t>
      </w:r>
      <w:r>
        <w:t xml:space="preserve"> </w:t>
      </w:r>
      <w:r>
        <w:t xml:space="preserve">securities, it must be included in the principal stockholders table</w:t>
      </w:r>
      <w:r>
        <w:t xml:space="preserve"> </w:t>
      </w:r>
      <w:r>
        <w:t xml:space="preserve">(Item 403 of Regulation S-K) and may be required to execute a lock-up</w:t>
      </w:r>
      <w:r>
        <w:t xml:space="preserve"> </w:t>
      </w:r>
      <w:r>
        <w:t xml:space="preserve">agreement. The Company must confirm Aldersgate Capital’s current</w:t>
      </w:r>
      <w:r>
        <w:t xml:space="preserve"> </w:t>
      </w:r>
      <w:r>
        <w:t xml:space="preserve">holdings against the stock transfer records and obtain a completed D&amp;O</w:t>
      </w:r>
      <w:r>
        <w:t xml:space="preserve"> </w:t>
      </w:r>
      <w:r>
        <w:t xml:space="preserve">questionnaire or equivalent disclosure if Aldersgate Capital remains a</w:t>
      </w:r>
      <w:r>
        <w:t xml:space="preserve"> </w:t>
      </w:r>
      <w:r>
        <w:t xml:space="preserve">5% holder. The principal stockholders table cannot be finalized until</w:t>
      </w:r>
      <w:r>
        <w:t xml:space="preserve"> </w:t>
      </w:r>
      <w:r>
        <w:t xml:space="preserve">this is resolved.</w:t>
      </w:r>
    </w:p>
    <w:p>
      <w:pPr>
        <w:pStyle w:val="BodyText"/>
      </w:pPr>
      <w:r>
        <w:rPr>
          <w:b/>
          <w:bCs/>
        </w:rPr>
        <w:t xml:space="preserve">42. The post-IPO ownership estimates in the CFO memorandum are</w:t>
      </w:r>
      <w:r>
        <w:rPr>
          <w:b/>
          <w:bCs/>
        </w:rPr>
        <w:t xml:space="preserve"> </w:t>
      </w:r>
      <w:r>
        <w:rPr>
          <w:b/>
          <w:bCs/>
        </w:rPr>
        <w:t xml:space="preserve">inconsistent with the beneficial ownership share counts.</w:t>
      </w:r>
      <w:r>
        <w:t xml:space="preserve"> </w:t>
      </w:r>
      <w:r>
        <w:t xml:space="preserve">The CFO</w:t>
      </w:r>
      <w:r>
        <w:t xml:space="preserve"> </w:t>
      </w:r>
      <w:r>
        <w:t xml:space="preserve">memorandum (Section 7.2) estimates post-IPO ownership of approximately</w:t>
      </w:r>
      <w:r>
        <w:t xml:space="preserve"> </w:t>
      </w:r>
      <w:r>
        <w:t xml:space="preserve">19.3% for Graymont Ventures and 12.7% for Ridgeline Growth Partners</w:t>
      </w:r>
      <w:r>
        <w:t xml:space="preserve"> </w:t>
      </w:r>
      <w:r>
        <w:t xml:space="preserve">(based on 102,416,667 post-IPO shares). However, the stated share counts</w:t>
      </w:r>
      <w:r>
        <w:t xml:space="preserve"> </w:t>
      </w:r>
      <w:r>
        <w:t xml:space="preserve">(23,607,067 and 15,594,267) represent 23.05% and 15.23% of 102,416,667</w:t>
      </w:r>
      <w:r>
        <w:t xml:space="preserve"> </w:t>
      </w:r>
      <w:r>
        <w:t xml:space="preserve">shares, respectively. The Section 7.2 percentages imply lower share</w:t>
      </w:r>
      <w:r>
        <w:t xml:space="preserve"> </w:t>
      </w:r>
      <w:r>
        <w:t xml:space="preserve">counts (approximately 19.8 million and 13.0 million) than the Section</w:t>
      </w:r>
      <w:r>
        <w:t xml:space="preserve"> </w:t>
      </w:r>
      <w:r>
        <w:t xml:space="preserve">7.1 table states. This is consistent with the overstatement identified</w:t>
      </w:r>
      <w:r>
        <w:t xml:space="preserve"> </w:t>
      </w:r>
      <w:r>
        <w:t xml:space="preserve">in Item 38 and must be reconciled.</w:t>
      </w:r>
    </w:p>
    <w:bookmarkEnd w:id="25"/>
    <w:bookmarkStart w:id="26" w:name="Xad9297d7a0b10e8d169da1cd58c0893fa4a875a"/>
    <w:p>
      <w:pPr>
        <w:pStyle w:val="Heading2"/>
      </w:pPr>
      <w:r>
        <w:t xml:space="preserve">VII. Related Party and Disclosure Inconsistencies</w:t>
      </w:r>
    </w:p>
    <w:p>
      <w:pPr>
        <w:pStyle w:val="FirstParagraph"/>
      </w:pPr>
      <w:r>
        <w:rPr>
          <w:b/>
          <w:bCs/>
        </w:rPr>
        <w:t xml:space="preserve">43. The Vantara Logistics related party transaction is inconsistently</w:t>
      </w:r>
      <w:r>
        <w:rPr>
          <w:b/>
          <w:bCs/>
        </w:rPr>
        <w:t xml:space="preserve"> </w:t>
      </w:r>
      <w:r>
        <w:rPr>
          <w:b/>
          <w:bCs/>
        </w:rPr>
        <w:t xml:space="preserve">disclosed.</w:t>
      </w:r>
      <w:r>
        <w:t xml:space="preserve"> </w:t>
      </w:r>
      <w:r>
        <w:t xml:space="preserve">The Vantara Logistics, Inc. SaaS license agreement ($1.2</w:t>
      </w:r>
      <w:r>
        <w:t xml:space="preserve"> </w:t>
      </w:r>
      <w:r>
        <w:t xml:space="preserve">million annual contract value, three-year term, entered into April 2023)</w:t>
      </w:r>
      <w:r>
        <w:t xml:space="preserve"> </w:t>
      </w:r>
      <w:r>
        <w:t xml:space="preserve">is a related party transaction because Vantara is a portfolio company of</w:t>
      </w:r>
      <w:r>
        <w:t xml:space="preserve"> </w:t>
      </w:r>
      <w:r>
        <w:t xml:space="preserve">Graymont Ventures, whose Managing Partner, Priya Venkatesh, serves on</w:t>
      </w:r>
      <w:r>
        <w:t xml:space="preserve"> </w:t>
      </w:r>
      <w:r>
        <w:t xml:space="preserve">the Company’s board and on Vantara’s board. Ms. Venkatesh disclosed this</w:t>
      </w:r>
      <w:r>
        <w:t xml:space="preserve"> </w:t>
      </w:r>
      <w:r>
        <w:t xml:space="preserve">transaction in her director questionnaire. The CFO did not identify it</w:t>
      </w:r>
      <w:r>
        <w:t xml:space="preserve"> </w:t>
      </w:r>
      <w:r>
        <w:t xml:space="preserve">as a related party transaction in his questionnaire, and the CFO</w:t>
      </w:r>
      <w:r>
        <w:t xml:space="preserve"> </w:t>
      </w:r>
      <w:r>
        <w:t xml:space="preserve">memorandum (Exhibit B) and the roadshow presentation (Slide 14) present</w:t>
      </w:r>
      <w:r>
        <w:t xml:space="preserve"> </w:t>
      </w:r>
      <w:r>
        <w:t xml:space="preserve">Vantara as an ordinary customer (including as a customer case study)</w:t>
      </w:r>
      <w:r>
        <w:t xml:space="preserve"> </w:t>
      </w:r>
      <w:r>
        <w:t xml:space="preserve">without any related-party notation. All investor-facing materials must</w:t>
      </w:r>
      <w:r>
        <w:t xml:space="preserve"> </w:t>
      </w:r>
      <w:r>
        <w:t xml:space="preserve">be updated to reflect Item 404 of Regulation S-K disclosure, including</w:t>
      </w:r>
      <w:r>
        <w:t xml:space="preserve"> </w:t>
      </w:r>
      <w:r>
        <w:t xml:space="preserve">the Graymont affiliation, Ms. Venkatesh’s dual board roles, the Audit</w:t>
      </w:r>
      <w:r>
        <w:t xml:space="preserve"> </w:t>
      </w:r>
      <w:r>
        <w:t xml:space="preserve">Committee approval, and Ms. Venkatesh’s recusal. The Form S-1 includes</w:t>
      </w:r>
      <w:r>
        <w:t xml:space="preserve"> </w:t>
      </w:r>
      <w:r>
        <w:t xml:space="preserve">the Item 404 disclosure.</w:t>
      </w:r>
    </w:p>
    <w:p>
      <w:pPr>
        <w:pStyle w:val="BodyText"/>
      </w:pPr>
      <w:r>
        <w:rPr>
          <w:b/>
          <w:bCs/>
        </w:rPr>
        <w:t xml:space="preserve">44. The Vantara transaction may require lender notification under the</w:t>
      </w:r>
      <w:r>
        <w:rPr>
          <w:b/>
          <w:bCs/>
        </w:rPr>
        <w:t xml:space="preserve"> </w:t>
      </w:r>
      <w:r>
        <w:rPr>
          <w:b/>
          <w:bCs/>
        </w:rPr>
        <w:t xml:space="preserve">term loan.</w:t>
      </w:r>
      <w:r>
        <w:t xml:space="preserve"> </w:t>
      </w:r>
      <w:r>
        <w:t xml:space="preserve">The term loan agreement (Section 7.2) requires prior</w:t>
      </w:r>
      <w:r>
        <w:t xml:space="preserve"> </w:t>
      </w:r>
      <w:r>
        <w:t xml:space="preserve">written notification to the lender for affiliate transactions exceeding</w:t>
      </w:r>
      <w:r>
        <w:t xml:space="preserve"> </w:t>
      </w:r>
      <w:r>
        <w:t xml:space="preserve">$500,000 in value. The Vantara SaaS agreement has an annual contract</w:t>
      </w:r>
      <w:r>
        <w:t xml:space="preserve"> </w:t>
      </w:r>
      <w:r>
        <w:t xml:space="preserve">value of $1.2 million, which exceeds this threshold. The Company should</w:t>
      </w:r>
      <w:r>
        <w:t xml:space="preserve"> </w:t>
      </w:r>
      <w:r>
        <w:t xml:space="preserve">confirm whether the required lender notification was provided and, if</w:t>
      </w:r>
      <w:r>
        <w:t xml:space="preserve"> </w:t>
      </w:r>
      <w:r>
        <w:t xml:space="preserve">not, whether a cure is needed. This should be disclosed if material.</w:t>
      </w:r>
    </w:p>
    <w:bookmarkEnd w:id="26"/>
    <w:bookmarkStart w:id="27" w:name="viii.-timing-inconsistencies"/>
    <w:p>
      <w:pPr>
        <w:pStyle w:val="Heading2"/>
      </w:pPr>
      <w:r>
        <w:t xml:space="preserve">VIII. Timing Inconsistencies</w:t>
      </w:r>
    </w:p>
    <w:p>
      <w:pPr>
        <w:pStyle w:val="FirstParagraph"/>
      </w:pPr>
      <w:r>
        <w:rPr>
          <w:b/>
          <w:bCs/>
        </w:rPr>
        <w:t xml:space="preserve">45. The Form S-1 filing date is inconsistent.</w:t>
      </w:r>
      <w:r>
        <w:t xml:space="preserve"> </w:t>
      </w:r>
      <w:r>
        <w:t xml:space="preserve">The audited financial</w:t>
      </w:r>
      <w:r>
        <w:t xml:space="preserve"> </w:t>
      </w:r>
      <w:r>
        <w:t xml:space="preserve">statements (Note 17, Subsequent Events) state that</w:t>
      </w:r>
      <w:r>
        <w:t xml:space="preserve"> </w:t>
      </w:r>
      <w:r>
        <w:t xml:space="preserve">“</w:t>
      </w:r>
      <w:r>
        <w:t xml:space="preserve">in February 2025,</w:t>
      </w:r>
      <w:r>
        <w:t xml:space="preserve"> </w:t>
      </w:r>
      <w:r>
        <w:t xml:space="preserve">the Company filed a Registration Statement on Form S-1 with the</w:t>
      </w:r>
      <w:r>
        <w:t xml:space="preserve"> </w:t>
      </w:r>
      <w:r>
        <w:t xml:space="preserve">Securities and Exchange Commission.</w:t>
      </w:r>
      <w:r>
        <w:t xml:space="preserve">”</w:t>
      </w:r>
      <w:r>
        <w:t xml:space="preserve"> </w:t>
      </w:r>
      <w:r>
        <w:t xml:space="preserve">The CFO memorandum (dated February</w:t>
      </w:r>
      <w:r>
        <w:t xml:space="preserve"> </w:t>
      </w:r>
      <w:r>
        <w:t xml:space="preserve">14, 2025) states that the Company</w:t>
      </w:r>
      <w:r>
        <w:t xml:space="preserve"> </w:t>
      </w:r>
      <w:r>
        <w:t xml:space="preserve">“</w:t>
      </w:r>
      <w:r>
        <w:t xml:space="preserve">anticipate[s] filing the initial</w:t>
      </w:r>
      <w:r>
        <w:t xml:space="preserve"> </w:t>
      </w:r>
      <w:r>
        <w:t xml:space="preserve">Form S-1 in March 2025,</w:t>
      </w:r>
      <w:r>
        <w:t xml:space="preserve">”</w:t>
      </w:r>
      <w:r>
        <w:t xml:space="preserve"> </w:t>
      </w:r>
      <w:r>
        <w:t xml:space="preserve">and the underwriting term sheet and roadshow</w:t>
      </w:r>
      <w:r>
        <w:t xml:space="preserve"> </w:t>
      </w:r>
      <w:r>
        <w:t xml:space="preserve">presentation are dated March 2025. The Form S-1 cannot have been filed</w:t>
      </w:r>
      <w:r>
        <w:t xml:space="preserve"> </w:t>
      </w:r>
      <w:r>
        <w:t xml:space="preserve">in February 2025 if the target filing date is March 2025. The subsequent</w:t>
      </w:r>
      <w:r>
        <w:t xml:space="preserve"> </w:t>
      </w:r>
      <w:r>
        <w:t xml:space="preserve">events note must be corrected to reflect the actual filing date (or</w:t>
      </w:r>
      <w:r>
        <w:t xml:space="preserve"> </w:t>
      </w:r>
      <w:r>
        <w:t xml:space="preserve">intended filing date), and the auditor’s report date must be consistent.</w:t>
      </w:r>
    </w:p>
    <w:p>
      <w:pPr>
        <w:pStyle w:val="BodyText"/>
      </w:pPr>
      <w:r>
        <w:rPr>
          <w:b/>
          <w:bCs/>
        </w:rPr>
        <w:t xml:space="preserve">46. The auditor’s report date is inconsistent with the stated filing</w:t>
      </w:r>
      <w:r>
        <w:rPr>
          <w:b/>
          <w:bCs/>
        </w:rPr>
        <w:t xml:space="preserve"> </w:t>
      </w:r>
      <w:r>
        <w:rPr>
          <w:b/>
          <w:bCs/>
        </w:rPr>
        <w:t xml:space="preserve">date.</w:t>
      </w:r>
      <w:r>
        <w:t xml:space="preserve"> </w:t>
      </w:r>
      <w:r>
        <w:t xml:space="preserve">The auditor’s report is dated</w:t>
      </w:r>
      <w:r>
        <w:t xml:space="preserve"> </w:t>
      </w:r>
      <w:r>
        <w:t xml:space="preserve">“</w:t>
      </w:r>
      <w:r>
        <w:t xml:space="preserve">March</w:t>
      </w:r>
      <w:r>
        <w:t xml:space="preserve"> </w:t>
      </w:r>
      <w:r>
        <w:rPr>
          <w:b/>
          <w:bCs/>
        </w:rPr>
        <w:t xml:space="preserve">, 2025.” The subsequent</w:t>
      </w:r>
      <w:r>
        <w:rPr>
          <w:b/>
          <w:bCs/>
        </w:rPr>
        <w:t xml:space="preserve"> </w:t>
      </w:r>
      <w:r>
        <w:rPr>
          <w:b/>
          <w:bCs/>
        </w:rPr>
        <w:t xml:space="preserve">events note states that the Form S-1 was filed in February 2025 and that</w:t>
      </w:r>
      <w:r>
        <w:rPr>
          <w:b/>
          <w:bCs/>
        </w:rPr>
        <w:t xml:space="preserve"> </w:t>
      </w:r>
      <w:r>
        <w:rPr>
          <w:b/>
          <w:bCs/>
        </w:rPr>
        <w:t xml:space="preserve">subsequent events were evaluated through ”March</w:t>
      </w:r>
      <w:r>
        <w:t xml:space="preserve"> </w:t>
      </w:r>
      <w:r>
        <w:t xml:space="preserve">, 2025.</w:t>
      </w:r>
      <w:r>
        <w:t xml:space="preserve">”</w:t>
      </w:r>
      <w:r>
        <w:t xml:space="preserve"> </w:t>
      </w:r>
      <w:r>
        <w:t xml:space="preserve">An auditor’s</w:t>
      </w:r>
      <w:r>
        <w:t xml:space="preserve"> </w:t>
      </w:r>
      <w:r>
        <w:t xml:space="preserve">report in a registration statement must be dated no later than the date</w:t>
      </w:r>
      <w:r>
        <w:t xml:space="preserve"> </w:t>
      </w:r>
      <w:r>
        <w:t xml:space="preserve">of the registration statement. If the registration statement is filed in</w:t>
      </w:r>
      <w:r>
        <w:t xml:space="preserve"> </w:t>
      </w:r>
      <w:r>
        <w:t xml:space="preserve">February 2025, a March-dated audit report is inconsistent. The audit</w:t>
      </w:r>
      <w:r>
        <w:t xml:space="preserve"> </w:t>
      </w:r>
      <w:r>
        <w:t xml:space="preserve">report date, the subsequent events evaluation date, and the filing date</w:t>
      </w:r>
      <w:r>
        <w:t xml:space="preserve"> </w:t>
      </w:r>
      <w:r>
        <w:t xml:space="preserve">must be aligned.</w:t>
      </w:r>
    </w:p>
    <w:bookmarkEnd w:id="27"/>
    <w:bookmarkStart w:id="28" w:name="ix.-use-of-proceeds-inconsistencies"/>
    <w:p>
      <w:pPr>
        <w:pStyle w:val="Heading2"/>
      </w:pPr>
      <w:r>
        <w:t xml:space="preserve">IX. Use of Proceeds Inconsistencies</w:t>
      </w:r>
    </w:p>
    <w:p>
      <w:pPr>
        <w:pStyle w:val="FirstParagraph"/>
      </w:pPr>
      <w:r>
        <w:rPr>
          <w:b/>
          <w:bCs/>
        </w:rPr>
        <w:t xml:space="preserve">47. The use of proceeds allocation is inconsistent across documents.</w:t>
      </w:r>
      <w:r>
        <w:t xml:space="preserve"> </w:t>
      </w:r>
      <w:r>
        <w:t xml:space="preserve">The CFO memorandum (Section 3.2) specifies a particular allocation:</w:t>
      </w:r>
      <w:r>
        <w:t xml:space="preserve"> </w:t>
      </w:r>
      <w:r>
        <w:t xml:space="preserve">approximately 35% to R&amp;D, 25% to sales and marketing, 15% to debt</w:t>
      </w:r>
      <w:r>
        <w:t xml:space="preserve"> </w:t>
      </w:r>
      <w:r>
        <w:t xml:space="preserve">repayment, 10% to acquisitions, and the remainder to general corporate</w:t>
      </w:r>
      <w:r>
        <w:t xml:space="preserve"> </w:t>
      </w:r>
      <w:r>
        <w:t xml:space="preserve">purposes. The roadshow presentation (Slide 27) specifies a different</w:t>
      </w:r>
      <w:r>
        <w:t xml:space="preserve"> </w:t>
      </w:r>
      <w:r>
        <w:t xml:space="preserve">allocation: approximately 40% to R&amp;D, 30% to sales and marketing, 15% to</w:t>
      </w:r>
      <w:r>
        <w:t xml:space="preserve"> </w:t>
      </w:r>
      <w:r>
        <w:t xml:space="preserve">acquisitions, 10% to working capital/general corporate purposes, and 5%</w:t>
      </w:r>
      <w:r>
        <w:t xml:space="preserve"> </w:t>
      </w:r>
      <w:r>
        <w:t xml:space="preserve">to term loan repayment. The underwriting term sheet (Section 4) states</w:t>
      </w:r>
      <w:r>
        <w:t xml:space="preserve"> </w:t>
      </w:r>
      <w:r>
        <w:t xml:space="preserve">that the Company</w:t>
      </w:r>
      <w:r>
        <w:t xml:space="preserve"> </w:t>
      </w:r>
      <w:r>
        <w:t xml:space="preserve">“</w:t>
      </w:r>
      <w:r>
        <w:t xml:space="preserve">has not determined the specific allocation of net</w:t>
      </w:r>
      <w:r>
        <w:t xml:space="preserve"> </w:t>
      </w:r>
      <w:r>
        <w:t xml:space="preserve">proceeds among these uses.</w:t>
      </w:r>
      <w:r>
        <w:t xml:space="preserve">”</w:t>
      </w:r>
      <w:r>
        <w:t xml:space="preserve"> </w:t>
      </w:r>
      <w:r>
        <w:t xml:space="preserve">For an emerging growth company, a general</w:t>
      </w:r>
      <w:r>
        <w:t xml:space="preserve"> </w:t>
      </w:r>
      <w:r>
        <w:t xml:space="preserve">use of proceeds disclosure is permissible, but the inconsistent</w:t>
      </w:r>
      <w:r>
        <w:t xml:space="preserve"> </w:t>
      </w:r>
      <w:r>
        <w:t xml:space="preserve">percentages across the Company’s materials must be reconciled, and the</w:t>
      </w:r>
      <w:r>
        <w:t xml:space="preserve"> </w:t>
      </w:r>
      <w:r>
        <w:t xml:space="preserve">Form S-1 should not state specific allocations that the Company has not</w:t>
      </w:r>
      <w:r>
        <w:t xml:space="preserve"> </w:t>
      </w:r>
      <w:r>
        <w:t xml:space="preserve">in fact determined.</w:t>
      </w:r>
    </w:p>
    <w:p>
      <w:pPr>
        <w:pStyle w:val="BodyText"/>
      </w:pPr>
      <w:r>
        <w:rPr>
          <w:b/>
          <w:bCs/>
        </w:rPr>
        <w:t xml:space="preserve">48. The pro forma as-adjusted balance sheet and dilution analysis do</w:t>
      </w:r>
      <w:r>
        <w:rPr>
          <w:b/>
          <w:bCs/>
        </w:rPr>
        <w:t xml:space="preserve"> </w:t>
      </w:r>
      <w:r>
        <w:rPr>
          <w:b/>
          <w:bCs/>
        </w:rPr>
        <w:t xml:space="preserve">not reflect the stated debt repayment.</w:t>
      </w:r>
      <w:r>
        <w:t xml:space="preserve"> </w:t>
      </w:r>
      <w:r>
        <w:t xml:space="preserve">The CFO memorandum’s pro forma</w:t>
      </w:r>
      <w:r>
        <w:t xml:space="preserve"> </w:t>
      </w:r>
      <w:r>
        <w:t xml:space="preserve">as-adjusted capitalization table (Exhibit A) and dilution analysis</w:t>
      </w:r>
      <w:r>
        <w:t xml:space="preserve"> </w:t>
      </w:r>
      <w:r>
        <w:t xml:space="preserve">(Section 8) assume the full $331.8 million of net proceeds is added to</w:t>
      </w:r>
      <w:r>
        <w:t xml:space="preserve"> </w:t>
      </w:r>
      <w:r>
        <w:t xml:space="preserve">net tangible book value, with the $40.0 million term loan remaining</w:t>
      </w:r>
      <w:r>
        <w:t xml:space="preserve"> </w:t>
      </w:r>
      <w:r>
        <w:t xml:space="preserve">outstanding. If a portion of the proceeds is in fact used to repay the</w:t>
      </w:r>
      <w:r>
        <w:t xml:space="preserve"> </w:t>
      </w:r>
      <w:r>
        <w:t xml:space="preserve">term loan (15% per the CFO memorandum, or 5% per the roadshow), the pro</w:t>
      </w:r>
      <w:r>
        <w:t xml:space="preserve"> </w:t>
      </w:r>
      <w:r>
        <w:t xml:space="preserve">forma as-adjusted balance sheet and the dilution analysis should reflect</w:t>
      </w:r>
      <w:r>
        <w:t xml:space="preserve"> </w:t>
      </w:r>
      <w:r>
        <w:t xml:space="preserve">the reduced cash and reduced debt. The current presentation is</w:t>
      </w:r>
      <w:r>
        <w:t xml:space="preserve"> </w:t>
      </w:r>
      <w:r>
        <w:t xml:space="preserve">internally inconsistent with the stated use of proceeds.</w:t>
      </w:r>
    </w:p>
    <w:p>
      <w:pPr>
        <w:pStyle w:val="BodyText"/>
      </w:pPr>
      <w:r>
        <w:rPr>
          <w:b/>
          <w:bCs/>
        </w:rPr>
        <w:t xml:space="preserve">48a. The over-allotment net tangible book value per share in the CFO</w:t>
      </w:r>
      <w:r>
        <w:rPr>
          <w:b/>
          <w:bCs/>
        </w:rPr>
        <w:t xml:space="preserve"> </w:t>
      </w:r>
      <w:r>
        <w:rPr>
          <w:b/>
          <w:bCs/>
        </w:rPr>
        <w:t xml:space="preserve">memorandum is mathematically incorrect.</w:t>
      </w:r>
      <w:r>
        <w:t xml:space="preserve"> </w:t>
      </w:r>
      <w:r>
        <w:t xml:space="preserve">The CFO memorandum (Section 8)</w:t>
      </w:r>
      <w:r>
        <w:t xml:space="preserve"> </w:t>
      </w:r>
      <w:r>
        <w:t xml:space="preserve">states that if the underwriters exercise their over-allotment option in</w:t>
      </w:r>
      <w:r>
        <w:t xml:space="preserve"> </w:t>
      </w:r>
      <w:r>
        <w:t xml:space="preserve">full, the pro forma net tangible book value per share post-offering</w:t>
      </w:r>
      <w:r>
        <w:t xml:space="preserve"> </w:t>
      </w:r>
      <w:r>
        <w:t xml:space="preserve">would be approximately $4.36 per share, resulting in dilution of</w:t>
      </w:r>
      <w:r>
        <w:t xml:space="preserve"> </w:t>
      </w:r>
      <w:r>
        <w:t xml:space="preserve">approximately $19.64 per share. The correct computation is: ($92.9</w:t>
      </w:r>
      <w:r>
        <w:t xml:space="preserve"> </w:t>
      </w:r>
      <w:r>
        <w:t xml:space="preserve">million pro forma net tangible book value + $331.8 million net proceeds</w:t>
      </w:r>
      <w:r>
        <w:t xml:space="preserve"> </w:t>
      </w:r>
      <w:r>
        <w:t xml:space="preserve">+ $50.5 million over-allotment net proceeds) / (87,416,667 + 15,000,000</w:t>
      </w:r>
      <w:r>
        <w:t xml:space="preserve"> </w:t>
      </w:r>
      <w:r>
        <w:t xml:space="preserve">+ 2,250,000 shares) = $475.2 million / 104,666,667 shares = $4.54 per</w:t>
      </w:r>
      <w:r>
        <w:t xml:space="preserve"> </w:t>
      </w:r>
      <w:r>
        <w:t xml:space="preserve">share, resulting in dilution of $19.46 per share ($24.00 − $4.54). The</w:t>
      </w:r>
      <w:r>
        <w:t xml:space="preserve"> </w:t>
      </w:r>
      <w:r>
        <w:t xml:space="preserve">CFO memorandum’s $4.36 figure understates the post-offering net tangible</w:t>
      </w:r>
      <w:r>
        <w:t xml:space="preserve"> </w:t>
      </w:r>
      <w:r>
        <w:t xml:space="preserve">book value by $0.18 per share and overstates dilution by $0.18 per</w:t>
      </w:r>
      <w:r>
        <w:t xml:space="preserve"> </w:t>
      </w:r>
      <w:r>
        <w:t xml:space="preserve">share. The Form S-1 dilution section uses the correct $4.54 figure.</w:t>
      </w:r>
    </w:p>
    <w:bookmarkEnd w:id="28"/>
    <w:bookmarkStart w:id="29" w:name="Xfefd128bd3ec26ec4e47a647ced99821d92a26e"/>
    <w:p>
      <w:pPr>
        <w:pStyle w:val="Heading2"/>
      </w:pPr>
      <w:r>
        <w:t xml:space="preserve">X. Governance, Controlled Company, and Structural Risks</w:t>
      </w:r>
    </w:p>
    <w:p>
      <w:pPr>
        <w:pStyle w:val="FirstParagraph"/>
      </w:pPr>
      <w:r>
        <w:rPr>
          <w:b/>
          <w:bCs/>
        </w:rPr>
        <w:t xml:space="preserve">49. The Board has not formally determined whether to rely on the</w:t>
      </w:r>
      <w:r>
        <w:rPr>
          <w:b/>
          <w:bCs/>
        </w:rPr>
        <w:t xml:space="preserve"> </w:t>
      </w:r>
      <w:r>
        <w:rPr>
          <w:b/>
          <w:bCs/>
        </w:rPr>
        <w:t xml:space="preserve">controlled company exemption.</w:t>
      </w:r>
      <w:r>
        <w:t xml:space="preserve"> </w:t>
      </w:r>
      <w:r>
        <w:t xml:space="preserve">Following the IPO, the co-founders will</w:t>
      </w:r>
      <w:r>
        <w:t xml:space="preserve"> </w:t>
      </w:r>
      <w:r>
        <w:t xml:space="preserve">hold approximately 71.8% of the voting power, making the Company a</w:t>
      </w:r>
      <w:r>
        <w:t xml:space="preserve"> </w:t>
      </w:r>
      <w:r>
        <w:t xml:space="preserve">“</w:t>
      </w:r>
      <w:r>
        <w:t xml:space="preserve">controlled company</w:t>
      </w:r>
      <w:r>
        <w:t xml:space="preserve">”</w:t>
      </w:r>
      <w:r>
        <w:t xml:space="preserve"> </w:t>
      </w:r>
      <w:r>
        <w:t xml:space="preserve">under Nasdaq Listing Rule 5615(c). No board</w:t>
      </w:r>
      <w:r>
        <w:t xml:space="preserve"> </w:t>
      </w:r>
      <w:r>
        <w:t xml:space="preserve">resolution is on record regarding whether the Company will rely on the</w:t>
      </w:r>
      <w:r>
        <w:t xml:space="preserve"> </w:t>
      </w:r>
      <w:r>
        <w:t xml:space="preserve">controlled company exemptions (from the majority-independent-board,</w:t>
      </w:r>
      <w:r>
        <w:t xml:space="preserve"> </w:t>
      </w:r>
      <w:r>
        <w:t xml:space="preserve">independent-compensation-committee, and independent-nominating-committee</w:t>
      </w:r>
      <w:r>
        <w:t xml:space="preserve"> </w:t>
      </w:r>
      <w:r>
        <w:t xml:space="preserve">requirements). The director questionnaire responses reflect awareness</w:t>
      </w:r>
      <w:r>
        <w:t xml:space="preserve"> </w:t>
      </w:r>
      <w:r>
        <w:t xml:space="preserve">but no definitive election. As of the date of the questionnaires, only</w:t>
      </w:r>
      <w:r>
        <w:t xml:space="preserve"> </w:t>
      </w:r>
      <w:r>
        <w:t xml:space="preserve">three of six (or three of seven, depending on the resolution of Item 32)</w:t>
      </w:r>
      <w:r>
        <w:t xml:space="preserve"> </w:t>
      </w:r>
      <w:r>
        <w:t xml:space="preserve">directors are independent. The Board must adopt a formal resolution, and</w:t>
      </w:r>
      <w:r>
        <w:t xml:space="preserve"> </w:t>
      </w:r>
      <w:r>
        <w:t xml:space="preserve">the Form S-1 must disclose whether the Company will rely on the</w:t>
      </w:r>
      <w:r>
        <w:t xml:space="preserve"> </w:t>
      </w:r>
      <w:r>
        <w:t xml:space="preserve">exemption and the resulting governance implications. The Form S-1 risk</w:t>
      </w:r>
      <w:r>
        <w:t xml:space="preserve"> </w:t>
      </w:r>
      <w:r>
        <w:t xml:space="preserve">factors and corporate governance disclosure assume the exemption will be</w:t>
      </w:r>
      <w:r>
        <w:t xml:space="preserve"> </w:t>
      </w:r>
      <w:r>
        <w:t xml:space="preserve">relied upon, subject to Board confirmation.</w:t>
      </w:r>
    </w:p>
    <w:p>
      <w:pPr>
        <w:pStyle w:val="BodyText"/>
      </w:pPr>
      <w:r>
        <w:rPr>
          <w:b/>
          <w:bCs/>
        </w:rPr>
        <w:t xml:space="preserve">50. The dual-class structure has no sunset provision.</w:t>
      </w:r>
      <w:r>
        <w:t xml:space="preserve"> </w:t>
      </w:r>
      <w:r>
        <w:t xml:space="preserve">The Class B</w:t>
      </w:r>
      <w:r>
        <w:t xml:space="preserve"> </w:t>
      </w:r>
      <w:r>
        <w:t xml:space="preserve">common stock automatically converts into Class A common stock only upon</w:t>
      </w:r>
      <w:r>
        <w:t xml:space="preserve"> </w:t>
      </w:r>
      <w:r>
        <w:t xml:space="preserve">transfer to a non-permitted transferee or upon the death or incapacity</w:t>
      </w:r>
      <w:r>
        <w:t xml:space="preserve"> </w:t>
      </w:r>
      <w:r>
        <w:t xml:space="preserve">of the holder. There is no time-based sunset (e.g., a fixed number of</w:t>
      </w:r>
      <w:r>
        <w:t xml:space="preserve"> </w:t>
      </w:r>
      <w:r>
        <w:t xml:space="preserve">years after the IPO) and no ownership-percentage-based sunset. The</w:t>
      </w:r>
      <w:r>
        <w:t xml:space="preserve"> </w:t>
      </w:r>
      <w:r>
        <w:t xml:space="preserve">dual-class structure and the resulting concentration of voting control</w:t>
      </w:r>
      <w:r>
        <w:t xml:space="preserve"> </w:t>
      </w:r>
      <w:r>
        <w:t xml:space="preserve">may therefore persist indefinitely. This is disclosed as a risk factor</w:t>
      </w:r>
      <w:r>
        <w:t xml:space="preserve"> </w:t>
      </w:r>
      <w:r>
        <w:t xml:space="preserve">in the Form S-1. The Company should consider whether to adopt a sunset</w:t>
      </w:r>
      <w:r>
        <w:t xml:space="preserve"> </w:t>
      </w:r>
      <w:r>
        <w:t xml:space="preserve">provision, as institutional investors and proxy advisors increasingly</w:t>
      </w:r>
      <w:r>
        <w:t xml:space="preserve"> </w:t>
      </w:r>
      <w:r>
        <w:t xml:space="preserve">favor sunsets, and certain index providers exclude multi-class</w:t>
      </w:r>
      <w:r>
        <w:t xml:space="preserve"> </w:t>
      </w:r>
      <w:r>
        <w:t xml:space="preserve">structures.</w:t>
      </w:r>
    </w:p>
    <w:p>
      <w:pPr>
        <w:pStyle w:val="BodyText"/>
      </w:pPr>
      <w:r>
        <w:rPr>
          <w:b/>
          <w:bCs/>
        </w:rPr>
        <w:t xml:space="preserve">51. The federal forum selection clause for Securities Act claims</w:t>
      </w:r>
      <w:r>
        <w:rPr>
          <w:b/>
          <w:bCs/>
        </w:rPr>
        <w:t xml:space="preserve"> </w:t>
      </w:r>
      <w:r>
        <w:rPr>
          <w:b/>
          <w:bCs/>
        </w:rPr>
        <w:t xml:space="preserve">should be disclosed.</w:t>
      </w:r>
      <w:r>
        <w:t xml:space="preserve"> </w:t>
      </w:r>
      <w:r>
        <w:t xml:space="preserve">The charter (Article X, Section 10.2) designates</w:t>
      </w:r>
      <w:r>
        <w:t xml:space="preserve"> </w:t>
      </w:r>
      <w:r>
        <w:t xml:space="preserve">the federal district courts as the exclusive forum for Securities Act</w:t>
      </w:r>
      <w:r>
        <w:t xml:space="preserve"> </w:t>
      </w:r>
      <w:r>
        <w:t xml:space="preserve">claims. This provision is enforceable under Delaware law following</w:t>
      </w:r>
      <w:r>
        <w:t xml:space="preserve"> </w:t>
      </w:r>
      <w:r>
        <w:rPr>
          <w:i/>
          <w:iCs/>
        </w:rPr>
        <w:t xml:space="preserve">Salzberg v. Sciabacucchi</w:t>
      </w:r>
      <w:r>
        <w:t xml:space="preserve"> </w:t>
      </w:r>
      <w:r>
        <w:t xml:space="preserve">(Del. 2020), but it affects the ability of</w:t>
      </w:r>
      <w:r>
        <w:t xml:space="preserve"> </w:t>
      </w:r>
      <w:r>
        <w:t xml:space="preserve">stockholders to bring Securities Act claims (including Section 11</w:t>
      </w:r>
      <w:r>
        <w:t xml:space="preserve"> </w:t>
      </w:r>
      <w:r>
        <w:t xml:space="preserve">claims) in state court, which under</w:t>
      </w:r>
      <w:r>
        <w:t xml:space="preserve"> </w:t>
      </w:r>
      <w:r>
        <w:rPr>
          <w:i/>
          <w:iCs/>
        </w:rPr>
        <w:t xml:space="preserve">Cyan Inc. v. Beaver County</w:t>
      </w:r>
      <w:r>
        <w:rPr>
          <w:i/>
          <w:iCs/>
        </w:rPr>
        <w:t xml:space="preserve"> </w:t>
      </w:r>
      <w:r>
        <w:rPr>
          <w:i/>
          <w:iCs/>
        </w:rPr>
        <w:t xml:space="preserve">Employees Retirement Fund</w:t>
      </w:r>
      <w:r>
        <w:t xml:space="preserve"> </w:t>
      </w:r>
      <w:r>
        <w:t xml:space="preserve">(2018) would otherwise be concurrently</w:t>
      </w:r>
      <w:r>
        <w:t xml:space="preserve"> </w:t>
      </w:r>
      <w:r>
        <w:t xml:space="preserve">available in state and federal court. This is disclosed as a risk factor</w:t>
      </w:r>
      <w:r>
        <w:t xml:space="preserve"> </w:t>
      </w:r>
      <w:r>
        <w:t xml:space="preserve">in the Form S-1.</w:t>
      </w:r>
    </w:p>
    <w:p>
      <w:pPr>
        <w:pStyle w:val="BodyText"/>
      </w:pPr>
      <w:r>
        <w:rPr>
          <w:b/>
          <w:bCs/>
        </w:rPr>
        <w:t xml:space="preserve">52. The anti-takeover provisions should be disclosed.</w:t>
      </w:r>
      <w:r>
        <w:t xml:space="preserve"> </w:t>
      </w:r>
      <w:r>
        <w:t xml:space="preserve">The charter</w:t>
      </w:r>
      <w:r>
        <w:t xml:space="preserve"> </w:t>
      </w:r>
      <w:r>
        <w:t xml:space="preserve">and bylaws contain provisions that may discourage, delay, or prevent a</w:t>
      </w:r>
      <w:r>
        <w:t xml:space="preserve"> </w:t>
      </w:r>
      <w:r>
        <w:t xml:space="preserve">change of control, including: a classified (staggered) board; the</w:t>
      </w:r>
      <w:r>
        <w:t xml:space="preserve"> </w:t>
      </w:r>
      <w:r>
        <w:t xml:space="preserve">inability of Class A holders to act by written consent; the inability of</w:t>
      </w:r>
      <w:r>
        <w:t xml:space="preserve"> </w:t>
      </w:r>
      <w:r>
        <w:t xml:space="preserve">stockholders to call special meetings; board-filled vacancies; removal</w:t>
      </w:r>
      <w:r>
        <w:t xml:space="preserve"> </w:t>
      </w:r>
      <w:r>
        <w:t xml:space="preserve">of directors only for cause and only by a 66 2/3% vote; and</w:t>
      </w:r>
      <w:r>
        <w:t xml:space="preserve"> </w:t>
      </w:r>
      <w:r>
        <w:t xml:space="preserve">supermajority (66 2/3%) voting requirements to amend certain provisions</w:t>
      </w:r>
      <w:r>
        <w:t xml:space="preserve"> </w:t>
      </w:r>
      <w:r>
        <w:t xml:space="preserve">of the charter and bylaws. These are disclosed as risk factors in the</w:t>
      </w:r>
      <w:r>
        <w:t xml:space="preserve"> </w:t>
      </w:r>
      <w:r>
        <w:t xml:space="preserve">Form S-1.</w:t>
      </w:r>
    </w:p>
    <w:p>
      <w:pPr>
        <w:pStyle w:val="BodyText"/>
      </w:pPr>
      <w:r>
        <w:rPr>
          <w:b/>
          <w:bCs/>
        </w:rPr>
        <w:t xml:space="preserve">53. The corporate opportunities renunciation should be disclosed.</w:t>
      </w:r>
      <w:r>
        <w:t xml:space="preserve"> </w:t>
      </w:r>
      <w:r>
        <w:t xml:space="preserve">The charter (Article XI) renounces the Company’s interest in business</w:t>
      </w:r>
      <w:r>
        <w:t xml:space="preserve"> </w:t>
      </w:r>
      <w:r>
        <w:t xml:space="preserve">opportunities presented to directors who are partners or employees of</w:t>
      </w:r>
      <w:r>
        <w:t xml:space="preserve"> </w:t>
      </w:r>
      <w:r>
        <w:t xml:space="preserve">investment funds, expressly including Graymont Ventures and Ridgeline</w:t>
      </w:r>
      <w:r>
        <w:t xml:space="preserve"> </w:t>
      </w:r>
      <w:r>
        <w:t xml:space="preserve">Growth Partners and their affiliates and portfolio companies. This</w:t>
      </w:r>
      <w:r>
        <w:t xml:space="preserve"> </w:t>
      </w:r>
      <w:r>
        <w:t xml:space="preserve">creates a potential conflict of interest given that two directors are</w:t>
      </w:r>
      <w:r>
        <w:t xml:space="preserve"> </w:t>
      </w:r>
      <w:r>
        <w:t xml:space="preserve">affiliated with these funds and that the Company has an existing related</w:t>
      </w:r>
      <w:r>
        <w:t xml:space="preserve"> </w:t>
      </w:r>
      <w:r>
        <w:t xml:space="preserve">party customer relationship with a Graymont portfolio company (Vantara).</w:t>
      </w:r>
      <w:r>
        <w:t xml:space="preserve"> </w:t>
      </w:r>
      <w:r>
        <w:t xml:space="preserve">This should be disclosed in the Form S-1.</w:t>
      </w:r>
    </w:p>
    <w:bookmarkEnd w:id="29"/>
    <w:bookmarkStart w:id="30" w:name="xi.-litigation-tax-and-other-risks"/>
    <w:p>
      <w:pPr>
        <w:pStyle w:val="Heading2"/>
      </w:pPr>
      <w:r>
        <w:t xml:space="preserve">XI. Litigation, Tax, and Other Risks</w:t>
      </w:r>
    </w:p>
    <w:p>
      <w:pPr>
        <w:pStyle w:val="FirstParagraph"/>
      </w:pPr>
      <w:r>
        <w:rPr>
          <w:b/>
          <w:bCs/>
        </w:rPr>
        <w:t xml:space="preserve">54. The Optivance patent litigation could trigger a term loan</w:t>
      </w:r>
      <w:r>
        <w:rPr>
          <w:b/>
          <w:bCs/>
        </w:rPr>
        <w:t xml:space="preserve"> </w:t>
      </w:r>
      <w:r>
        <w:rPr>
          <w:b/>
          <w:bCs/>
        </w:rPr>
        <w:t xml:space="preserve">default.</w:t>
      </w:r>
      <w:r>
        <w:t xml:space="preserve"> </w:t>
      </w:r>
      <w:r>
        <w:t xml:space="preserve">The Optivance litigation (Case No. 6:24-cv-00831, E.D. Tex.)</w:t>
      </w:r>
      <w:r>
        <w:t xml:space="preserve"> </w:t>
      </w:r>
      <w:r>
        <w:t xml:space="preserve">carries an estimated exposure of $5.0 million to $20.0 million in the</w:t>
      </w:r>
      <w:r>
        <w:t xml:space="preserve"> </w:t>
      </w:r>
      <w:r>
        <w:t xml:space="preserve">event of an adverse judgment. Under the term loan agreement (Section</w:t>
      </w:r>
      <w:r>
        <w:t xml:space="preserve"> </w:t>
      </w:r>
      <w:r>
        <w:t xml:space="preserve">8.1(h)), one or more judgments for the payment of money in excess of</w:t>
      </w:r>
      <w:r>
        <w:t xml:space="preserve"> </w:t>
      </w:r>
      <w:r>
        <w:t xml:space="preserve">$5.0 million in the aggregate that remain undischarged for 60 days</w:t>
      </w:r>
      <w:r>
        <w:t xml:space="preserve"> </w:t>
      </w:r>
      <w:r>
        <w:t xml:space="preserve">constitute an event of default. An adverse judgment at the upper end of</w:t>
      </w:r>
      <w:r>
        <w:t xml:space="preserve"> </w:t>
      </w:r>
      <w:r>
        <w:t xml:space="preserve">the range could therefore result in acceleration of the term loan if not</w:t>
      </w:r>
      <w:r>
        <w:t xml:space="preserve"> </w:t>
      </w:r>
      <w:r>
        <w:t xml:space="preserve">bonded, appealed, or stayed. This is disclosed as a risk factor in the</w:t>
      </w:r>
      <w:r>
        <w:t xml:space="preserve"> </w:t>
      </w:r>
      <w:r>
        <w:t xml:space="preserve">Form S-1.</w:t>
      </w:r>
    </w:p>
    <w:p>
      <w:pPr>
        <w:pStyle w:val="BodyText"/>
      </w:pPr>
      <w:r>
        <w:rPr>
          <w:b/>
          <w:bCs/>
        </w:rPr>
        <w:t xml:space="preserve">55. The Section 382 NOL limitation risk should be disclosed.</w:t>
      </w:r>
      <w:r>
        <w:t xml:space="preserve"> </w:t>
      </w:r>
      <w:r>
        <w:t xml:space="preserve">As of</w:t>
      </w:r>
      <w:r>
        <w:t xml:space="preserve"> </w:t>
      </w:r>
      <w:r>
        <w:t xml:space="preserve">December 31, 2024, the Company had approximately $228.0 million of</w:t>
      </w:r>
      <w:r>
        <w:t xml:space="preserve"> </w:t>
      </w:r>
      <w:r>
        <w:t xml:space="preserve">federal NOL carryforwards and $166.0 million of state NOL</w:t>
      </w:r>
      <w:r>
        <w:t xml:space="preserve"> </w:t>
      </w:r>
      <w:r>
        <w:t xml:space="preserve">carryforwards. The Company has not completed a Section 382 study. The</w:t>
      </w:r>
      <w:r>
        <w:t xml:space="preserve"> </w:t>
      </w:r>
      <w:r>
        <w:t xml:space="preserve">IPO and other equity transactions could trigger an</w:t>
      </w:r>
      <w:r>
        <w:t xml:space="preserve"> </w:t>
      </w:r>
      <w:r>
        <w:t xml:space="preserve">“</w:t>
      </w:r>
      <w:r>
        <w:t xml:space="preserve">ownership change</w:t>
      </w:r>
      <w:r>
        <w:t xml:space="preserve">”</w:t>
      </w:r>
      <w:r>
        <w:t xml:space="preserve"> </w:t>
      </w:r>
      <w:r>
        <w:t xml:space="preserve">under Section 382 of the Internal Revenue Code, which would limit the</w:t>
      </w:r>
      <w:r>
        <w:t xml:space="preserve"> </w:t>
      </w:r>
      <w:r>
        <w:t xml:space="preserve">Company’s ability to use its NOLs to offset future taxable income. This</w:t>
      </w:r>
      <w:r>
        <w:t xml:space="preserve"> </w:t>
      </w:r>
      <w:r>
        <w:t xml:space="preserve">is disclosed as a risk factor in the Form S-1.</w:t>
      </w:r>
    </w:p>
    <w:p>
      <w:pPr>
        <w:pStyle w:val="BodyText"/>
      </w:pPr>
      <w:r>
        <w:rPr>
          <w:b/>
          <w:bCs/>
        </w:rPr>
        <w:t xml:space="preserve">56. The term loan is secured by substantially all of the Company’s</w:t>
      </w:r>
      <w:r>
        <w:rPr>
          <w:b/>
          <w:bCs/>
        </w:rPr>
        <w:t xml:space="preserve"> </w:t>
      </w:r>
      <w:r>
        <w:rPr>
          <w:b/>
          <w:bCs/>
        </w:rPr>
        <w:t xml:space="preserve">assets, including its intellectual property.</w:t>
      </w:r>
      <w:r>
        <w:t xml:space="preserve"> </w:t>
      </w:r>
      <w:r>
        <w:t xml:space="preserve">The first-priority lien</w:t>
      </w:r>
      <w:r>
        <w:t xml:space="preserve"> </w:t>
      </w:r>
      <w:r>
        <w:t xml:space="preserve">covers substantially all assets, including the 47 issued U.S. patents,</w:t>
      </w:r>
      <w:r>
        <w:t xml:space="preserve"> </w:t>
      </w:r>
      <w:r>
        <w:t xml:space="preserve">12 pending applications, 8 foreign patents, and the registered</w:t>
      </w:r>
      <w:r>
        <w:t xml:space="preserve"> </w:t>
      </w:r>
      <w:r>
        <w:t xml:space="preserve">trademarks, as well as 65% of the voting equity of the UK subsidiary.</w:t>
      </w:r>
      <w:r>
        <w:t xml:space="preserve"> </w:t>
      </w:r>
      <w:r>
        <w:t xml:space="preserve">The encumbrance of the Company’s core intellectual property is a</w:t>
      </w:r>
      <w:r>
        <w:t xml:space="preserve"> </w:t>
      </w:r>
      <w:r>
        <w:t xml:space="preserve">significant risk and is disclosed in the Form S-1.</w:t>
      </w:r>
    </w:p>
    <w:p>
      <w:pPr>
        <w:pStyle w:val="BodyText"/>
      </w:pPr>
      <w:r>
        <w:rPr>
          <w:b/>
          <w:bCs/>
        </w:rPr>
        <w:t xml:space="preserve">57. The term loan’s key-person and change-of-control provisions should</w:t>
      </w:r>
      <w:r>
        <w:rPr>
          <w:b/>
          <w:bCs/>
        </w:rPr>
        <w:t xml:space="preserve"> </w:t>
      </w:r>
      <w:r>
        <w:rPr>
          <w:b/>
          <w:bCs/>
        </w:rPr>
        <w:t xml:space="preserve">be disclosed.</w:t>
      </w:r>
      <w:r>
        <w:t xml:space="preserve"> </w:t>
      </w:r>
      <w:r>
        <w:t xml:space="preserve">The term loan provides that a change of control occurs</w:t>
      </w:r>
      <w:r>
        <w:t xml:space="preserve"> </w:t>
      </w:r>
      <w:r>
        <w:t xml:space="preserve">if Arun Ramaswamy ceases to serve as CEO (unless a successor acceptable</w:t>
      </w:r>
      <w:r>
        <w:t xml:space="preserve"> </w:t>
      </w:r>
      <w:r>
        <w:t xml:space="preserve">to the lender is appointed within 90 days) and if existing stockholders</w:t>
      </w:r>
      <w:r>
        <w:t xml:space="preserve"> </w:t>
      </w:r>
      <w:r>
        <w:t xml:space="preserve">cease to hold at least 50% of voting power (including following an IPO).</w:t>
      </w:r>
      <w:r>
        <w:t xml:space="preserve"> </w:t>
      </w:r>
      <w:r>
        <w:t xml:space="preserve">While the IPO as structured does not trigger the voting-power threshold</w:t>
      </w:r>
      <w:r>
        <w:t xml:space="preserve"> </w:t>
      </w:r>
      <w:r>
        <w:t xml:space="preserve">(the co-founders retain 71.8%), the loss of Mr. Ramaswamy as CEO could</w:t>
      </w:r>
      <w:r>
        <w:t xml:space="preserve"> </w:t>
      </w:r>
      <w:r>
        <w:t xml:space="preserve">trigger a default. This is disclosed in the Form S-1.</w:t>
      </w:r>
    </w:p>
    <w:p>
      <w:pPr>
        <w:pStyle w:val="BodyText"/>
      </w:pPr>
      <w:r>
        <w:rPr>
          <w:b/>
          <w:bCs/>
        </w:rPr>
        <w:t xml:space="preserve">58. The 30-day pre-offering notice to the lender must be satisfied.</w:t>
      </w:r>
      <w:r>
        <w:t xml:space="preserve"> </w:t>
      </w:r>
      <w:r>
        <w:t xml:space="preserve">The term loan agreement (Section 7.14) requires the Company to provide</w:t>
      </w:r>
      <w:r>
        <w:t xml:space="preserve"> </w:t>
      </w:r>
      <w:r>
        <w:t xml:space="preserve">the lender with written notice not less than 30 days before the</w:t>
      </w:r>
      <w:r>
        <w:t xml:space="preserve"> </w:t>
      </w:r>
      <w:r>
        <w:t xml:space="preserve">consummation of the IPO, including the anticipated date, gross proceeds,</w:t>
      </w:r>
      <w:r>
        <w:t xml:space="preserve"> </w:t>
      </w:r>
      <w:r>
        <w:t xml:space="preserve">use of proceeds, and a pro forma capitalization table. Failure to</w:t>
      </w:r>
      <w:r>
        <w:t xml:space="preserve"> </w:t>
      </w:r>
      <w:r>
        <w:t xml:space="preserve">provide this notice is an event of default (subject to a 10-business-day</w:t>
      </w:r>
      <w:r>
        <w:t xml:space="preserve"> </w:t>
      </w:r>
      <w:r>
        <w:t xml:space="preserve">cure). This notice must be delivered on the offering timeline and is</w:t>
      </w:r>
      <w:r>
        <w:t xml:space="preserve"> </w:t>
      </w:r>
      <w:r>
        <w:t xml:space="preserve">disclosed in the Form S-1.</w:t>
      </w:r>
    </w:p>
    <w:p>
      <w:pPr>
        <w:pStyle w:val="BodyText"/>
      </w:pPr>
      <w:r>
        <w:rPr>
          <w:b/>
          <w:bCs/>
        </w:rPr>
        <w:t xml:space="preserve">59. The accumulated deficit and stockholders’ deficit should be</w:t>
      </w:r>
      <w:r>
        <w:rPr>
          <w:b/>
          <w:bCs/>
        </w:rPr>
        <w:t xml:space="preserve"> </w:t>
      </w:r>
      <w:r>
        <w:rPr>
          <w:b/>
          <w:bCs/>
        </w:rPr>
        <w:t xml:space="preserve">disclosed as risks.</w:t>
      </w:r>
      <w:r>
        <w:t xml:space="preserve"> </w:t>
      </w:r>
      <w:r>
        <w:t xml:space="preserve">As of December 31, 2024, the Company had an</w:t>
      </w:r>
      <w:r>
        <w:t xml:space="preserve"> </w:t>
      </w:r>
      <w:r>
        <w:t xml:space="preserve">accumulated deficit of $312.6 million and a total stockholders’ deficit</w:t>
      </w:r>
      <w:r>
        <w:t xml:space="preserve"> </w:t>
      </w:r>
      <w:r>
        <w:t xml:space="preserve">of $288.0 million. Although the auditor issued an unqualified opinion</w:t>
      </w:r>
      <w:r>
        <w:t xml:space="preserve"> </w:t>
      </w:r>
      <w:r>
        <w:t xml:space="preserve">and management believes existing liquidity is sufficient for at least 12</w:t>
      </w:r>
      <w:r>
        <w:t xml:space="preserve"> </w:t>
      </w:r>
      <w:r>
        <w:t xml:space="preserve">months, the Company’s history of losses and capital needs are disclosed</w:t>
      </w:r>
      <w:r>
        <w:t xml:space="preserve"> </w:t>
      </w:r>
      <w:r>
        <w:t xml:space="preserve">as risk factors.</w:t>
      </w:r>
    </w:p>
    <w:p>
      <w:pPr>
        <w:pStyle w:val="BodyText"/>
      </w:pPr>
      <w:r>
        <w:rPr>
          <w:b/>
          <w:bCs/>
        </w:rPr>
        <w:t xml:space="preserve">60. Customer concentration should be disclosed.</w:t>
      </w:r>
      <w:r>
        <w:t xml:space="preserve"> </w:t>
      </w:r>
      <w:r>
        <w:t xml:space="preserve">The Company’s</w:t>
      </w:r>
      <w:r>
        <w:t xml:space="preserve"> </w:t>
      </w:r>
      <w:r>
        <w:t xml:space="preserve">largest customer, Harmon Industries Inc., represented approximately 8.2%</w:t>
      </w:r>
      <w:r>
        <w:t xml:space="preserve"> </w:t>
      </w:r>
      <w:r>
        <w:t xml:space="preserve">of fiscal year 2024 revenue, and the top 10 customers represented 31.7%.</w:t>
      </w:r>
      <w:r>
        <w:t xml:space="preserve"> </w:t>
      </w:r>
      <w:r>
        <w:t xml:space="preserve">This concentration is disclosed as a risk factor in the Form S-1.</w:t>
      </w:r>
    </w:p>
    <w:bookmarkEnd w:id="30"/>
    <w:bookmarkStart w:id="31" w:name="X3876359226b1aaa13c6a7aa17025c9445d8ffcd"/>
    <w:p>
      <w:pPr>
        <w:pStyle w:val="Heading2"/>
      </w:pPr>
      <w:r>
        <w:t xml:space="preserve">XII. Open Items Requiring Follow-Up Before Filing</w:t>
      </w:r>
    </w:p>
    <w:p>
      <w:pPr>
        <w:pStyle w:val="FirstParagraph"/>
      </w:pPr>
      <w:r>
        <w:rPr>
          <w:b/>
          <w:bCs/>
        </w:rPr>
        <w:t xml:space="preserve">61. Director ages must be obtained.</w:t>
      </w:r>
      <w:r>
        <w:t xml:space="preserve"> </w:t>
      </w:r>
      <w:r>
        <w:t xml:space="preserve">The management questionnaire</w:t>
      </w:r>
      <w:r>
        <w:t xml:space="preserve"> </w:t>
      </w:r>
      <w:r>
        <w:t xml:space="preserve">does not provide ages for the non-employee directors (Venkatesh, Moreno,</w:t>
      </w:r>
      <w:r>
        <w:t xml:space="preserve"> </w:t>
      </w:r>
      <w:r>
        <w:t xml:space="preserve">Park, Kwon, and Obi), each shown as</w:t>
      </w:r>
      <w:r>
        <w:t xml:space="preserve"> </w:t>
      </w:r>
      <w:r>
        <w:t xml:space="preserve">“</w:t>
      </w:r>
      <w:r>
        <w:t xml:space="preserve">[●].</w:t>
      </w:r>
      <w:r>
        <w:t xml:space="preserve">”</w:t>
      </w:r>
      <w:r>
        <w:t xml:space="preserve"> </w:t>
      </w:r>
      <w:r>
        <w:t xml:space="preserve">Item 401 of Regulation S-K</w:t>
      </w:r>
      <w:r>
        <w:t xml:space="preserve"> </w:t>
      </w:r>
      <w:r>
        <w:t xml:space="preserve">requires disclosure of the age of each director and executive officer.</w:t>
      </w:r>
      <w:r>
        <w:t xml:space="preserve"> </w:t>
      </w:r>
      <w:r>
        <w:t xml:space="preserve">The ages must be confirmed.</w:t>
      </w:r>
    </w:p>
    <w:p>
      <w:pPr>
        <w:pStyle w:val="BodyText"/>
      </w:pPr>
      <w:r>
        <w:rPr>
          <w:b/>
          <w:bCs/>
        </w:rPr>
        <w:t xml:space="preserve">62. Lock-up agreements must bind the fund-level entities.</w:t>
      </w:r>
      <w:r>
        <w:t xml:space="preserve"> </w:t>
      </w:r>
      <w:r>
        <w:t xml:space="preserve">The shares</w:t>
      </w:r>
      <w:r>
        <w:t xml:space="preserve"> </w:t>
      </w:r>
      <w:r>
        <w:t xml:space="preserve">beneficially owned by Graymont Ventures and Ridgeline Growth Partners</w:t>
      </w:r>
      <w:r>
        <w:t xml:space="preserve"> </w:t>
      </w:r>
      <w:r>
        <w:t xml:space="preserve">are held at the fund level (Graymont Ventures Fund III, L.P. and Fund</w:t>
      </w:r>
      <w:r>
        <w:t xml:space="preserve"> </w:t>
      </w:r>
      <w:r>
        <w:t xml:space="preserve">IV, L.P.; Ridgeline Growth Partners Fund V, L.P.), not in the individual</w:t>
      </w:r>
      <w:r>
        <w:t xml:space="preserve"> </w:t>
      </w:r>
      <w:r>
        <w:t xml:space="preserve">names of the directors who serve as their representatives. The lock-up</w:t>
      </w:r>
      <w:r>
        <w:t xml:space="preserve"> </w:t>
      </w:r>
      <w:r>
        <w:t xml:space="preserve">agreements must be executed by the fund-level entities, not merely by</w:t>
      </w:r>
      <w:r>
        <w:t xml:space="preserve"> </w:t>
      </w:r>
      <w:r>
        <w:t xml:space="preserve">Ms. Venkatesh and Mr. Kwon in their individual capacities. The</w:t>
      </w:r>
      <w:r>
        <w:t xml:space="preserve"> </w:t>
      </w:r>
      <w:r>
        <w:t xml:space="preserve">underwriting agreement and lock-up letter forms must be cross-checked to</w:t>
      </w:r>
      <w:r>
        <w:t xml:space="preserve"> </w:t>
      </w:r>
      <w:r>
        <w:t xml:space="preserve">ensure proper coverage.</w:t>
      </w:r>
    </w:p>
    <w:p>
      <w:pPr>
        <w:pStyle w:val="BodyText"/>
      </w:pPr>
      <w:r>
        <w:rPr>
          <w:b/>
          <w:bCs/>
        </w:rPr>
        <w:t xml:space="preserve">63. The underwriting discount split is undetermined.</w:t>
      </w:r>
      <w:r>
        <w:t xml:space="preserve"> </w:t>
      </w:r>
      <w:r>
        <w:t xml:space="preserve">The</w:t>
      </w:r>
      <w:r>
        <w:t xml:space="preserve"> </w:t>
      </w:r>
      <w:r>
        <w:t xml:space="preserve">underwriting term sheet (Section 2) leaves the split of the underwriting</w:t>
      </w:r>
      <w:r>
        <w:t xml:space="preserve"> </w:t>
      </w:r>
      <w:r>
        <w:t xml:space="preserve">discount between Pinnacle Ridge Capital and Stonebridge Greer &amp; Co. as</w:t>
      </w:r>
      <w:r>
        <w:t xml:space="preserve"> </w:t>
      </w:r>
      <w:r>
        <w:t xml:space="preserve">“</w:t>
      </w:r>
      <w:r>
        <w:t xml:space="preserve">[●]% (to be agreed).</w:t>
      </w:r>
      <w:r>
        <w:t xml:space="preserve">”</w:t>
      </w:r>
      <w:r>
        <w:t xml:space="preserve"> </w:t>
      </w:r>
      <w:r>
        <w:t xml:space="preserve">This must be finalized and must comply with</w:t>
      </w:r>
      <w:r>
        <w:t xml:space="preserve"> </w:t>
      </w:r>
      <w:r>
        <w:t xml:space="preserve">FINRA Rule 5110.</w:t>
      </w:r>
    </w:p>
    <w:p>
      <w:pPr>
        <w:pStyle w:val="BodyText"/>
      </w:pPr>
      <w:r>
        <w:rPr>
          <w:b/>
          <w:bCs/>
        </w:rPr>
        <w:t xml:space="preserve">64. D&amp;O insurance must be placed.</w:t>
      </w:r>
      <w:r>
        <w:t xml:space="preserve"> </w:t>
      </w:r>
      <w:r>
        <w:t xml:space="preserve">The CFO memorandum (action item 9)</w:t>
      </w:r>
      <w:r>
        <w:t xml:space="preserve"> </w:t>
      </w:r>
      <w:r>
        <w:t xml:space="preserve">notes that directors’ and officers’ liability insurance with appropriate</w:t>
      </w:r>
      <w:r>
        <w:t xml:space="preserve"> </w:t>
      </w:r>
      <w:r>
        <w:t xml:space="preserve">public company coverage limits must be placed. This is a condition to</w:t>
      </w:r>
      <w:r>
        <w:t xml:space="preserve"> </w:t>
      </w:r>
      <w:r>
        <w:t xml:space="preserve">closing and a Nasdaq listing consideration.</w:t>
      </w:r>
    </w:p>
    <w:p>
      <w:pPr>
        <w:pStyle w:val="BodyText"/>
      </w:pPr>
      <w:r>
        <w:rPr>
          <w:b/>
          <w:bCs/>
        </w:rPr>
        <w:t xml:space="preserve">65. Principal accountant fees must be obtained.</w:t>
      </w:r>
      <w:r>
        <w:t xml:space="preserve"> </w:t>
      </w:r>
      <w:r>
        <w:t xml:space="preserve">The source documents</w:t>
      </w:r>
      <w:r>
        <w:t xml:space="preserve"> </w:t>
      </w:r>
      <w:r>
        <w:t xml:space="preserve">do not provide the audit, audit-related, tax, and other fees paid to</w:t>
      </w:r>
      <w:r>
        <w:t xml:space="preserve"> </w:t>
      </w:r>
      <w:r>
        <w:t xml:space="preserve">Archer Pryce LLP. These amounts are required for the</w:t>
      </w:r>
      <w:r>
        <w:t xml:space="preserve"> </w:t>
      </w:r>
      <w:r>
        <w:t xml:space="preserve">“</w:t>
      </w:r>
      <w:r>
        <w:t xml:space="preserve">Principal</w:t>
      </w:r>
      <w:r>
        <w:t xml:space="preserve"> </w:t>
      </w:r>
      <w:r>
        <w:t xml:space="preserve">Accountant Fees and Services</w:t>
      </w:r>
      <w:r>
        <w:t xml:space="preserve">”</w:t>
      </w:r>
      <w:r>
        <w:t xml:space="preserve"> </w:t>
      </w:r>
      <w:r>
        <w:t xml:space="preserve">disclosure (Item 9 of Regulation S-K) and</w:t>
      </w:r>
      <w:r>
        <w:t xml:space="preserve"> </w:t>
      </w:r>
      <w:r>
        <w:t xml:space="preserve">must be obtained from the Company.</w:t>
      </w:r>
    </w:p>
    <w:p>
      <w:pPr>
        <w:pStyle w:val="BodyText"/>
      </w:pPr>
      <w:r>
        <w:rPr>
          <w:b/>
          <w:bCs/>
        </w:rPr>
        <w:t xml:space="preserve">66. The 2024 Equity Incentive Plan and ESPP documents must be filed as</w:t>
      </w:r>
      <w:r>
        <w:rPr>
          <w:b/>
          <w:bCs/>
        </w:rPr>
        <w:t xml:space="preserve"> </w:t>
      </w:r>
      <w:r>
        <w:rPr>
          <w:b/>
          <w:bCs/>
        </w:rPr>
        <w:t xml:space="preserve">exhibits and reviewed.</w:t>
      </w:r>
      <w:r>
        <w:t xml:space="preserve"> </w:t>
      </w:r>
      <w:r>
        <w:t xml:space="preserve">The 2024 Equity Incentive Plan (including the</w:t>
      </w:r>
      <w:r>
        <w:t xml:space="preserve"> </w:t>
      </w:r>
      <w:r>
        <w:t xml:space="preserve">double-trigger change-of-control acceleration and the 2017 Plan</w:t>
      </w:r>
      <w:r>
        <w:t xml:space="preserve"> </w:t>
      </w:r>
      <w:r>
        <w:t xml:space="preserve">roll-over) and the 2024 ESPP (including the evergreen provision and the</w:t>
      </w:r>
      <w:r>
        <w:t xml:space="preserve"> </w:t>
      </w:r>
      <w:r>
        <w:t xml:space="preserve">Section 423 compliance features) must be filed as exhibits and reviewed</w:t>
      </w:r>
      <w:r>
        <w:t xml:space="preserve"> </w:t>
      </w:r>
      <w:r>
        <w:t xml:space="preserve">for consistency with the Form S-1 disclosures. The RSU liquidity-event</w:t>
      </w:r>
      <w:r>
        <w:t xml:space="preserve"> </w:t>
      </w:r>
      <w:r>
        <w:t xml:space="preserve">(double-trigger) settlement condition should be disclosed, as it affects</w:t>
      </w:r>
      <w:r>
        <w:t xml:space="preserve"> </w:t>
      </w:r>
      <w:r>
        <w:t xml:space="preserve">the timing of share settlements.</w:t>
      </w:r>
    </w:p>
    <w:p>
      <w:pPr>
        <w:pStyle w:val="BodyText"/>
      </w:pPr>
      <w:r>
        <w:rPr>
          <w:b/>
          <w:bCs/>
        </w:rPr>
        <w:t xml:space="preserve">67. The Investor Rights Agreement registration rights must be</w:t>
      </w:r>
      <w:r>
        <w:rPr>
          <w:b/>
          <w:bCs/>
        </w:rPr>
        <w:t xml:space="preserve"> </w:t>
      </w:r>
      <w:r>
        <w:rPr>
          <w:b/>
          <w:bCs/>
        </w:rPr>
        <w:t xml:space="preserve">disclosed.</w:t>
      </w:r>
      <w:r>
        <w:t xml:space="preserve"> </w:t>
      </w:r>
      <w:r>
        <w:t xml:space="preserve">The Investor Rights Agreement (June 2023) provides demand</w:t>
      </w:r>
      <w:r>
        <w:t xml:space="preserve"> </w:t>
      </w:r>
      <w:r>
        <w:t xml:space="preserve">registration rights and S-3 piggyback registration rights commencing 180</w:t>
      </w:r>
      <w:r>
        <w:t xml:space="preserve"> </w:t>
      </w:r>
      <w:r>
        <w:t xml:space="preserve">days after the IPO. These registration rights create potential future</w:t>
      </w:r>
      <w:r>
        <w:t xml:space="preserve"> </w:t>
      </w:r>
      <w:r>
        <w:t xml:space="preserve">selling pressure and should be disclosed in the Form S-1.</w:t>
      </w:r>
    </w:p>
    <w:p>
      <w:pPr>
        <w:pStyle w:val="BodyText"/>
      </w:pPr>
      <w:r>
        <w:rPr>
          <w:b/>
          <w:bCs/>
        </w:rPr>
        <w:t xml:space="preserve">68. India operations should be confirmed.</w:t>
      </w:r>
      <w:r>
        <w:t xml:space="preserve"> </w:t>
      </w:r>
      <w:r>
        <w:t xml:space="preserve">The Company maintains an</w:t>
      </w:r>
      <w:r>
        <w:t xml:space="preserve"> </w:t>
      </w:r>
      <w:r>
        <w:t xml:space="preserve">office in Bangalore, India, with employees, but the audited financial</w:t>
      </w:r>
      <w:r>
        <w:t xml:space="preserve"> </w:t>
      </w:r>
      <w:r>
        <w:t xml:space="preserve">statements identify only Crestline Software UK Ltd. as a consolidated</w:t>
      </w:r>
      <w:r>
        <w:t xml:space="preserve"> </w:t>
      </w:r>
      <w:r>
        <w:t xml:space="preserve">subsidiary. The Company should confirm whether there is an Indian</w:t>
      </w:r>
      <w:r>
        <w:t xml:space="preserve"> </w:t>
      </w:r>
      <w:r>
        <w:t xml:space="preserve">subsidiary or branch that should be consolidated or otherwise disclosed,</w:t>
      </w:r>
      <w:r>
        <w:t xml:space="preserve"> </w:t>
      </w:r>
      <w:r>
        <w:t xml:space="preserve">and whether any additional tax or regulatory disclosures are required.</w:t>
      </w:r>
    </w:p>
    <w:p>
      <w:pPr>
        <w:pStyle w:val="BodyText"/>
      </w:pPr>
      <w:r>
        <w:rPr>
          <w:b/>
          <w:bCs/>
        </w:rPr>
        <w:t xml:space="preserve">69. Interim financial statements may be required.</w:t>
      </w:r>
      <w:r>
        <w:t xml:space="preserve"> </w:t>
      </w:r>
      <w:r>
        <w:t xml:space="preserve">The audited</w:t>
      </w:r>
      <w:r>
        <w:t xml:space="preserve"> </w:t>
      </w:r>
      <w:r>
        <w:t xml:space="preserve">financial statements cover fiscal years 2023 and 2024 (two years), which</w:t>
      </w:r>
      <w:r>
        <w:t xml:space="preserve"> </w:t>
      </w:r>
      <w:r>
        <w:t xml:space="preserve">is sufficient for an emerging growth company. However, if the offering</w:t>
      </w:r>
      <w:r>
        <w:t xml:space="preserve"> </w:t>
      </w:r>
      <w:r>
        <w:t xml:space="preserve">is not completed before the end of the first quarter of fiscal year</w:t>
      </w:r>
      <w:r>
        <w:t xml:space="preserve"> </w:t>
      </w:r>
      <w:r>
        <w:t xml:space="preserve">2025, interim financial statements for the period ended March 31, 2025</w:t>
      </w:r>
      <w:r>
        <w:t xml:space="preserve"> </w:t>
      </w:r>
      <w:r>
        <w:t xml:space="preserve">(and the comparable prior-year period) will be required, and the</w:t>
      </w:r>
      <w:r>
        <w:t xml:space="preserve"> </w:t>
      </w:r>
      <w:r>
        <w:t xml:space="preserve">prospectus will need to be updated. The offering timeline should be</w:t>
      </w:r>
      <w:r>
        <w:t xml:space="preserve"> </w:t>
      </w:r>
      <w:r>
        <w:t xml:space="preserve">managed with this in mind.</w:t>
      </w:r>
    </w:p>
    <w:p>
      <w:pPr>
        <w:pStyle w:val="BodyText"/>
      </w:pPr>
      <w:r>
        <w:rPr>
          <w:b/>
          <w:bCs/>
        </w:rPr>
        <w:t xml:space="preserve">70. Emerging growth company status and accommodations should be</w:t>
      </w:r>
      <w:r>
        <w:rPr>
          <w:b/>
          <w:bCs/>
        </w:rPr>
        <w:t xml:space="preserve"> </w:t>
      </w:r>
      <w:r>
        <w:rPr>
          <w:b/>
          <w:bCs/>
        </w:rPr>
        <w:t xml:space="preserve">confirmed and disclosed.</w:t>
      </w:r>
      <w:r>
        <w:t xml:space="preserve"> </w:t>
      </w:r>
      <w:r>
        <w:t xml:space="preserve">The Company represents that it qualifies as</w:t>
      </w:r>
      <w:r>
        <w:t xml:space="preserve"> </w:t>
      </w:r>
      <w:r>
        <w:t xml:space="preserve">an emerging growth company. With fiscal year 2024 revenue of $187.3</w:t>
      </w:r>
      <w:r>
        <w:t xml:space="preserve"> </w:t>
      </w:r>
      <w:r>
        <w:t xml:space="preserve">million (below the $1.235 billion threshold) and this being its first</w:t>
      </w:r>
      <w:r>
        <w:t xml:space="preserve"> </w:t>
      </w:r>
      <w:r>
        <w:t xml:space="preserve">registered equity offering, the Company appears to qualify. The Form S-1</w:t>
      </w:r>
      <w:r>
        <w:t xml:space="preserve"> </w:t>
      </w:r>
      <w:r>
        <w:t xml:space="preserve">should disclose the EGC accommodations the Company intends to elect</w:t>
      </w:r>
      <w:r>
        <w:t xml:space="preserve"> </w:t>
      </w:r>
      <w:r>
        <w:t xml:space="preserve">(including reduced executive compensation disclosure, exemption from SOX</w:t>
      </w:r>
      <w:r>
        <w:t xml:space="preserve"> </w:t>
      </w:r>
      <w:r>
        <w:t xml:space="preserve">404(b) auditor attestation, and the extended transition period for new</w:t>
      </w:r>
      <w:r>
        <w:t xml:space="preserve"> </w:t>
      </w:r>
      <w:r>
        <w:t xml:space="preserve">accounting standards).</w:t>
      </w:r>
    </w:p>
    <w:bookmarkEnd w:id="31"/>
    <w:bookmarkStart w:id="32" w:name="xii-a.-disclosure-completeness-items"/>
    <w:p>
      <w:pPr>
        <w:pStyle w:val="Heading2"/>
      </w:pPr>
      <w:r>
        <w:t xml:space="preserve">XII-A. Disclosure Completeness Items</w:t>
      </w:r>
    </w:p>
    <w:p>
      <w:pPr>
        <w:pStyle w:val="FirstParagraph"/>
      </w:pPr>
      <w:r>
        <w:t xml:space="preserve">The following items identify material terms and disclosures present in</w:t>
      </w:r>
      <w:r>
        <w:t xml:space="preserve"> </w:t>
      </w:r>
      <w:r>
        <w:t xml:space="preserve">the source documents that must be included in the Form S-1 and have been</w:t>
      </w:r>
      <w:r>
        <w:t xml:space="preserve"> </w:t>
      </w:r>
      <w:r>
        <w:t xml:space="preserve">incorporated into the draft, but that warrant confirmation against the</w:t>
      </w:r>
      <w:r>
        <w:t xml:space="preserve"> </w:t>
      </w:r>
      <w:r>
        <w:t xml:space="preserve">underlying agreements and records.</w:t>
      </w:r>
    </w:p>
    <w:p>
      <w:pPr>
        <w:pStyle w:val="BodyText"/>
      </w:pPr>
      <w:r>
        <w:rPr>
          <w:b/>
          <w:bCs/>
        </w:rPr>
        <w:t xml:space="preserve">71. The term loan description in Note 8 of the audited financial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statements omits material terms that appear in the term loan summary.</w:t>
      </w:r>
      <w:r>
        <w:t xml:space="preserve"> </w:t>
      </w:r>
      <w:r>
        <w:t xml:space="preserve">Note 8 of the audited financial statements discloses the interest rate</w:t>
      </w:r>
      <w:r>
        <w:t xml:space="preserve"> </w:t>
      </w:r>
      <w:r>
        <w:t xml:space="preserve">(SOFR plus 3.25%), maturity (December 2027), outstanding balance ($40.0</w:t>
      </w:r>
      <w:r>
        <w:t xml:space="preserve"> </w:t>
      </w:r>
      <w:r>
        <w:t xml:space="preserve">million), financial covenants, change-of-control provision, and 30-day</w:t>
      </w:r>
      <w:r>
        <w:t xml:space="preserve"> </w:t>
      </w:r>
      <w:r>
        <w:t xml:space="preserve">pre-offering notice requirement. The term loan summary additionally</w:t>
      </w:r>
      <w:r>
        <w:t xml:space="preserve"> </w:t>
      </w:r>
      <w:r>
        <w:t xml:space="preserve">discloses: a SOFR floor of 1.00%; a default rate of 2.00% above the</w:t>
      </w:r>
      <w:r>
        <w:t xml:space="preserve"> </w:t>
      </w:r>
      <w:r>
        <w:t xml:space="preserve">applicable rate; an exit fee of 1.00% of outstanding principal</w:t>
      </w:r>
      <w:r>
        <w:t xml:space="preserve"> </w:t>
      </w:r>
      <w:r>
        <w:t xml:space="preserve">(approximately $0.4 million); mandatory prepayment triggers (asset</w:t>
      </w:r>
      <w:r>
        <w:t xml:space="preserve"> </w:t>
      </w:r>
      <w:r>
        <w:t xml:space="preserve">dispositions exceeding $1.0 million, 50% of excess cash flow if the</w:t>
      </w:r>
      <w:r>
        <w:t xml:space="preserve"> </w:t>
      </w:r>
      <w:r>
        <w:t xml:space="preserve">leverage ratio exceeds 1.5x, and debt issuance proceeds, with equity</w:t>
      </w:r>
      <w:r>
        <w:t xml:space="preserve"> </w:t>
      </w:r>
      <w:r>
        <w:t xml:space="preserve">issuance proceeds expressly excluded); a cross-default threshold of</w:t>
      </w:r>
      <w:r>
        <w:t xml:space="preserve"> </w:t>
      </w:r>
      <w:r>
        <w:t xml:space="preserve">$2.0 million; the first-priority lien on substantially all assets</w:t>
      </w:r>
      <w:r>
        <w:t xml:space="preserve"> </w:t>
      </w:r>
      <w:r>
        <w:t xml:space="preserve">including intellectual property and 65% of the voting equity of the UK</w:t>
      </w:r>
      <w:r>
        <w:t xml:space="preserve"> </w:t>
      </w:r>
      <w:r>
        <w:t xml:space="preserve">subsidiary; and the UK subsidiary’s limited guarantee capped at £5.0</w:t>
      </w:r>
      <w:r>
        <w:t xml:space="preserve"> </w:t>
      </w:r>
      <w:r>
        <w:t xml:space="preserve">million. The Form S-1 description of indebtedness has been supplemented</w:t>
      </w:r>
      <w:r>
        <w:t xml:space="preserve"> </w:t>
      </w:r>
      <w:r>
        <w:t xml:space="preserve">to include these terms, but they should be confirmed against the</w:t>
      </w:r>
      <w:r>
        <w:t xml:space="preserve"> </w:t>
      </w:r>
      <w:r>
        <w:t xml:space="preserve">executed credit agreement and may need to be reflected in the audited</w:t>
      </w:r>
      <w:r>
        <w:t xml:space="preserve"> </w:t>
      </w:r>
      <w:r>
        <w:t xml:space="preserve">financial statement notes if the auditor concurs.</w:t>
      </w:r>
    </w:p>
    <w:p>
      <w:pPr>
        <w:pStyle w:val="BodyText"/>
      </w:pPr>
      <w:r>
        <w:rPr>
          <w:b/>
          <w:bCs/>
        </w:rPr>
        <w:t xml:space="preserve">72. The pro forma net loss per share (Note 16) must be included in</w:t>
      </w:r>
      <w:r>
        <w:rPr>
          <w:b/>
          <w:bCs/>
        </w:rPr>
        <w:t xml:space="preserve"> </w:t>
      </w:r>
      <w:r>
        <w:rPr>
          <w:b/>
          <w:bCs/>
        </w:rPr>
        <w:t xml:space="preserve">the Form S-1 financial statements.</w:t>
      </w:r>
      <w:r>
        <w:t xml:space="preserve"> </w:t>
      </w:r>
      <w:r>
        <w:t xml:space="preserve">The audited financial statements</w:t>
      </w:r>
      <w:r>
        <w:t xml:space="preserve"> </w:t>
      </w:r>
      <w:r>
        <w:t xml:space="preserve">(Note 16) disclose pro forma basic and diluted net loss per share of</w:t>
      </w:r>
      <w:r>
        <w:t xml:space="preserve"> </w:t>
      </w:r>
      <w:r>
        <w:t xml:space="preserve">$(0.28) for fiscal year 2024, assuming the automatic conversion of all</w:t>
      </w:r>
      <w:r>
        <w:t xml:space="preserve"> </w:t>
      </w:r>
      <w:r>
        <w:t xml:space="preserve">outstanding redeemable convertible preferred stock into 87,416,667</w:t>
      </w:r>
      <w:r>
        <w:t xml:space="preserve"> </w:t>
      </w:r>
      <w:r>
        <w:t xml:space="preserve">shares of common stock as if conversion had occurred at the beginning of</w:t>
      </w:r>
      <w:r>
        <w:t xml:space="preserve"> </w:t>
      </w:r>
      <w:r>
        <w:t xml:space="preserve">fiscal year 2024. This pro forma EPS disclosure has been added to the</w:t>
      </w:r>
      <w:r>
        <w:t xml:space="preserve"> </w:t>
      </w:r>
      <w:r>
        <w:t xml:space="preserve">Form S-1 financial statement notes and should be confirmed against the</w:t>
      </w:r>
      <w:r>
        <w:t xml:space="preserve"> </w:t>
      </w:r>
      <w:r>
        <w:t xml:space="preserve">audited financial statements.</w:t>
      </w:r>
    </w:p>
    <w:p>
      <w:pPr>
        <w:pStyle w:val="BodyText"/>
      </w:pPr>
      <w:r>
        <w:rPr>
          <w:b/>
          <w:bCs/>
        </w:rPr>
        <w:t xml:space="preserve">73. The Black-Scholes option-pricing assumptions and stock-based</w:t>
      </w:r>
      <w:r>
        <w:rPr>
          <w:b/>
          <w:bCs/>
        </w:rPr>
        <w:t xml:space="preserve"> </w:t>
      </w:r>
      <w:r>
        <w:rPr>
          <w:b/>
          <w:bCs/>
        </w:rPr>
        <w:t xml:space="preserve">compensation expense by category must be included in the Form S-1.</w:t>
      </w:r>
      <w:r>
        <w:t xml:space="preserve"> </w:t>
      </w:r>
      <w:r>
        <w:t xml:space="preserve">The</w:t>
      </w:r>
      <w:r>
        <w:t xml:space="preserve"> </w:t>
      </w:r>
      <w:r>
        <w:t xml:space="preserve">audited financial statements (Note 12(e)) disclose the Black-Scholes</w:t>
      </w:r>
      <w:r>
        <w:t xml:space="preserve"> </w:t>
      </w:r>
      <w:r>
        <w:t xml:space="preserve">assumptions used for the first quarter of fiscal year 2023 option grants</w:t>
      </w:r>
      <w:r>
        <w:t xml:space="preserve"> </w:t>
      </w:r>
      <w:r>
        <w:t xml:space="preserve">(expected term of 6.1 years, risk-free interest rate of 3.9%, expected</w:t>
      </w:r>
      <w:r>
        <w:t xml:space="preserve"> </w:t>
      </w:r>
      <w:r>
        <w:t xml:space="preserve">volatility of 48%, and expected dividend yield of 0%). Note 12(d)</w:t>
      </w:r>
      <w:r>
        <w:t xml:space="preserve"> </w:t>
      </w:r>
      <w:r>
        <w:t xml:space="preserve">discloses stock-based compensation expense by category (cost of revenue,</w:t>
      </w:r>
      <w:r>
        <w:t xml:space="preserve"> </w:t>
      </w:r>
      <w:r>
        <w:t xml:space="preserve">research and development, sales and marketing, and general and</w:t>
      </w:r>
      <w:r>
        <w:t xml:space="preserve"> </w:t>
      </w:r>
      <w:r>
        <w:t xml:space="preserve">administrative). These disclosures have been added to the Form S-1</w:t>
      </w:r>
      <w:r>
        <w:t xml:space="preserve"> </w:t>
      </w:r>
      <w:r>
        <w:t xml:space="preserve">financial statement notes and should be confirmed against the audited</w:t>
      </w:r>
      <w:r>
        <w:t xml:space="preserve"> </w:t>
      </w:r>
      <w:r>
        <w:t xml:space="preserve">financial statements.</w:t>
      </w:r>
    </w:p>
    <w:p>
      <w:pPr>
        <w:pStyle w:val="BodyText"/>
      </w:pPr>
      <w:r>
        <w:rPr>
          <w:b/>
          <w:bCs/>
        </w:rPr>
        <w:t xml:space="preserve">74. The RSU liquidity-event (double-trigger) settlement condition must</w:t>
      </w:r>
      <w:r>
        <w:rPr>
          <w:b/>
          <w:bCs/>
        </w:rPr>
        <w:t xml:space="preserve"> </w:t>
      </w:r>
      <w:r>
        <w:rPr>
          <w:b/>
          <w:bCs/>
        </w:rPr>
        <w:t xml:space="preserve">be disclosed.</w:t>
      </w:r>
      <w:r>
        <w:t xml:space="preserve"> </w:t>
      </w:r>
      <w:r>
        <w:t xml:space="preserve">The equity plan records indicate that all outstanding</w:t>
      </w:r>
      <w:r>
        <w:t xml:space="preserve"> </w:t>
      </w:r>
      <w:r>
        <w:t xml:space="preserve">RSUs are subject to a liquidity-event settlement condition, meaning</w:t>
      </w:r>
      <w:r>
        <w:t xml:space="preserve"> </w:t>
      </w:r>
      <w:r>
        <w:t xml:space="preserve">shares are not delivered upon vesting unless and until both time-based</w:t>
      </w:r>
      <w:r>
        <w:t xml:space="preserve"> </w:t>
      </w:r>
      <w:r>
        <w:t xml:space="preserve">vesting and a liquidity event (such as the closing of this offering)</w:t>
      </w:r>
      <w:r>
        <w:t xml:space="preserve"> </w:t>
      </w:r>
      <w:r>
        <w:t xml:space="preserve">have occurred. This double-trigger settlement feature affects the timing</w:t>
      </w:r>
      <w:r>
        <w:t xml:space="preserve"> </w:t>
      </w:r>
      <w:r>
        <w:t xml:space="preserve">of share issuance and the dilution analysis, and has been disclosed in</w:t>
      </w:r>
      <w:r>
        <w:t xml:space="preserve"> </w:t>
      </w:r>
      <w:r>
        <w:t xml:space="preserve">the Form S-1 executive compensation section. The Company should confirm</w:t>
      </w:r>
      <w:r>
        <w:t xml:space="preserve"> </w:t>
      </w:r>
      <w:r>
        <w:t xml:space="preserve">that the IPO closing will satisfy the liquidity-event condition and that</w:t>
      </w:r>
      <w:r>
        <w:t xml:space="preserve"> </w:t>
      </w:r>
      <w:r>
        <w:t xml:space="preserve">all time-vested RSUs will settle upon closing.</w:t>
      </w:r>
    </w:p>
    <w:p>
      <w:pPr>
        <w:pStyle w:val="BodyText"/>
      </w:pPr>
      <w:r>
        <w:rPr>
          <w:b/>
          <w:bCs/>
        </w:rPr>
        <w:t xml:space="preserve">75. The lease payment schedule, weighted-average remaining lease term,</w:t>
      </w:r>
      <w:r>
        <w:rPr>
          <w:b/>
          <w:bCs/>
        </w:rPr>
        <w:t xml:space="preserve"> </w:t>
      </w:r>
      <w:r>
        <w:rPr>
          <w:b/>
          <w:bCs/>
        </w:rPr>
        <w:t xml:space="preserve">and discount rate must be included in the Form S-1.</w:t>
      </w:r>
      <w:r>
        <w:t xml:space="preserve"> </w:t>
      </w:r>
      <w:r>
        <w:t xml:space="preserve">The audited</w:t>
      </w:r>
      <w:r>
        <w:t xml:space="preserve"> </w:t>
      </w:r>
      <w:r>
        <w:t xml:space="preserve">financial statements (Note 7) disclose the future minimum lease payments</w:t>
      </w:r>
      <w:r>
        <w:t xml:space="preserve"> </w:t>
      </w:r>
      <w:r>
        <w:t xml:space="preserve">by year ($5.7 million in 2025 through $1.2 million thereafter, totaling</w:t>
      </w:r>
      <w:r>
        <w:t xml:space="preserve"> </w:t>
      </w:r>
      <w:r>
        <w:t xml:space="preserve">$32.6 million undiscounted, less $2.0 million imputed interest, for a</w:t>
      </w:r>
      <w:r>
        <w:t xml:space="preserve"> </w:t>
      </w:r>
      <w:r>
        <w:t xml:space="preserve">present value of $30.6 million), the weighted-average remaining lease</w:t>
      </w:r>
      <w:r>
        <w:t xml:space="preserve"> </w:t>
      </w:r>
      <w:r>
        <w:t xml:space="preserve">term of approximately 4.2 years, and the weighted-average discount rate</w:t>
      </w:r>
      <w:r>
        <w:t xml:space="preserve"> </w:t>
      </w:r>
      <w:r>
        <w:t xml:space="preserve">of approximately 5.8%. These disclosures have been added to the Form S-1</w:t>
      </w:r>
      <w:r>
        <w:t xml:space="preserve"> </w:t>
      </w:r>
      <w:r>
        <w:t xml:space="preserve">property section and should be confirmed against the audited financial</w:t>
      </w:r>
      <w:r>
        <w:t xml:space="preserve"> </w:t>
      </w:r>
      <w:r>
        <w:t xml:space="preserve">statements.</w:t>
      </w:r>
    </w:p>
    <w:bookmarkEnd w:id="32"/>
    <w:bookmarkStart w:id="33" w:name="xiii.-summary-of-priority"/>
    <w:p>
      <w:pPr>
        <w:pStyle w:val="Heading2"/>
      </w:pPr>
      <w:r>
        <w:t xml:space="preserve">XIII. Summary of Priority</w:t>
      </w:r>
    </w:p>
    <w:p>
      <w:pPr>
        <w:pStyle w:val="FirstParagraph"/>
      </w:pPr>
      <w:r>
        <w:t xml:space="preserve">The following items are the highest priority for resolution before the</w:t>
      </w:r>
      <w:r>
        <w:t xml:space="preserve"> </w:t>
      </w:r>
      <w:r>
        <w:t xml:space="preserve">Form S-1 is filed, because they affect the accuracy of the audited</w:t>
      </w:r>
      <w:r>
        <w:t xml:space="preserve"> </w:t>
      </w:r>
      <w:r>
        <w:t xml:space="preserve">financial statements, the correctness of named persons and entities, or</w:t>
      </w:r>
      <w:r>
        <w:t xml:space="preserve"> </w:t>
      </w:r>
      <w:r>
        <w:t xml:space="preserve">the Company’s compliance with its debt covenants and SEC disclosure</w:t>
      </w:r>
      <w:r>
        <w:t xml:space="preserve"> </w:t>
      </w:r>
      <w:r>
        <w:t xml:space="preserve">requirements:</w:t>
      </w:r>
    </w:p>
    <w:p>
      <w:pPr>
        <w:pStyle w:val="Compact"/>
        <w:numPr>
          <w:ilvl w:val="0"/>
          <w:numId w:val="1001"/>
        </w:numPr>
      </w:pPr>
      <w:r>
        <w:t xml:space="preserve">Items 10, 16, and 17 (Adjusted EBITDA reconciliation error; term</w:t>
      </w:r>
      <w:r>
        <w:t xml:space="preserve"> </w:t>
      </w:r>
      <w:r>
        <w:t xml:space="preserve">loan cash-flow/balance-sheet reconciliation; term loan amortization)</w:t>
      </w:r>
      <w:r>
        <w:t xml:space="preserve"> </w:t>
      </w:r>
      <w:r>
        <w:t xml:space="preserve">— these affect the accuracy of the financial statements and</w:t>
      </w:r>
      <w:r>
        <w:t xml:space="preserve"> </w:t>
      </w:r>
      <w:r>
        <w:t xml:space="preserve">non-GAAP disclosure and may require involvement of Archer Pryce LLP.</w:t>
      </w:r>
    </w:p>
    <w:p>
      <w:pPr>
        <w:pStyle w:val="Compact"/>
        <w:numPr>
          <w:ilvl w:val="0"/>
          <w:numId w:val="1001"/>
        </w:numPr>
      </w:pPr>
      <w:r>
        <w:t xml:space="preserve">Items 19, 20, 21, 24, 25, 26, and 27 (409A valuation history and</w:t>
      </w:r>
      <w:r>
        <w:t xml:space="preserve"> </w:t>
      </w:r>
      <w:r>
        <w:t xml:space="preserve">equity award reconciliation) — these affect the stock-based</w:t>
      </w:r>
      <w:r>
        <w:t xml:space="preserve"> </w:t>
      </w:r>
      <w:r>
        <w:t xml:space="preserve">compensation footnote and must be reconciled among the auditor, the</w:t>
      </w:r>
      <w:r>
        <w:t xml:space="preserve"> </w:t>
      </w:r>
      <w:r>
        <w:t xml:space="preserve">valuation firm, and the equity plan records.</w:t>
      </w:r>
    </w:p>
    <w:p>
      <w:pPr>
        <w:pStyle w:val="Compact"/>
        <w:numPr>
          <w:ilvl w:val="0"/>
          <w:numId w:val="1001"/>
        </w:numPr>
      </w:pPr>
      <w:r>
        <w:t xml:space="preserve">Items 31, 32, 33, 34, 35, and 37a (name, board size, transfer</w:t>
      </w:r>
      <w:r>
        <w:t xml:space="preserve"> </w:t>
      </w:r>
      <w:r>
        <w:t xml:space="preserve">agent, grantee identity, and Ridgeline fund name inconsistencies)</w:t>
      </w:r>
      <w:r>
        <w:t xml:space="preserve"> </w:t>
      </w:r>
      <w:r>
        <w:t xml:space="preserve">— these affect the correctness of the registration statement and</w:t>
      </w:r>
      <w:r>
        <w:t xml:space="preserve"> </w:t>
      </w:r>
      <w:r>
        <w:t xml:space="preserve">the persons and entities signing it or referenced in it.</w:t>
      </w:r>
    </w:p>
    <w:p>
      <w:pPr>
        <w:pStyle w:val="Compact"/>
        <w:numPr>
          <w:ilvl w:val="0"/>
          <w:numId w:val="1001"/>
        </w:numPr>
      </w:pPr>
      <w:r>
        <w:t xml:space="preserve">Items 38, 41, and 42 (beneficial ownership reconciliation and</w:t>
      </w:r>
      <w:r>
        <w:t xml:space="preserve"> </w:t>
      </w:r>
      <w:r>
        <w:t xml:space="preserve">Aldersgate Capital) — these affect the principal stockholders</w:t>
      </w:r>
      <w:r>
        <w:t xml:space="preserve"> </w:t>
      </w:r>
      <w:r>
        <w:t xml:space="preserve">table, which cannot be finalized until resolved.</w:t>
      </w:r>
    </w:p>
    <w:p>
      <w:pPr>
        <w:pStyle w:val="Compact"/>
        <w:numPr>
          <w:ilvl w:val="0"/>
          <w:numId w:val="1001"/>
        </w:numPr>
      </w:pPr>
      <w:r>
        <w:t xml:space="preserve">Items 43 and 44 (Vantara related party disclosure and lender</w:t>
      </w:r>
      <w:r>
        <w:t xml:space="preserve"> </w:t>
      </w:r>
      <w:r>
        <w:t xml:space="preserve">notification) — these affect Item 404 disclosure and term loan</w:t>
      </w:r>
      <w:r>
        <w:t xml:space="preserve"> </w:t>
      </w:r>
      <w:r>
        <w:t xml:space="preserve">compliance.</w:t>
      </w:r>
    </w:p>
    <w:p>
      <w:pPr>
        <w:pStyle w:val="Compact"/>
        <w:numPr>
          <w:ilvl w:val="0"/>
          <w:numId w:val="1001"/>
        </w:numPr>
      </w:pPr>
      <w:r>
        <w:t xml:space="preserve">Items 45 and 46 (filing date and auditor’s report date) — these</w:t>
      </w:r>
      <w:r>
        <w:t xml:space="preserve"> </w:t>
      </w:r>
      <w:r>
        <w:t xml:space="preserve">affect the timing and validity of the registration statement.</w:t>
      </w:r>
    </w:p>
    <w:p>
      <w:pPr>
        <w:pStyle w:val="Compact"/>
        <w:numPr>
          <w:ilvl w:val="0"/>
          <w:numId w:val="1001"/>
        </w:numPr>
      </w:pPr>
      <w:r>
        <w:t xml:space="preserve">Item 48a (over-allotment NTBV calculation error) — this affects</w:t>
      </w:r>
      <w:r>
        <w:t xml:space="preserve"> </w:t>
      </w:r>
      <w:r>
        <w:t xml:space="preserve">the accuracy of the dilution disclosure.</w:t>
      </w:r>
    </w:p>
    <w:p>
      <w:pPr>
        <w:pStyle w:val="Compact"/>
        <w:numPr>
          <w:ilvl w:val="0"/>
          <w:numId w:val="1001"/>
        </w:numPr>
      </w:pPr>
      <w:r>
        <w:t xml:space="preserve">Item 49 (controlled company exemption election) — this requires a</w:t>
      </w:r>
      <w:r>
        <w:t xml:space="preserve"> </w:t>
      </w:r>
      <w:r>
        <w:t xml:space="preserve">formal board resolution and drives the corporate governance</w:t>
      </w:r>
      <w:r>
        <w:t xml:space="preserve"> </w:t>
      </w:r>
      <w:r>
        <w:t xml:space="preserve">disclosure.</w:t>
      </w:r>
    </w:p>
    <w:p>
      <w:pPr>
        <w:pStyle w:val="Compact"/>
        <w:numPr>
          <w:ilvl w:val="0"/>
          <w:numId w:val="1001"/>
        </w:numPr>
      </w:pPr>
      <w:r>
        <w:t xml:space="preserve">Item 58 (30-day lender notice) — this is a covenant obligation on</w:t>
      </w:r>
      <w:r>
        <w:t xml:space="preserve"> </w:t>
      </w:r>
      <w:r>
        <w:t xml:space="preserve">the offering timeline.</w:t>
      </w:r>
    </w:p>
    <w:p>
      <w:pPr>
        <w:pStyle w:val="FirstParagraph"/>
      </w:pPr>
      <w:r>
        <w:t xml:space="preserve">We are available to discuss any of the foregoing and to assist in their</w:t>
      </w:r>
      <w:r>
        <w:t xml:space="preserve"> </w:t>
      </w:r>
      <w:r>
        <w:t xml:space="preserve">resolution.</w:t>
      </w:r>
    </w:p>
    <w:p>
      <w:pPr>
        <w:pStyle w:val="BodyText"/>
      </w:pPr>
      <w:r>
        <w:t xml:space="preserve">Respectfully submitted,</w:t>
      </w:r>
    </w:p>
    <w:p>
      <w:pPr>
        <w:pStyle w:val="BodyText"/>
      </w:pPr>
      <w:r>
        <w:t xml:space="preserve">[Drafting Counsel]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2026-06-27T01:20:20Z</dcterms:created>
  <dcterms:modified xsi:type="dcterms:W3CDTF">2026-06-27T01:20:20Z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