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issues-memorandum"/>
    <w:p>
      <w:pPr>
        <w:pStyle w:val="Heading1"/>
      </w:pPr>
      <w:r>
        <w:t xml:space="preserve">ISSUES 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Deal Team — Meridian Pulse Technologies, Inc. Initial Public Offering</w:t>
      </w:r>
      <w:r>
        <w:t xml:space="preserve"> </w:t>
      </w:r>
      <w:r>
        <w:rPr>
          <w:b/>
          <w:bCs/>
        </w:rPr>
        <w:t xml:space="preserve">FROM:</w:t>
      </w:r>
      <w:r>
        <w:t xml:space="preserve"> </w:t>
      </w:r>
      <w:r>
        <w:t xml:space="preserve">Ashford &amp; Pine LLP, Underwriters’ Counsel</w:t>
      </w:r>
      <w:r>
        <w:t xml:space="preserve"> </w:t>
      </w:r>
      <w:r>
        <w:rPr>
          <w:b/>
          <w:bCs/>
        </w:rPr>
        <w:t xml:space="preserve">DATE:</w:t>
      </w:r>
      <w:r>
        <w:t xml:space="preserve"> </w:t>
      </w:r>
      <w:r>
        <w:t xml:space="preserve">March 19, 2025</w:t>
      </w:r>
      <w:r>
        <w:t xml:space="preserve"> </w:t>
      </w:r>
      <w:r>
        <w:rPr>
          <w:b/>
          <w:bCs/>
        </w:rPr>
        <w:t xml:space="preserve">RE:</w:t>
      </w:r>
      <w:r>
        <w:t xml:space="preserve"> </w:t>
      </w:r>
      <w:r>
        <w:t xml:space="preserve">Cross-Document Discrepancies and Open Items — Firm-Commitment Underwriting Agreement for the IPO of Meridian Pulse Technologies, Inc. (Registration Statement No. 333-284517)</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summarizes the principal discrepancies and open items identified during our review of the transaction documents prepared in connection with the initial public offering (the</w:t>
      </w:r>
      <w:r>
        <w:t xml:space="preserve"> </w:t>
      </w:r>
      <w:r>
        <w:t xml:space="preserve">“</w:t>
      </w:r>
      <w:r>
        <w:t xml:space="preserve">Offering</w:t>
      </w:r>
      <w:r>
        <w:t xml:space="preserve">”</w:t>
      </w:r>
      <w:r>
        <w:t xml:space="preserve">) of common stock of Meridian Pulse Technologies, Inc. (the</w:t>
      </w:r>
      <w:r>
        <w:t xml:space="preserve"> </w:t>
      </w:r>
      <w:r>
        <w:t xml:space="preserve">“</w:t>
      </w:r>
      <w:r>
        <w:t xml:space="preserve">Company</w:t>
      </w:r>
      <w:r>
        <w:t xml:space="preserve">”</w:t>
      </w:r>
      <w:r>
        <w:t xml:space="preserve">). The documents reviewed include: (1) the IPO Term Sheet dated March 19, 2025; (2) the S-1 Registration Statement excerpts (File No. 333-284517); (3) the Engagement Letter dated November 8, 2024; (4) the Form of Lock-Up Agreement; (5) the Amended and Restated Certificate of Incorporation; (6) the Summary of Key Terms of the Revolving Credit Agreement; (7) the Draft Comfort Letter from Whitman Reese &amp; Co. dated March 18, 2025; (8) the Power of Attorney and Custody Agreement; and (9) the Selling Stockholder Questionnaire completed by Cascade Kestridge Ventures, LP.</w:t>
      </w:r>
    </w:p>
    <w:p>
      <w:pPr>
        <w:pStyle w:val="BodyText"/>
      </w:pPr>
      <w:r>
        <w:t xml:space="preserve">A draft firm-commitment Underwriting Agreement has been prepared concurrently with this memorandum. Where a discrepancy required a drafting election in the Underwriting Agreement, the basis for that election is noted below. Each item is rated by priority:</w:t>
      </w:r>
      <w:r>
        <w:t xml:space="preserve"> </w:t>
      </w:r>
      <w:r>
        <w:rPr>
          <w:b/>
          <w:bCs/>
        </w:rPr>
        <w:t xml:space="preserve">CRITICAL</w:t>
      </w:r>
      <w:r>
        <w:t xml:space="preserve"> </w:t>
      </w:r>
      <w:r>
        <w:t xml:space="preserve">(must be resolved before pricing/closing; potential disclosure misstatement or closing condition failure),</w:t>
      </w:r>
      <w:r>
        <w:t xml:space="preserve"> </w:t>
      </w:r>
      <w:r>
        <w:rPr>
          <w:b/>
          <w:bCs/>
        </w:rPr>
        <w:t xml:space="preserve">HIGH</w:t>
      </w:r>
      <w:r>
        <w:t xml:space="preserve"> </w:t>
      </w:r>
      <w:r>
        <w:t xml:space="preserve">(must be resolved before closing; affects accuracy of representations or deliverables), or</w:t>
      </w:r>
      <w:r>
        <w:t xml:space="preserve"> </w:t>
      </w:r>
      <w:r>
        <w:rPr>
          <w:b/>
          <w:bCs/>
        </w:rPr>
        <w:t xml:space="preserve">OPEN ITEM</w:t>
      </w:r>
      <w:r>
        <w:t xml:space="preserve"> </w:t>
      </w:r>
      <w:r>
        <w:t xml:space="preserve">(confirmation or ministerial item to be cleared at or before closing).</w:t>
      </w:r>
    </w:p>
    <w:p>
      <w:pPr>
        <w:pStyle w:val="BodyText"/>
      </w:pPr>
      <w:r>
        <w:t xml:space="preserve">This memorandum is intended for the internal use of the deal team and does not constitute a legal opinion. Capitalized terms not defined herein have the meanings ascribed to them in the Underwriting Agreement or the Registration Statement.</w:t>
      </w:r>
    </w:p>
    <w:bookmarkEnd w:id="20"/>
    <w:bookmarkStart w:id="21" w:name="ii.-executive-summary"/>
    <w:p>
      <w:pPr>
        <w:pStyle w:val="Heading2"/>
      </w:pPr>
      <w:r>
        <w:t xml:space="preserve">II. Executive Summary</w:t>
      </w:r>
    </w:p>
    <w:p>
      <w:pPr>
        <w:pStyle w:val="FirstParagraph"/>
      </w:pPr>
      <w:r>
        <w:t xml:space="preserve">We identified</w:t>
      </w:r>
      <w:r>
        <w:t xml:space="preserve"> </w:t>
      </w:r>
      <w:r>
        <w:rPr>
          <w:b/>
          <w:bCs/>
        </w:rPr>
        <w:t xml:space="preserve">thirty-three (33) discrete items</w:t>
      </w:r>
      <w:r>
        <w:t xml:space="preserve">, comprising</w:t>
      </w:r>
      <w:r>
        <w:t xml:space="preserve"> </w:t>
      </w:r>
      <w:r>
        <w:rPr>
          <w:b/>
          <w:bCs/>
        </w:rPr>
        <w:t xml:space="preserve">fourteen (14) Critical discrepancies</w:t>
      </w:r>
      <w:r>
        <w:t xml:space="preserve">,</w:t>
      </w:r>
      <w:r>
        <w:t xml:space="preserve"> </w:t>
      </w:r>
      <w:r>
        <w:rPr>
          <w:b/>
          <w:bCs/>
        </w:rPr>
        <w:t xml:space="preserve">nine (9) High-priority discrepancies</w:t>
      </w:r>
      <w:r>
        <w:t xml:space="preserve">, and</w:t>
      </w:r>
      <w:r>
        <w:t xml:space="preserve"> </w:t>
      </w:r>
      <w:r>
        <w:rPr>
          <w:b/>
          <w:bCs/>
        </w:rPr>
        <w:t xml:space="preserve">ten (10) open items/confirmations</w:t>
      </w:r>
      <w:r>
        <w:t xml:space="preserve">. The most significant clusters of issues are:</w:t>
      </w:r>
    </w:p>
    <w:p>
      <w:pPr>
        <w:numPr>
          <w:ilvl w:val="0"/>
          <w:numId w:val="1001"/>
        </w:numPr>
      </w:pPr>
      <w:r>
        <w:rPr>
          <w:b/>
          <w:bCs/>
        </w:rPr>
        <w:t xml:space="preserve">Credit facility identity and terms.</w:t>
      </w:r>
      <w:r>
        <w:t xml:space="preserve"> </w:t>
      </w:r>
      <w:r>
        <w:t xml:space="preserve">The Registration Statement and the internal Credit Agreement Summary disagree on the lender’s name, the agreement date, the maturity date, the interest rate, the financial covenants, and the change-of-control threshold. These conflicts must be reconciled against the actual Credit Agreement, because the Company’s representations in the Underwriting Agreement regarding material contracts and the accuracy of the Registration Statement depend on them.</w:t>
      </w:r>
    </w:p>
    <w:p>
      <w:pPr>
        <w:numPr>
          <w:ilvl w:val="0"/>
          <w:numId w:val="1001"/>
        </w:numPr>
      </w:pPr>
      <w:r>
        <w:rPr>
          <w:b/>
          <w:bCs/>
        </w:rPr>
        <w:t xml:space="preserve">Mandatory prepayment vs. Use of Proceeds.</w:t>
      </w:r>
      <w:r>
        <w:t xml:space="preserve"> </w:t>
      </w:r>
      <w:r>
        <w:t xml:space="preserve">The Registration Statement’s</w:t>
      </w:r>
      <w:r>
        <w:t xml:space="preserve"> </w:t>
      </w:r>
      <w:r>
        <w:t xml:space="preserve">“</w:t>
      </w:r>
      <w:r>
        <w:t xml:space="preserve">Use of Proceeds</w:t>
      </w:r>
      <w:r>
        <w:t xml:space="preserve">”</w:t>
      </w:r>
      <w:r>
        <w:t xml:space="preserve"> </w:t>
      </w:r>
      <w:r>
        <w:t xml:space="preserve">discloses approximately $10 million of credit-facility repayment, while the Credit Agreement’s mandatory prepayment formula and the Registration Statement’s own Risk Factors indicate a required prepayment of approximately $15.2 million. This is a potential material misstatement in the Registration Statement.</w:t>
      </w:r>
    </w:p>
    <w:p>
      <w:pPr>
        <w:numPr>
          <w:ilvl w:val="0"/>
          <w:numId w:val="1001"/>
        </w:numPr>
      </w:pPr>
      <w:r>
        <w:rPr>
          <w:b/>
          <w:bCs/>
        </w:rPr>
        <w:t xml:space="preserve">Selling stockholder identity and control.</w:t>
      </w:r>
      <w:r>
        <w:t xml:space="preserve"> </w:t>
      </w:r>
      <w:r>
        <w:t xml:space="preserve">The name, general partner, controlling natural persons, and address of Cascade Kestridge Ventures, LP are stated inconsistently across the Registration Statement, the Power of Attorney and Custody Agreement, the Selling Stockholder Questionnaire, and the Credit Agreement Summary. A parallel (though narrower) inconsistency exists for Northlight Growth Partners Fund II, LP. These must be reconciled because the selling-stockholder representations and indemnities, and the Registration Statement disclosure, depend on the correct identity and authority of each Selling Stockholder.</w:t>
      </w:r>
    </w:p>
    <w:p>
      <w:pPr>
        <w:numPr>
          <w:ilvl w:val="0"/>
          <w:numId w:val="1001"/>
        </w:numPr>
      </w:pPr>
      <w:r>
        <w:rPr>
          <w:b/>
          <w:bCs/>
        </w:rPr>
        <w:t xml:space="preserve">Over-Allotment Option source.</w:t>
      </w:r>
      <w:r>
        <w:t xml:space="preserve"> </w:t>
      </w:r>
      <w:r>
        <w:t xml:space="preserve">The Term Sheet states the option is exercisable against the Company</w:t>
      </w:r>
      <w:r>
        <w:t xml:space="preserve"> </w:t>
      </w:r>
      <w:r>
        <w:t xml:space="preserve">“</w:t>
      </w:r>
      <w:r>
        <w:t xml:space="preserve">and/or</w:t>
      </w:r>
      <w:r>
        <w:t xml:space="preserve">”</w:t>
      </w:r>
      <w:r>
        <w:t xml:space="preserve"> </w:t>
      </w:r>
      <w:r>
        <w:t xml:space="preserve">the Selling Stockholders, while the Registration Statement, the Engagement Letter, and the Selling Stockholder Questionnaire all state the option is sourced exclusively from the Company. The Underwriting Agreement adopts the</w:t>
      </w:r>
      <w:r>
        <w:t xml:space="preserve"> </w:t>
      </w:r>
      <w:r>
        <w:t xml:space="preserve">“</w:t>
      </w:r>
      <w:r>
        <w:t xml:space="preserve">Company only</w:t>
      </w:r>
      <w:r>
        <w:t xml:space="preserve">”</w:t>
      </w:r>
      <w:r>
        <w:t xml:space="preserve"> </w:t>
      </w:r>
      <w:r>
        <w:t xml:space="preserve">formulation.</w:t>
      </w:r>
    </w:p>
    <w:p>
      <w:pPr>
        <w:numPr>
          <w:ilvl w:val="0"/>
          <w:numId w:val="1001"/>
        </w:numPr>
      </w:pPr>
      <w:r>
        <w:rPr>
          <w:b/>
          <w:bCs/>
        </w:rPr>
        <w:t xml:space="preserve">Comfort letter circle-up vs. Registration Statement.</w:t>
      </w:r>
      <w:r>
        <w:t xml:space="preserve"> </w:t>
      </w:r>
      <w:r>
        <w:t xml:space="preserve">The Draft Comfort Letter’s agreed-upon figures for total stockholders’ equity, cash, and net tangible book value per share do not agree with the corresponding figures in the Registration Statement’s Capitalization and Dilution sections. This must be reconciled before the final comfort letter and bring-down are delivered, as both are closing conditions.</w:t>
      </w:r>
    </w:p>
    <w:p>
      <w:pPr>
        <w:pStyle w:val="FirstParagraph"/>
      </w:pPr>
      <w:r>
        <w:t xml:space="preserve">The detailed items follow.</w:t>
      </w:r>
    </w:p>
    <w:bookmarkEnd w:id="21"/>
    <w:bookmarkStart w:id="36" w:name="iii.-critical-discrepancies"/>
    <w:p>
      <w:pPr>
        <w:pStyle w:val="Heading2"/>
      </w:pPr>
      <w:r>
        <w:t xml:space="preserve">III. Critical Discrepancies</w:t>
      </w:r>
    </w:p>
    <w:bookmarkStart w:id="22" w:name="X5299a4dba7969bd47707022f4b4a2a6dea26181"/>
    <w:p>
      <w:pPr>
        <w:pStyle w:val="Heading3"/>
      </w:pPr>
      <w:r>
        <w:t xml:space="preserve">Item 1 — Name of the Credit Facility Lender [CRITICAL]</w:t>
      </w:r>
    </w:p>
    <w:p>
      <w:pPr>
        <w:pStyle w:val="FirstParagraph"/>
      </w:pPr>
      <w:r>
        <w:rPr>
          <w:b/>
          <w:bCs/>
        </w:rPr>
        <w:t xml:space="preserve">Documents in conflict:</w:t>
      </w:r>
    </w:p>
    <w:p>
      <w:pPr>
        <w:pStyle w:val="Compact"/>
        <w:numPr>
          <w:ilvl w:val="0"/>
          <w:numId w:val="1002"/>
        </w:numPr>
      </w:pPr>
      <w:r>
        <w:t xml:space="preserve">Registration Statement (Risk Factors; Use of Proceeds; Material Contracts §IX.A; Capitalization): refers to the lender as</w:t>
      </w:r>
      <w:r>
        <w:t xml:space="preserve"> </w:t>
      </w:r>
      <w:r>
        <w:rPr>
          <w:b/>
          <w:bCs/>
        </w:rPr>
        <w:t xml:space="preserve">“</w:t>
      </w:r>
      <w:r>
        <w:rPr>
          <w:b/>
          <w:bCs/>
        </w:rPr>
        <w:t xml:space="preserve">Oakvale National Bank.</w:t>
      </w:r>
      <w:r>
        <w:rPr>
          <w:b/>
          <w:bCs/>
        </w:rPr>
        <w:t xml:space="preserve">”</w:t>
      </w:r>
    </w:p>
    <w:p>
      <w:pPr>
        <w:pStyle w:val="Compact"/>
        <w:numPr>
          <w:ilvl w:val="0"/>
          <w:numId w:val="1002"/>
        </w:numPr>
      </w:pPr>
      <w:r>
        <w:t xml:space="preserve">Draft Comfort Letter (§V.A(v), §VII.A): refers to</w:t>
      </w:r>
      <w:r>
        <w:t xml:space="preserve"> </w:t>
      </w:r>
      <w:r>
        <w:t xml:space="preserve">“</w:t>
      </w:r>
      <w:r>
        <w:t xml:space="preserve">the revolving credit facility with</w:t>
      </w:r>
      <w:r>
        <w:t xml:space="preserve"> </w:t>
      </w:r>
      <w:r>
        <w:rPr>
          <w:b/>
          <w:bCs/>
        </w:rPr>
        <w:t xml:space="preserve">Oakvale National Bank</w:t>
      </w:r>
      <w:r>
        <w:t xml:space="preserve">.</w:t>
      </w:r>
      <w:r>
        <w:t xml:space="preserve">”</w:t>
      </w:r>
    </w:p>
    <w:p>
      <w:pPr>
        <w:pStyle w:val="Compact"/>
        <w:numPr>
          <w:ilvl w:val="0"/>
          <w:numId w:val="1002"/>
        </w:numPr>
      </w:pPr>
      <w:r>
        <w:t xml:space="preserve">Credit Agreement Summary (§1, throughout): refers to the lender/administrative agent as</w:t>
      </w:r>
      <w:r>
        <w:t xml:space="preserve"> </w:t>
      </w:r>
      <w:r>
        <w:rPr>
          <w:b/>
          <w:bCs/>
        </w:rPr>
        <w:t xml:space="preserve">“</w:t>
      </w:r>
      <w:r>
        <w:rPr>
          <w:b/>
          <w:bCs/>
        </w:rPr>
        <w:t xml:space="preserve">Ridgemont National Bank.</w:t>
      </w:r>
      <w:r>
        <w:rPr>
          <w:b/>
          <w:bCs/>
        </w:rPr>
        <w:t xml:space="preserve">”</w:t>
      </w:r>
    </w:p>
    <w:p>
      <w:pPr>
        <w:pStyle w:val="FirstParagraph"/>
      </w:pPr>
      <w:r>
        <w:rPr>
          <w:b/>
          <w:bCs/>
        </w:rPr>
        <w:t xml:space="preserve">Analysis.</w:t>
      </w:r>
      <w:r>
        <w:t xml:space="preserve"> </w:t>
      </w:r>
      <w:r>
        <w:t xml:space="preserve">The lender is identified by two different names across the deal documents. The Credit Agreement Summary is internal work product and expressly cautions that</w:t>
      </w:r>
      <w:r>
        <w:t xml:space="preserve"> </w:t>
      </w:r>
      <w:r>
        <w:t xml:space="preserve">“</w:t>
      </w:r>
      <w:r>
        <w:t xml:space="preserve">reference should be made to the Credit Agreement itself for the complete terms.</w:t>
      </w:r>
      <w:r>
        <w:t xml:space="preserve">”</w:t>
      </w:r>
      <w:r>
        <w:t xml:space="preserve"> </w:t>
      </w:r>
      <w:r>
        <w:t xml:space="preserve">The Registration Statement (a public filing) and the auditor’s comfort letter both use</w:t>
      </w:r>
      <w:r>
        <w:t xml:space="preserve"> </w:t>
      </w:r>
      <w:r>
        <w:t xml:space="preserve">“</w:t>
      </w:r>
      <w:r>
        <w:t xml:space="preserve">Oakvale National Bank.</w:t>
      </w:r>
      <w:r>
        <w:t xml:space="preserve">”</w:t>
      </w:r>
      <w:r>
        <w:t xml:space="preserve"> </w:t>
      </w:r>
      <w:r>
        <w:t xml:space="preserve">The Underwriting Agreement has been drafted to refer to</w:t>
      </w:r>
      <w:r>
        <w:t xml:space="preserve"> </w:t>
      </w:r>
      <w:r>
        <w:t xml:space="preserve">“</w:t>
      </w:r>
      <w:r>
        <w:t xml:space="preserve">Oakvale National Bank,</w:t>
      </w:r>
      <w:r>
        <w:t xml:space="preserve">”</w:t>
      </w:r>
      <w:r>
        <w:t xml:space="preserve"> </w:t>
      </w:r>
      <w:r>
        <w:t xml:space="preserve">consistent with the Registration Statement.</w:t>
      </w:r>
    </w:p>
    <w:p>
      <w:pPr>
        <w:pStyle w:val="BodyText"/>
      </w:pPr>
      <w:r>
        <w:rPr>
          <w:b/>
          <w:bCs/>
        </w:rPr>
        <w:t xml:space="preserve">Recommendation.</w:t>
      </w:r>
      <w:r>
        <w:t xml:space="preserve"> </w:t>
      </w:r>
      <w:r>
        <w:t xml:space="preserve">Confirm the lender’s correct legal name against the actual Credit Agreement and the Company’s debt records. If the lender is in fact Ridgemont National Bank, the Registration Statement contains a material misstatement that must be corrected by prospectus supplement or post-effective amendment before closing. If the lender is Oakvale National Bank, the Credit Agreement Summary should be corrected internally. This must be resolved before the Company delivers its representations regarding the accuracy of the Registration Statement and material contracts.</w:t>
      </w:r>
    </w:p>
    <w:bookmarkEnd w:id="22"/>
    <w:bookmarkStart w:id="23" w:name="X8d75b644ae54a13b6e8200383ca5658aea46e55"/>
    <w:p>
      <w:pPr>
        <w:pStyle w:val="Heading3"/>
      </w:pPr>
      <w:r>
        <w:t xml:space="preserve">Item 2 — Date of the Credit Agreement [CRITICAL]</w:t>
      </w:r>
    </w:p>
    <w:p>
      <w:pPr>
        <w:pStyle w:val="FirstParagraph"/>
      </w:pPr>
      <w:r>
        <w:rPr>
          <w:b/>
          <w:bCs/>
        </w:rPr>
        <w:t xml:space="preserve">Documents in conflict:</w:t>
      </w:r>
    </w:p>
    <w:p>
      <w:pPr>
        <w:pStyle w:val="Compact"/>
        <w:numPr>
          <w:ilvl w:val="0"/>
          <w:numId w:val="1003"/>
        </w:numPr>
      </w:pPr>
      <w:r>
        <w:t xml:space="preserve">Registration Statement (Material Contracts §IX.A):</w:t>
      </w:r>
      <w:r>
        <w:t xml:space="preserve"> </w:t>
      </w:r>
      <w:r>
        <w:t xml:space="preserve">“</w:t>
      </w:r>
      <w:r>
        <w:t xml:space="preserve">On</w:t>
      </w:r>
      <w:r>
        <w:t xml:space="preserve"> </w:t>
      </w:r>
      <w:r>
        <w:rPr>
          <w:b/>
          <w:bCs/>
        </w:rPr>
        <w:t xml:space="preserve">July 15, 2022</w:t>
      </w:r>
      <w:r>
        <w:t xml:space="preserve">, we entered into a credit agreement with [the lender].</w:t>
      </w:r>
      <w:r>
        <w:t xml:space="preserve">”</w:t>
      </w:r>
    </w:p>
    <w:p>
      <w:pPr>
        <w:pStyle w:val="Compact"/>
        <w:numPr>
          <w:ilvl w:val="0"/>
          <w:numId w:val="1003"/>
        </w:numPr>
      </w:pPr>
      <w:r>
        <w:t xml:space="preserve">Credit Agreement Summary (§1):</w:t>
      </w:r>
      <w:r>
        <w:t xml:space="preserve"> </w:t>
      </w:r>
      <w:r>
        <w:t xml:space="preserve">“</w:t>
      </w:r>
      <w:r>
        <w:t xml:space="preserve">Revolving Credit Agreement dated as of</w:t>
      </w:r>
      <w:r>
        <w:t xml:space="preserve"> </w:t>
      </w:r>
      <w:r>
        <w:rPr>
          <w:b/>
          <w:bCs/>
        </w:rPr>
        <w:t xml:space="preserve">June 15, 2023</w:t>
      </w:r>
      <w:r>
        <w:t xml:space="preserve"> </w:t>
      </w:r>
      <w:r>
        <w:t xml:space="preserve">(as amended by that certain First Amendment to Revolving Credit Agreement dated as of February 28, 2024).</w:t>
      </w:r>
      <w:r>
        <w:t xml:space="preserve">”</w:t>
      </w:r>
    </w:p>
    <w:p>
      <w:pPr>
        <w:pStyle w:val="FirstParagraph"/>
      </w:pPr>
      <w:r>
        <w:rPr>
          <w:b/>
          <w:bCs/>
        </w:rPr>
        <w:t xml:space="preserve">Analysis.</w:t>
      </w:r>
      <w:r>
        <w:t xml:space="preserve"> </w:t>
      </w:r>
      <w:r>
        <w:t xml:space="preserve">The dates differ by approximately one year. The Credit Agreement Summary references a First Amendment dated February 28, 2024, which is consistent with a 2023 original but not with a 2022 original. The Registration Statement’s</w:t>
      </w:r>
      <w:r>
        <w:t xml:space="preserve"> </w:t>
      </w:r>
      <w:r>
        <w:t xml:space="preserve">“</w:t>
      </w:r>
      <w:r>
        <w:t xml:space="preserve">Material Contracts</w:t>
      </w:r>
      <w:r>
        <w:t xml:space="preserve">”</w:t>
      </w:r>
      <w:r>
        <w:t xml:space="preserve"> </w:t>
      </w:r>
      <w:r>
        <w:t xml:space="preserve">disclosure of the agreement date must be accurate.</w:t>
      </w:r>
    </w:p>
    <w:p>
      <w:pPr>
        <w:pStyle w:val="BodyText"/>
      </w:pPr>
      <w:r>
        <w:rPr>
          <w:b/>
          <w:bCs/>
        </w:rPr>
        <w:t xml:space="preserve">Recommendation.</w:t>
      </w:r>
      <w:r>
        <w:t xml:space="preserve"> </w:t>
      </w:r>
      <w:r>
        <w:t xml:space="preserve">Confirm the original execution date and amendment history against the Credit Agreement and its amendments. Correct the Registration Statement if necessary. The Underwriting Agreement’s material-contracts representation (Section 3(k)) describes the facility by its key economic terms rather than by date, but the Registration Statement date must be reconciled.</w:t>
      </w:r>
    </w:p>
    <w:bookmarkEnd w:id="23"/>
    <w:bookmarkStart w:id="24" w:name="X0a623b63fe07f1fd8673936f386a330a28eda13"/>
    <w:p>
      <w:pPr>
        <w:pStyle w:val="Heading3"/>
      </w:pPr>
      <w:r>
        <w:t xml:space="preserve">Item 3 — Maturity Date of the Credit Facility [CRITICAL]</w:t>
      </w:r>
    </w:p>
    <w:p>
      <w:pPr>
        <w:pStyle w:val="FirstParagraph"/>
      </w:pPr>
      <w:r>
        <w:rPr>
          <w:b/>
          <w:bCs/>
        </w:rPr>
        <w:t xml:space="preserve">Documents in conflict:</w:t>
      </w:r>
    </w:p>
    <w:p>
      <w:pPr>
        <w:pStyle w:val="Compact"/>
        <w:numPr>
          <w:ilvl w:val="0"/>
          <w:numId w:val="1004"/>
        </w:numPr>
      </w:pPr>
      <w:r>
        <w:t xml:space="preserve">Registration Statement (Use of Proceeds; Material Contracts §IX.A):</w:t>
      </w:r>
      <w:r>
        <w:t xml:space="preserve"> </w:t>
      </w:r>
      <w:r>
        <w:t xml:space="preserve">“</w:t>
      </w:r>
      <w:r>
        <w:t xml:space="preserve">The facility matures on</w:t>
      </w:r>
      <w:r>
        <w:t xml:space="preserve"> </w:t>
      </w:r>
      <w:r>
        <w:rPr>
          <w:b/>
          <w:bCs/>
        </w:rPr>
        <w:t xml:space="preserve">December 31, 2026</w:t>
      </w:r>
      <w:r>
        <w:t xml:space="preserve">.</w:t>
      </w:r>
      <w:r>
        <w:t xml:space="preserve">”</w:t>
      </w:r>
    </w:p>
    <w:p>
      <w:pPr>
        <w:pStyle w:val="Compact"/>
        <w:numPr>
          <w:ilvl w:val="0"/>
          <w:numId w:val="1004"/>
        </w:numPr>
      </w:pPr>
      <w:r>
        <w:t xml:space="preserve">Credit Agreement Summary (§3):</w:t>
      </w:r>
      <w:r>
        <w:t xml:space="preserve"> </w:t>
      </w:r>
      <w:r>
        <w:t xml:space="preserve">“</w:t>
      </w:r>
      <w:r>
        <w:t xml:space="preserve">Maturity Date:</w:t>
      </w:r>
      <w:r>
        <w:t xml:space="preserve"> </w:t>
      </w:r>
      <w:r>
        <w:rPr>
          <w:b/>
          <w:bCs/>
        </w:rPr>
        <w:t xml:space="preserve">June 15, 2027</w:t>
      </w:r>
      <w:r>
        <w:t xml:space="preserve"> </w:t>
      </w:r>
      <w:r>
        <w:t xml:space="preserve">(four-year term from original execution).</w:t>
      </w:r>
      <w:r>
        <w:t xml:space="preserve">”</w:t>
      </w:r>
    </w:p>
    <w:p>
      <w:pPr>
        <w:pStyle w:val="FirstParagraph"/>
      </w:pPr>
      <w:r>
        <w:rPr>
          <w:b/>
          <w:bCs/>
        </w:rPr>
        <w:t xml:space="preserve">Analysis.</w:t>
      </w:r>
      <w:r>
        <w:t xml:space="preserve"> </w:t>
      </w:r>
      <w:r>
        <w:t xml:space="preserve">A six-and-a-half-month difference in stated maturity. The Credit Agreement Summary’s</w:t>
      </w:r>
      <w:r>
        <w:t xml:space="preserve"> </w:t>
      </w:r>
      <w:r>
        <w:t xml:space="preserve">“</w:t>
      </w:r>
      <w:r>
        <w:t xml:space="preserve">four-year term from original execution</w:t>
      </w:r>
      <w:r>
        <w:t xml:space="preserve">”</w:t>
      </w:r>
      <w:r>
        <w:t xml:space="preserve"> </w:t>
      </w:r>
      <w:r>
        <w:t xml:space="preserve">is internally consistent with a June 15, 2023 original (June 15, 2027 maturity) but not with a July 15, 2022 original. This compounds the Item 2 discrepancy.</w:t>
      </w:r>
    </w:p>
    <w:p>
      <w:pPr>
        <w:pStyle w:val="BodyText"/>
      </w:pPr>
      <w:r>
        <w:rPr>
          <w:b/>
          <w:bCs/>
        </w:rPr>
        <w:t xml:space="preserve">Recommendation.</w:t>
      </w:r>
      <w:r>
        <w:t xml:space="preserve"> </w:t>
      </w:r>
      <w:r>
        <w:t xml:space="preserve">Confirm the maturity date against the Credit Agreement. Correct the Registration Statement if necessary.</w:t>
      </w:r>
    </w:p>
    <w:bookmarkEnd w:id="24"/>
    <w:bookmarkStart w:id="25" w:name="Xea3e6db8f6609cac5dbd8263679c86d845ea328"/>
    <w:p>
      <w:pPr>
        <w:pStyle w:val="Heading3"/>
      </w:pPr>
      <w:r>
        <w:t xml:space="preserve">Item 4 — Interest Rate / Applicable Margin [CRITICAL]</w:t>
      </w:r>
    </w:p>
    <w:p>
      <w:pPr>
        <w:pStyle w:val="FirstParagraph"/>
      </w:pPr>
      <w:r>
        <w:rPr>
          <w:b/>
          <w:bCs/>
        </w:rPr>
        <w:t xml:space="preserve">Documents in conflict:</w:t>
      </w:r>
    </w:p>
    <w:p>
      <w:pPr>
        <w:pStyle w:val="Compact"/>
        <w:numPr>
          <w:ilvl w:val="0"/>
          <w:numId w:val="1005"/>
        </w:numPr>
      </w:pPr>
      <w:r>
        <w:t xml:space="preserve">Registration Statement (Use of Proceeds; Material Contracts §IX.A):</w:t>
      </w:r>
      <w:r>
        <w:t xml:space="preserve"> </w:t>
      </w:r>
      <w:r>
        <w:t xml:space="preserve">“</w:t>
      </w:r>
      <w:r>
        <w:t xml:space="preserve">Borrowings under the facility bear interest at a rate of</w:t>
      </w:r>
      <w:r>
        <w:t xml:space="preserve"> </w:t>
      </w:r>
      <w:r>
        <w:rPr>
          <w:b/>
          <w:bCs/>
        </w:rPr>
        <w:t xml:space="preserve">SOFR plus 2.50%</w:t>
      </w:r>
      <w:r>
        <w:t xml:space="preserve"> </w:t>
      </w:r>
      <w:r>
        <w:t xml:space="preserve">per annum.</w:t>
      </w:r>
      <w:r>
        <w:t xml:space="preserve">”</w:t>
      </w:r>
    </w:p>
    <w:p>
      <w:pPr>
        <w:pStyle w:val="Compact"/>
        <w:numPr>
          <w:ilvl w:val="0"/>
          <w:numId w:val="1005"/>
        </w:numPr>
      </w:pPr>
      <w:r>
        <w:t xml:space="preserve">Credit Agreement Summary (§4): pricing grid of SOFR + 2.25% / 2.75% / 3.25% based on Total Net Leverage Ratio; current applicable margin</w:t>
      </w:r>
      <w:r>
        <w:t xml:space="preserve"> </w:t>
      </w:r>
      <w:r>
        <w:rPr>
          <w:b/>
          <w:bCs/>
        </w:rPr>
        <w:t xml:space="preserve">SOFR + 2.25%</w:t>
      </w:r>
      <w:r>
        <w:t xml:space="preserve">.</w:t>
      </w:r>
    </w:p>
    <w:p>
      <w:pPr>
        <w:pStyle w:val="FirstParagraph"/>
      </w:pPr>
      <w:r>
        <w:rPr>
          <w:b/>
          <w:bCs/>
        </w:rPr>
        <w:t xml:space="preserve">Analysis.</w:t>
      </w:r>
      <w:r>
        <w:t xml:space="preserve"> </w:t>
      </w:r>
      <w:r>
        <w:t xml:space="preserve">The Registration Statement discloses a flat SOFR + 2.50%, while the Credit Agreement Summary describes a leverage-based grid with a current margin of SOFR + 2.25%. If the facility in fact prices off a grid, the Registration Statement’s flat-rate disclosure is incomplete and potentially misleading.</w:t>
      </w:r>
    </w:p>
    <w:p>
      <w:pPr>
        <w:pStyle w:val="BodyText"/>
      </w:pPr>
      <w:r>
        <w:rPr>
          <w:b/>
          <w:bCs/>
        </w:rPr>
        <w:t xml:space="preserve">Recommendation.</w:t>
      </w:r>
      <w:r>
        <w:t xml:space="preserve"> </w:t>
      </w:r>
      <w:r>
        <w:t xml:space="preserve">Confirm the pricing mechanism against the Credit Agreement. If a grid applies, update the Registration Statement to describe the grid and the current applicable margin. Reconcile before closing.</w:t>
      </w:r>
    </w:p>
    <w:bookmarkEnd w:id="25"/>
    <w:bookmarkStart w:id="26" w:name="X57b97d4a684b6c5840e49fa5287a47e92b02525"/>
    <w:p>
      <w:pPr>
        <w:pStyle w:val="Heading3"/>
      </w:pPr>
      <w:r>
        <w:t xml:space="preserve">Item 5 — Change-of-Control Threshold [CRITICAL]</w:t>
      </w:r>
    </w:p>
    <w:p>
      <w:pPr>
        <w:pStyle w:val="FirstParagraph"/>
      </w:pPr>
      <w:r>
        <w:rPr>
          <w:b/>
          <w:bCs/>
        </w:rPr>
        <w:t xml:space="preserve">Documents in conflict:</w:t>
      </w:r>
    </w:p>
    <w:p>
      <w:pPr>
        <w:pStyle w:val="Compact"/>
        <w:numPr>
          <w:ilvl w:val="0"/>
          <w:numId w:val="1006"/>
        </w:numPr>
      </w:pPr>
      <w:r>
        <w:t xml:space="preserve">Registration Statement (Risk Factors; Material Contracts §IX.A): change of control defined as acquisition of</w:t>
      </w:r>
      <w:r>
        <w:t xml:space="preserve"> </w:t>
      </w:r>
      <w:r>
        <w:t xml:space="preserve">“</w:t>
      </w:r>
      <w:r>
        <w:t xml:space="preserve">more than</w:t>
      </w:r>
      <w:r>
        <w:t xml:space="preserve"> </w:t>
      </w:r>
      <w:r>
        <w:rPr>
          <w:b/>
          <w:bCs/>
        </w:rPr>
        <w:t xml:space="preserve">50%</w:t>
      </w:r>
      <w:r>
        <w:t xml:space="preserve"> </w:t>
      </w:r>
      <w:r>
        <w:t xml:space="preserve">of our outstanding voting stock.</w:t>
      </w:r>
      <w:r>
        <w:t xml:space="preserve">”</w:t>
      </w:r>
    </w:p>
    <w:p>
      <w:pPr>
        <w:pStyle w:val="Compact"/>
        <w:numPr>
          <w:ilvl w:val="0"/>
          <w:numId w:val="1006"/>
        </w:numPr>
      </w:pPr>
      <w:r>
        <w:t xml:space="preserve">Credit Agreement Summary (§9): change of control defined as acquisition of</w:t>
      </w:r>
      <w:r>
        <w:t xml:space="preserve"> </w:t>
      </w:r>
      <w:r>
        <w:t xml:space="preserve">“</w:t>
      </w:r>
      <w:r>
        <w:t xml:space="preserve">more than</w:t>
      </w:r>
      <w:r>
        <w:t xml:space="preserve"> </w:t>
      </w:r>
      <w:r>
        <w:rPr>
          <w:b/>
          <w:bCs/>
        </w:rPr>
        <w:t xml:space="preserve">35%</w:t>
      </w:r>
      <w:r>
        <w:t xml:space="preserve"> </w:t>
      </w:r>
      <w:r>
        <w:t xml:space="preserve">of the outstanding voting equity interests.</w:t>
      </w:r>
      <w:r>
        <w:t xml:space="preserve">”</w:t>
      </w:r>
    </w:p>
    <w:p>
      <w:pPr>
        <w:pStyle w:val="FirstParagraph"/>
      </w:pPr>
      <w:r>
        <w:rPr>
          <w:b/>
          <w:bCs/>
        </w:rPr>
        <w:t xml:space="preserve">Analysis.</w:t>
      </w:r>
      <w:r>
        <w:t xml:space="preserve"> </w:t>
      </w:r>
      <w:r>
        <w:t xml:space="preserve">A 35% threshold is materially more likely to be triggered than a 50% threshold. Post-Offering, the largest holder (Dr. Krishnamurthy) will own approximately 15.8%, so neither threshold is implicated by the Offering itself; however, the disclosed threshold affects investor understanding of acceleration risk and the accuracy of the Registration Statement. The Credit Agreement Summary’s own change-of-control analysis (§9) is premised on the 35% threshold.</w:t>
      </w:r>
    </w:p>
    <w:p>
      <w:pPr>
        <w:pStyle w:val="BodyText"/>
      </w:pPr>
      <w:r>
        <w:rPr>
          <w:b/>
          <w:bCs/>
        </w:rPr>
        <w:t xml:space="preserve">Recommendation.</w:t>
      </w:r>
      <w:r>
        <w:t xml:space="preserve"> </w:t>
      </w:r>
      <w:r>
        <w:t xml:space="preserve">Confirm the actual change-of-control definition against the Credit Agreement. Correct the Registration Statement if the 35% threshold is correct. This is important for the accuracy of the Risk Factors and Material Contracts disclosures.</w:t>
      </w:r>
    </w:p>
    <w:bookmarkEnd w:id="26"/>
    <w:bookmarkStart w:id="27" w:name="X4d7b47a788fa8baf8c8efc3a6f86f5aabf7adec"/>
    <w:p>
      <w:pPr>
        <w:pStyle w:val="Heading3"/>
      </w:pPr>
      <w:r>
        <w:t xml:space="preserve">Item 6 — Mandatory Prepayment vs. Use of Proceeds [CRITICAL]</w:t>
      </w:r>
    </w:p>
    <w:p>
      <w:pPr>
        <w:pStyle w:val="FirstParagraph"/>
      </w:pPr>
      <w:r>
        <w:rPr>
          <w:b/>
          <w:bCs/>
        </w:rPr>
        <w:t xml:space="preserve">Documents in conflict:</w:t>
      </w:r>
    </w:p>
    <w:p>
      <w:pPr>
        <w:pStyle w:val="Compact"/>
        <w:numPr>
          <w:ilvl w:val="0"/>
          <w:numId w:val="1007"/>
        </w:numPr>
      </w:pPr>
      <w:r>
        <w:t xml:space="preserve">Registration Statement (Use of Proceeds):</w:t>
      </w:r>
      <w:r>
        <w:t xml:space="preserve"> </w:t>
      </w:r>
      <w:r>
        <w:t xml:space="preserve">“</w:t>
      </w:r>
      <w:r>
        <w:t xml:space="preserve">approximately</w:t>
      </w:r>
      <w:r>
        <w:t xml:space="preserve"> </w:t>
      </w:r>
      <w:r>
        <w:rPr>
          <w:b/>
          <w:bCs/>
        </w:rPr>
        <w:t xml:space="preserve">$10 million</w:t>
      </w:r>
      <w:r>
        <w:t xml:space="preserve"> </w:t>
      </w:r>
      <w:r>
        <w:t xml:space="preserve">to repay a portion of the outstanding balance under our revolving credit facility.</w:t>
      </w:r>
      <w:r>
        <w:t xml:space="preserve">”</w:t>
      </w:r>
    </w:p>
    <w:p>
      <w:pPr>
        <w:pStyle w:val="Compact"/>
        <w:numPr>
          <w:ilvl w:val="0"/>
          <w:numId w:val="1007"/>
        </w:numPr>
      </w:pPr>
      <w:r>
        <w:t xml:space="preserve">Registration Statement (Risk Factors):</w:t>
      </w:r>
      <w:r>
        <w:t xml:space="preserve"> </w:t>
      </w:r>
      <w:r>
        <w:t xml:space="preserve">“</w:t>
      </w:r>
      <w:r>
        <w:t xml:space="preserve">we expect to be required to make a mandatory prepayment of approximately</w:t>
      </w:r>
      <w:r>
        <w:t xml:space="preserve"> </w:t>
      </w:r>
      <w:r>
        <w:rPr>
          <w:b/>
          <w:bCs/>
        </w:rPr>
        <w:t xml:space="preserve">$15.2 million</w:t>
      </w:r>
      <w:r>
        <w:t xml:space="preserve"> </w:t>
      </w:r>
      <w:r>
        <w:t xml:space="preserve">under the credit facility.</w:t>
      </w:r>
      <w:r>
        <w:t xml:space="preserve">”</w:t>
      </w:r>
    </w:p>
    <w:p>
      <w:pPr>
        <w:pStyle w:val="Compact"/>
        <w:numPr>
          <w:ilvl w:val="0"/>
          <w:numId w:val="1007"/>
        </w:numPr>
      </w:pPr>
      <w:r>
        <w:t xml:space="preserve">Credit Agreement Summary (§6): mandatory prepayment of</w:t>
      </w:r>
      <w:r>
        <w:t xml:space="preserve"> </w:t>
      </w:r>
      <w:r>
        <w:rPr>
          <w:b/>
          <w:bCs/>
        </w:rPr>
        <w:t xml:space="preserve">$15,240,000</w:t>
      </w:r>
      <w:r>
        <w:t xml:space="preserve"> </w:t>
      </w:r>
      <w:r>
        <w:t xml:space="preserve">(or $13,640,000 if offering expenses are deductible from Net Equity Proceeds); expressly flags that the $10 million Use of Proceeds disclosure</w:t>
      </w:r>
      <w:r>
        <w:t xml:space="preserve"> </w:t>
      </w:r>
      <w:r>
        <w:t xml:space="preserve">“</w:t>
      </w:r>
      <w:r>
        <w:t xml:space="preserve">understates the mandatory prepayment obligation by $3,640,000 to $5,240,000.</w:t>
      </w:r>
      <w:r>
        <w:t xml:space="preserve">”</w:t>
      </w:r>
    </w:p>
    <w:p>
      <w:pPr>
        <w:pStyle w:val="FirstParagraph"/>
      </w:pPr>
      <w:r>
        <w:rPr>
          <w:b/>
          <w:bCs/>
        </w:rPr>
        <w:t xml:space="preserve">Analysis.</w:t>
      </w:r>
      <w:r>
        <w:t xml:space="preserve"> </w:t>
      </w:r>
      <w:r>
        <w:t xml:space="preserve">The Registration Statement is internally inconsistent: the Use of Proceeds section discloses $10 million of repayment, while the Risk Factors section discloses a mandatory prepayment of approximately $15.2 million. The Credit Agreement’s mandatory prepayment formula (50% of Net Equity Proceeds in excess of $150 million) yields approximately $15.24 million on the assumed $24.00 price (or $13.64 million if the $3.2 million of offering expenses are deductible from</w:t>
      </w:r>
      <w:r>
        <w:t xml:space="preserve"> </w:t>
      </w:r>
      <w:r>
        <w:t xml:space="preserve">“</w:t>
      </w:r>
      <w:r>
        <w:t xml:space="preserve">Net Equity Proceeds</w:t>
      </w:r>
      <w:r>
        <w:t xml:space="preserve">”</w:t>
      </w:r>
      <w:r>
        <w:t xml:space="preserve">). The $10 million figure in Use of Proceeds appears to reflect only the Company’s discretionary intended repayment, not the contractual mandatory prepayment. This is a potential material misstatement in the Registration Statement, as the Credit Agreement Summary itself warns.</w:t>
      </w:r>
    </w:p>
    <w:p>
      <w:pPr>
        <w:pStyle w:val="BodyText"/>
      </w:pPr>
      <w:r>
        <w:rPr>
          <w:b/>
          <w:bCs/>
        </w:rPr>
        <w:t xml:space="preserve">Recommendation.</w:t>
      </w:r>
      <w:r>
        <w:t xml:space="preserve"> </w:t>
      </w:r>
      <w:r>
        <w:t xml:space="preserve">(a) Company counsel should confirm the precise interpretation of</w:t>
      </w:r>
      <w:r>
        <w:t xml:space="preserve"> </w:t>
      </w:r>
      <w:r>
        <w:t xml:space="preserve">“</w:t>
      </w:r>
      <w:r>
        <w:t xml:space="preserve">Net Equity Proceeds</w:t>
      </w:r>
      <w:r>
        <w:t xml:space="preserve">”</w:t>
      </w:r>
      <w:r>
        <w:t xml:space="preserve"> </w:t>
      </w:r>
      <w:r>
        <w:t xml:space="preserve">and whether offering expenses are deductible. (b) The Use of Proceeds section of the Final Prospectus must be revised to accurately state the mandatory prepayment obligation (approximately $15.2 million, or the confirmed amount). (c) The Underwriting Agreement’s use-of-proceeds covenant (Section 5(f)) has been drafted to require application of net proceeds</w:t>
      </w:r>
      <w:r>
        <w:t xml:space="preserve"> </w:t>
      </w:r>
      <w:r>
        <w:t xml:space="preserve">“</w:t>
      </w:r>
      <w:r>
        <w:t xml:space="preserve">in accordance with the mandatory prepayment provisions of the credit agreement,</w:t>
      </w:r>
      <w:r>
        <w:t xml:space="preserve">”</w:t>
      </w:r>
      <w:r>
        <w:t xml:space="preserve"> </w:t>
      </w:r>
      <w:r>
        <w:t xml:space="preserve">which is consistent with the contractual obligation. (d) The Capitalization table’s pro forma indebtedness figure ($12.5 million, reflecting a $10 million repayment) should be revisited to reflect the actual mandatory prepayment.</w:t>
      </w:r>
    </w:p>
    <w:bookmarkEnd w:id="27"/>
    <w:bookmarkStart w:id="28" w:name="item-7-financial-covenants-critical"/>
    <w:p>
      <w:pPr>
        <w:pStyle w:val="Heading3"/>
      </w:pPr>
      <w:r>
        <w:t xml:space="preserve">Item 7 — Financial Covenants [CRITICAL]</w:t>
      </w:r>
    </w:p>
    <w:p>
      <w:pPr>
        <w:pStyle w:val="FirstParagraph"/>
      </w:pPr>
      <w:r>
        <w:rPr>
          <w:b/>
          <w:bCs/>
        </w:rPr>
        <w:t xml:space="preserve">Documents in conflict:</w:t>
      </w:r>
    </w:p>
    <w:p>
      <w:pPr>
        <w:pStyle w:val="Compact"/>
        <w:numPr>
          <w:ilvl w:val="0"/>
          <w:numId w:val="1008"/>
        </w:numPr>
      </w:pPr>
      <w:r>
        <w:t xml:space="preserve">Registration Statement (Material Contracts §IX.A): financial covenants of (i) minimum unrestricted cash of $15,000,000; (ii) maximum total leverage ratio of 3.00 to 1.00; and (iii)</w:t>
      </w:r>
      <w:r>
        <w:t xml:space="preserve"> </w:t>
      </w:r>
      <w:r>
        <w:rPr>
          <w:b/>
          <w:bCs/>
        </w:rPr>
        <w:t xml:space="preserve">minimum interest coverage ratio of not less than 3.00 to 1.00</w:t>
      </w:r>
      <w:r>
        <w:t xml:space="preserve">.</w:t>
      </w:r>
    </w:p>
    <w:p>
      <w:pPr>
        <w:pStyle w:val="Compact"/>
        <w:numPr>
          <w:ilvl w:val="0"/>
          <w:numId w:val="1008"/>
        </w:numPr>
      </w:pPr>
      <w:r>
        <w:t xml:space="preserve">Credit Agreement Summary (§7): financial covenants of (i)</w:t>
      </w:r>
      <w:r>
        <w:t xml:space="preserve"> </w:t>
      </w:r>
      <w:r>
        <w:rPr>
          <w:b/>
          <w:bCs/>
        </w:rPr>
        <w:t xml:space="preserve">minimum revenue of $200,000,000 (TTM)</w:t>
      </w:r>
      <w:r>
        <w:t xml:space="preserve">; (ii) maximum Total Net Leverage Ratio of 3.00x; (iii) minimum liquidity of $15,000,000; and (iv)</w:t>
      </w:r>
      <w:r>
        <w:t xml:space="preserve"> </w:t>
      </w:r>
      <w:r>
        <w:rPr>
          <w:b/>
          <w:bCs/>
        </w:rPr>
        <w:t xml:space="preserve">Fixed Charge Coverage Ratio of not less than 1.25 to 1.00</w:t>
      </w:r>
      <w:r>
        <w:t xml:space="preserve">.</w:t>
      </w:r>
    </w:p>
    <w:p>
      <w:pPr>
        <w:pStyle w:val="FirstParagraph"/>
      </w:pPr>
      <w:r>
        <w:rPr>
          <w:b/>
          <w:bCs/>
        </w:rPr>
        <w:t xml:space="preserve">Analysis.</w:t>
      </w:r>
      <w:r>
        <w:t xml:space="preserve"> </w:t>
      </w:r>
      <w:r>
        <w:t xml:space="preserve">The Registration Statement omits the minimum revenue covenant and substitutes a</w:t>
      </w:r>
      <w:r>
        <w:t xml:space="preserve"> </w:t>
      </w:r>
      <w:r>
        <w:t xml:space="preserve">“</w:t>
      </w:r>
      <w:r>
        <w:t xml:space="preserve">minimum interest coverage ratio of 3.00x</w:t>
      </w:r>
      <w:r>
        <w:t xml:space="preserve">”</w:t>
      </w:r>
      <w:r>
        <w:t xml:space="preserve"> </w:t>
      </w:r>
      <w:r>
        <w:t xml:space="preserve">for the Credit Agreement Summary’s</w:t>
      </w:r>
      <w:r>
        <w:t xml:space="preserve"> </w:t>
      </w:r>
      <w:r>
        <w:t xml:space="preserve">“</w:t>
      </w:r>
      <w:r>
        <w:t xml:space="preserve">Fixed Charge Coverage Ratio of 1.25x.</w:t>
      </w:r>
      <w:r>
        <w:t xml:space="preserve">”</w:t>
      </w:r>
      <w:r>
        <w:t xml:space="preserve"> </w:t>
      </w:r>
      <w:r>
        <w:t xml:space="preserve">These are different covenants with different thresholds. The Registration Statement’s disclosure of the financial covenants is incomplete and, as to the coverage ratio, potentially inaccurate.</w:t>
      </w:r>
    </w:p>
    <w:p>
      <w:pPr>
        <w:pStyle w:val="BodyText"/>
      </w:pPr>
      <w:r>
        <w:rPr>
          <w:b/>
          <w:bCs/>
        </w:rPr>
        <w:t xml:space="preserve">Recommendation.</w:t>
      </w:r>
      <w:r>
        <w:t xml:space="preserve"> </w:t>
      </w:r>
      <w:r>
        <w:t xml:space="preserve">Confirm the actual financial covenants against the Credit Agreement. Update the Registration Statement’s Material Contracts disclosure to accurately describe all financial covenants, including the minimum revenue covenant and the correct coverage-ratio covenant and threshold.</w:t>
      </w:r>
    </w:p>
    <w:bookmarkEnd w:id="28"/>
    <w:bookmarkStart w:id="29" w:name="Xa63d18e959cd678aaf8448e96aeca3928a7e667"/>
    <w:p>
      <w:pPr>
        <w:pStyle w:val="Heading3"/>
      </w:pPr>
      <w:r>
        <w:t xml:space="preserve">Item 8 — Cascade Kestridge Ventures, LP: Entity Name, General Partner, Control Persons, and Address [CRITICAL]</w:t>
      </w:r>
    </w:p>
    <w:p>
      <w:pPr>
        <w:pStyle w:val="FirstParagraph"/>
      </w:pPr>
      <w:r>
        <w:rPr>
          <w:b/>
          <w:bCs/>
        </w:rPr>
        <w:t xml:space="preserve">Documents in conflict: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Attribute</w:t>
            </w:r>
          </w:p>
        </w:tc>
        <w:tc>
          <w:tcPr/>
          <w:p>
            <w:pPr>
              <w:pStyle w:val="Compact"/>
              <w:jc w:val="left"/>
            </w:pPr>
            <w:r>
              <w:t xml:space="preserve">Registration Statement (footnote 1)</w:t>
            </w:r>
          </w:p>
        </w:tc>
        <w:tc>
          <w:tcPr/>
          <w:p>
            <w:pPr>
              <w:pStyle w:val="Compact"/>
              <w:jc w:val="left"/>
            </w:pPr>
            <w:r>
              <w:t xml:space="preserve">Power of Attorney &amp; Custody Agreement (signature block / Schedule A)</w:t>
            </w:r>
          </w:p>
        </w:tc>
        <w:tc>
          <w:tcPr/>
          <w:p>
            <w:pPr>
              <w:pStyle w:val="Compact"/>
              <w:jc w:val="left"/>
            </w:pPr>
            <w:r>
              <w:t xml:space="preserve">Selling Stockholder Questionnaire</w:t>
            </w:r>
          </w:p>
        </w:tc>
        <w:tc>
          <w:tcPr/>
          <w:p>
            <w:pPr>
              <w:pStyle w:val="Compact"/>
              <w:jc w:val="left"/>
            </w:pPr>
            <w:r>
              <w:t xml:space="preserve">Credit Agreement Summary (§9)</w:t>
            </w:r>
          </w:p>
        </w:tc>
      </w:tr>
      <w:tr>
        <w:tc>
          <w:tcPr/>
          <w:p>
            <w:pPr>
              <w:pStyle w:val="Compact"/>
              <w:jc w:val="left"/>
            </w:pPr>
            <w:r>
              <w:t xml:space="preserve">Entity name</w:t>
            </w:r>
          </w:p>
        </w:tc>
        <w:tc>
          <w:tcPr/>
          <w:p>
            <w:pPr>
              <w:pStyle w:val="Compact"/>
              <w:jc w:val="left"/>
            </w:pPr>
            <w:r>
              <w:t xml:space="preserve">Cascade Kestridge Ventures, LP</w:t>
            </w:r>
          </w:p>
        </w:tc>
        <w:tc>
          <w:tcPr/>
          <w:p>
            <w:pPr>
              <w:pStyle w:val="Compact"/>
              <w:jc w:val="left"/>
            </w:pPr>
            <w:r>
              <w:rPr>
                <w:b/>
                <w:bCs/>
              </w:rPr>
              <w:t xml:space="preserve">Cascade Ridge Ventures, LP</w:t>
            </w:r>
            <w:r>
              <w:t xml:space="preserve"> </w:t>
            </w:r>
            <w:r>
              <w:t xml:space="preserve">(signature block)</w:t>
            </w:r>
          </w:p>
        </w:tc>
        <w:tc>
          <w:tcPr/>
          <w:p>
            <w:pPr>
              <w:pStyle w:val="Compact"/>
              <w:jc w:val="left"/>
            </w:pPr>
            <w:r>
              <w:t xml:space="preserve">Cascade Kestridge Ventures, LP</w:t>
            </w:r>
          </w:p>
        </w:tc>
        <w:tc>
          <w:tcPr/>
          <w:p>
            <w:pPr>
              <w:pStyle w:val="Compact"/>
              <w:jc w:val="left"/>
            </w:pPr>
            <w:r>
              <w:t xml:space="preserve">“</w:t>
            </w:r>
            <w:r>
              <w:t xml:space="preserve">Cascade Ridge Ventures</w:t>
            </w:r>
            <w:r>
              <w:t xml:space="preserve">”</w:t>
            </w:r>
          </w:p>
        </w:tc>
      </w:tr>
      <w:tr>
        <w:tc>
          <w:tcPr/>
          <w:p>
            <w:pPr>
              <w:pStyle w:val="Compact"/>
              <w:jc w:val="left"/>
            </w:pPr>
            <w:r>
              <w:t xml:space="preserve">General partner</w:t>
            </w:r>
          </w:p>
        </w:tc>
        <w:tc>
          <w:tcPr/>
          <w:p>
            <w:pPr>
              <w:pStyle w:val="Compact"/>
              <w:jc w:val="left"/>
            </w:pPr>
            <w:r>
              <w:t xml:space="preserve">Cascade Ridge Capital Management LLC</w:t>
            </w:r>
          </w:p>
        </w:tc>
        <w:tc>
          <w:tcPr/>
          <w:p>
            <w:pPr>
              <w:pStyle w:val="Compact"/>
              <w:jc w:val="left"/>
            </w:pPr>
            <w:r>
              <w:t xml:space="preserve">Cascade Ridge Capital Management, LLC</w:t>
            </w:r>
          </w:p>
        </w:tc>
        <w:tc>
          <w:tcPr/>
          <w:p>
            <w:pPr>
              <w:pStyle w:val="Compact"/>
              <w:jc w:val="left"/>
            </w:pPr>
            <w:r>
              <w:rPr>
                <w:b/>
                <w:bCs/>
              </w:rPr>
              <w:t xml:space="preserve">Cascade Kestridge Ventures Management, LLC</w:t>
            </w:r>
          </w:p>
        </w:tc>
        <w:tc>
          <w:tcPr/>
          <w:p>
            <w:pPr>
              <w:pStyle w:val="Compact"/>
              <w:jc w:val="left"/>
            </w:pPr>
            <w:r>
              <w:t xml:space="preserve">—</w:t>
            </w:r>
          </w:p>
        </w:tc>
      </w:tr>
      <w:tr>
        <w:tc>
          <w:tcPr/>
          <w:p>
            <w:pPr>
              <w:pStyle w:val="Compact"/>
              <w:jc w:val="left"/>
            </w:pPr>
            <w:r>
              <w:t xml:space="preserve">Controlling natural person(s)</w:t>
            </w:r>
          </w:p>
        </w:tc>
        <w:tc>
          <w:tcPr/>
          <w:p>
            <w:pPr>
              <w:pStyle w:val="Compact"/>
              <w:jc w:val="left"/>
            </w:pPr>
            <w:r>
              <w:rPr>
                <w:b/>
                <w:bCs/>
              </w:rPr>
              <w:t xml:space="preserve">James Whitfield</w:t>
            </w:r>
            <w:r>
              <w:t xml:space="preserve"> </w:t>
            </w:r>
            <w:r>
              <w:t xml:space="preserve">(managing member)</w:t>
            </w:r>
          </w:p>
        </w:tc>
        <w:tc>
          <w:tcPr/>
          <w:p>
            <w:pPr>
              <w:pStyle w:val="Compact"/>
              <w:jc w:val="left"/>
            </w:pPr>
            <w:r>
              <w:rPr>
                <w:b/>
                <w:bCs/>
              </w:rPr>
              <w:t xml:space="preserve">Margaret T. Okonkwo</w:t>
            </w:r>
            <w:r>
              <w:t xml:space="preserve"> </w:t>
            </w:r>
            <w:r>
              <w:t xml:space="preserve">(managing member)</w:t>
            </w:r>
          </w:p>
        </w:tc>
        <w:tc>
          <w:tcPr/>
          <w:p>
            <w:pPr>
              <w:pStyle w:val="Compact"/>
              <w:jc w:val="left"/>
            </w:pPr>
            <w:r>
              <w:rPr>
                <w:b/>
                <w:bCs/>
              </w:rPr>
              <w:t xml:space="preserve">Marcus J. Aldridge</w:t>
            </w:r>
            <w:r>
              <w:t xml:space="preserve"> </w:t>
            </w:r>
            <w:r>
              <w:t xml:space="preserve">and</w:t>
            </w:r>
            <w:r>
              <w:t xml:space="preserve"> </w:t>
            </w:r>
            <w:r>
              <w:rPr>
                <w:b/>
                <w:bCs/>
              </w:rPr>
              <w:t xml:space="preserve">Teresa Huang</w:t>
            </w:r>
          </w:p>
        </w:tc>
        <w:tc>
          <w:tcPr/>
          <w:p>
            <w:pPr>
              <w:pStyle w:val="Compact"/>
              <w:jc w:val="left"/>
            </w:pPr>
            <w:r>
              <w:t xml:space="preserve">—</w:t>
            </w:r>
          </w:p>
        </w:tc>
      </w:tr>
      <w:tr>
        <w:tc>
          <w:tcPr/>
          <w:p>
            <w:pPr>
              <w:pStyle w:val="Compact"/>
              <w:jc w:val="left"/>
            </w:pPr>
            <w:r>
              <w:t xml:space="preserve">Address</w:t>
            </w:r>
          </w:p>
        </w:tc>
        <w:tc>
          <w:tcPr/>
          <w:p>
            <w:pPr>
              <w:pStyle w:val="Compact"/>
              <w:jc w:val="left"/>
            </w:pPr>
            <w:r>
              <w:t xml:space="preserve">1200 Fourth Avenue, Suite 3000, Seattle, WA 98101</w:t>
            </w:r>
          </w:p>
        </w:tc>
        <w:tc>
          <w:tcPr/>
          <w:p>
            <w:pPr>
              <w:pStyle w:val="Compact"/>
              <w:jc w:val="left"/>
            </w:pPr>
            <w:r>
              <w:t xml:space="preserve">(blank on signature page)</w:t>
            </w:r>
          </w:p>
        </w:tc>
        <w:tc>
          <w:tcPr/>
          <w:p>
            <w:pPr>
              <w:pStyle w:val="Compact"/>
              <w:jc w:val="left"/>
            </w:pPr>
            <w:r>
              <w:t xml:space="preserve">2800 Sand Hill Road, Suite 210, Menlo Park, CA 94025</w:t>
            </w:r>
          </w:p>
        </w:tc>
        <w:tc>
          <w:tcPr/>
          <w:p>
            <w:pPr>
              <w:pStyle w:val="Compact"/>
              <w:jc w:val="left"/>
            </w:pPr>
            <w:r>
              <w:t xml:space="preserve">—</w:t>
            </w:r>
          </w:p>
        </w:tc>
      </w:tr>
    </w:tbl>
    <w:p>
      <w:pPr>
        <w:pStyle w:val="BodyText"/>
      </w:pPr>
      <w:r>
        <w:rPr>
          <w:b/>
          <w:bCs/>
        </w:rPr>
        <w:t xml:space="preserve">Analysis.</w:t>
      </w:r>
      <w:r>
        <w:t xml:space="preserve"> </w:t>
      </w:r>
      <w:r>
        <w:t xml:space="preserve">This is the most serious identity discrepancy in the transaction. The same Selling Stockholder is described by at least two different entity names (</w:t>
      </w:r>
      <w:r>
        <w:t xml:space="preserve">“</w:t>
      </w:r>
      <w:r>
        <w:t xml:space="preserve">Cascade Kestridge Ventures, LP</w:t>
      </w:r>
      <w:r>
        <w:t xml:space="preserve">”</w:t>
      </w:r>
      <w:r>
        <w:t xml:space="preserve"> </w:t>
      </w:r>
      <w:r>
        <w:t xml:space="preserve">vs. </w:t>
      </w:r>
      <w:r>
        <w:t xml:space="preserve">“</w:t>
      </w:r>
      <w:r>
        <w:t xml:space="preserve">Cascade Ridge Ventures, LP</w:t>
      </w:r>
      <w:r>
        <w:t xml:space="preserve">”</w:t>
      </w:r>
      <w:r>
        <w:t xml:space="preserve">), three different general-partner names, three different controlling natural persons, and two different addresses. Notably, the Power of Attorney and Custody Agreement is internally inconsistent: its recitals and Schedule A refer to</w:t>
      </w:r>
      <w:r>
        <w:t xml:space="preserve"> </w:t>
      </w:r>
      <w:r>
        <w:t xml:space="preserve">“</w:t>
      </w:r>
      <w:r>
        <w:t xml:space="preserve">Cascade Kestridge Ventures, LP,</w:t>
      </w:r>
      <w:r>
        <w:t xml:space="preserve">”</w:t>
      </w:r>
      <w:r>
        <w:t xml:space="preserve"> </w:t>
      </w:r>
      <w:r>
        <w:t xml:space="preserve">but its signature block is captioned</w:t>
      </w:r>
      <w:r>
        <w:t xml:space="preserve"> </w:t>
      </w:r>
      <w:r>
        <w:t xml:space="preserve">“</w:t>
      </w:r>
      <w:r>
        <w:t xml:space="preserve">CASCADE RIDGE VENTURES, LP.</w:t>
      </w:r>
      <w:r>
        <w:t xml:space="preserve">”</w:t>
      </w:r>
      <w:r>
        <w:t xml:space="preserve"> </w:t>
      </w:r>
      <w:r>
        <w:t xml:space="preserve">The Registration Statement’s beneficial-ownership disclosure (footnote 1) identifies James Whitfield as the managing member of the general partner, while the Selling Stockholder Questionnaire — the document on which the selling-stockholder representations and the Registration Statement disclosure are supposed to be based — identifies Marcus J. Aldridge and Teresa Huang as the persons with voting and investment control, and a different general partner.</w:t>
      </w:r>
    </w:p>
    <w:p>
      <w:pPr>
        <w:pStyle w:val="BodyText"/>
      </w:pPr>
      <w:r>
        <w:t xml:space="preserve">These discrepancies directly implicate: (i) the Selling Stockholder’s authority to sell (Section 4(a), (b) of the Underwriting Agreement); (ii) the accuracy of the Selling Stockholder Information furnished for the Registration Statement (Section 4(d)); (iii) the validity of the Power of Attorney and Custody Agreement and the authority of the attorneys-in-fact to execute the Underwriting Agreement on the Selling Stockholder’s behalf; and (iv) the Registration Statement’s beneficial-ownership disclosure.</w:t>
      </w:r>
    </w:p>
    <w:p>
      <w:pPr>
        <w:pStyle w:val="BodyText"/>
      </w:pPr>
      <w:r>
        <w:rPr>
          <w:b/>
          <w:bCs/>
        </w:rPr>
        <w:t xml:space="preserve">Recommendation.</w:t>
      </w:r>
      <w:r>
        <w:t xml:space="preserve"> </w:t>
      </w:r>
      <w:r>
        <w:t xml:space="preserve">(a) Obtain certified copies of the Selling Stockholder’s certificate/formation documents and the general partner’s formation documents to establish the correct legal name, general partner, and controlling persons. (b) Reconcile all four documents to a single, verified set of facts. (c) Correct the Registration Statement’s beneficial-ownership footnote. (d) Correct the Power of Attorney and Custody Agreement’s signature block to match the verified entity name, and confirm the signatory’s authority. (e) Confirm that the person who executed (or will execute) the Power of Attorney and Custody Agreement and the Selling Stockholder Questionnaire is duly authorized. The Underwriting Agreement has been drafted using</w:t>
      </w:r>
      <w:r>
        <w:t xml:space="preserve"> </w:t>
      </w:r>
      <w:r>
        <w:t xml:space="preserve">“</w:t>
      </w:r>
      <w:r>
        <w:t xml:space="preserve">Cascade Kestridge Ventures, LP</w:t>
      </w:r>
      <w:r>
        <w:t xml:space="preserve">”</w:t>
      </w:r>
      <w:r>
        <w:t xml:space="preserve"> </w:t>
      </w:r>
      <w:r>
        <w:t xml:space="preserve">(consistent with the Registration Statement, the Term Sheet, and the Questionnaire), but this election must be confirmed.</w:t>
      </w:r>
    </w:p>
    <w:bookmarkEnd w:id="29"/>
    <w:bookmarkStart w:id="30" w:name="X6e958a4cf646d574677629382020ec117231631"/>
    <w:p>
      <w:pPr>
        <w:pStyle w:val="Heading3"/>
      </w:pPr>
      <w:r>
        <w:t xml:space="preserve">Item 9 — Northlight Growth Partners Fund II, LP: General Partner and Control Persons [CRITICAL]</w:t>
      </w:r>
    </w:p>
    <w:p>
      <w:pPr>
        <w:pStyle w:val="FirstParagraph"/>
      </w:pPr>
      <w:r>
        <w:rPr>
          <w:b/>
          <w:bCs/>
        </w:rPr>
        <w:t xml:space="preserve">Documents in conflict: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Registration Statement (footnote 2)</w:t>
            </w:r>
          </w:p>
        </w:tc>
        <w:tc>
          <w:tcPr/>
          <w:p>
            <w:pPr>
              <w:pStyle w:val="Compact"/>
              <w:jc w:val="left"/>
            </w:pPr>
            <w:r>
              <w:t xml:space="preserve">Power of Attorney &amp; Custody Agreement (signature block)</w:t>
            </w:r>
          </w:p>
        </w:tc>
      </w:tr>
      <w:tr>
        <w:tc>
          <w:tcPr/>
          <w:p>
            <w:pPr>
              <w:pStyle w:val="Compact"/>
              <w:jc w:val="left"/>
            </w:pPr>
            <w:r>
              <w:t xml:space="preserve">General partner</w:t>
            </w:r>
          </w:p>
        </w:tc>
        <w:tc>
          <w:tcPr/>
          <w:p>
            <w:pPr>
              <w:pStyle w:val="Compact"/>
              <w:jc w:val="left"/>
            </w:pPr>
            <w:r>
              <w:t xml:space="preserve">Northlight Capital Advisors LLC</w:t>
            </w:r>
          </w:p>
        </w:tc>
        <w:tc>
          <w:tcPr/>
          <w:p>
            <w:pPr>
              <w:pStyle w:val="Compact"/>
              <w:jc w:val="left"/>
            </w:pPr>
            <w:r>
              <w:rPr>
                <w:b/>
                <w:bCs/>
              </w:rPr>
              <w:t xml:space="preserve">Northlight Growth Advisors, LLC</w:t>
            </w:r>
          </w:p>
        </w:tc>
      </w:tr>
      <w:tr>
        <w:tc>
          <w:tcPr/>
          <w:p>
            <w:pPr>
              <w:pStyle w:val="Compact"/>
              <w:jc w:val="left"/>
            </w:pPr>
            <w:r>
              <w:t xml:space="preserve">Controlling natural person</w:t>
            </w:r>
          </w:p>
        </w:tc>
        <w:tc>
          <w:tcPr/>
          <w:p>
            <w:pPr>
              <w:pStyle w:val="Compact"/>
              <w:jc w:val="left"/>
            </w:pPr>
            <w:r>
              <w:rPr>
                <w:b/>
                <w:bCs/>
              </w:rPr>
              <w:t xml:space="preserve">Caroline Briggs</w:t>
            </w:r>
            <w:r>
              <w:t xml:space="preserve"> </w:t>
            </w:r>
            <w:r>
              <w:t xml:space="preserve">(managing member)</w:t>
            </w:r>
          </w:p>
        </w:tc>
        <w:tc>
          <w:tcPr/>
          <w:p>
            <w:pPr>
              <w:pStyle w:val="Compact"/>
              <w:jc w:val="left"/>
            </w:pPr>
            <w:r>
              <w:rPr>
                <w:b/>
                <w:bCs/>
              </w:rPr>
              <w:t xml:space="preserve">Eric P. Johansson</w:t>
            </w:r>
            <w:r>
              <w:t xml:space="preserve"> </w:t>
            </w:r>
            <w:r>
              <w:t xml:space="preserve">(managing partner)</w:t>
            </w:r>
          </w:p>
        </w:tc>
      </w:tr>
      <w:tr>
        <w:tc>
          <w:tcPr/>
          <w:p>
            <w:pPr>
              <w:pStyle w:val="Compact"/>
              <w:jc w:val="left"/>
            </w:pPr>
            <w:r>
              <w:t xml:space="preserve">Address</w:t>
            </w:r>
          </w:p>
        </w:tc>
        <w:tc>
          <w:tcPr/>
          <w:p>
            <w:pPr>
              <w:pStyle w:val="Compact"/>
              <w:jc w:val="left"/>
            </w:pPr>
            <w:r>
              <w:t xml:space="preserve">500 Boylston Street, Suite 2400, Boston, MA 02116</w:t>
            </w:r>
          </w:p>
        </w:tc>
        <w:tc>
          <w:tcPr/>
          <w:p>
            <w:pPr>
              <w:pStyle w:val="Compact"/>
              <w:jc w:val="left"/>
            </w:pPr>
            <w:r>
              <w:t xml:space="preserve">(blank on signature page)</w:t>
            </w:r>
          </w:p>
        </w:tc>
      </w:tr>
    </w:tbl>
    <w:p>
      <w:pPr>
        <w:pStyle w:val="BodyText"/>
      </w:pPr>
      <w:r>
        <w:rPr>
          <w:b/>
          <w:bCs/>
        </w:rPr>
        <w:t xml:space="preserve">Analysis.</w:t>
      </w:r>
      <w:r>
        <w:t xml:space="preserve"> </w:t>
      </w:r>
      <w:r>
        <w:t xml:space="preserve">Parallel to Item 8, the general partner and controlling natural person of Northlight Growth Partners Fund II, LP are stated inconsistently. The Registration Statement identifies</w:t>
      </w:r>
      <w:r>
        <w:t xml:space="preserve"> </w:t>
      </w:r>
      <w:r>
        <w:t xml:space="preserve">“</w:t>
      </w:r>
      <w:r>
        <w:t xml:space="preserve">Northlight Capital Advisors LLC</w:t>
      </w:r>
      <w:r>
        <w:t xml:space="preserve">”</w:t>
      </w:r>
      <w:r>
        <w:t xml:space="preserve"> </w:t>
      </w:r>
      <w:r>
        <w:t xml:space="preserve">as the general partner and Caroline Briggs as the managing member, while the Power of Attorney and Custody Agreement identifies</w:t>
      </w:r>
      <w:r>
        <w:t xml:space="preserve"> </w:t>
      </w:r>
      <w:r>
        <w:t xml:space="preserve">“</w:t>
      </w:r>
      <w:r>
        <w:t xml:space="preserve">Northlight Growth Advisors, LLC</w:t>
      </w:r>
      <w:r>
        <w:t xml:space="preserve">”</w:t>
      </w:r>
      <w:r>
        <w:t xml:space="preserve"> </w:t>
      </w:r>
      <w:r>
        <w:t xml:space="preserve">as the general partner and Eric P. Johansson as the signatory. The Northlight Selling Stockholder Questionnaire was not provided for review (see Item 24).</w:t>
      </w:r>
    </w:p>
    <w:p>
      <w:pPr>
        <w:pStyle w:val="BodyText"/>
      </w:pPr>
      <w:r>
        <w:rPr>
          <w:b/>
          <w:bCs/>
        </w:rPr>
        <w:t xml:space="preserve">Recommendation.</w:t>
      </w:r>
      <w:r>
        <w:t xml:space="preserve"> </w:t>
      </w:r>
      <w:r>
        <w:t xml:space="preserve">(a) Obtain the Northlight Selling Stockholder Questionnaire and certified formation documents. (b) Reconcile the general partner name and controlling persons across the Registration Statement, the Power of Attorney and Custody Agreement, and the Questionnaire. (c) Confirm the signatory’s authority to execute the Power of Attorney and Custody Agreement. (d) Correct the Registration Statement footnote if necessary.</w:t>
      </w:r>
    </w:p>
    <w:bookmarkEnd w:id="30"/>
    <w:bookmarkStart w:id="31" w:name="Xfb14ec9c292aebe437bdb0ef36d5b650ad603b0"/>
    <w:p>
      <w:pPr>
        <w:pStyle w:val="Heading3"/>
      </w:pPr>
      <w:r>
        <w:t xml:space="preserve">Item 10 — Over-Allotment Option: Source of Shares [CRITICAL]</w:t>
      </w:r>
    </w:p>
    <w:p>
      <w:pPr>
        <w:pStyle w:val="FirstParagraph"/>
      </w:pPr>
      <w:r>
        <w:rPr>
          <w:b/>
          <w:bCs/>
        </w:rPr>
        <w:t xml:space="preserve">Documents in conflict:</w:t>
      </w:r>
    </w:p>
    <w:p>
      <w:pPr>
        <w:pStyle w:val="Compact"/>
        <w:numPr>
          <w:ilvl w:val="0"/>
          <w:numId w:val="1009"/>
        </w:numPr>
      </w:pPr>
      <w:r>
        <w:t xml:space="preserve">Term Sheet (§2.2): option to purchase Additional Shares</w:t>
      </w:r>
      <w:r>
        <w:t xml:space="preserve"> </w:t>
      </w:r>
      <w:r>
        <w:t xml:space="preserve">“</w:t>
      </w:r>
      <w:r>
        <w:t xml:space="preserve">from the Company</w:t>
      </w:r>
      <w:r>
        <w:t xml:space="preserve"> </w:t>
      </w:r>
      <w:r>
        <w:rPr>
          <w:b/>
          <w:bCs/>
        </w:rPr>
        <w:t xml:space="preserve">and/or</w:t>
      </w:r>
      <w:r>
        <w:t xml:space="preserve"> </w:t>
      </w:r>
      <w:r>
        <w:t xml:space="preserve">the Selling Stockholders.</w:t>
      </w:r>
      <w:r>
        <w:t xml:space="preserve">”</w:t>
      </w:r>
    </w:p>
    <w:p>
      <w:pPr>
        <w:pStyle w:val="Compact"/>
        <w:numPr>
          <w:ilvl w:val="0"/>
          <w:numId w:val="1009"/>
        </w:numPr>
      </w:pPr>
      <w:r>
        <w:t xml:space="preserve">Registration Statement (cover page; §XI.B):</w:t>
      </w:r>
      <w:r>
        <w:t xml:space="preserve"> </w:t>
      </w:r>
      <w:r>
        <w:t xml:space="preserve">“</w:t>
      </w:r>
      <w:r>
        <w:t xml:space="preserve">to purchase up to 1,800,000 additional shares of common stock</w:t>
      </w:r>
      <w:r>
        <w:t xml:space="preserve"> </w:t>
      </w:r>
      <w:r>
        <w:rPr>
          <w:b/>
          <w:bCs/>
        </w:rPr>
        <w:t xml:space="preserve">from us</w:t>
      </w:r>
      <w:r>
        <w:t xml:space="preserve">.</w:t>
      </w:r>
      <w:r>
        <w:t xml:space="preserve">”</w:t>
      </w:r>
    </w:p>
    <w:p>
      <w:pPr>
        <w:pStyle w:val="Compact"/>
        <w:numPr>
          <w:ilvl w:val="0"/>
          <w:numId w:val="1009"/>
        </w:numPr>
      </w:pPr>
      <w:r>
        <w:t xml:space="preserve">Engagement Letter (§2):</w:t>
      </w:r>
      <w:r>
        <w:t xml:space="preserve"> </w:t>
      </w:r>
      <w:r>
        <w:t xml:space="preserve">“</w:t>
      </w:r>
      <w:r>
        <w:t xml:space="preserve">The over-allotment option shares shall be sourced</w:t>
      </w:r>
      <w:r>
        <w:t xml:space="preserve"> </w:t>
      </w:r>
      <w:r>
        <w:rPr>
          <w:b/>
          <w:bCs/>
        </w:rPr>
        <w:t xml:space="preserve">exclusively from newly issued Company shares</w:t>
      </w:r>
      <w:r>
        <w:t xml:space="preserve">.</w:t>
      </w:r>
      <w:r>
        <w:t xml:space="preserve">”</w:t>
      </w:r>
    </w:p>
    <w:p>
      <w:pPr>
        <w:pStyle w:val="Compact"/>
        <w:numPr>
          <w:ilvl w:val="0"/>
          <w:numId w:val="1009"/>
        </w:numPr>
      </w:pPr>
      <w:r>
        <w:t xml:space="preserve">Selling Stockholder Questionnaire (Cascade, §2(b)):</w:t>
      </w:r>
      <w:r>
        <w:t xml:space="preserve"> </w:t>
      </w:r>
      <w:r>
        <w:t xml:space="preserve">“</w:t>
      </w:r>
      <w:r>
        <w:t xml:space="preserve">the over-allotment option is sourced</w:t>
      </w:r>
      <w:r>
        <w:t xml:space="preserve"> </w:t>
      </w:r>
      <w:r>
        <w:rPr>
          <w:b/>
          <w:bCs/>
        </w:rPr>
        <w:t xml:space="preserve">exclusively from newly issued shares of the Company</w:t>
      </w:r>
      <w:r>
        <w:t xml:space="preserve">.</w:t>
      </w:r>
      <w:r>
        <w:t xml:space="preserve">”</w:t>
      </w:r>
    </w:p>
    <w:p>
      <w:pPr>
        <w:pStyle w:val="FirstParagraph"/>
      </w:pPr>
      <w:r>
        <w:rPr>
          <w:b/>
          <w:bCs/>
        </w:rPr>
        <w:t xml:space="preserve">Analysis.</w:t>
      </w:r>
      <w:r>
        <w:t xml:space="preserve"> </w:t>
      </w:r>
      <w:r>
        <w:t xml:space="preserve">The Term Sheet is the outlier. The Registration Statement, the Engagement Letter, and the Selling Stockholder Questionnaire all confirm that the Over-Allotment Option is sourced exclusively from the Company. This is significant because it determines the Selling Stockholders’ maximum sale exposure (capped at their Firm Share allocations) and affects the Registration Statement disclosure. The Term Sheet is expressly non-binding and subordinate to the definitive Underwriting Agreement.</w:t>
      </w:r>
    </w:p>
    <w:p>
      <w:pPr>
        <w:pStyle w:val="BodyText"/>
      </w:pPr>
      <w:r>
        <w:rPr>
          <w:b/>
          <w:bCs/>
        </w:rPr>
        <w:t xml:space="preserve">Recommendation.</w:t>
      </w:r>
      <w:r>
        <w:t xml:space="preserve"> </w:t>
      </w:r>
      <w:r>
        <w:t xml:space="preserve">The Underwriting Agreement has been drafted to provide that the Over-Allotment Option is exercisable against the Company only, and that the Selling Stockholders shall have no obligation to sell Additional Shares (Section 2(b)). This is consistent with the Registration Statement, the Engagement Letter, and the Questionnaire. Confirm that the Term Sheet’s</w:t>
      </w:r>
      <w:r>
        <w:t xml:space="preserve"> </w:t>
      </w:r>
      <w:r>
        <w:t xml:space="preserve">“</w:t>
      </w:r>
      <w:r>
        <w:t xml:space="preserve">and/or</w:t>
      </w:r>
      <w:r>
        <w:t xml:space="preserve">”</w:t>
      </w:r>
      <w:r>
        <w:t xml:space="preserve"> </w:t>
      </w:r>
      <w:r>
        <w:t xml:space="preserve">language was superseded and that no Selling Stockholder expects to participate in the Over-Allotment Option.</w:t>
      </w:r>
    </w:p>
    <w:bookmarkEnd w:id="31"/>
    <w:bookmarkStart w:id="32" w:name="X681ca5145c8bb28afc0021a2429470c04ce11a4"/>
    <w:p>
      <w:pPr>
        <w:pStyle w:val="Heading3"/>
      </w:pPr>
      <w:r>
        <w:t xml:space="preserve">Item 11 — Dr. Krishnamurthy: Number of Selling Stockholder Shares [CRITICAL]</w:t>
      </w:r>
    </w:p>
    <w:p>
      <w:pPr>
        <w:pStyle w:val="FirstParagraph"/>
      </w:pPr>
      <w:r>
        <w:rPr>
          <w:b/>
          <w:bCs/>
        </w:rPr>
        <w:t xml:space="preserve">Documents in conflict:</w:t>
      </w:r>
    </w:p>
    <w:p>
      <w:pPr>
        <w:pStyle w:val="Compact"/>
        <w:numPr>
          <w:ilvl w:val="0"/>
          <w:numId w:val="1010"/>
        </w:numPr>
      </w:pPr>
      <w:r>
        <w:t xml:space="preserve">Term Sheet (§2.1): Dr. Krishnamurthy selling</w:t>
      </w:r>
      <w:r>
        <w:t xml:space="preserve"> </w:t>
      </w:r>
      <w:r>
        <w:rPr>
          <w:b/>
          <w:bCs/>
        </w:rPr>
        <w:t xml:space="preserve">500,000</w:t>
      </w:r>
      <w:r>
        <w:t xml:space="preserve"> </w:t>
      </w:r>
      <w:r>
        <w:t xml:space="preserve">shares.</w:t>
      </w:r>
    </w:p>
    <w:p>
      <w:pPr>
        <w:pStyle w:val="Compact"/>
        <w:numPr>
          <w:ilvl w:val="0"/>
          <w:numId w:val="1010"/>
        </w:numPr>
      </w:pPr>
      <w:r>
        <w:t xml:space="preserve">Registration Statement (beneficial ownership table): Dr. Krishnamurthy selling</w:t>
      </w:r>
      <w:r>
        <w:t xml:space="preserve"> </w:t>
      </w:r>
      <w:r>
        <w:rPr>
          <w:b/>
          <w:bCs/>
        </w:rPr>
        <w:t xml:space="preserve">500,000</w:t>
      </w:r>
      <w:r>
        <w:t xml:space="preserve"> </w:t>
      </w:r>
      <w:r>
        <w:t xml:space="preserve">shares.</w:t>
      </w:r>
    </w:p>
    <w:p>
      <w:pPr>
        <w:pStyle w:val="Compact"/>
        <w:numPr>
          <w:ilvl w:val="0"/>
          <w:numId w:val="1010"/>
        </w:numPr>
      </w:pPr>
      <w:r>
        <w:t xml:space="preserve">Power of Attorney and Custody Agreement (Schedule A): Dr. Krishnamurthy selling</w:t>
      </w:r>
      <w:r>
        <w:t xml:space="preserve"> </w:t>
      </w:r>
      <w:r>
        <w:t xml:space="preserve">“</w:t>
      </w:r>
      <w:r>
        <w:t xml:space="preserve">up to</w:t>
      </w:r>
      <w:r>
        <w:t xml:space="preserve"> </w:t>
      </w:r>
      <w:r>
        <w:rPr>
          <w:b/>
          <w:bCs/>
        </w:rPr>
        <w:t xml:space="preserve">500,000</w:t>
      </w:r>
      <w:r>
        <w:t xml:space="preserve"> </w:t>
      </w:r>
      <w:r>
        <w:t xml:space="preserve">shares.</w:t>
      </w:r>
      <w:r>
        <w:t xml:space="preserve">”</w:t>
      </w:r>
    </w:p>
    <w:p>
      <w:pPr>
        <w:pStyle w:val="Compact"/>
        <w:numPr>
          <w:ilvl w:val="0"/>
          <w:numId w:val="1010"/>
        </w:numPr>
      </w:pPr>
      <w:r>
        <w:t xml:space="preserve">Engagement Letter (§2; Annex A): Dr. Krishnamurthy selling</w:t>
      </w:r>
      <w:r>
        <w:t xml:space="preserve"> </w:t>
      </w:r>
      <w:r>
        <w:t xml:space="preserve">“</w:t>
      </w:r>
      <w:r>
        <w:rPr>
          <w:b/>
          <w:bCs/>
        </w:rPr>
        <w:t xml:space="preserve">up to 750,000</w:t>
      </w:r>
      <w:r>
        <w:t xml:space="preserve"> </w:t>
      </w:r>
      <w:r>
        <w:t xml:space="preserve">shares</w:t>
      </w:r>
      <w:r>
        <w:t xml:space="preserve">”</w:t>
      </w:r>
      <w:r>
        <w:t xml:space="preserve"> </w:t>
      </w:r>
      <w:r>
        <w:t xml:space="preserve">(with a baseline assumption of 500,000 for economic calculations).</w:t>
      </w:r>
    </w:p>
    <w:p>
      <w:pPr>
        <w:pStyle w:val="FirstParagraph"/>
      </w:pPr>
      <w:r>
        <w:rPr>
          <w:b/>
          <w:bCs/>
        </w:rPr>
        <w:t xml:space="preserve">Analysis.</w:t>
      </w:r>
      <w:r>
        <w:t xml:space="preserve"> </w:t>
      </w:r>
      <w:r>
        <w:t xml:space="preserve">The Engagement Letter contemplates</w:t>
      </w:r>
      <w:r>
        <w:t xml:space="preserve"> </w:t>
      </w:r>
      <w:r>
        <w:t xml:space="preserve">“</w:t>
      </w:r>
      <w:r>
        <w:t xml:space="preserve">up to 750,000</w:t>
      </w:r>
      <w:r>
        <w:t xml:space="preserve">”</w:t>
      </w:r>
      <w:r>
        <w:t xml:space="preserve"> </w:t>
      </w:r>
      <w:r>
        <w:t xml:space="preserve">shares for Dr. Krishnamurthy, while all other documents specify 500,000. The Engagement Letter is the outlier and predates the other documents. The Registration Statement (the controlling disclosure document) and the Power of Attorney and Custody Agreement both reflect 500,000.</w:t>
      </w:r>
    </w:p>
    <w:p>
      <w:pPr>
        <w:pStyle w:val="BodyText"/>
      </w:pPr>
      <w:r>
        <w:rPr>
          <w:b/>
          <w:bCs/>
        </w:rPr>
        <w:t xml:space="preserve">Recommendation.</w:t>
      </w:r>
      <w:r>
        <w:t xml:space="preserve"> </w:t>
      </w:r>
      <w:r>
        <w:t xml:space="preserve">The Underwriting Agreement has been drafted with 500,000 shares for Dr. Krishnamurthy (Schedule A), consistent with the Registration Statement, the Term Sheet, and the Power of Attorney and Custody Agreement. Confirm that 500,000 is the final figure and that the Engagement Letter’s</w:t>
      </w:r>
      <w:r>
        <w:t xml:space="preserve"> </w:t>
      </w:r>
      <w:r>
        <w:t xml:space="preserve">“</w:t>
      </w:r>
      <w:r>
        <w:t xml:space="preserve">up to 750,000</w:t>
      </w:r>
      <w:r>
        <w:t xml:space="preserve">”</w:t>
      </w:r>
      <w:r>
        <w:t xml:space="preserve"> </w:t>
      </w:r>
      <w:r>
        <w:t xml:space="preserve">was narrowed. If 750,000 is intended, the Registration Statement, the Power of Attorney and Custody Agreement, and the Term Sheet must all be amended, and the Selling Stockholder Questionnaire for Dr. Krishnamurthy must be obtained.</w:t>
      </w:r>
    </w:p>
    <w:bookmarkEnd w:id="32"/>
    <w:bookmarkStart w:id="33" w:name="Xbb291e94d0a09ed547ff61fe06036d5ade479a6"/>
    <w:p>
      <w:pPr>
        <w:pStyle w:val="Heading3"/>
      </w:pPr>
      <w:r>
        <w:t xml:space="preserve">Item 12 — Dr. Krishnamurthy: Shares Currently Held [HIGH]</w:t>
      </w:r>
    </w:p>
    <w:p>
      <w:pPr>
        <w:pStyle w:val="FirstParagraph"/>
      </w:pPr>
      <w:r>
        <w:rPr>
          <w:b/>
          <w:bCs/>
        </w:rPr>
        <w:t xml:space="preserve">Documents in conflict:</w:t>
      </w:r>
    </w:p>
    <w:p>
      <w:pPr>
        <w:pStyle w:val="Compact"/>
        <w:numPr>
          <w:ilvl w:val="0"/>
          <w:numId w:val="1011"/>
        </w:numPr>
      </w:pPr>
      <w:r>
        <w:t xml:space="preserve">Term Sheet (§2.1; §6.1): Dr. Krishnamurthy</w:t>
      </w:r>
      <w:r>
        <w:t xml:space="preserve"> </w:t>
      </w:r>
      <w:r>
        <w:t xml:space="preserve">“</w:t>
      </w:r>
      <w:r>
        <w:t xml:space="preserve">currently holds</w:t>
      </w:r>
      <w:r>
        <w:t xml:space="preserve"> </w:t>
      </w:r>
      <w:r>
        <w:rPr>
          <w:b/>
          <w:bCs/>
        </w:rPr>
        <w:t xml:space="preserve">approximately 8.5 million</w:t>
      </w:r>
      <w:r>
        <w:t xml:space="preserve"> </w:t>
      </w:r>
      <w:r>
        <w:t xml:space="preserve">shares</w:t>
      </w:r>
      <w:r>
        <w:t xml:space="preserve">”</w:t>
      </w:r>
      <w:r>
        <w:t xml:space="preserve">; after offering</w:t>
      </w:r>
      <w:r>
        <w:t xml:space="preserve"> </w:t>
      </w:r>
      <w:r>
        <w:t xml:space="preserve">“</w:t>
      </w:r>
      <w:r>
        <w:t xml:space="preserve">approximately 8.0 million.</w:t>
      </w:r>
      <w:r>
        <w:t xml:space="preserve">”</w:t>
      </w:r>
    </w:p>
    <w:p>
      <w:pPr>
        <w:pStyle w:val="Compact"/>
        <w:numPr>
          <w:ilvl w:val="0"/>
          <w:numId w:val="1011"/>
        </w:numPr>
      </w:pPr>
      <w:r>
        <w:t xml:space="preserve">Registration Statement (beneficial ownership table, footnote 3):</w:t>
      </w:r>
      <w:r>
        <w:t xml:space="preserve"> </w:t>
      </w:r>
      <w:r>
        <w:rPr>
          <w:b/>
          <w:bCs/>
        </w:rPr>
        <w:t xml:space="preserve">8,400,000</w:t>
      </w:r>
      <w:r>
        <w:t xml:space="preserve"> </w:t>
      </w:r>
      <w:r>
        <w:t xml:space="preserve">shares (7,600,000 direct + 800,000 options); after offering 7,900,000.</w:t>
      </w:r>
    </w:p>
    <w:p>
      <w:pPr>
        <w:pStyle w:val="Compact"/>
        <w:numPr>
          <w:ilvl w:val="0"/>
          <w:numId w:val="1011"/>
        </w:numPr>
      </w:pPr>
      <w:r>
        <w:t xml:space="preserve">Power of Attorney and Custody Agreement (Schedule A):</w:t>
      </w:r>
      <w:r>
        <w:t xml:space="preserve"> </w:t>
      </w:r>
      <w:r>
        <w:rPr>
          <w:b/>
          <w:bCs/>
        </w:rPr>
        <w:t xml:space="preserve">8,400,000</w:t>
      </w:r>
      <w:r>
        <w:t xml:space="preserve"> </w:t>
      </w:r>
      <w:r>
        <w:t xml:space="preserve">shares.</w:t>
      </w:r>
    </w:p>
    <w:p>
      <w:pPr>
        <w:pStyle w:val="Compact"/>
        <w:numPr>
          <w:ilvl w:val="0"/>
          <w:numId w:val="1011"/>
        </w:numPr>
      </w:pPr>
      <w:r>
        <w:t xml:space="preserve">Engagement Letter (Annex A):</w:t>
      </w:r>
      <w:r>
        <w:t xml:space="preserve"> </w:t>
      </w:r>
      <w:r>
        <w:rPr>
          <w:b/>
          <w:bCs/>
        </w:rPr>
        <w:t xml:space="preserve">8,400,000</w:t>
      </w:r>
      <w:r>
        <w:t xml:space="preserve"> </w:t>
      </w:r>
      <w:r>
        <w:t xml:space="preserve">shares.</w:t>
      </w:r>
    </w:p>
    <w:p>
      <w:pPr>
        <w:pStyle w:val="FirstParagraph"/>
      </w:pPr>
      <w:r>
        <w:rPr>
          <w:b/>
          <w:bCs/>
        </w:rPr>
        <w:t xml:space="preserve">Analysis.</w:t>
      </w:r>
      <w:r>
        <w:t xml:space="preserve"> </w:t>
      </w:r>
      <w:r>
        <w:t xml:space="preserve">The Term Sheet’s</w:t>
      </w:r>
      <w:r>
        <w:t xml:space="preserve"> </w:t>
      </w:r>
      <w:r>
        <w:t xml:space="preserve">“</w:t>
      </w:r>
      <w:r>
        <w:t xml:space="preserve">approximately 8.5 million</w:t>
      </w:r>
      <w:r>
        <w:t xml:space="preserve">”</w:t>
      </w:r>
      <w:r>
        <w:t xml:space="preserve"> </w:t>
      </w:r>
      <w:r>
        <w:t xml:space="preserve">is inconsistent with the 8,400,000 figure used in the Registration Statement, the Power of Attorney and Custody Agreement, and the Engagement Letter. The Term Sheet’s</w:t>
      </w:r>
      <w:r>
        <w:t xml:space="preserve"> </w:t>
      </w:r>
      <w:r>
        <w:t xml:space="preserve">“</w:t>
      </w:r>
      <w:r>
        <w:t xml:space="preserve">approximately 8.0 million</w:t>
      </w:r>
      <w:r>
        <w:t xml:space="preserve">”</w:t>
      </w:r>
      <w:r>
        <w:t xml:space="preserve"> </w:t>
      </w:r>
      <w:r>
        <w:t xml:space="preserve">after offering is also inconsistent with 8,400,000 − 500,000 = 7,900,000. The Term Sheet is non-binding, but the imprecision should be corrected to avoid confusion.</w:t>
      </w:r>
    </w:p>
    <w:p>
      <w:pPr>
        <w:pStyle w:val="BodyText"/>
      </w:pPr>
      <w:r>
        <w:rPr>
          <w:b/>
          <w:bCs/>
        </w:rPr>
        <w:t xml:space="preserve">Recommendation.</w:t>
      </w:r>
      <w:r>
        <w:t xml:space="preserve"> </w:t>
      </w:r>
      <w:r>
        <w:t xml:space="preserve">The Underwriting Agreement uses 8,400,000 shares (Schedule A), consistent with the Registration Statement. The Term Sheet’s</w:t>
      </w:r>
      <w:r>
        <w:t xml:space="preserve"> </w:t>
      </w:r>
      <w:r>
        <w:t xml:space="preserve">“</w:t>
      </w:r>
      <w:r>
        <w:t xml:space="preserve">approximately 8.5 million</w:t>
      </w:r>
      <w:r>
        <w:t xml:space="preserve">”</w:t>
      </w:r>
      <w:r>
        <w:t xml:space="preserve"> </w:t>
      </w:r>
      <w:r>
        <w:t xml:space="preserve">/</w:t>
      </w:r>
      <w:r>
        <w:t xml:space="preserve"> </w:t>
      </w:r>
      <w:r>
        <w:t xml:space="preserve">“</w:t>
      </w:r>
      <w:r>
        <w:t xml:space="preserve">approximately 8.0 million</w:t>
      </w:r>
      <w:r>
        <w:t xml:space="preserve">”</w:t>
      </w:r>
      <w:r>
        <w:t xml:space="preserve"> </w:t>
      </w:r>
      <w:r>
        <w:t xml:space="preserve">references should be corrected to 8,400,000 / 7,900,000 for consistency. Confirm the beneficial-ownership figure (including the 800,000 option shares exercisable within 60 days) with the Company’s stock records.</w:t>
      </w:r>
    </w:p>
    <w:bookmarkEnd w:id="33"/>
    <w:bookmarkStart w:id="34" w:name="X4ab4daaa0a2eeea2e36f030567d3caf929bd7e5"/>
    <w:p>
      <w:pPr>
        <w:pStyle w:val="Heading3"/>
      </w:pPr>
      <w:r>
        <w:t xml:space="preserve">Item 13 — Comfort Letter Circle-Up vs. Registration Statement Financial Figures [CRITICAL]</w:t>
      </w:r>
    </w:p>
    <w:p>
      <w:pPr>
        <w:pStyle w:val="FirstParagraph"/>
      </w:pPr>
      <w:r>
        <w:rPr>
          <w:b/>
          <w:bCs/>
        </w:rPr>
        <w:t xml:space="preserve">Documents in conflict: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Figure (as of December 31, 2024)</w:t>
            </w:r>
          </w:p>
        </w:tc>
        <w:tc>
          <w:tcPr/>
          <w:p>
            <w:pPr>
              <w:pStyle w:val="Compact"/>
              <w:jc w:val="left"/>
            </w:pPr>
            <w:r>
              <w:t xml:space="preserve">Draft Comfort Letter</w:t>
            </w:r>
          </w:p>
        </w:tc>
        <w:tc>
          <w:tcPr/>
          <w:p>
            <w:pPr>
              <w:pStyle w:val="Compact"/>
              <w:jc w:val="left"/>
            </w:pPr>
            <w:r>
              <w:t xml:space="preserve">Registration Statement</w:t>
            </w:r>
          </w:p>
        </w:tc>
      </w:tr>
      <w:tr>
        <w:tc>
          <w:tcPr/>
          <w:p>
            <w:pPr>
              <w:pStyle w:val="Compact"/>
              <w:jc w:val="left"/>
            </w:pPr>
            <w:r>
              <w:t xml:space="preserve">Total stockholders’ equity</w:t>
            </w:r>
          </w:p>
        </w:tc>
        <w:tc>
          <w:tcPr/>
          <w:p>
            <w:pPr>
              <w:pStyle w:val="Compact"/>
              <w:jc w:val="left"/>
            </w:pPr>
            <w:r>
              <w:rPr>
                <w:b/>
                <w:bCs/>
              </w:rPr>
              <w:t xml:space="preserve">$198,400,000</w:t>
            </w:r>
            <w:r>
              <w:t xml:space="preserve"> </w:t>
            </w:r>
            <w:r>
              <w:t xml:space="preserve">(§V.A(iv); Appendix A, Table 2)</w:t>
            </w:r>
          </w:p>
        </w:tc>
        <w:tc>
          <w:tcPr/>
          <w:p>
            <w:pPr>
              <w:pStyle w:val="Compact"/>
              <w:jc w:val="left"/>
            </w:pPr>
            <w:r>
              <w:rPr>
                <w:b/>
                <w:bCs/>
              </w:rPr>
              <w:t xml:space="preserve">$101,400,000</w:t>
            </w:r>
            <w:r>
              <w:t xml:space="preserve"> </w:t>
            </w:r>
            <w:r>
              <w:t xml:space="preserve">(Capitalization table,</w:t>
            </w:r>
            <w:r>
              <w:t xml:space="preserve"> </w:t>
            </w:r>
            <w:r>
              <w:t xml:space="preserve">“</w:t>
            </w:r>
            <w:r>
              <w:t xml:space="preserve">Actual</w:t>
            </w:r>
            <w:r>
              <w:t xml:space="preserve">”</w:t>
            </w:r>
            <w:r>
              <w:t xml:space="preserve">)</w:t>
            </w:r>
          </w:p>
        </w:tc>
      </w:tr>
      <w:tr>
        <w:tc>
          <w:tcPr/>
          <w:p>
            <w:pPr>
              <w:pStyle w:val="Compact"/>
              <w:jc w:val="left"/>
            </w:pPr>
            <w:r>
              <w:t xml:space="preserve">Cash and cash equivalents</w:t>
            </w:r>
          </w:p>
        </w:tc>
        <w:tc>
          <w:tcPr/>
          <w:p>
            <w:pPr>
              <w:pStyle w:val="Compact"/>
              <w:jc w:val="left"/>
            </w:pPr>
            <w:r>
              <w:rPr>
                <w:b/>
                <w:bCs/>
              </w:rPr>
              <w:t xml:space="preserve">$47,300,000</w:t>
            </w:r>
            <w:r>
              <w:t xml:space="preserve"> </w:t>
            </w:r>
            <w:r>
              <w:t xml:space="preserve">(§V.A(vi); Appendix A, Table 1)</w:t>
            </w:r>
          </w:p>
        </w:tc>
        <w:tc>
          <w:tcPr/>
          <w:p>
            <w:pPr>
              <w:pStyle w:val="Compact"/>
              <w:jc w:val="left"/>
            </w:pPr>
            <w:r>
              <w:rPr>
                <w:b/>
                <w:bCs/>
              </w:rPr>
              <w:t xml:space="preserve">$38,400,000</w:t>
            </w:r>
            <w:r>
              <w:t xml:space="preserve"> </w:t>
            </w:r>
            <w:r>
              <w:t xml:space="preserve">(Capitalization table,</w:t>
            </w:r>
            <w:r>
              <w:t xml:space="preserve"> </w:t>
            </w:r>
            <w:r>
              <w:t xml:space="preserve">“</w:t>
            </w:r>
            <w:r>
              <w:t xml:space="preserve">Actual</w:t>
            </w:r>
            <w:r>
              <w:t xml:space="preserve">”</w:t>
            </w:r>
            <w:r>
              <w:t xml:space="preserve">)</w:t>
            </w:r>
          </w:p>
        </w:tc>
      </w:tr>
      <w:tr>
        <w:tc>
          <w:tcPr/>
          <w:p>
            <w:pPr>
              <w:pStyle w:val="Compact"/>
              <w:jc w:val="left"/>
            </w:pPr>
            <w:r>
              <w:t xml:space="preserve">Net tangible book value per share</w:t>
            </w:r>
          </w:p>
        </w:tc>
        <w:tc>
          <w:tcPr/>
          <w:p>
            <w:pPr>
              <w:pStyle w:val="Compact"/>
              <w:jc w:val="left"/>
            </w:pPr>
            <w:r>
              <w:rPr>
                <w:b/>
                <w:bCs/>
              </w:rPr>
              <w:t xml:space="preserve">$4.72</w:t>
            </w:r>
            <w:r>
              <w:t xml:space="preserve"> </w:t>
            </w:r>
            <w:r>
              <w:t xml:space="preserve">(Appendix A, Table 3)</w:t>
            </w:r>
          </w:p>
        </w:tc>
        <w:tc>
          <w:tcPr/>
          <w:p>
            <w:pPr>
              <w:pStyle w:val="Compact"/>
              <w:jc w:val="left"/>
            </w:pPr>
            <w:r>
              <w:rPr>
                <w:b/>
                <w:bCs/>
              </w:rPr>
              <w:t xml:space="preserve">$2.17</w:t>
            </w:r>
            <w:r>
              <w:t xml:space="preserve"> </w:t>
            </w:r>
            <w:r>
              <w:t xml:space="preserve">(Dilution section)</w:t>
            </w:r>
          </w:p>
        </w:tc>
      </w:tr>
      <w:tr>
        <w:tc>
          <w:tcPr/>
          <w:p>
            <w:pPr>
              <w:pStyle w:val="Compact"/>
              <w:jc w:val="left"/>
            </w:pPr>
            <w:r>
              <w:t xml:space="preserve">Increase in NTBV per share (Offering)</w:t>
            </w:r>
          </w:p>
        </w:tc>
        <w:tc>
          <w:tcPr/>
          <w:p>
            <w:pPr>
              <w:pStyle w:val="Compact"/>
              <w:jc w:val="left"/>
            </w:pPr>
            <w:r>
              <w:rPr>
                <w:b/>
                <w:bCs/>
              </w:rPr>
              <w:t xml:space="preserve">$2.61</w:t>
            </w:r>
            <w:r>
              <w:t xml:space="preserve"> </w:t>
            </w:r>
            <w:r>
              <w:t xml:space="preserve">(Appendix A, Table 3)</w:t>
            </w:r>
          </w:p>
        </w:tc>
        <w:tc>
          <w:tcPr/>
          <w:p>
            <w:pPr>
              <w:pStyle w:val="Compact"/>
              <w:jc w:val="left"/>
            </w:pPr>
            <w:r>
              <w:rPr>
                <w:b/>
                <w:bCs/>
              </w:rPr>
              <w:t xml:space="preserve">$3.20</w:t>
            </w:r>
            <w:r>
              <w:t xml:space="preserve"> </w:t>
            </w:r>
            <w:r>
              <w:t xml:space="preserve">(Dilution section)</w:t>
            </w:r>
          </w:p>
        </w:tc>
      </w:tr>
      <w:tr>
        <w:tc>
          <w:tcPr/>
          <w:p>
            <w:pPr>
              <w:pStyle w:val="Compact"/>
              <w:jc w:val="left"/>
            </w:pPr>
            <w:r>
              <w:t xml:space="preserve">Total assets</w:t>
            </w:r>
          </w:p>
        </w:tc>
        <w:tc>
          <w:tcPr/>
          <w:p>
            <w:pPr>
              <w:pStyle w:val="Compact"/>
              <w:jc w:val="left"/>
            </w:pPr>
            <w:r>
              <w:t xml:space="preserve">$312,700,000 (§V.A(iii))</w:t>
            </w:r>
          </w:p>
        </w:tc>
        <w:tc>
          <w:tcPr/>
          <w:p>
            <w:pPr>
              <w:pStyle w:val="Compact"/>
              <w:jc w:val="left"/>
            </w:pPr>
            <w:r>
              <w:t xml:space="preserve">(not presented in excerpts)</w:t>
            </w:r>
          </w:p>
        </w:tc>
      </w:tr>
      <w:tr>
        <w:tc>
          <w:tcPr/>
          <w:p>
            <w:pPr>
              <w:pStyle w:val="Compact"/>
              <w:jc w:val="left"/>
            </w:pPr>
            <w:r>
              <w:t xml:space="preserve">Revolving credit facility outstanding</w:t>
            </w:r>
          </w:p>
        </w:tc>
        <w:tc>
          <w:tcPr/>
          <w:p>
            <w:pPr>
              <w:pStyle w:val="Compact"/>
              <w:jc w:val="left"/>
            </w:pPr>
            <w:r>
              <w:t xml:space="preserve">$22,500,000</w:t>
            </w:r>
          </w:p>
        </w:tc>
        <w:tc>
          <w:tcPr/>
          <w:p>
            <w:pPr>
              <w:pStyle w:val="Compact"/>
              <w:jc w:val="left"/>
            </w:pPr>
            <w:r>
              <w:t xml:space="preserve">$22,500,000 (consistent)</w:t>
            </w:r>
          </w:p>
        </w:tc>
      </w:tr>
    </w:tbl>
    <w:p>
      <w:pPr>
        <w:pStyle w:val="BodyText"/>
      </w:pPr>
      <w:r>
        <w:rPr>
          <w:b/>
          <w:bCs/>
        </w:rPr>
        <w:t xml:space="preserve">Analysis.</w:t>
      </w:r>
      <w:r>
        <w:t xml:space="preserve"> </w:t>
      </w:r>
      <w:r>
        <w:t xml:space="preserve">The Draft Comfort Letter’s agreed-upon figures for total stockholders’ equity ($198.4 million), cash ($47.3 million), and net tangible book value per share ($4.72) do not agree with the corresponding figures in the Registration Statement’s Capitalization table ($101.4 million equity; $38.4 million cash) and Dilution section ($2.17 NTBV per share; $91.2 million total NTBV). The comfort letter’s NTBV of $4.72 per share implies approximately $198.2 million of net tangible book value (4.72 × 42,000,000), which approximates its stated total stockholders’ equity — suggesting the comfort letter may be using total stockholders’ equity rather than net tangible book value, or that the comfort letter and the Registration Statement are drawing on different or erroneous source figures. The Registration Statement’s figures are internally consistent (additional paid-in capital $82,758,000 + retained earnings $18,600,000 + common stock $42,000 = $101,400,000 total equity; $91.2 million NTBV ÷ 42,000,000 shares = $2.17 per share).</w:t>
      </w:r>
    </w:p>
    <w:p>
      <w:pPr>
        <w:pStyle w:val="BodyText"/>
      </w:pPr>
      <w:r>
        <w:t xml:space="preserve">This is a closing-condition issue: the Underwriting Agreement (Section 7(c)) requires delivery of a comfort letter and a bring-down comfort letter that confirm, among other things, the financial information in the Registration Statement. If the auditor’s circle-up does not agree with the Registration Statement, the comfort letter cannot be delivered in its current form, and the closing condition cannot be satisfied.</w:t>
      </w:r>
    </w:p>
    <w:p>
      <w:pPr>
        <w:pStyle w:val="BodyText"/>
      </w:pPr>
      <w:r>
        <w:rPr>
          <w:b/>
          <w:bCs/>
        </w:rPr>
        <w:t xml:space="preserve">Recommendation.</w:t>
      </w:r>
      <w:r>
        <w:t xml:space="preserve"> </w:t>
      </w:r>
      <w:r>
        <w:t xml:space="preserve">(a) Reconcile the audited consolidated balance sheet figures with the Registration Statement’s Capitalization and Dilution sections immediately. (b) Determine whether the Draft Comfort Letter contains draft/placeholder figures or whether the Registration Statement’s Capitalization table is in error. (c) The final comfort letter (to be dated as of the pricing date) and the bring-down comfort letter (to be dated as of the Closing Date) must agree with the Registration Statement as then in effect. (d) If the Registration Statement’s Capitalization or Dilution figures are incorrect, file a corrected prospectus prior to closing. This item should be treated as a priority because the comfort letter is a condition to the Underwriters’ obligations.</w:t>
      </w:r>
    </w:p>
    <w:bookmarkEnd w:id="34"/>
    <w:bookmarkStart w:id="35" w:name="X5c504b89ce282eaf799f77d902195f36e148d09"/>
    <w:p>
      <w:pPr>
        <w:pStyle w:val="Heading3"/>
      </w:pPr>
      <w:r>
        <w:t xml:space="preserve">Item 14 — Underwriter Roles and</w:t>
      </w:r>
      <w:r>
        <w:t xml:space="preserve"> </w:t>
      </w:r>
      <w:r>
        <w:t xml:space="preserve">“</w:t>
      </w:r>
      <w:r>
        <w:t xml:space="preserve">Representatives</w:t>
      </w:r>
      <w:r>
        <w:t xml:space="preserve">”</w:t>
      </w:r>
      <w:r>
        <w:t xml:space="preserve"> </w:t>
      </w:r>
      <w:r>
        <w:t xml:space="preserve">Terminology [HIGH]</w:t>
      </w:r>
    </w:p>
    <w:p>
      <w:pPr>
        <w:pStyle w:val="FirstParagraph"/>
      </w:pPr>
      <w:r>
        <w:rPr>
          <w:b/>
          <w:bCs/>
        </w:rPr>
        <w:t xml:space="preserve">Documents in conflict:</w:t>
      </w:r>
    </w:p>
    <w:p>
      <w:pPr>
        <w:pStyle w:val="Compact"/>
        <w:numPr>
          <w:ilvl w:val="0"/>
          <w:numId w:val="1012"/>
        </w:numPr>
      </w:pPr>
      <w:r>
        <w:t xml:space="preserve">Term Sheet (§4.1): Hargrove =</w:t>
      </w:r>
      <w:r>
        <w:t xml:space="preserve"> </w:t>
      </w:r>
      <w:r>
        <w:t xml:space="preserve">“</w:t>
      </w:r>
      <w:r>
        <w:t xml:space="preserve">Lead Book-Runner</w:t>
      </w:r>
      <w:r>
        <w:t xml:space="preserve">”</w:t>
      </w:r>
      <w:r>
        <w:t xml:space="preserve">; Bellweather =</w:t>
      </w:r>
      <w:r>
        <w:t xml:space="preserve"> </w:t>
      </w:r>
      <w:r>
        <w:t xml:space="preserve">“</w:t>
      </w:r>
      <w:r>
        <w:t xml:space="preserve">Co-Manager.</w:t>
      </w:r>
      <w:r>
        <w:t xml:space="preserve">”</w:t>
      </w:r>
    </w:p>
    <w:p>
      <w:pPr>
        <w:pStyle w:val="Compact"/>
        <w:numPr>
          <w:ilvl w:val="0"/>
          <w:numId w:val="1012"/>
        </w:numPr>
      </w:pPr>
      <w:r>
        <w:t xml:space="preserve">Engagement Letter (§1): Hargrove =</w:t>
      </w:r>
      <w:r>
        <w:t xml:space="preserve"> </w:t>
      </w:r>
      <w:r>
        <w:t xml:space="preserve">“</w:t>
      </w:r>
      <w:r>
        <w:t xml:space="preserve">lead book-running manager</w:t>
      </w:r>
      <w:r>
        <w:t xml:space="preserve">”</w:t>
      </w:r>
      <w:r>
        <w:t xml:space="preserve">; Bellweather =</w:t>
      </w:r>
      <w:r>
        <w:t xml:space="preserve"> </w:t>
      </w:r>
      <w:r>
        <w:t xml:space="preserve">“</w:t>
      </w:r>
      <w:r>
        <w:t xml:space="preserve">co-managing underwriter.</w:t>
      </w:r>
      <w:r>
        <w:t xml:space="preserve">”</w:t>
      </w:r>
    </w:p>
    <w:p>
      <w:pPr>
        <w:pStyle w:val="Compact"/>
        <w:numPr>
          <w:ilvl w:val="0"/>
          <w:numId w:val="1012"/>
        </w:numPr>
      </w:pPr>
      <w:r>
        <w:t xml:space="preserve">Registration Statement cover page:</w:t>
      </w:r>
      <w:r>
        <w:t xml:space="preserve"> </w:t>
      </w:r>
      <w:r>
        <w:t xml:space="preserve">“</w:t>
      </w:r>
      <w:r>
        <w:rPr>
          <w:b/>
          <w:bCs/>
        </w:rPr>
        <w:t xml:space="preserve">Joint Book-Running Manager</w:t>
      </w:r>
      <w:r>
        <w:t xml:space="preserve"> </w:t>
      </w:r>
      <w:r>
        <w:t xml:space="preserve">— Hargrove Securities LLC</w:t>
      </w:r>
      <w:r>
        <w:t xml:space="preserve">”</w:t>
      </w:r>
      <w:r>
        <w:t xml:space="preserve">;</w:t>
      </w:r>
      <w:r>
        <w:t xml:space="preserve"> </w:t>
      </w:r>
      <w:r>
        <w:t xml:space="preserve">“</w:t>
      </w:r>
      <w:r>
        <w:t xml:space="preserve">Co-Manager — Bellweather Capital Markets, Inc.</w:t>
      </w:r>
      <w:r>
        <w:t xml:space="preserve">”</w:t>
      </w:r>
    </w:p>
    <w:p>
      <w:pPr>
        <w:pStyle w:val="Compact"/>
        <w:numPr>
          <w:ilvl w:val="0"/>
          <w:numId w:val="1012"/>
        </w:numPr>
      </w:pPr>
      <w:r>
        <w:t xml:space="preserve">Registration Statement (§XI.A): Hargrove =</w:t>
      </w:r>
      <w:r>
        <w:t xml:space="preserve"> </w:t>
      </w:r>
      <w:r>
        <w:t xml:space="preserve">“</w:t>
      </w:r>
      <w:r>
        <w:t xml:space="preserve">lead book-running manager</w:t>
      </w:r>
      <w:r>
        <w:t xml:space="preserve">”</w:t>
      </w:r>
      <w:r>
        <w:t xml:space="preserve">; Bellweather =</w:t>
      </w:r>
      <w:r>
        <w:t xml:space="preserve"> </w:t>
      </w:r>
      <w:r>
        <w:t xml:space="preserve">“</w:t>
      </w:r>
      <w:r>
        <w:t xml:space="preserve">co-manager.</w:t>
      </w:r>
      <w:r>
        <w:t xml:space="preserve">”</w:t>
      </w:r>
    </w:p>
    <w:p>
      <w:pPr>
        <w:pStyle w:val="Compact"/>
        <w:numPr>
          <w:ilvl w:val="0"/>
          <w:numId w:val="1012"/>
        </w:numPr>
      </w:pPr>
      <w:r>
        <w:t xml:space="preserve">Draft Comfort Letter (address block): Hargrove and Bellweather</w:t>
      </w:r>
      <w:r>
        <w:t xml:space="preserve"> </w:t>
      </w:r>
      <w:r>
        <w:t xml:space="preserve">“</w:t>
      </w:r>
      <w:r>
        <w:t xml:space="preserve">as</w:t>
      </w:r>
      <w:r>
        <w:t xml:space="preserve"> </w:t>
      </w:r>
      <w:r>
        <w:rPr>
          <w:b/>
          <w:bCs/>
        </w:rPr>
        <w:t xml:space="preserve">Representatives</w:t>
      </w:r>
      <w:r>
        <w:t xml:space="preserve"> </w:t>
      </w:r>
      <w:r>
        <w:t xml:space="preserve">of the several Underwriters.</w:t>
      </w:r>
      <w:r>
        <w:t xml:space="preserve">”</w:t>
      </w:r>
    </w:p>
    <w:p>
      <w:pPr>
        <w:pStyle w:val="Compact"/>
        <w:numPr>
          <w:ilvl w:val="0"/>
          <w:numId w:val="1012"/>
        </w:numPr>
      </w:pPr>
      <w:r>
        <w:t xml:space="preserve">Power of Attorney and Custody Agreement (recitals): Hargrove and Bellweather collectively</w:t>
      </w:r>
      <w:r>
        <w:t xml:space="preserve"> </w:t>
      </w:r>
      <w:r>
        <w:t xml:space="preserve">“</w:t>
      </w:r>
      <w:r>
        <w:t xml:space="preserve">the Underwriters.</w:t>
      </w:r>
      <w:r>
        <w:t xml:space="preserve">”</w:t>
      </w:r>
    </w:p>
    <w:p>
      <w:pPr>
        <w:pStyle w:val="FirstParagraph"/>
      </w:pPr>
      <w:r>
        <w:rPr>
          <w:b/>
          <w:bCs/>
        </w:rPr>
        <w:t xml:space="preserve">Analysis.</w:t>
      </w:r>
      <w:r>
        <w:t xml:space="preserve"> </w:t>
      </w:r>
      <w:r>
        <w:t xml:space="preserve">Two sub-issues: (i) The Registration Statement cover page labels Hargrove as a</w:t>
      </w:r>
      <w:r>
        <w:t xml:space="preserve"> </w:t>
      </w:r>
      <w:r>
        <w:t xml:space="preserve">“</w:t>
      </w:r>
      <w:r>
        <w:t xml:space="preserve">Joint Book-Running Manager,</w:t>
      </w:r>
      <w:r>
        <w:t xml:space="preserve">”</w:t>
      </w:r>
      <w:r>
        <w:t xml:space="preserve"> </w:t>
      </w:r>
      <w:r>
        <w:t xml:space="preserve">which implies more than one book-running manager, yet lists only Hargrove under that heading and lists Bellweather separately as</w:t>
      </w:r>
      <w:r>
        <w:t xml:space="preserve"> </w:t>
      </w:r>
      <w:r>
        <w:t xml:space="preserve">“</w:t>
      </w:r>
      <w:r>
        <w:t xml:space="preserve">Co-Manager.</w:t>
      </w:r>
      <w:r>
        <w:t xml:space="preserve">”</w:t>
      </w:r>
      <w:r>
        <w:t xml:space="preserve"> </w:t>
      </w:r>
      <w:r>
        <w:t xml:space="preserve">This is inconsistent with the Registration Statement’s own Underwriting section (§XI.A), which calls Hargrove the</w:t>
      </w:r>
      <w:r>
        <w:t xml:space="preserve"> </w:t>
      </w:r>
      <w:r>
        <w:t xml:space="preserve">“</w:t>
      </w:r>
      <w:r>
        <w:t xml:space="preserve">lead book-running manager.</w:t>
      </w:r>
      <w:r>
        <w:t xml:space="preserve">”</w:t>
      </w:r>
      <w:r>
        <w:t xml:space="preserve"> </w:t>
      </w:r>
      <w:r>
        <w:t xml:space="preserve">(ii) The Draft Comfort Letter addresses both Hargrove and Bellweather as</w:t>
      </w:r>
      <w:r>
        <w:t xml:space="preserve"> </w:t>
      </w:r>
      <w:r>
        <w:t xml:space="preserve">“</w:t>
      </w:r>
      <w:r>
        <w:t xml:space="preserve">Representatives,</w:t>
      </w:r>
      <w:r>
        <w:t xml:space="preserve">”</w:t>
      </w:r>
      <w:r>
        <w:t xml:space="preserve"> </w:t>
      </w:r>
      <w:r>
        <w:t xml:space="preserve">which is consistent with the Power of Attorney and Custody Agreement treating both as Underwriters, but is inconsistent with the Term Sheet and the Registration Statement, which designate only Hargrove as the lead and Bellweather as a co-manager. Typically, only the lead book-runner(s) act as</w:t>
      </w:r>
      <w:r>
        <w:t xml:space="preserve"> </w:t>
      </w:r>
      <w:r>
        <w:t xml:space="preserve">“</w:t>
      </w:r>
      <w:r>
        <w:t xml:space="preserve">Representatives</w:t>
      </w:r>
      <w:r>
        <w:t xml:space="preserve">”</w:t>
      </w:r>
      <w:r>
        <w:t xml:space="preserve"> </w:t>
      </w:r>
      <w:r>
        <w:t xml:space="preserve">of the several Underwriters.</w:t>
      </w:r>
    </w:p>
    <w:p>
      <w:pPr>
        <w:pStyle w:val="BodyText"/>
      </w:pPr>
      <w:r>
        <w:rPr>
          <w:b/>
          <w:bCs/>
        </w:rPr>
        <w:t xml:space="preserve">Recommendation.</w:t>
      </w:r>
      <w:r>
        <w:t xml:space="preserve"> </w:t>
      </w:r>
      <w:r>
        <w:t xml:space="preserve">(a) Reconcile the underwriter titles across the Registration Statement cover page, the Underwriting section, the Term Sheet, and the Engagement Letter. If Bellweather is a co-manager (not a joint book-runner), the cover page should not use</w:t>
      </w:r>
      <w:r>
        <w:t xml:space="preserve"> </w:t>
      </w:r>
      <w:r>
        <w:t xml:space="preserve">“</w:t>
      </w:r>
      <w:r>
        <w:t xml:space="preserve">Joint Book-Running Manager.</w:t>
      </w:r>
      <w:r>
        <w:t xml:space="preserve">”</w:t>
      </w:r>
      <w:r>
        <w:t xml:space="preserve"> </w:t>
      </w:r>
      <w:r>
        <w:t xml:space="preserve">(b) Confirm whether both Hargrove and Bellweather are to act as</w:t>
      </w:r>
      <w:r>
        <w:t xml:space="preserve"> </w:t>
      </w:r>
      <w:r>
        <w:t xml:space="preserve">“</w:t>
      </w:r>
      <w:r>
        <w:t xml:space="preserve">Representatives</w:t>
      </w:r>
      <w:r>
        <w:t xml:space="preserve">”</w:t>
      </w:r>
      <w:r>
        <w:t xml:space="preserve"> </w:t>
      </w:r>
      <w:r>
        <w:t xml:space="preserve">under the Underwriting Agreement. The Underwriting Agreement has been drafted to designate both Hargrove and Bellweather as</w:t>
      </w:r>
      <w:r>
        <w:t xml:space="preserve"> </w:t>
      </w:r>
      <w:r>
        <w:t xml:space="preserve">“</w:t>
      </w:r>
      <w:r>
        <w:t xml:space="preserve">Representatives</w:t>
      </w:r>
      <w:r>
        <w:t xml:space="preserve">”</w:t>
      </w:r>
      <w:r>
        <w:t xml:space="preserve"> </w:t>
      </w:r>
      <w:r>
        <w:t xml:space="preserve">(consistent with the Draft Comfort Letter and the Power of Attorney and Custody Agreement), with Hargrove as the lead book-running manager. If only Hargrove is to be the Representative, the comfort letter address block and the Power of Attorney and Custody Agreement should be revised accordingly. (c) Ensure the Registration Statement cover-page titles match the Underwriting Agreement.</w:t>
      </w:r>
    </w:p>
    <w:bookmarkEnd w:id="35"/>
    <w:bookmarkEnd w:id="36"/>
    <w:bookmarkStart w:id="46" w:name="iv.-high-priority-discrepancies"/>
    <w:p>
      <w:pPr>
        <w:pStyle w:val="Heading2"/>
      </w:pPr>
      <w:r>
        <w:t xml:space="preserve">IV. High-Priority Discrepancies</w:t>
      </w:r>
    </w:p>
    <w:bookmarkStart w:id="37" w:name="Xfee157600b7e7fdf37efbe34b2c1009cda3c241"/>
    <w:p>
      <w:pPr>
        <w:pStyle w:val="Heading3"/>
      </w:pPr>
      <w:r>
        <w:t xml:space="preserve">Item 15 — Lock-Up Exceptions Vary Across Documents [HIGH]</w:t>
      </w:r>
    </w:p>
    <w:p>
      <w:pPr>
        <w:pStyle w:val="FirstParagraph"/>
      </w:pPr>
      <w:r>
        <w:rPr>
          <w:b/>
          <w:bCs/>
        </w:rPr>
        <w:t xml:space="preserve">Documents in conflict:</w:t>
      </w:r>
    </w:p>
    <w:p>
      <w:pPr>
        <w:pStyle w:val="Compact"/>
        <w:numPr>
          <w:ilvl w:val="0"/>
          <w:numId w:val="1013"/>
        </w:numPr>
      </w:pPr>
      <w:r>
        <w:t xml:space="preserve">Term Sheet (§10.1): four (4) exceptions (gifts; estate-planning trusts; operation of law; Rule 10b5-1 plans).</w:t>
      </w:r>
    </w:p>
    <w:p>
      <w:pPr>
        <w:pStyle w:val="Compact"/>
        <w:numPr>
          <w:ilvl w:val="0"/>
          <w:numId w:val="1013"/>
        </w:numPr>
      </w:pPr>
      <w:r>
        <w:t xml:space="preserve">Engagement Letter (§7): three (3) exceptions (gifts to family/trusts; pre-existing Rule 10b5-1 plans; operation of law/QDRO).</w:t>
      </w:r>
    </w:p>
    <w:p>
      <w:pPr>
        <w:pStyle w:val="Compact"/>
        <w:numPr>
          <w:ilvl w:val="0"/>
          <w:numId w:val="1013"/>
        </w:numPr>
      </w:pPr>
      <w:r>
        <w:t xml:space="preserve">Registration Statement (§VIII; §XI.D): six (6) exceptions (gifts/estate planning; will/intestacy; QDRO; transfers to affiliates/LPs/members; pro rata distributions; Rule 10b5-1 plans).</w:t>
      </w:r>
    </w:p>
    <w:p>
      <w:pPr>
        <w:pStyle w:val="Compact"/>
        <w:numPr>
          <w:ilvl w:val="0"/>
          <w:numId w:val="1013"/>
        </w:numPr>
      </w:pPr>
      <w:r>
        <w:t xml:space="preserve">Form of Lock-Up Agreement (§2): eight (8) exceptions (gifts/charitable; family/trusts; operation of law/QDRO/divorce/intestacy; affiliates/members; Rule 10b5-1; option exercise/sell-to-cover; shares sold in the Offering; transfers to the Company).</w:t>
      </w:r>
    </w:p>
    <w:p>
      <w:pPr>
        <w:pStyle w:val="FirstParagraph"/>
      </w:pPr>
      <w:r>
        <w:rPr>
          <w:b/>
          <w:bCs/>
        </w:rPr>
        <w:t xml:space="preserve">Analysis.</w:t>
      </w:r>
      <w:r>
        <w:t xml:space="preserve"> </w:t>
      </w:r>
      <w:r>
        <w:t xml:space="preserve">The set of permitted lock-up exceptions differs across documents. The Form of Lock-Up Agreement (the operative document the locked-up parties will execute) contains the most comprehensive set. The Term Sheet and Engagement Letter contain narrower sets. The Registration Statement’s disclosure should match the Form of Lock-Up Agreement.</w:t>
      </w:r>
    </w:p>
    <w:p>
      <w:pPr>
        <w:pStyle w:val="BodyText"/>
      </w:pPr>
      <w:r>
        <w:rPr>
          <w:b/>
          <w:bCs/>
        </w:rPr>
        <w:t xml:space="preserve">Recommendation.</w:t>
      </w:r>
      <w:r>
        <w:t xml:space="preserve"> </w:t>
      </w:r>
      <w:r>
        <w:t xml:space="preserve">The Underwriting Agreement (Exhibit A) has been drafted to reference the Form of Lock-Up Agreement’s eight exceptions. Confirm that the Registration Statement’s lock-up disclosure (§VIII and §XI.D) is updated to match the Form of Lock-Up Agreement. Reconcile the Term Sheet and Engagement Letter descriptions (which are non-binding/summary in nature) so that they do not create confusion.</w:t>
      </w:r>
    </w:p>
    <w:bookmarkEnd w:id="37"/>
    <w:bookmarkStart w:id="38" w:name="X6989bbb42466e6570ebe11f8d070e52bc674821"/>
    <w:p>
      <w:pPr>
        <w:pStyle w:val="Heading3"/>
      </w:pPr>
      <w:r>
        <w:t xml:space="preserve">Item 16 — Early-Release Notice Threshold [HIGH]</w:t>
      </w:r>
    </w:p>
    <w:p>
      <w:pPr>
        <w:pStyle w:val="FirstParagraph"/>
      </w:pPr>
      <w:r>
        <w:rPr>
          <w:b/>
          <w:bCs/>
        </w:rPr>
        <w:t xml:space="preserve">Documents in conflict:</w:t>
      </w:r>
    </w:p>
    <w:p>
      <w:pPr>
        <w:pStyle w:val="Compact"/>
        <w:numPr>
          <w:ilvl w:val="0"/>
          <w:numId w:val="1014"/>
        </w:numPr>
      </w:pPr>
      <w:r>
        <w:t xml:space="preserve">Term Sheet (§10.1): early release permitted</w:t>
      </w:r>
      <w:r>
        <w:t xml:space="preserve"> </w:t>
      </w:r>
      <w:r>
        <w:t xml:space="preserve">“</w:t>
      </w:r>
      <w:r>
        <w:t xml:space="preserve">with 3 business days’ prior written notice to the Company if such release covers shares in excess of</w:t>
      </w:r>
      <w:r>
        <w:t xml:space="preserve"> </w:t>
      </w:r>
      <w:r>
        <w:rPr>
          <w:b/>
          <w:bCs/>
        </w:rPr>
        <w:t xml:space="preserve">a threshold to be agreed upon</w:t>
      </w:r>
      <w:r>
        <w:t xml:space="preserve"> </w:t>
      </w:r>
      <w:r>
        <w:t xml:space="preserve">in the definitive underwriting agreement.</w:t>
      </w:r>
      <w:r>
        <w:t xml:space="preserve">”</w:t>
      </w:r>
    </w:p>
    <w:p>
      <w:pPr>
        <w:pStyle w:val="Compact"/>
        <w:numPr>
          <w:ilvl w:val="0"/>
          <w:numId w:val="1014"/>
        </w:numPr>
      </w:pPr>
      <w:r>
        <w:t xml:space="preserve">Engagement Letter (§7): notice required if release involves</w:t>
      </w:r>
      <w:r>
        <w:t xml:space="preserve"> </w:t>
      </w:r>
      <w:r>
        <w:t xml:space="preserve">“</w:t>
      </w:r>
      <w:r>
        <w:t xml:space="preserve">more than</w:t>
      </w:r>
      <w:r>
        <w:t xml:space="preserve"> </w:t>
      </w:r>
      <w:r>
        <w:rPr>
          <w:b/>
          <w:bCs/>
        </w:rPr>
        <w:t xml:space="preserve">1%</w:t>
      </w:r>
      <w:r>
        <w:t xml:space="preserve"> </w:t>
      </w:r>
      <w:r>
        <w:t xml:space="preserve">of the outstanding shares.</w:t>
      </w:r>
      <w:r>
        <w:t xml:space="preserve">”</w:t>
      </w:r>
    </w:p>
    <w:p>
      <w:pPr>
        <w:pStyle w:val="Compact"/>
        <w:numPr>
          <w:ilvl w:val="0"/>
          <w:numId w:val="1014"/>
        </w:numPr>
      </w:pPr>
      <w:r>
        <w:t xml:space="preserve">Form of Lock-Up Agreement (§3): notice required if release covers</w:t>
      </w:r>
      <w:r>
        <w:t xml:space="preserve"> </w:t>
      </w:r>
      <w:r>
        <w:t xml:space="preserve">“</w:t>
      </w:r>
      <w:r>
        <w:t xml:space="preserve">more than</w:t>
      </w:r>
      <w:r>
        <w:t xml:space="preserve"> </w:t>
      </w:r>
      <w:r>
        <w:rPr>
          <w:b/>
          <w:bCs/>
        </w:rPr>
        <w:t xml:space="preserve">one percent (1%)</w:t>
      </w:r>
      <w:r>
        <w:t xml:space="preserve">.</w:t>
      </w:r>
      <w:r>
        <w:t xml:space="preserve">”</w:t>
      </w:r>
    </w:p>
    <w:p>
      <w:pPr>
        <w:pStyle w:val="Compact"/>
        <w:numPr>
          <w:ilvl w:val="0"/>
          <w:numId w:val="1014"/>
        </w:numPr>
      </w:pPr>
      <w:r>
        <w:t xml:space="preserve">Registration Statement (§VIII; §XI.D): notice required for</w:t>
      </w:r>
      <w:r>
        <w:t xml:space="preserve"> </w:t>
      </w:r>
      <w:r>
        <w:t xml:space="preserve">“</w:t>
      </w:r>
      <w:r>
        <w:t xml:space="preserve">any release covering a</w:t>
      </w:r>
      <w:r>
        <w:t xml:space="preserve"> </w:t>
      </w:r>
      <w:r>
        <w:rPr>
          <w:b/>
          <w:bCs/>
        </w:rPr>
        <w:t xml:space="preserve">material number of shares</w:t>
      </w:r>
      <w:r>
        <w:t xml:space="preserve">.</w:t>
      </w:r>
      <w:r>
        <w:t xml:space="preserve">”</w:t>
      </w:r>
    </w:p>
    <w:p>
      <w:pPr>
        <w:pStyle w:val="FirstParagraph"/>
      </w:pPr>
      <w:r>
        <w:rPr>
          <w:b/>
          <w:bCs/>
        </w:rPr>
        <w:t xml:space="preserve">Analysis.</w:t>
      </w:r>
      <w:r>
        <w:t xml:space="preserve"> </w:t>
      </w:r>
      <w:r>
        <w:t xml:space="preserve">The Term Sheet left the threshold</w:t>
      </w:r>
      <w:r>
        <w:t xml:space="preserve"> </w:t>
      </w:r>
      <w:r>
        <w:t xml:space="preserve">“</w:t>
      </w:r>
      <w:r>
        <w:t xml:space="preserve">to be agreed upon.</w:t>
      </w:r>
      <w:r>
        <w:t xml:space="preserve">”</w:t>
      </w:r>
      <w:r>
        <w:t xml:space="preserve"> </w:t>
      </w:r>
      <w:r>
        <w:t xml:space="preserve">The Engagement Letter and the Form of Lock-Up Agreement both specify 1%. The Registration Statement uses the vague</w:t>
      </w:r>
      <w:r>
        <w:t xml:space="preserve"> </w:t>
      </w:r>
      <w:r>
        <w:t xml:space="preserve">“</w:t>
      </w:r>
      <w:r>
        <w:t xml:space="preserve">material number of shares.</w:t>
      </w:r>
      <w:r>
        <w:t xml:space="preserve">”</w:t>
      </w:r>
    </w:p>
    <w:p>
      <w:pPr>
        <w:pStyle w:val="BodyText"/>
      </w:pPr>
      <w:r>
        <w:rPr>
          <w:b/>
          <w:bCs/>
        </w:rPr>
        <w:t xml:space="preserve">Recommendation.</w:t>
      </w:r>
      <w:r>
        <w:t xml:space="preserve"> </w:t>
      </w:r>
      <w:r>
        <w:t xml:space="preserve">The Underwriting Agreement (Exhibit A) adopts the 1% threshold with three business days’ prior notice, consistent with the Engagement Letter and the Form of Lock-Up Agreement. Update the Registration Statement’s lock-up disclosure to specify the 1% threshold rather than</w:t>
      </w:r>
      <w:r>
        <w:t xml:space="preserve"> </w:t>
      </w:r>
      <w:r>
        <w:t xml:space="preserve">“</w:t>
      </w:r>
      <w:r>
        <w:t xml:space="preserve">material number of shares,</w:t>
      </w:r>
      <w:r>
        <w:t xml:space="preserve">”</w:t>
      </w:r>
      <w:r>
        <w:t xml:space="preserve"> </w:t>
      </w:r>
      <w:r>
        <w:t xml:space="preserve">to match the operative Lock-Up Agreements.</w:t>
      </w:r>
    </w:p>
    <w:bookmarkEnd w:id="38"/>
    <w:bookmarkStart w:id="39" w:name="X675beff9a3a5c581cfc93cde4b2bdc36f0eec42"/>
    <w:p>
      <w:pPr>
        <w:pStyle w:val="Heading3"/>
      </w:pPr>
      <w:r>
        <w:t xml:space="preserve">Item 17 — Springing Lock-Up Extension for Dr. Krishnamurthy: Disclosure Gap [HIGH]</w:t>
      </w:r>
    </w:p>
    <w:p>
      <w:pPr>
        <w:pStyle w:val="FirstParagraph"/>
      </w:pPr>
      <w:r>
        <w:rPr>
          <w:b/>
          <w:bCs/>
        </w:rPr>
        <w:t xml:space="preserve">Documents in conflict / gap:</w:t>
      </w:r>
    </w:p>
    <w:p>
      <w:pPr>
        <w:pStyle w:val="Compact"/>
        <w:numPr>
          <w:ilvl w:val="0"/>
          <w:numId w:val="1015"/>
        </w:numPr>
      </w:pPr>
      <w:r>
        <w:t xml:space="preserve">Term Sheet (§10.2): springing extension for Dr. Krishnamurthy (198-day total lock-up if the closing price is below the IPO Price for 5 consecutive trading days during the final 17 trading days of the 180-day period).</w:t>
      </w:r>
    </w:p>
    <w:p>
      <w:pPr>
        <w:pStyle w:val="Compact"/>
        <w:numPr>
          <w:ilvl w:val="0"/>
          <w:numId w:val="1015"/>
        </w:numPr>
      </w:pPr>
      <w:r>
        <w:t xml:space="preserve">Power of Attorney and Custody Agreement (§2(c)): references</w:t>
      </w:r>
      <w:r>
        <w:t xml:space="preserve"> </w:t>
      </w:r>
      <w:r>
        <w:t xml:space="preserve">“</w:t>
      </w:r>
      <w:r>
        <w:t xml:space="preserve">the springing extension provision described in the applicable term sheet.</w:t>
      </w:r>
      <w:r>
        <w:t xml:space="preserve">”</w:t>
      </w:r>
    </w:p>
    <w:p>
      <w:pPr>
        <w:pStyle w:val="Compact"/>
        <w:numPr>
          <w:ilvl w:val="0"/>
          <w:numId w:val="1015"/>
        </w:numPr>
      </w:pPr>
      <w:r>
        <w:t xml:space="preserve">Registration Statement:</w:t>
      </w:r>
      <w:r>
        <w:t xml:space="preserve"> </w:t>
      </w:r>
      <w:r>
        <w:rPr>
          <w:b/>
          <w:bCs/>
        </w:rPr>
        <w:t xml:space="preserve">does not disclose</w:t>
      </w:r>
      <w:r>
        <w:t xml:space="preserve"> </w:t>
      </w:r>
      <w:r>
        <w:t xml:space="preserve">the springing extension.</w:t>
      </w:r>
    </w:p>
    <w:p>
      <w:pPr>
        <w:pStyle w:val="Compact"/>
        <w:numPr>
          <w:ilvl w:val="0"/>
          <w:numId w:val="1015"/>
        </w:numPr>
      </w:pPr>
      <w:r>
        <w:t xml:space="preserve">Form of Lock-Up Agreement:</w:t>
      </w:r>
      <w:r>
        <w:t xml:space="preserve"> </w:t>
      </w:r>
      <w:r>
        <w:rPr>
          <w:b/>
          <w:bCs/>
        </w:rPr>
        <w:t xml:space="preserve">does not include</w:t>
      </w:r>
      <w:r>
        <w:t xml:space="preserve"> </w:t>
      </w:r>
      <w:r>
        <w:t xml:space="preserve">the springing extension (standard form only).</w:t>
      </w:r>
    </w:p>
    <w:p>
      <w:pPr>
        <w:pStyle w:val="Compact"/>
        <w:numPr>
          <w:ilvl w:val="0"/>
          <w:numId w:val="1015"/>
        </w:numPr>
      </w:pPr>
      <w:r>
        <w:t xml:space="preserve">Engagement Letter:</w:t>
      </w:r>
      <w:r>
        <w:t xml:space="preserve"> </w:t>
      </w:r>
      <w:r>
        <w:rPr>
          <w:b/>
          <w:bCs/>
        </w:rPr>
        <w:t xml:space="preserve">does not mention</w:t>
      </w:r>
      <w:r>
        <w:t xml:space="preserve"> </w:t>
      </w:r>
      <w:r>
        <w:t xml:space="preserve">the springing extension.</w:t>
      </w:r>
    </w:p>
    <w:p>
      <w:pPr>
        <w:pStyle w:val="FirstParagraph"/>
      </w:pPr>
      <w:r>
        <w:rPr>
          <w:b/>
          <w:bCs/>
        </w:rPr>
        <w:t xml:space="preserve">Analysis.</w:t>
      </w:r>
      <w:r>
        <w:t xml:space="preserve"> </w:t>
      </w:r>
      <w:r>
        <w:t xml:space="preserve">The springing extension is a non-standard, stockholder-specific restriction that materially affects Dr. Krishnamurthy’s ability to sell shares after the Offering. The Registration Statement does not disclose it, and the Form of Lock-Up Agreement does not include it. The Power of Attorney and Custody Agreement authorizes the attorneys-in-fact to execute a lock-up agreement</w:t>
      </w:r>
      <w:r>
        <w:t xml:space="preserve"> </w:t>
      </w:r>
      <w:r>
        <w:t xml:space="preserve">“</w:t>
      </w:r>
      <w:r>
        <w:t xml:space="preserve">inclusive of the springing extension provision,</w:t>
      </w:r>
      <w:r>
        <w:t xml:space="preserve">”</w:t>
      </w:r>
      <w:r>
        <w:t xml:space="preserve"> </w:t>
      </w:r>
      <w:r>
        <w:t xml:space="preserve">but the operative Form of Lock-Up Agreement lacks the provision.</w:t>
      </w:r>
    </w:p>
    <w:p>
      <w:pPr>
        <w:pStyle w:val="BodyText"/>
      </w:pPr>
      <w:r>
        <w:rPr>
          <w:b/>
          <w:bCs/>
        </w:rPr>
        <w:t xml:space="preserve">Recommendation.</w:t>
      </w:r>
      <w:r>
        <w:t xml:space="preserve"> </w:t>
      </w:r>
      <w:r>
        <w:t xml:space="preserve">(a) Prepare a separate annex or supplement to Dr. Krishnamurthy’s Lock-Up Agreement incorporating the springing extension (the Underwriting Agreement includes this as Exhibit B). (b) Consider whether the springing extension should be disclosed in the Registration Statement’s lock-up disclosure (§VIII and §XI.D), given that it is a material, stockholder-specific restriction on transfer. At minimum, confirm with Company counsel and Underwriters’ Counsel whether disclosure is required. (c) Ensure the Form of Lock-Up Agreement executed by Dr. Krishnamurthy includes the springing extension.</w:t>
      </w:r>
    </w:p>
    <w:bookmarkEnd w:id="39"/>
    <w:bookmarkStart w:id="40" w:name="item-18-lock-up-period-start-date-high"/>
    <w:p>
      <w:pPr>
        <w:pStyle w:val="Heading3"/>
      </w:pPr>
      <w:r>
        <w:t xml:space="preserve">Item 18 — Lock-Up Period Start Date [HIGH]</w:t>
      </w:r>
    </w:p>
    <w:p>
      <w:pPr>
        <w:pStyle w:val="FirstParagraph"/>
      </w:pPr>
      <w:r>
        <w:rPr>
          <w:b/>
          <w:bCs/>
        </w:rPr>
        <w:t xml:space="preserve">Documents in conflict:</w:t>
      </w:r>
    </w:p>
    <w:p>
      <w:pPr>
        <w:pStyle w:val="Compact"/>
        <w:numPr>
          <w:ilvl w:val="0"/>
          <w:numId w:val="1016"/>
        </w:numPr>
      </w:pPr>
      <w:r>
        <w:t xml:space="preserve">Term Sheet (§10.1); Engagement Letter (§7); Form of Lock-Up Agreement (§1): lock-up period of 180 days</w:t>
      </w:r>
      <w:r>
        <w:t xml:space="preserve"> </w:t>
      </w:r>
      <w:r>
        <w:t xml:space="preserve">“</w:t>
      </w:r>
      <w:r>
        <w:rPr>
          <w:b/>
          <w:bCs/>
        </w:rPr>
        <w:t xml:space="preserve">from the date of the Final Prospectus</w:t>
      </w:r>
      <w:r>
        <w:t xml:space="preserve">.</w:t>
      </w:r>
      <w:r>
        <w:t xml:space="preserve">”</w:t>
      </w:r>
    </w:p>
    <w:p>
      <w:pPr>
        <w:pStyle w:val="Compact"/>
        <w:numPr>
          <w:ilvl w:val="0"/>
          <w:numId w:val="1016"/>
        </w:numPr>
      </w:pPr>
      <w:r>
        <w:t xml:space="preserve">Registration Statement (§VIII; §XI.D):</w:t>
      </w:r>
      <w:r>
        <w:t xml:space="preserve"> </w:t>
      </w:r>
      <w:r>
        <w:t xml:space="preserve">“</w:t>
      </w:r>
      <w:r>
        <w:t xml:space="preserve">for a period of 180 days following</w:t>
      </w:r>
      <w:r>
        <w:t xml:space="preserve"> </w:t>
      </w:r>
      <w:r>
        <w:rPr>
          <w:b/>
          <w:bCs/>
        </w:rPr>
        <w:t xml:space="preserve">the date of this prospectus</w:t>
      </w:r>
      <w:r>
        <w:t xml:space="preserve">.</w:t>
      </w:r>
      <w:r>
        <w:t xml:space="preserve">”</w:t>
      </w:r>
    </w:p>
    <w:p>
      <w:pPr>
        <w:pStyle w:val="FirstParagraph"/>
      </w:pPr>
      <w:r>
        <w:rPr>
          <w:b/>
          <w:bCs/>
        </w:rPr>
        <w:t xml:space="preserve">Analysis.</w:t>
      </w:r>
      <w:r>
        <w:t xml:space="preserve"> </w:t>
      </w:r>
      <w:r>
        <w:t xml:space="preserve">The Registration Statement refers to</w:t>
      </w:r>
      <w:r>
        <w:t xml:space="preserve"> </w:t>
      </w:r>
      <w:r>
        <w:t xml:space="preserve">“</w:t>
      </w:r>
      <w:r>
        <w:t xml:space="preserve">the date of this prospectus,</w:t>
      </w:r>
      <w:r>
        <w:t xml:space="preserve">”</w:t>
      </w:r>
      <w:r>
        <w:t xml:space="preserve"> </w:t>
      </w:r>
      <w:r>
        <w:t xml:space="preserve">which is ambiguous as between the Preliminary Prospectus (dated March 12, 2025) and the Final Prospectus (to be filed after pricing). The operative Lock-Up Agreements run from the date of the Final Prospectus. If</w:t>
      </w:r>
      <w:r>
        <w:t xml:space="preserve"> </w:t>
      </w:r>
      <w:r>
        <w:t xml:space="preserve">“</w:t>
      </w:r>
      <w:r>
        <w:t xml:space="preserve">this prospectus</w:t>
      </w:r>
      <w:r>
        <w:t xml:space="preserve">”</w:t>
      </w:r>
      <w:r>
        <w:t xml:space="preserve"> </w:t>
      </w:r>
      <w:r>
        <w:t xml:space="preserve">in the Registration Statement is read to mean the Preliminary Prospectus, the disclosed lock-up period would begin approximately one week earlier than the operative lock-up period.</w:t>
      </w:r>
    </w:p>
    <w:p>
      <w:pPr>
        <w:pStyle w:val="BodyText"/>
      </w:pPr>
      <w:r>
        <w:rPr>
          <w:b/>
          <w:bCs/>
        </w:rPr>
        <w:t xml:space="preserve">Recommendation.</w:t>
      </w:r>
      <w:r>
        <w:t xml:space="preserve"> </w:t>
      </w:r>
      <w:r>
        <w:t xml:space="preserve">Confirm that the Registration Statement’s lock-up disclosure is intended to refer to the Final Prospectus, and revise the language to state</w:t>
      </w:r>
      <w:r>
        <w:t xml:space="preserve"> </w:t>
      </w:r>
      <w:r>
        <w:t xml:space="preserve">“</w:t>
      </w:r>
      <w:r>
        <w:t xml:space="preserve">the date of the Final Prospectus</w:t>
      </w:r>
      <w:r>
        <w:t xml:space="preserve">”</w:t>
      </w:r>
      <w:r>
        <w:t xml:space="preserve"> </w:t>
      </w:r>
      <w:r>
        <w:t xml:space="preserve">to match the operative Lock-Up Agreements. The Underwriting Agreement and Exhibit A use</w:t>
      </w:r>
      <w:r>
        <w:t xml:space="preserve"> </w:t>
      </w:r>
      <w:r>
        <w:t xml:space="preserve">“</w:t>
      </w:r>
      <w:r>
        <w:t xml:space="preserve">the date of the Final Prospectus.</w:t>
      </w:r>
      <w:r>
        <w:t xml:space="preserve">”</w:t>
      </w:r>
    </w:p>
    <w:bookmarkEnd w:id="40"/>
    <w:bookmarkStart w:id="41" w:name="X8caf4efb2360ea272c0bc0c3396ab1fd36cc889"/>
    <w:p>
      <w:pPr>
        <w:pStyle w:val="Heading3"/>
      </w:pPr>
      <w:r>
        <w:t xml:space="preserve">Item 19 — Preferred Stock Conversion Timing [HIGH]</w:t>
      </w:r>
    </w:p>
    <w:p>
      <w:pPr>
        <w:pStyle w:val="FirstParagraph"/>
      </w:pPr>
      <w:r>
        <w:rPr>
          <w:b/>
          <w:bCs/>
        </w:rPr>
        <w:t xml:space="preserve">Documents in conflict:</w:t>
      </w:r>
    </w:p>
    <w:p>
      <w:pPr>
        <w:pStyle w:val="Compact"/>
        <w:numPr>
          <w:ilvl w:val="0"/>
          <w:numId w:val="1017"/>
        </w:numPr>
      </w:pPr>
      <w:r>
        <w:t xml:space="preserve">Amended and Restated Certificate of Incorporation (effective December 20, 2024; §4.3):</w:t>
      </w:r>
      <w:r>
        <w:t xml:space="preserve"> </w:t>
      </w:r>
      <w:r>
        <w:t xml:space="preserve">“</w:t>
      </w:r>
      <w:r>
        <w:t xml:space="preserve">As of the effective date of this Amended and Restated Certificate of Incorporation, all previously designated series of Preferred Stock … have been converted to Common Stock … and no shares of Preferred Stock are outstanding.</w:t>
      </w:r>
      <w:r>
        <w:t xml:space="preserve">”</w:t>
      </w:r>
    </w:p>
    <w:p>
      <w:pPr>
        <w:pStyle w:val="Compact"/>
        <w:numPr>
          <w:ilvl w:val="0"/>
          <w:numId w:val="1017"/>
        </w:numPr>
      </w:pPr>
      <w:r>
        <w:t xml:space="preserve">Registration Statement (Capitalization narrative):</w:t>
      </w:r>
      <w:r>
        <w:t xml:space="preserve"> </w:t>
      </w:r>
      <w:r>
        <w:t xml:space="preserve">“</w:t>
      </w:r>
      <w:r>
        <w:t xml:space="preserve">All outstanding shares of preferred stock … were converted into shares of common stock in connection with the corporate reorganization</w:t>
      </w:r>
      <w:r>
        <w:t xml:space="preserve"> </w:t>
      </w:r>
      <w:r>
        <w:rPr>
          <w:b/>
          <w:bCs/>
        </w:rPr>
        <w:t xml:space="preserve">completed on January 15, 2025</w:t>
      </w:r>
      <w:r>
        <w:t xml:space="preserve">.</w:t>
      </w:r>
      <w:r>
        <w:t xml:space="preserve">”</w:t>
      </w:r>
    </w:p>
    <w:p>
      <w:pPr>
        <w:pStyle w:val="Compact"/>
        <w:numPr>
          <w:ilvl w:val="0"/>
          <w:numId w:val="1017"/>
        </w:numPr>
      </w:pPr>
      <w:r>
        <w:t xml:space="preserve">Registration Statement (Capitalization table,</w:t>
      </w:r>
      <w:r>
        <w:t xml:space="preserve"> </w:t>
      </w:r>
      <w:r>
        <w:t xml:space="preserve">“</w:t>
      </w:r>
      <w:r>
        <w:t xml:space="preserve">Actual</w:t>
      </w:r>
      <w:r>
        <w:t xml:space="preserve">”</w:t>
      </w:r>
      <w:r>
        <w:t xml:space="preserve"> </w:t>
      </w:r>
      <w:r>
        <w:t xml:space="preserve">as of December 31, 2024): 42,000,000 common shares outstanding; no preferred outstanding.</w:t>
      </w:r>
    </w:p>
    <w:p>
      <w:pPr>
        <w:pStyle w:val="FirstParagraph"/>
      </w:pPr>
      <w:r>
        <w:rPr>
          <w:b/>
          <w:bCs/>
        </w:rPr>
        <w:t xml:space="preserve">Analysis.</w:t>
      </w:r>
      <w:r>
        <w:t xml:space="preserve"> </w:t>
      </w:r>
      <w:r>
        <w:t xml:space="preserve">The Certificate of Incorporation states that the preferred-to-common conversion was effective as of December 20, 2024 (the effective date of the A&amp;R charter), while the Registration Statement narrative states the reorganization was</w:t>
      </w:r>
      <w:r>
        <w:t xml:space="preserve"> </w:t>
      </w:r>
      <w:r>
        <w:t xml:space="preserve">“</w:t>
      </w:r>
      <w:r>
        <w:t xml:space="preserve">completed on January 15, 2025.</w:t>
      </w:r>
      <w:r>
        <w:t xml:space="preserve">”</w:t>
      </w:r>
      <w:r>
        <w:t xml:space="preserve"> </w:t>
      </w:r>
      <w:r>
        <w:t xml:space="preserve">The Capitalization table’s</w:t>
      </w:r>
      <w:r>
        <w:t xml:space="preserve"> </w:t>
      </w:r>
      <w:r>
        <w:t xml:space="preserve">“</w:t>
      </w:r>
      <w:r>
        <w:t xml:space="preserve">Actual</w:t>
      </w:r>
      <w:r>
        <w:t xml:space="preserve">”</w:t>
      </w:r>
      <w:r>
        <w:t xml:space="preserve"> </w:t>
      </w:r>
      <w:r>
        <w:t xml:space="preserve">column (as of December 31, 2024) shows 42,000,000 common shares and no preferred, which is consistent with the conversion having occurred on or before December 31, 2024 (per the Certificate) but inconsistent with a January 15, 2025 completion (per the narrative). If the conversion was not completed until January 15, 2025, the December 31, 2024</w:t>
      </w:r>
      <w:r>
        <w:t xml:space="preserve"> </w:t>
      </w:r>
      <w:r>
        <w:t xml:space="preserve">“</w:t>
      </w:r>
      <w:r>
        <w:t xml:space="preserve">Actual</w:t>
      </w:r>
      <w:r>
        <w:t xml:space="preserve">”</w:t>
      </w:r>
      <w:r>
        <w:t xml:space="preserve"> </w:t>
      </w:r>
      <w:r>
        <w:t xml:space="preserve">balance sheet should have reflected preferred stock outstanding and fewer common shares.</w:t>
      </w:r>
    </w:p>
    <w:p>
      <w:pPr>
        <w:pStyle w:val="BodyText"/>
      </w:pPr>
      <w:r>
        <w:rPr>
          <w:b/>
          <w:bCs/>
        </w:rPr>
        <w:t xml:space="preserve">Recommendation.</w:t>
      </w:r>
      <w:r>
        <w:t xml:space="preserve"> </w:t>
      </w:r>
      <w:r>
        <w:t xml:space="preserve">Confirm the effective date of the preferred-to-common conversion with Company counsel and the Company’s stock records. Reconcile the Certificate of Incorporation, the Registration Statement narrative, and the Capitalization table. If the conversion was effective December 20, 2024, correct the Registration Statement’s</w:t>
      </w:r>
      <w:r>
        <w:t xml:space="preserve"> </w:t>
      </w:r>
      <w:r>
        <w:t xml:space="preserve">“</w:t>
      </w:r>
      <w:r>
        <w:t xml:space="preserve">January 15, 2025</w:t>
      </w:r>
      <w:r>
        <w:t xml:space="preserve">”</w:t>
      </w:r>
      <w:r>
        <w:t xml:space="preserve"> </w:t>
      </w:r>
      <w:r>
        <w:t xml:space="preserve">reference. If the conversion was completed January 15, 2025, the Capitalization table’s</w:t>
      </w:r>
      <w:r>
        <w:t xml:space="preserve"> </w:t>
      </w:r>
      <w:r>
        <w:t xml:space="preserve">“</w:t>
      </w:r>
      <w:r>
        <w:t xml:space="preserve">Actual</w:t>
      </w:r>
      <w:r>
        <w:t xml:space="preserve">”</w:t>
      </w:r>
      <w:r>
        <w:t xml:space="preserve"> </w:t>
      </w:r>
      <w:r>
        <w:t xml:space="preserve">column and the December 31, 2024 balance sheet presentation should be revisited. This also bears on the comfort letter reconciliation (Item 13).</w:t>
      </w:r>
    </w:p>
    <w:bookmarkEnd w:id="41"/>
    <w:bookmarkStart w:id="42" w:name="Xa73c10860003902116f6d42c94804634d51823a"/>
    <w:p>
      <w:pPr>
        <w:pStyle w:val="Heading3"/>
      </w:pPr>
      <w:r>
        <w:t xml:space="preserve">Item 20 —</w:t>
      </w:r>
      <w:r>
        <w:t xml:space="preserve"> </w:t>
      </w:r>
      <w:r>
        <w:t xml:space="preserve">“</w:t>
      </w:r>
      <w:r>
        <w:t xml:space="preserve">Net Proceeds</w:t>
      </w:r>
      <w:r>
        <w:t xml:space="preserve">”</w:t>
      </w:r>
      <w:r>
        <w:t xml:space="preserve"> </w:t>
      </w:r>
      <w:r>
        <w:t xml:space="preserve">Definition (Before vs. After Offering Expenses) [HIGH]</w:t>
      </w:r>
    </w:p>
    <w:p>
      <w:pPr>
        <w:pStyle w:val="FirstParagraph"/>
      </w:pPr>
      <w:r>
        <w:rPr>
          <w:b/>
          <w:bCs/>
        </w:rPr>
        <w:t xml:space="preserve">Documents in conflict:</w:t>
      </w:r>
    </w:p>
    <w:p>
      <w:pPr>
        <w:pStyle w:val="Compact"/>
        <w:numPr>
          <w:ilvl w:val="0"/>
          <w:numId w:val="1018"/>
        </w:numPr>
      </w:pPr>
      <w:r>
        <w:t xml:space="preserve">Term Sheet (§5.2); Engagement Letter (§3.2):</w:t>
      </w:r>
      <w:r>
        <w:t xml:space="preserve"> </w:t>
      </w:r>
      <w:r>
        <w:t xml:space="preserve">“</w:t>
      </w:r>
      <w:r>
        <w:t xml:space="preserve">Net proceeds</w:t>
      </w:r>
      <w:r>
        <w:t xml:space="preserve">”</w:t>
      </w:r>
      <w:r>
        <w:t xml:space="preserve"> </w:t>
      </w:r>
      <w:r>
        <w:t xml:space="preserve">to the Company =</w:t>
      </w:r>
      <w:r>
        <w:t xml:space="preserve"> </w:t>
      </w:r>
      <w:r>
        <w:rPr>
          <w:b/>
          <w:bCs/>
        </w:rPr>
        <w:t xml:space="preserve">$180,480,000</w:t>
      </w:r>
      <w:r>
        <w:t xml:space="preserve"> </w:t>
      </w:r>
      <w:r>
        <w:t xml:space="preserve">(8,000,000 × $22.56), i.e., net of underwriting discount but</w:t>
      </w:r>
      <w:r>
        <w:t xml:space="preserve"> </w:t>
      </w:r>
      <w:r>
        <w:rPr>
          <w:b/>
          <w:bCs/>
        </w:rPr>
        <w:t xml:space="preserve">before</w:t>
      </w:r>
      <w:r>
        <w:t xml:space="preserve"> </w:t>
      </w:r>
      <w:r>
        <w:t xml:space="preserve">offering expenses.</w:t>
      </w:r>
    </w:p>
    <w:p>
      <w:pPr>
        <w:pStyle w:val="Compact"/>
        <w:numPr>
          <w:ilvl w:val="0"/>
          <w:numId w:val="1018"/>
        </w:numPr>
      </w:pPr>
      <w:r>
        <w:t xml:space="preserve">Registration Statement (Use of Proceeds): net proceeds to the Company =</w:t>
      </w:r>
      <w:r>
        <w:t xml:space="preserve"> </w:t>
      </w:r>
      <w:r>
        <w:rPr>
          <w:b/>
          <w:bCs/>
        </w:rPr>
        <w:t xml:space="preserve">approximately $177.3 million</w:t>
      </w:r>
      <w:r>
        <w:t xml:space="preserve"> </w:t>
      </w:r>
      <w:r>
        <w:t xml:space="preserve">(or $217.9 million with full Over-Allotment Option exercise), i.e., net of underwriting discount</w:t>
      </w:r>
      <w:r>
        <w:t xml:space="preserve"> </w:t>
      </w:r>
      <w:r>
        <w:rPr>
          <w:b/>
          <w:bCs/>
        </w:rPr>
        <w:t xml:space="preserve">and</w:t>
      </w:r>
      <w:r>
        <w:t xml:space="preserve"> </w:t>
      </w:r>
      <w:r>
        <w:t xml:space="preserve">estimated offering expenses of $3.2 million.</w:t>
      </w:r>
    </w:p>
    <w:p>
      <w:pPr>
        <w:pStyle w:val="Compact"/>
        <w:numPr>
          <w:ilvl w:val="0"/>
          <w:numId w:val="1018"/>
        </w:numPr>
      </w:pPr>
      <w:r>
        <w:t xml:space="preserve">Draft Comfort Letter (§VII.D): net proceeds = $192,000,000 − $11,520,000 discount − $3,200,000 expenses =</w:t>
      </w:r>
      <w:r>
        <w:t xml:space="preserve"> </w:t>
      </w:r>
      <w:r>
        <w:rPr>
          <w:b/>
          <w:bCs/>
        </w:rPr>
        <w:t xml:space="preserve">$177,280,000</w:t>
      </w:r>
      <w:r>
        <w:t xml:space="preserve">.</w:t>
      </w:r>
    </w:p>
    <w:p>
      <w:pPr>
        <w:pStyle w:val="FirstParagraph"/>
      </w:pPr>
      <w:r>
        <w:rPr>
          <w:b/>
          <w:bCs/>
        </w:rPr>
        <w:t xml:space="preserve">Analysis.</w:t>
      </w:r>
      <w:r>
        <w:t xml:space="preserve"> </w:t>
      </w:r>
      <w:r>
        <w:t xml:space="preserve">The Term Sheet and Engagement Letter use</w:t>
      </w:r>
      <w:r>
        <w:t xml:space="preserve"> </w:t>
      </w:r>
      <w:r>
        <w:t xml:space="preserve">“</w:t>
      </w:r>
      <w:r>
        <w:t xml:space="preserve">net proceeds</w:t>
      </w:r>
      <w:r>
        <w:t xml:space="preserve">”</w:t>
      </w:r>
      <w:r>
        <w:t xml:space="preserve"> </w:t>
      </w:r>
      <w:r>
        <w:t xml:space="preserve">to mean the closing proceeds net of the underwriting discount ($180.48 million), while the Registration Statement and the comfort letter use</w:t>
      </w:r>
      <w:r>
        <w:t xml:space="preserve"> </w:t>
      </w:r>
      <w:r>
        <w:t xml:space="preserve">“</w:t>
      </w:r>
      <w:r>
        <w:t xml:space="preserve">net proceeds</w:t>
      </w:r>
      <w:r>
        <w:t xml:space="preserve">”</w:t>
      </w:r>
      <w:r>
        <w:t xml:space="preserve"> </w:t>
      </w:r>
      <w:r>
        <w:t xml:space="preserve">to mean the amount net of both the discount and offering expenses ($177.28 million). Both can be correct under their respective definitions, but the inconsistent use of the term</w:t>
      </w:r>
      <w:r>
        <w:t xml:space="preserve"> </w:t>
      </w:r>
      <w:r>
        <w:t xml:space="preserve">“</w:t>
      </w:r>
      <w:r>
        <w:t xml:space="preserve">net proceeds</w:t>
      </w:r>
      <w:r>
        <w:t xml:space="preserve">”</w:t>
      </w:r>
      <w:r>
        <w:t xml:space="preserve"> </w:t>
      </w:r>
      <w:r>
        <w:t xml:space="preserve">could cause confusion and could affect the mandatory-prepayment calculation (Item 6), which turns on the definition of</w:t>
      </w:r>
      <w:r>
        <w:t xml:space="preserve"> </w:t>
      </w:r>
      <w:r>
        <w:t xml:space="preserve">“</w:t>
      </w:r>
      <w:r>
        <w:t xml:space="preserve">Net Equity Proceeds.</w:t>
      </w:r>
      <w:r>
        <w:t xml:space="preserve">”</w:t>
      </w:r>
    </w:p>
    <w:p>
      <w:pPr>
        <w:pStyle w:val="BodyText"/>
      </w:pPr>
      <w:r>
        <w:rPr>
          <w:b/>
          <w:bCs/>
        </w:rPr>
        <w:t xml:space="preserve">Recommendation.</w:t>
      </w:r>
      <w:r>
        <w:t xml:space="preserve"> </w:t>
      </w:r>
      <w:r>
        <w:t xml:space="preserve">The Underwriting Agreement (Section 6(c)) states the closing net proceeds to the Company as $180,480,000 (net of discount, before expenses), which is the amount payable at the Closing, and separately addresses offering expenses (Section 10(g)). Confirm that the Credit Agreement’s</w:t>
      </w:r>
      <w:r>
        <w:t xml:space="preserve"> </w:t>
      </w:r>
      <w:r>
        <w:t xml:space="preserve">“</w:t>
      </w:r>
      <w:r>
        <w:t xml:space="preserve">Net Equity Proceeds</w:t>
      </w:r>
      <w:r>
        <w:t xml:space="preserve">”</w:t>
      </w:r>
      <w:r>
        <w:t xml:space="preserve"> </w:t>
      </w:r>
      <w:r>
        <w:t xml:space="preserve">definition (which permits deduction of underwriting discounts and</w:t>
      </w:r>
      <w:r>
        <w:t xml:space="preserve"> </w:t>
      </w:r>
      <w:r>
        <w:t xml:space="preserve">“</w:t>
      </w:r>
      <w:r>
        <w:t xml:space="preserve">reasonable out-of-pocket fees, costs, and expenses</w:t>
      </w:r>
      <w:r>
        <w:t xml:space="preserve">”</w:t>
      </w:r>
      <w:r>
        <w:t xml:space="preserve">) is applied consistently with the mandatory-prepayment calculation in Item 6. Ensure the Registration Statement’s Use of Proceeds and the Underwriting Agreement use</w:t>
      </w:r>
      <w:r>
        <w:t xml:space="preserve"> </w:t>
      </w:r>
      <w:r>
        <w:t xml:space="preserve">“</w:t>
      </w:r>
      <w:r>
        <w:t xml:space="preserve">net proceeds</w:t>
      </w:r>
      <w:r>
        <w:t xml:space="preserve">”</w:t>
      </w:r>
      <w:r>
        <w:t xml:space="preserve"> </w:t>
      </w:r>
      <w:r>
        <w:t xml:space="preserve">consistently or define the term clearly in each context.</w:t>
      </w:r>
    </w:p>
    <w:bookmarkEnd w:id="42"/>
    <w:bookmarkStart w:id="43" w:name="X636633220f8fbe9e3a06d5ccf2035ac48deec8b"/>
    <w:p>
      <w:pPr>
        <w:pStyle w:val="Heading3"/>
      </w:pPr>
      <w:r>
        <w:t xml:space="preserve">Item 21 — Comfort Letter Date Description [HIGH]</w:t>
      </w:r>
    </w:p>
    <w:p>
      <w:pPr>
        <w:pStyle w:val="FirstParagraph"/>
      </w:pPr>
      <w:r>
        <w:rPr>
          <w:b/>
          <w:bCs/>
        </w:rPr>
        <w:t xml:space="preserve">Documents in conflict:</w:t>
      </w:r>
    </w:p>
    <w:p>
      <w:pPr>
        <w:pStyle w:val="Compact"/>
        <w:numPr>
          <w:ilvl w:val="0"/>
          <w:numId w:val="1019"/>
        </w:numPr>
      </w:pPr>
      <w:r>
        <w:t xml:space="preserve">Term Sheet (§8.1; §12(c)): comfort letter from Whitman Reese &amp; Co. dated</w:t>
      </w:r>
      <w:r>
        <w:t xml:space="preserve"> </w:t>
      </w:r>
      <w:r>
        <w:rPr>
          <w:b/>
          <w:bCs/>
        </w:rPr>
        <w:t xml:space="preserve">March 18, 2025</w:t>
      </w:r>
      <w:r>
        <w:t xml:space="preserve">; bring-down comfort letter at closing dated</w:t>
      </w:r>
      <w:r>
        <w:t xml:space="preserve"> </w:t>
      </w:r>
      <w:r>
        <w:rPr>
          <w:b/>
          <w:bCs/>
        </w:rPr>
        <w:t xml:space="preserve">March 24, 2025</w:t>
      </w:r>
      <w:r>
        <w:t xml:space="preserve">.</w:t>
      </w:r>
    </w:p>
    <w:p>
      <w:pPr>
        <w:pStyle w:val="Compact"/>
        <w:numPr>
          <w:ilvl w:val="0"/>
          <w:numId w:val="1019"/>
        </w:numPr>
      </w:pPr>
      <w:r>
        <w:t xml:space="preserve">Engagement Letter (§6(e)): comfort letter</w:t>
      </w:r>
      <w:r>
        <w:t xml:space="preserve"> </w:t>
      </w:r>
      <w:r>
        <w:t xml:space="preserve">“</w:t>
      </w:r>
      <w:r>
        <w:t xml:space="preserve">dated as of the</w:t>
      </w:r>
      <w:r>
        <w:t xml:space="preserve"> </w:t>
      </w:r>
      <w:r>
        <w:rPr>
          <w:b/>
          <w:bCs/>
        </w:rPr>
        <w:t xml:space="preserve">date of the Final Prospectus</w:t>
      </w:r>
      <w:r>
        <w:t xml:space="preserve">”</w:t>
      </w:r>
      <w:r>
        <w:t xml:space="preserve">; bring-down</w:t>
      </w:r>
      <w:r>
        <w:t xml:space="preserve"> </w:t>
      </w:r>
      <w:r>
        <w:t xml:space="preserve">“</w:t>
      </w:r>
      <w:r>
        <w:t xml:space="preserve">dated as of the Closing Date.</w:t>
      </w:r>
      <w:r>
        <w:t xml:space="preserve">”</w:t>
      </w:r>
    </w:p>
    <w:p>
      <w:pPr>
        <w:pStyle w:val="Compact"/>
        <w:numPr>
          <w:ilvl w:val="0"/>
          <w:numId w:val="1019"/>
        </w:numPr>
      </w:pPr>
      <w:r>
        <w:t xml:space="preserve">Draft Comfort Letter: dated</w:t>
      </w:r>
      <w:r>
        <w:t xml:space="preserve"> </w:t>
      </w:r>
      <w:r>
        <w:rPr>
          <w:b/>
          <w:bCs/>
        </w:rPr>
        <w:t xml:space="preserve">March 18, 2025</w:t>
      </w:r>
      <w:r>
        <w:t xml:space="preserve">; references</w:t>
      </w:r>
      <w:r>
        <w:t xml:space="preserve"> </w:t>
      </w:r>
      <w:r>
        <w:t xml:space="preserve">“</w:t>
      </w:r>
      <w:r>
        <w:t xml:space="preserve">Section 7(d) of the Underwriting Agreement.</w:t>
      </w:r>
      <w:r>
        <w:t xml:space="preserve">”</w:t>
      </w:r>
    </w:p>
    <w:p>
      <w:pPr>
        <w:pStyle w:val="FirstParagraph"/>
      </w:pPr>
      <w:r>
        <w:rPr>
          <w:b/>
          <w:bCs/>
        </w:rPr>
        <w:t xml:space="preserve">Analysis.</w:t>
      </w:r>
      <w:r>
        <w:t xml:space="preserve"> </w:t>
      </w:r>
      <w:r>
        <w:t xml:space="preserve">The Term Sheet and the Draft Comfort Letter both date the pricing comfort letter March 18, 2025 (one day before the pricing date of March 19, 2025). The Engagement Letter describes the comfort letter as</w:t>
      </w:r>
      <w:r>
        <w:t xml:space="preserve"> </w:t>
      </w:r>
      <w:r>
        <w:t xml:space="preserve">“</w:t>
      </w:r>
      <w:r>
        <w:t xml:space="preserve">dated as of the date of the Final Prospectus.</w:t>
      </w:r>
      <w:r>
        <w:t xml:space="preserve">”</w:t>
      </w:r>
      <w:r>
        <w:t xml:space="preserve"> </w:t>
      </w:r>
      <w:r>
        <w:t xml:space="preserve">The Final Prospectus will be filed after pricing (March 19, 2025), so a comfort letter dated March 18, 2025 would predate the Final Prospectus. In practice, the pricing comfort letter is typically dated as of the pricing date or the date of the pricing prospectus. The Draft Comfort Letter also references</w:t>
      </w:r>
      <w:r>
        <w:t xml:space="preserve"> </w:t>
      </w:r>
      <w:r>
        <w:t xml:space="preserve">“</w:t>
      </w:r>
      <w:r>
        <w:t xml:space="preserve">Section 7(d) of the Underwriting Agreement</w:t>
      </w:r>
      <w:r>
        <w:t xml:space="preserve">”</w:t>
      </w:r>
      <w:r>
        <w:t xml:space="preserve"> </w:t>
      </w:r>
      <w:r>
        <w:t xml:space="preserve">as the source of the delivery obligation.</w:t>
      </w:r>
    </w:p>
    <w:p>
      <w:pPr>
        <w:pStyle w:val="BodyText"/>
      </w:pPr>
      <w:r>
        <w:rPr>
          <w:b/>
          <w:bCs/>
        </w:rPr>
        <w:t xml:space="preserve">Recommendation.</w:t>
      </w:r>
      <w:r>
        <w:t xml:space="preserve"> </w:t>
      </w:r>
      <w:r>
        <w:t xml:space="preserve">(a) Confirm the intended date of the pricing comfort letter (March 18, 2025 per the Term Sheet, or the pricing date/Final Prospectus date per the Engagement Letter). (b) The Underwriting Agreement (Section 7(c)) requires a comfort letter</w:t>
      </w:r>
      <w:r>
        <w:t xml:space="preserve"> </w:t>
      </w:r>
      <w:r>
        <w:t xml:space="preserve">“</w:t>
      </w:r>
      <w:r>
        <w:t xml:space="preserve">dated as of the date hereof (March 19, 2025)</w:t>
      </w:r>
      <w:r>
        <w:t xml:space="preserve">”</w:t>
      </w:r>
      <w:r>
        <w:t xml:space="preserve"> </w:t>
      </w:r>
      <w:r>
        <w:t xml:space="preserve">and a bring-down</w:t>
      </w:r>
      <w:r>
        <w:t xml:space="preserve"> </w:t>
      </w:r>
      <w:r>
        <w:t xml:space="preserve">“</w:t>
      </w:r>
      <w:r>
        <w:t xml:space="preserve">dated as of the Closing Date (March 24, 2025).</w:t>
      </w:r>
      <w:r>
        <w:t xml:space="preserve">”</w:t>
      </w:r>
      <w:r>
        <w:t xml:space="preserve"> </w:t>
      </w:r>
      <w:r>
        <w:t xml:space="preserve">Reconcile the comfort letter date with the Underwriting Agreement; if the comfort letter is to be dated March 18, 2025, adjust the Underwriting Agreement’s reference accordingly, or confirm the auditor will re-date the final comfort letter as of March 19, 2025. (c) Ensure the Underwriting Agreement’s comfort-letter delivery covenant is located in the section cross-referenced by the auditor (the Draft Comfort Letter cites</w:t>
      </w:r>
      <w:r>
        <w:t xml:space="preserve"> </w:t>
      </w:r>
      <w:r>
        <w:t xml:space="preserve">“</w:t>
      </w:r>
      <w:r>
        <w:t xml:space="preserve">Section 7(d)</w:t>
      </w:r>
      <w:r>
        <w:t xml:space="preserve">”</w:t>
      </w:r>
      <w:r>
        <w:t xml:space="preserve">; the delivery covenant is currently in Section 7(c) — confirm section numbering with the auditor).</w:t>
      </w:r>
    </w:p>
    <w:bookmarkEnd w:id="43"/>
    <w:bookmarkStart w:id="44" w:name="Xe3be6eb8b833bdf08996413001aac379dc3c9ad"/>
    <w:p>
      <w:pPr>
        <w:pStyle w:val="Heading3"/>
      </w:pPr>
      <w:r>
        <w:t xml:space="preserve">Item 22 — Board Observer Seat Disclosure for Cascade [HIGH]</w:t>
      </w:r>
    </w:p>
    <w:p>
      <w:pPr>
        <w:pStyle w:val="FirstParagraph"/>
      </w:pPr>
      <w:r>
        <w:rPr>
          <w:b/>
          <w:bCs/>
        </w:rPr>
        <w:t xml:space="preserve">Documents in conflict / gap:</w:t>
      </w:r>
    </w:p>
    <w:p>
      <w:pPr>
        <w:pStyle w:val="Compact"/>
        <w:numPr>
          <w:ilvl w:val="0"/>
          <w:numId w:val="1020"/>
        </w:numPr>
      </w:pPr>
      <w:r>
        <w:t xml:space="preserve">Selling Stockholder Questionnaire (Cascade, §4(a)): discloses that Cascade</w:t>
      </w:r>
      <w:r>
        <w:t xml:space="preserve"> </w:t>
      </w:r>
      <w:r>
        <w:t xml:space="preserve">“</w:t>
      </w:r>
      <w:r>
        <w:t xml:space="preserve">held a board observer seat pursuant to the Series A Preferred Stock Purchase Agreement through January 2025,</w:t>
      </w:r>
      <w:r>
        <w:t xml:space="preserve">”</w:t>
      </w:r>
      <w:r>
        <w:t xml:space="preserve"> </w:t>
      </w:r>
      <w:r>
        <w:t xml:space="preserve">terminating upon IPO closing.</w:t>
      </w:r>
    </w:p>
    <w:p>
      <w:pPr>
        <w:pStyle w:val="Compact"/>
        <w:numPr>
          <w:ilvl w:val="0"/>
          <w:numId w:val="1020"/>
        </w:numPr>
      </w:pPr>
      <w:r>
        <w:t xml:space="preserve">Registration Statement (beneficial ownership footnote 1): does not mention the board observer relationship.</w:t>
      </w:r>
    </w:p>
    <w:p>
      <w:pPr>
        <w:pStyle w:val="FirstParagraph"/>
      </w:pPr>
      <w:r>
        <w:rPr>
          <w:b/>
          <w:bCs/>
        </w:rPr>
        <w:t xml:space="preserve">Analysis.</w:t>
      </w:r>
      <w:r>
        <w:t xml:space="preserve"> </w:t>
      </w:r>
      <w:r>
        <w:t xml:space="preserve">SEC disclosure rules require disclosure of the nature of any material relationship between a Selling Stockholder and the Company within the past three years. The Questionnaire discloses a board observer seat, but the Registration Statement’s selling-stockholder footnote does not appear to reflect this relationship.</w:t>
      </w:r>
    </w:p>
    <w:p>
      <w:pPr>
        <w:pStyle w:val="BodyText"/>
      </w:pPr>
      <w:r>
        <w:rPr>
          <w:b/>
          <w:bCs/>
        </w:rPr>
        <w:t xml:space="preserve">Recommendation.</w:t>
      </w:r>
      <w:r>
        <w:t xml:space="preserve"> </w:t>
      </w:r>
      <w:r>
        <w:t xml:space="preserve">Confirm whether the Registration Statement’s selling-stockholder disclosure (§VIII) adequately discloses Cascade’s board observer relationship. If not, add appropriate disclosure to the Final Prospectus. Also reconcile the Questionnaire’s statement that the observer seat was held</w:t>
      </w:r>
      <w:r>
        <w:t xml:space="preserve"> </w:t>
      </w:r>
      <w:r>
        <w:t xml:space="preserve">“</w:t>
      </w:r>
      <w:r>
        <w:t xml:space="preserve">through January 2025</w:t>
      </w:r>
      <w:r>
        <w:t xml:space="preserve">”</w:t>
      </w:r>
      <w:r>
        <w:t xml:space="preserve"> </w:t>
      </w:r>
      <w:r>
        <w:t xml:space="preserve">and</w:t>
      </w:r>
      <w:r>
        <w:t xml:space="preserve"> </w:t>
      </w:r>
      <w:r>
        <w:t xml:space="preserve">“</w:t>
      </w:r>
      <w:r>
        <w:t xml:space="preserve">will terminate upon the closing of the IPO</w:t>
      </w:r>
      <w:r>
        <w:t xml:space="preserve">”</w:t>
      </w:r>
      <w:r>
        <w:t xml:space="preserve"> </w:t>
      </w:r>
      <w:r>
        <w:t xml:space="preserve">(slight internal tension — clarify whether it terminated in January 2025 or terminates at IPO closing).</w:t>
      </w:r>
    </w:p>
    <w:bookmarkEnd w:id="44"/>
    <w:bookmarkStart w:id="45" w:name="Xa148fdf7eab681c7ddd9ee593064aed89306357"/>
    <w:p>
      <w:pPr>
        <w:pStyle w:val="Heading3"/>
      </w:pPr>
      <w:r>
        <w:t xml:space="preserve">Item 23 — Selling Stockholder Control-Person Disclosure Mismatch (Cascade) [HIGH]</w:t>
      </w:r>
    </w:p>
    <w:p>
      <w:pPr>
        <w:pStyle w:val="FirstParagraph"/>
      </w:pPr>
      <w:r>
        <w:rPr>
          <w:b/>
          <w:bCs/>
        </w:rPr>
        <w:t xml:space="preserve">Documents in conflict:</w:t>
      </w:r>
    </w:p>
    <w:p>
      <w:pPr>
        <w:pStyle w:val="Compact"/>
        <w:numPr>
          <w:ilvl w:val="0"/>
          <w:numId w:val="1021"/>
        </w:numPr>
      </w:pPr>
      <w:r>
        <w:t xml:space="preserve">Registration Statement (footnote 1):</w:t>
      </w:r>
      <w:r>
        <w:t xml:space="preserve"> </w:t>
      </w:r>
      <w:r>
        <w:t xml:space="preserve">“</w:t>
      </w:r>
      <w:r>
        <w:t xml:space="preserve">Mr. </w:t>
      </w:r>
      <w:r>
        <w:rPr>
          <w:b/>
          <w:bCs/>
        </w:rPr>
        <w:t xml:space="preserve">James Whitfield</w:t>
      </w:r>
      <w:r>
        <w:t xml:space="preserve"> </w:t>
      </w:r>
      <w:r>
        <w:t xml:space="preserve">is the managing member of Cascade Ridge Capital Management LLC</w:t>
      </w:r>
      <w:r>
        <w:t xml:space="preserve">”</w:t>
      </w:r>
      <w:r>
        <w:t xml:space="preserve"> </w:t>
      </w:r>
      <w:r>
        <w:t xml:space="preserve">and may be deemed to have voting and investment power.</w:t>
      </w:r>
    </w:p>
    <w:p>
      <w:pPr>
        <w:pStyle w:val="Compact"/>
        <w:numPr>
          <w:ilvl w:val="0"/>
          <w:numId w:val="1021"/>
        </w:numPr>
      </w:pPr>
      <w:r>
        <w:t xml:space="preserve">Selling Stockholder Questionnaire (§1; §5): natural persons with voting/investment control are</w:t>
      </w:r>
      <w:r>
        <w:t xml:space="preserve"> </w:t>
      </w:r>
      <w:r>
        <w:rPr>
          <w:b/>
          <w:bCs/>
        </w:rPr>
        <w:t xml:space="preserve">Marcus J. Aldridge</w:t>
      </w:r>
      <w:r>
        <w:t xml:space="preserve"> </w:t>
      </w:r>
      <w:r>
        <w:t xml:space="preserve">and</w:t>
      </w:r>
      <w:r>
        <w:t xml:space="preserve"> </w:t>
      </w:r>
      <w:r>
        <w:rPr>
          <w:b/>
          <w:bCs/>
        </w:rPr>
        <w:t xml:space="preserve">Teresa Huang</w:t>
      </w:r>
      <w:r>
        <w:t xml:space="preserve">; general partner is Cascade Kestridge Ventures Management, LLC.</w:t>
      </w:r>
    </w:p>
    <w:p>
      <w:pPr>
        <w:pStyle w:val="Compact"/>
        <w:numPr>
          <w:ilvl w:val="0"/>
          <w:numId w:val="1021"/>
        </w:numPr>
      </w:pPr>
      <w:r>
        <w:t xml:space="preserve">Power of Attorney and Custody Agreement (signature block): signatory is</w:t>
      </w:r>
      <w:r>
        <w:t xml:space="preserve"> </w:t>
      </w:r>
      <w:r>
        <w:rPr>
          <w:b/>
          <w:bCs/>
        </w:rPr>
        <w:t xml:space="preserve">Margaret T. Okonkwo</w:t>
      </w:r>
      <w:r>
        <w:t xml:space="preserve">, Managing Member of Cascade Ridge Capital Management, LLC.</w:t>
      </w:r>
    </w:p>
    <w:p>
      <w:pPr>
        <w:pStyle w:val="FirstParagraph"/>
      </w:pPr>
      <w:r>
        <w:rPr>
          <w:b/>
          <w:bCs/>
        </w:rPr>
        <w:t xml:space="preserve">Analysis.</w:t>
      </w:r>
      <w:r>
        <w:t xml:space="preserve"> </w:t>
      </w:r>
      <w:r>
        <w:t xml:space="preserve">This is a specific manifestation of Item 8. The Registration Statement discloses James Whitfield as the control person, but the Questionnaire (the document on which the selling-stockholder representations and Registration Statement disclosure are based) identifies Aldridge and Huang, and the Power of Attorney and Custody Agreement identifies Okonkwo as the signatory. The Selling Stockholder Information furnished for the Registration Statement (Questionnaire §5, item 5) expressly lists</w:t>
      </w:r>
      <w:r>
        <w:t xml:space="preserve"> </w:t>
      </w:r>
      <w:r>
        <w:t xml:space="preserve">“</w:t>
      </w:r>
      <w:r>
        <w:t xml:space="preserve">Marcus J. Aldridge and Teresa Huang</w:t>
      </w:r>
      <w:r>
        <w:t xml:space="preserve">”</w:t>
      </w:r>
      <w:r>
        <w:t xml:space="preserve"> </w:t>
      </w:r>
      <w:r>
        <w:t xml:space="preserve">as the control persons — meaning the Registration Statement’s disclosure of</w:t>
      </w:r>
      <w:r>
        <w:t xml:space="preserve"> </w:t>
      </w:r>
      <w:r>
        <w:t xml:space="preserve">“</w:t>
      </w:r>
      <w:r>
        <w:t xml:space="preserve">James Whitfield</w:t>
      </w:r>
      <w:r>
        <w:t xml:space="preserve">”</w:t>
      </w:r>
      <w:r>
        <w:t xml:space="preserve"> </w:t>
      </w:r>
      <w:r>
        <w:t xml:space="preserve">may not match the information furnished by the Selling Stockholder, creating exposure under the selling-stockholder indemnity (Section 8(b) of the Underwriting Agreement) and a potential Registration Statement inaccuracy.</w:t>
      </w:r>
    </w:p>
    <w:p>
      <w:pPr>
        <w:pStyle w:val="BodyText"/>
      </w:pPr>
      <w:r>
        <w:rPr>
          <w:b/>
          <w:bCs/>
        </w:rPr>
        <w:t xml:space="preserve">Recommendation.</w:t>
      </w:r>
      <w:r>
        <w:t xml:space="preserve"> </w:t>
      </w:r>
      <w:r>
        <w:t xml:space="preserve">Resolve as part of Item 8. The Registration Statement’s control-person disclosure must match the verified facts and the information furnished by the Selling Stockholder. Confirm who in fact exercises voting and investment power over the Cascade shares and correct all documents accordingly.</w:t>
      </w:r>
    </w:p>
    <w:bookmarkEnd w:id="45"/>
    <w:bookmarkEnd w:id="46"/>
    <w:bookmarkStart w:id="57" w:name="v.-open-items-and-confirmations"/>
    <w:p>
      <w:pPr>
        <w:pStyle w:val="Heading2"/>
      </w:pPr>
      <w:r>
        <w:t xml:space="preserve">V. Open Items and Confirmations</w:t>
      </w:r>
    </w:p>
    <w:bookmarkStart w:id="47" w:name="X359d14429027a28b65f2b7fdfd90c36ae15b36c"/>
    <w:p>
      <w:pPr>
        <w:pStyle w:val="Heading3"/>
      </w:pPr>
      <w:r>
        <w:t xml:space="preserve">Item 24 — Selling Stockholder Questionnaires for Northlight and Dr. Krishnamurthy [OPEN ITEM]</w:t>
      </w:r>
    </w:p>
    <w:p>
      <w:pPr>
        <w:pStyle w:val="FirstParagraph"/>
      </w:pPr>
      <w:r>
        <w:t xml:space="preserve">Only the Cascade Kestridge Ventures, LP Selling Stockholder Questionnaire (dated February 3, 2025) was provided for review. The questionnaires for Northlight Growth Partners Fund II, LP and Dr. Anand Krishnamurthy were not provided. The Underwriting Agreement (Section 7(l)) makes delivery of completed selling stockholder questionnaires a closing condition.</w:t>
      </w:r>
      <w:r>
        <w:t xml:space="preserve"> </w:t>
      </w:r>
      <w:r>
        <w:rPr>
          <w:b/>
          <w:bCs/>
        </w:rPr>
        <w:t xml:space="preserve">Obtain and review the Northlight and Krishnamurthy questionnaires</w:t>
      </w:r>
      <w:r>
        <w:t xml:space="preserve">, and confirm the information therein is consistent with the Registration Statement and the Power of Attorney and Custody Agreements.</w:t>
      </w:r>
    </w:p>
    <w:bookmarkEnd w:id="47"/>
    <w:bookmarkStart w:id="48" w:name="X97fc2909c45f86dc735efdb42e59ec5ee5975d4"/>
    <w:p>
      <w:pPr>
        <w:pStyle w:val="Heading3"/>
      </w:pPr>
      <w:r>
        <w:t xml:space="preserve">Item 25 — Execution Status of Lock-Up Agreements [OPEN ITEM]</w:t>
      </w:r>
    </w:p>
    <w:p>
      <w:pPr>
        <w:pStyle w:val="FirstParagraph"/>
      </w:pPr>
      <w:r>
        <w:t xml:space="preserve">The Form of Lock-Up Agreement has been provided, but the executed Lock-Up Agreements have not. The Underwriting Agreement (Section 7(g)) makes receipt of executed Lock-Up Agreements from all directors, executive officers, and holders of 1% or more of the outstanding Common Stock (pre-Offering) a closing condition. Based on the Registration Statement’s beneficial ownership table, the 1% holders include Cascade (14.76%), Northlight (11.43%), Dr. Krishnamurthy (20.00%), and Dr. Vasquez (9.76%), in addition to all directors and executive officers.</w:t>
      </w:r>
      <w:r>
        <w:t xml:space="preserve"> </w:t>
      </w:r>
      <w:r>
        <w:rPr>
          <w:b/>
          <w:bCs/>
        </w:rPr>
        <w:t xml:space="preserve">Confirm that Lock-Up Agreements have been (or will be) executed by all required parties</w:t>
      </w:r>
      <w:r>
        <w:t xml:space="preserve">, including the springing-extension annex for Dr. Krishnamurthy (Item 17). Provide a complete list of executed Lock-Up Agreements to the Representatives prior to the Closing Date.</w:t>
      </w:r>
    </w:p>
    <w:bookmarkEnd w:id="48"/>
    <w:bookmarkStart w:id="49" w:name="X2134a2b5941d17e3e71b5087e77a8f654ed2a35"/>
    <w:p>
      <w:pPr>
        <w:pStyle w:val="Heading3"/>
      </w:pPr>
      <w:r>
        <w:t xml:space="preserve">Item 26 — Lender Consent for Amended and Restated Certificate of Incorporation [OPEN ITEM]</w:t>
      </w:r>
    </w:p>
    <w:p>
      <w:pPr>
        <w:pStyle w:val="FirstParagraph"/>
      </w:pPr>
      <w:r>
        <w:t xml:space="preserve">The Credit Agreement Summary (§8; §15, open item 2) notes that the Credit Agreement restricts material amendments to the Company’s organizational documents without lender consent, and that the Company filed an Amended and Restated Certificate of Incorporation on December 20, 2024.</w:t>
      </w:r>
      <w:r>
        <w:t xml:space="preserve"> </w:t>
      </w:r>
      <w:r>
        <w:rPr>
          <w:b/>
          <w:bCs/>
        </w:rPr>
        <w:t xml:space="preserve">Confirm that the lender consented to the December 20, 2024 A&amp;R charter</w:t>
      </w:r>
      <w:r>
        <w:t xml:space="preserve">, and confirm whether any further organizational-document amendments in connection with the Offering require lender consent. This bears on the Company’s representation that it is not in default under the credit facility (Section 3(k)).</w:t>
      </w:r>
    </w:p>
    <w:bookmarkEnd w:id="49"/>
    <w:bookmarkStart w:id="50" w:name="X4fc308c9eedd378c3d10614127d80974c11036f"/>
    <w:p>
      <w:pPr>
        <w:pStyle w:val="Heading3"/>
      </w:pPr>
      <w:r>
        <w:t xml:space="preserve">Item 27 — Equity Issuance Prior Notice to Lender [OPEN ITEM]</w:t>
      </w:r>
    </w:p>
    <w:p>
      <w:pPr>
        <w:pStyle w:val="FirstParagraph"/>
      </w:pPr>
      <w:r>
        <w:t xml:space="preserve">The Credit Agreement Summary (§10; §15, open item 3) notes that the Credit Agreement requires at least 10 business days’ prior written notice of any Equity Issuance, with a summary of terms.</w:t>
      </w:r>
      <w:r>
        <w:t xml:space="preserve"> </w:t>
      </w:r>
      <w:r>
        <w:rPr>
          <w:b/>
          <w:bCs/>
        </w:rPr>
        <w:t xml:space="preserve">Confirm that the required advance notice of the Offering was timely provided to the lender.</w:t>
      </w:r>
      <w:r>
        <w:t xml:space="preserve"> </w:t>
      </w:r>
      <w:r>
        <w:t xml:space="preserve">Failure to provide notice could constitute an event of default under the Credit Agreement.</w:t>
      </w:r>
    </w:p>
    <w:bookmarkEnd w:id="50"/>
    <w:bookmarkStart w:id="51" w:name="Xf3c88269c137b3b1316cfdb130c72ff8e53f698"/>
    <w:p>
      <w:pPr>
        <w:pStyle w:val="Heading3"/>
      </w:pPr>
      <w:r>
        <w:t xml:space="preserve">Item 28 — UT Austin License: Security Interest and Anti-Assignment Interaction [OPEN ITEM]</w:t>
      </w:r>
    </w:p>
    <w:p>
      <w:pPr>
        <w:pStyle w:val="FirstParagraph"/>
      </w:pPr>
      <w:r>
        <w:t xml:space="preserve">The Credit Agreement Summary (§5; §15, open item 5) notes that the Credit Agreement’s collateral includes the Company’s rights under the exclusive license agreement with the University of Texas at Austin</w:t>
      </w:r>
      <w:r>
        <w:t xml:space="preserve"> </w:t>
      </w:r>
      <w:r>
        <w:t xml:space="preserve">“</w:t>
      </w:r>
      <w:r>
        <w:t xml:space="preserve">to the extent such rights are assignable as collateral,</w:t>
      </w:r>
      <w:r>
        <w:t xml:space="preserve">”</w:t>
      </w:r>
      <w:r>
        <w:t xml:space="preserve"> </w:t>
      </w:r>
      <w:r>
        <w:t xml:space="preserve">and flags potential interaction with the UT license’s anti-assignment or change-of-control provisions. The Registration Statement (Material Contracts §IX.B) states the license</w:t>
      </w:r>
      <w:r>
        <w:t xml:space="preserve"> </w:t>
      </w:r>
      <w:r>
        <w:t xml:space="preserve">“</w:t>
      </w:r>
      <w:r>
        <w:t xml:space="preserve">may not be assigned by either party without the prior written consent of the other party,</w:t>
      </w:r>
      <w:r>
        <w:t xml:space="preserve">”</w:t>
      </w:r>
      <w:r>
        <w:t xml:space="preserve"> </w:t>
      </w:r>
      <w:r>
        <w:t xml:space="preserve">except in connection with a merger, acquisition, or sale of substantially all assets.</w:t>
      </w:r>
      <w:r>
        <w:t xml:space="preserve"> </w:t>
      </w:r>
      <w:r>
        <w:rPr>
          <w:b/>
          <w:bCs/>
        </w:rPr>
        <w:t xml:space="preserve">Confirm that the grant of the security interest in the UT license rights does not violate the UT license</w:t>
      </w:r>
      <w:r>
        <w:t xml:space="preserve">, and that the Offering and the Underwriting Agreement do not trigger any change-of-control or assignment provision under the UT license. This bears on the Company’s intellectual-property and material-contracts representations (Sections 3(i), 3(k)).</w:t>
      </w:r>
    </w:p>
    <w:bookmarkEnd w:id="51"/>
    <w:bookmarkStart w:id="52" w:name="item-29-finra-clearance-open-item"/>
    <w:p>
      <w:pPr>
        <w:pStyle w:val="Heading3"/>
      </w:pPr>
      <w:r>
        <w:t xml:space="preserve">Item 29 — FINRA Clearance [OPEN ITEM]</w:t>
      </w:r>
    </w:p>
    <w:p>
      <w:pPr>
        <w:pStyle w:val="FirstParagraph"/>
      </w:pPr>
      <w:r>
        <w:t xml:space="preserve">The Term Sheet (§15.2) and the Engagement Letter (§13) state that the Offering will comply with FINRA Rule 5110 (underwriting compensation not to exceed 8% of gross proceeds) and Rule 5121 (no disqualifying conflict). The Underwriting Agreement (Section 7(j)) makes FINRA clearance a closing condition. The actual underwriting discount is 6.0%, below the 8% cap.</w:t>
      </w:r>
      <w:r>
        <w:t xml:space="preserve"> </w:t>
      </w:r>
      <w:r>
        <w:rPr>
          <w:b/>
          <w:bCs/>
        </w:rPr>
        <w:t xml:space="preserve">Confirm that the FINRA filing under Rule 5110 has been made and that FINRA has issued a no-objection/clearance letter</w:t>
      </w:r>
      <w:r>
        <w:t xml:space="preserve">, and provide a copy to the Representatives and Underwriters’ Counsel prior to the Closing Date.</w:t>
      </w:r>
    </w:p>
    <w:bookmarkEnd w:id="52"/>
    <w:bookmarkStart w:id="53" w:name="X0527c9a02582a00a24a1254441035180506c26e"/>
    <w:p>
      <w:pPr>
        <w:pStyle w:val="Heading3"/>
      </w:pPr>
      <w:r>
        <w:t xml:space="preserve">Item 30 — Investors’ Rights Agreement Termination [OPEN ITEM]</w:t>
      </w:r>
    </w:p>
    <w:p>
      <w:pPr>
        <w:pStyle w:val="FirstParagraph"/>
      </w:pPr>
      <w:r>
        <w:t xml:space="preserve">The Cascade Selling Stockholder Questionnaire (§2(b)) states that</w:t>
      </w:r>
      <w:r>
        <w:t xml:space="preserve"> </w:t>
      </w:r>
      <w:r>
        <w:t xml:space="preserve">“</w:t>
      </w:r>
      <w:r>
        <w:t xml:space="preserve">all such rights under the Company’s Investors’ Rights Agreement will terminate upon the closing of the IPO pursuant to the terms thereof.</w:t>
      </w:r>
      <w:r>
        <w:t xml:space="preserve">”</w:t>
      </w:r>
      <w:r>
        <w:t xml:space="preserve"> </w:t>
      </w:r>
      <w:r>
        <w:t xml:space="preserve">The Investors’ Rights Agreement is not otherwise referenced in the documents reviewed.</w:t>
      </w:r>
      <w:r>
        <w:t xml:space="preserve"> </w:t>
      </w:r>
      <w:r>
        <w:rPr>
          <w:b/>
          <w:bCs/>
        </w:rPr>
        <w:t xml:space="preserve">Confirm the existence and terms of the Investors’ Rights Agreement, that all registration rights (and any other rights) thereunder terminate upon IPO closing, and that no surviving registration rights conflict with the Lock-Up Agreements or the Underwriting Agreement.</w:t>
      </w:r>
      <w:r>
        <w:t xml:space="preserve"> </w:t>
      </w:r>
      <w:r>
        <w:t xml:space="preserve">This bears on the Selling Stockholders’ representations regarding conflicts and registration rights.</w:t>
      </w:r>
    </w:p>
    <w:bookmarkEnd w:id="53"/>
    <w:bookmarkStart w:id="54" w:name="Xeaf9fc9d1b42069e6dd981fd8266cfadf9a7f26"/>
    <w:p>
      <w:pPr>
        <w:pStyle w:val="Heading3"/>
      </w:pPr>
      <w:r>
        <w:t xml:space="preserve">Item 31 — Credit Agreement Summary Internal Placeholders [OPEN ITEM]</w:t>
      </w:r>
    </w:p>
    <w:p>
      <w:pPr>
        <w:pStyle w:val="FirstParagraph"/>
      </w:pPr>
      <w:r>
        <w:t xml:space="preserve">The Credit Agreement Summary contains several unfilled cross-reference placeholders (e.g.,</w:t>
      </w:r>
      <w:r>
        <w:t xml:space="preserve"> </w:t>
      </w:r>
      <w:r>
        <w:t xml:space="preserve">“</w:t>
      </w:r>
      <w:r>
        <w:t xml:space="preserve">relates to the discrepancy identified in</w:t>
      </w:r>
      <w:r>
        <w:t xml:space="preserve"> </w:t>
      </w:r>
      <w:r>
        <w:rPr>
          <w:b/>
          <w:bCs/>
          <w:i/>
          <w:iCs/>
        </w:rPr>
        <w:t xml:space="preserve">,” ”see</w:t>
      </w:r>
      <w:r>
        <w:rPr>
          <w:b/>
          <w:bCs/>
          <w:i/>
          <w:iCs/>
        </w:rPr>
        <w:t xml:space="preserve"> </w:t>
      </w:r>
      <w:r>
        <w:t xml:space="preserve"> </w:t>
      </w:r>
      <w:r>
        <w:t xml:space="preserve">in the underwriting agreement review memorandum</w:t>
      </w:r>
      <w:r>
        <w:t xml:space="preserve">”</w:t>
      </w:r>
      <w:r>
        <w:t xml:space="preserve">). These are internal drafting placeholders.</w:t>
      </w:r>
      <w:r>
        <w:t xml:space="preserve"> </w:t>
      </w:r>
      <w:r>
        <w:rPr>
          <w:b/>
          <w:bCs/>
        </w:rPr>
        <w:t xml:space="preserve">Confirm that the Credit Agreement Summary is updated with complete cross-references</w:t>
      </w:r>
      <w:r>
        <w:t xml:space="preserve"> </w:t>
      </w:r>
      <w:r>
        <w:t xml:space="preserve">and that no substantive analysis was omitted where placeholders appear. (Ministerial; does not affect the Underwriting Agreement, but relevant to internal deal-team coordination.)</w:t>
      </w:r>
    </w:p>
    <w:bookmarkEnd w:id="54"/>
    <w:bookmarkStart w:id="55" w:name="X6ba5d693efe078630c2aeb0769a07a52bea8d4e"/>
    <w:p>
      <w:pPr>
        <w:pStyle w:val="Heading3"/>
      </w:pPr>
      <w:r>
        <w:t xml:space="preserve">Item 32 — Bring-Down Comfort Letter: Change Period Extension [OPEN ITEM]</w:t>
      </w:r>
    </w:p>
    <w:p>
      <w:pPr>
        <w:pStyle w:val="FirstParagraph"/>
      </w:pPr>
      <w:r>
        <w:t xml:space="preserve">The Draft Comfort Letter (§VI) states that the negative-assurance Change Period extends through March 10, 2025, and that the bring-down comfort letter will extend the Change Period through a date no more than three business days prior to the Closing Date.</w:t>
      </w:r>
      <w:r>
        <w:t xml:space="preserve"> </w:t>
      </w:r>
      <w:r>
        <w:rPr>
          <w:b/>
          <w:bCs/>
        </w:rPr>
        <w:t xml:space="preserve">Confirm that the bring-down comfort letter to be delivered at closing (March 24, 2025) extends the Change Period through approximately March 19–21, 2025</w:t>
      </w:r>
      <w:r>
        <w:t xml:space="preserve">, and that no adverse changes occurred during the extended period. This is a closing condition (Section 7(c)).</w:t>
      </w:r>
    </w:p>
    <w:bookmarkEnd w:id="55"/>
    <w:bookmarkStart w:id="56" w:name="X9b42064c175e47d9f8beeada3a6782ca31438c2"/>
    <w:p>
      <w:pPr>
        <w:pStyle w:val="Heading3"/>
      </w:pPr>
      <w:r>
        <w:t xml:space="preserve">Item 33 — Final Prospectus Filing and Nasdaq Listing Confirmation [OPEN ITEM]</w:t>
      </w:r>
    </w:p>
    <w:p>
      <w:pPr>
        <w:pStyle w:val="FirstParagraph"/>
      </w:pPr>
      <w:r>
        <w:rPr>
          <w:b/>
          <w:bCs/>
        </w:rPr>
        <w:t xml:space="preserve">Confirm that (a) the Final Prospectus is filed with the Commission pursuant to Rule 424(b)(4) within the required timeframe following pricing</w:t>
      </w:r>
      <w:r>
        <w:t xml:space="preserve"> </w:t>
      </w:r>
      <w:r>
        <w:t xml:space="preserve">(a closing condition under Section 7(b)), and</w:t>
      </w:r>
      <w:r>
        <w:t xml:space="preserve"> </w:t>
      </w:r>
      <w:r>
        <w:rPr>
          <w:b/>
          <w:bCs/>
        </w:rPr>
        <w:t xml:space="preserve">(b) the Firm Shares (and any Additional Shares) are approved for listing on the Nasdaq Global Select Market under the symbol</w:t>
      </w:r>
      <w:r>
        <w:rPr>
          <w:b/>
          <w:bCs/>
        </w:rPr>
        <w:t xml:space="preserve"> </w:t>
      </w:r>
      <w:r>
        <w:rPr>
          <w:b/>
          <w:bCs/>
        </w:rPr>
        <w:t xml:space="preserve">“</w:t>
      </w:r>
      <w:r>
        <w:rPr>
          <w:b/>
          <w:bCs/>
        </w:rPr>
        <w:t xml:space="preserve">MPLS,</w:t>
      </w:r>
      <w:r>
        <w:rPr>
          <w:b/>
          <w:bCs/>
        </w:rPr>
        <w:t xml:space="preserve">”</w:t>
      </w:r>
      <w:r>
        <w:rPr>
          <w:b/>
          <w:bCs/>
        </w:rPr>
        <w:t xml:space="preserve"> </w:t>
      </w:r>
      <w:r>
        <w:rPr>
          <w:b/>
          <w:bCs/>
        </w:rPr>
        <w:t xml:space="preserve">subject to official notice of issuance</w:t>
      </w:r>
      <w:r>
        <w:t xml:space="preserve"> </w:t>
      </w:r>
      <w:r>
        <w:t xml:space="preserve">(a closing condition under Section 7(h)). Obtain copies of the 424(b)(4) filing and the Nasdaq listing approval for the closing file.</w:t>
      </w:r>
    </w:p>
    <w:bookmarkEnd w:id="56"/>
    <w:bookmarkEnd w:id="57"/>
    <w:bookmarkStart w:id="58" w:name="X64ceb019ae434af0f1c683429da53ea655b0b4c"/>
    <w:p>
      <w:pPr>
        <w:pStyle w:val="Heading2"/>
      </w:pPr>
      <w:r>
        <w:t xml:space="preserve">VI. Summary of Drafting Elections in the Underwriting Agreement</w:t>
      </w:r>
    </w:p>
    <w:p>
      <w:pPr>
        <w:pStyle w:val="FirstParagraph"/>
      </w:pPr>
      <w:r>
        <w:t xml:space="preserve">For convenience, the following table summarizes the principal elections made in the draft Underwriting Agreement where the source documents conflicted, and the basis for each election: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Election in Underwriting Agreement</w:t>
            </w:r>
          </w:p>
        </w:tc>
        <w:tc>
          <w:tcPr/>
          <w:p>
            <w:pPr>
              <w:pStyle w:val="Compact"/>
              <w:jc w:val="left"/>
            </w:pPr>
            <w:r>
              <w:t xml:space="preserve">Basis</w:t>
            </w:r>
          </w:p>
        </w:tc>
      </w:tr>
      <w:tr>
        <w:tc>
          <w:tcPr/>
          <w:p>
            <w:pPr>
              <w:pStyle w:val="Compact"/>
              <w:jc w:val="left"/>
            </w:pPr>
            <w:r>
              <w:t xml:space="preserve">Over-Allotment Option source (Item 10)</w:t>
            </w:r>
          </w:p>
        </w:tc>
        <w:tc>
          <w:tcPr/>
          <w:p>
            <w:pPr>
              <w:pStyle w:val="Compact"/>
              <w:jc w:val="left"/>
            </w:pPr>
            <w:r>
              <w:t xml:space="preserve">Company only; Selling Stockholders have no option-share obligation</w:t>
            </w:r>
          </w:p>
        </w:tc>
        <w:tc>
          <w:tcPr/>
          <w:p>
            <w:pPr>
              <w:pStyle w:val="Compact"/>
              <w:jc w:val="left"/>
            </w:pPr>
            <w:r>
              <w:t xml:space="preserve">Registration Statement, Engagement Letter, Questionnaire (Term Sheet outlier)</w:t>
            </w:r>
          </w:p>
        </w:tc>
      </w:tr>
      <w:tr>
        <w:tc>
          <w:tcPr/>
          <w:p>
            <w:pPr>
              <w:pStyle w:val="Compact"/>
              <w:jc w:val="left"/>
            </w:pPr>
            <w:r>
              <w:t xml:space="preserve">Dr. Krishnamurthy selling shares (Item 11)</w:t>
            </w:r>
          </w:p>
        </w:tc>
        <w:tc>
          <w:tcPr/>
          <w:p>
            <w:pPr>
              <w:pStyle w:val="Compact"/>
              <w:jc w:val="left"/>
            </w:pPr>
            <w:r>
              <w:t xml:space="preserve">500,000 shares</w:t>
            </w:r>
          </w:p>
        </w:tc>
        <w:tc>
          <w:tcPr/>
          <w:p>
            <w:pPr>
              <w:pStyle w:val="Compact"/>
              <w:jc w:val="left"/>
            </w:pPr>
            <w:r>
              <w:t xml:space="preserve">Registration Statement, Term Sheet, POA (Engagement Letter outlier)</w:t>
            </w:r>
          </w:p>
        </w:tc>
      </w:tr>
      <w:tr>
        <w:tc>
          <w:tcPr/>
          <w:p>
            <w:pPr>
              <w:pStyle w:val="Compact"/>
              <w:jc w:val="left"/>
            </w:pPr>
            <w:r>
              <w:t xml:space="preserve">Cascade entity name (Item 8)</w:t>
            </w:r>
          </w:p>
        </w:tc>
        <w:tc>
          <w:tcPr/>
          <w:p>
            <w:pPr>
              <w:pStyle w:val="Compact"/>
              <w:jc w:val="left"/>
            </w:pPr>
            <w:r>
              <w:t xml:space="preserve">“</w:t>
            </w:r>
            <w:r>
              <w:t xml:space="preserve">Cascade Kestridge Ventures, LP</w:t>
            </w:r>
            <w:r>
              <w:t xml:space="preserve">”</w:t>
            </w:r>
          </w:p>
        </w:tc>
        <w:tc>
          <w:tcPr/>
          <w:p>
            <w:pPr>
              <w:pStyle w:val="Compact"/>
              <w:jc w:val="left"/>
            </w:pPr>
            <w:r>
              <w:t xml:space="preserve">Registration Statement, Term Sheet, Questionnaire (POA signature-block outlier)</w:t>
            </w:r>
          </w:p>
        </w:tc>
      </w:tr>
      <w:tr>
        <w:tc>
          <w:tcPr/>
          <w:p>
            <w:pPr>
              <w:pStyle w:val="Compact"/>
              <w:jc w:val="left"/>
            </w:pPr>
            <w:r>
              <w:t xml:space="preserve">Lender name (Item 1)</w:t>
            </w:r>
          </w:p>
        </w:tc>
        <w:tc>
          <w:tcPr/>
          <w:p>
            <w:pPr>
              <w:pStyle w:val="Compact"/>
              <w:jc w:val="left"/>
            </w:pPr>
            <w:r>
              <w:t xml:space="preserve">“</w:t>
            </w:r>
            <w:r>
              <w:t xml:space="preserve">Oakvale National Bank</w:t>
            </w:r>
            <w:r>
              <w:t xml:space="preserve">”</w:t>
            </w:r>
          </w:p>
        </w:tc>
        <w:tc>
          <w:tcPr/>
          <w:p>
            <w:pPr>
              <w:pStyle w:val="Compact"/>
              <w:jc w:val="left"/>
            </w:pPr>
            <w:r>
              <w:t xml:space="preserve">Registration Statement, Comfort Letter (Credit Agreement Summary outlier)</w:t>
            </w:r>
          </w:p>
        </w:tc>
      </w:tr>
      <w:tr>
        <w:tc>
          <w:tcPr/>
          <w:p>
            <w:pPr>
              <w:pStyle w:val="Compact"/>
              <w:jc w:val="left"/>
            </w:pPr>
            <w:r>
              <w:t xml:space="preserve">Representatives (Item 14)</w:t>
            </w:r>
          </w:p>
        </w:tc>
        <w:tc>
          <w:tcPr/>
          <w:p>
            <w:pPr>
              <w:pStyle w:val="Compact"/>
              <w:jc w:val="left"/>
            </w:pPr>
            <w:r>
              <w:t xml:space="preserve">Hargrove and Bellweather as Representatives</w:t>
            </w:r>
          </w:p>
        </w:tc>
        <w:tc>
          <w:tcPr/>
          <w:p>
            <w:pPr>
              <w:pStyle w:val="Compact"/>
              <w:jc w:val="left"/>
            </w:pPr>
            <w:r>
              <w:t xml:space="preserve">Draft Comfort Letter, POA (subject to confirmation per Item 14)</w:t>
            </w:r>
          </w:p>
        </w:tc>
      </w:tr>
      <w:tr>
        <w:tc>
          <w:tcPr/>
          <w:p>
            <w:pPr>
              <w:pStyle w:val="Compact"/>
              <w:jc w:val="left"/>
            </w:pPr>
            <w:r>
              <w:t xml:space="preserve">Early-release threshold (Item 16)</w:t>
            </w:r>
          </w:p>
        </w:tc>
        <w:tc>
          <w:tcPr/>
          <w:p>
            <w:pPr>
              <w:pStyle w:val="Compact"/>
              <w:jc w:val="left"/>
            </w:pPr>
            <w:r>
              <w:t xml:space="preserve">1% / 3 business days’ notice</w:t>
            </w:r>
          </w:p>
        </w:tc>
        <w:tc>
          <w:tcPr/>
          <w:p>
            <w:pPr>
              <w:pStyle w:val="Compact"/>
              <w:jc w:val="left"/>
            </w:pPr>
            <w:r>
              <w:t xml:space="preserve">Engagement Letter, Form of Lock-Up Agreement</w:t>
            </w:r>
          </w:p>
        </w:tc>
      </w:tr>
      <w:tr>
        <w:tc>
          <w:tcPr/>
          <w:p>
            <w:pPr>
              <w:pStyle w:val="Compact"/>
              <w:jc w:val="left"/>
            </w:pPr>
            <w:r>
              <w:t xml:space="preserve">Lock-up period start (Item 18)</w:t>
            </w:r>
          </w:p>
        </w:tc>
        <w:tc>
          <w:tcPr/>
          <w:p>
            <w:pPr>
              <w:pStyle w:val="Compact"/>
              <w:jc w:val="left"/>
            </w:pPr>
            <w:r>
              <w:t xml:space="preserve">180 days from date of Final Prospectus</w:t>
            </w:r>
          </w:p>
        </w:tc>
        <w:tc>
          <w:tcPr/>
          <w:p>
            <w:pPr>
              <w:pStyle w:val="Compact"/>
              <w:jc w:val="left"/>
            </w:pPr>
            <w:r>
              <w:t xml:space="preserve">Term Sheet, Engagement Letter, Form of Lock-Up Agreement</w:t>
            </w:r>
          </w:p>
        </w:tc>
      </w:tr>
      <w:tr>
        <w:tc>
          <w:tcPr/>
          <w:p>
            <w:pPr>
              <w:pStyle w:val="Compact"/>
              <w:jc w:val="left"/>
            </w:pPr>
            <w:r>
              <w:t xml:space="preserve">Springing extension (Item 17)</w:t>
            </w:r>
          </w:p>
        </w:tc>
        <w:tc>
          <w:tcPr/>
          <w:p>
            <w:pPr>
              <w:pStyle w:val="Compact"/>
              <w:jc w:val="left"/>
            </w:pPr>
            <w:r>
              <w:t xml:space="preserve">Included as Exhibit B for Dr. Krishnamurthy</w:t>
            </w:r>
          </w:p>
        </w:tc>
        <w:tc>
          <w:tcPr/>
          <w:p>
            <w:pPr>
              <w:pStyle w:val="Compact"/>
              <w:jc w:val="left"/>
            </w:pPr>
            <w:r>
              <w:t xml:space="preserve">Term Sheet, POA</w:t>
            </w:r>
          </w:p>
        </w:tc>
      </w:tr>
      <w:tr>
        <w:tc>
          <w:tcPr/>
          <w:p>
            <w:pPr>
              <w:pStyle w:val="Compact"/>
              <w:jc w:val="left"/>
            </w:pPr>
            <w:r>
              <w:t xml:space="preserve">Public Offering Price</w:t>
            </w:r>
          </w:p>
        </w:tc>
        <w:tc>
          <w:tcPr/>
          <w:p>
            <w:pPr>
              <w:pStyle w:val="Compact"/>
              <w:jc w:val="left"/>
            </w:pPr>
            <w:r>
              <w:t xml:space="preserve">$24.00 per share (assumed midpoint)</w:t>
            </w:r>
          </w:p>
        </w:tc>
        <w:tc>
          <w:tcPr/>
          <w:p>
            <w:pPr>
              <w:pStyle w:val="Compact"/>
              <w:jc w:val="left"/>
            </w:pPr>
            <w:r>
              <w:t xml:space="preserve">Term Sheet, Registration Statement assumptions</w:t>
            </w:r>
          </w:p>
        </w:tc>
      </w:tr>
    </w:tbl>
    <w:p>
      <w:pPr>
        <w:pStyle w:val="BodyText"/>
      </w:pPr>
      <w:r>
        <w:t xml:space="preserve">Each election is subject to confirmation by the deal team and reconciliation of the underlying discrepancy as described in the corresponding item above.</w:t>
      </w:r>
    </w:p>
    <w:bookmarkEnd w:id="58"/>
    <w:bookmarkStart w:id="59" w:name="vii.-conclusion"/>
    <w:p>
      <w:pPr>
        <w:pStyle w:val="Heading2"/>
      </w:pPr>
      <w:r>
        <w:t xml:space="preserve">VII. Conclusion</w:t>
      </w:r>
    </w:p>
    <w:p>
      <w:pPr>
        <w:pStyle w:val="FirstParagraph"/>
      </w:pPr>
      <w:r>
        <w:t xml:space="preserve">The draft Underwriting Agreement is execution-ready subject to resolution of the Critical and High-priority items identified above. The most urgent items are: (i) reconciliation of the credit-facility identity and terms (Items 1–7), which affect the accuracy of the Registration Statement and the Company’s representations; (ii) reconciliation of the selling-stockholder identity and control-person information (Items 8, 9, 23), which affect the Selling Stockholders’ authority and the Registration Statement disclosure; (iii) reconciliation of the comfort-letter circle-up with the Registration Statement (Item 13), which is a closing condition; and (iv) resolution of the mandatory-prepayment / Use of Proceeds discrepancy (Item 6), which is a potential material misstatement in the Registration Statement.</w:t>
      </w:r>
    </w:p>
    <w:p>
      <w:pPr>
        <w:pStyle w:val="BodyText"/>
      </w:pPr>
      <w:r>
        <w:t xml:space="preserve">We recommend that the deal team convene promptly to assign owners and deadlines for each item, with the Critical items resolved before the Final Prospectus is filed and the High-priority and open items resolved on or before the Closing Date. We are available to assist with the reconciliation and to revise the Underwriting Agreement as needed to reflect confirmed facts.</w:t>
      </w:r>
    </w:p>
    <w:p>
      <w:r>
        <w:pict>
          <v:rect style="width:0;height:1.5pt" o:hralign="center" o:hrstd="t" o:hr="t"/>
        </w:pict>
      </w:r>
    </w:p>
    <w:p>
      <w:pPr>
        <w:pStyle w:val="FirstParagraph"/>
      </w:pPr>
      <w:r>
        <w:rPr>
          <w:i/>
          <w:iCs/>
        </w:rPr>
        <w:t xml:space="preserve">This memorandum is privileged and confidential, constitutes attorney work product prepared in anticipation of the Offering, and is intended solely for the internal use of the deal team. It does not constitute a legal opinion and should not be relied upon by any third party.</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2026-06-26T23:28:53Z</dcterms:created>
  <dcterms:modified xsi:type="dcterms:W3CDTF">2026-06-26T23:28:53Z</dcterms:modified>
</cp:coreProperties>
</file>

<file path=docProps/custom.xml><?xml version="1.0" encoding="utf-8"?>
<Properties xmlns="http://schemas.openxmlformats.org/officeDocument/2006/custom-properties" xmlns:vt="http://schemas.openxmlformats.org/officeDocument/2006/docPropsVTypes"/>
</file>