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r>
        <w:t xml:space="preserve"> </w:t>
      </w:r>
      <w:r>
        <w:t xml:space="preserve">—</w:t>
      </w:r>
      <w:r>
        <w:t xml:space="preserve"> </w:t>
      </w:r>
      <w:r>
        <w:t xml:space="preserve">Cross-Document</w:t>
      </w:r>
      <w:r>
        <w:t xml:space="preserve"> </w:t>
      </w:r>
      <w:r>
        <w:t xml:space="preserve">Discrepancies</w:t>
      </w:r>
      <w:r>
        <w:t xml:space="preserve"> </w:t>
      </w:r>
      <w:r>
        <w:t xml:space="preserve">and</w:t>
      </w:r>
      <w:r>
        <w:t xml:space="preserve"> </w:t>
      </w:r>
      <w:r>
        <w:t xml:space="preserve">Open</w:t>
      </w:r>
      <w:r>
        <w:t xml:space="preserve"> </w:t>
      </w:r>
      <w:r>
        <w:t xml:space="preserve">Items</w:t>
      </w:r>
    </w:p>
    <w:p>
      <w:pPr>
        <w:pStyle w:val="Subtitle"/>
      </w:pPr>
      <w:r>
        <w:t xml:space="preserve">Initial</w:t>
      </w:r>
      <w:r>
        <w:t xml:space="preserve"> </w:t>
      </w:r>
      <w:r>
        <w:t xml:space="preserve">Public</w:t>
      </w:r>
      <w:r>
        <w:t xml:space="preserve"> </w:t>
      </w:r>
      <w:r>
        <w:t xml:space="preserve">Offering</w:t>
      </w:r>
      <w:r>
        <w:t xml:space="preserve"> </w:t>
      </w:r>
      <w:r>
        <w:t xml:space="preserve">of</w:t>
      </w:r>
      <w:r>
        <w:t xml:space="preserve"> </w:t>
      </w:r>
      <w:r>
        <w:t xml:space="preserve">Meridian</w:t>
      </w:r>
      <w:r>
        <w:t xml:space="preserve"> </w:t>
      </w:r>
      <w:r>
        <w:t xml:space="preserve">Pulse</w:t>
      </w:r>
      <w:r>
        <w:t xml:space="preserve"> </w:t>
      </w:r>
      <w:r>
        <w:t xml:space="preserve">Technologies,</w:t>
      </w:r>
      <w:r>
        <w:t xml:space="preserve"> </w:t>
      </w:r>
      <w:r>
        <w:t xml:space="preserve">Inc.</w:t>
      </w:r>
    </w:p>
    <w:p>
      <w:pPr>
        <w:pStyle w:val="Date"/>
      </w:pPr>
      <w:r>
        <w:t xml:space="preserve">March</w:t>
      </w:r>
      <w:r>
        <w:t xml:space="preserve"> </w:t>
      </w:r>
      <w:r>
        <w:t xml:space="preserve">19,</w:t>
      </w:r>
      <w:r>
        <w:t xml:space="preserve"> </w:t>
      </w:r>
      <w:r>
        <w:t xml:space="preserve">2025</w:t>
      </w:r>
    </w:p>
    <w:bookmarkStart w:id="34" w:name="issues-memorandum"/>
    <w:p>
      <w:pPr>
        <w:pStyle w:val="Heading1"/>
      </w:pPr>
      <w:r>
        <w:t xml:space="preserve">ISSUES MEMORANDUM</w:t>
      </w:r>
    </w:p>
    <w:p>
      <w:pPr>
        <w:pStyle w:val="FirstParagraph"/>
      </w:pPr>
      <w:r>
        <w:rPr>
          <w:b/>
          <w:bCs/>
        </w:rPr>
        <w:t xml:space="preserve">Initial Public Offering of Common Stock of Meridian Pulse Technologies, Inc.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IPO Working Group — Meridian Pulse Technologies, Inc.; Hargrove Securities LLC; Bellweather Capital Markets, Inc.; Stonebridge &amp; Calloway LLP (Company Counsel); Ashford &amp; Pine LLP (Underwriters’ Counsel); Whitman Reese &amp; Co. (Independent Auditor)</w:t>
            </w:r>
          </w:p>
        </w:tc>
      </w:tr>
      <w:tr>
        <w:tc>
          <w:tcPr/>
          <w:p>
            <w:pPr>
              <w:pStyle w:val="Compact"/>
              <w:jc w:val="left"/>
            </w:pPr>
            <w:r>
              <w:rPr>
                <w:b/>
                <w:bCs/>
              </w:rPr>
              <w:t xml:space="preserve">FROM:</w:t>
            </w:r>
          </w:p>
        </w:tc>
        <w:tc>
          <w:tcPr/>
          <w:p>
            <w:pPr>
              <w:pStyle w:val="Compact"/>
              <w:jc w:val="left"/>
            </w:pPr>
            <w:r>
              <w:t xml:space="preserve">Deal Team</w:t>
            </w:r>
          </w:p>
        </w:tc>
      </w:tr>
      <w:tr>
        <w:tc>
          <w:tcPr/>
          <w:p>
            <w:pPr>
              <w:pStyle w:val="Compact"/>
              <w:jc w:val="left"/>
            </w:pPr>
            <w:r>
              <w:rPr>
                <w:b/>
                <w:bCs/>
              </w:rPr>
              <w:t xml:space="preserve">DATE:</w:t>
            </w:r>
          </w:p>
        </w:tc>
        <w:tc>
          <w:tcPr/>
          <w:p>
            <w:pPr>
              <w:pStyle w:val="Compact"/>
              <w:jc w:val="left"/>
            </w:pPr>
            <w:r>
              <w:t xml:space="preserve">March 19, 2025</w:t>
            </w:r>
          </w:p>
        </w:tc>
      </w:tr>
      <w:tr>
        <w:tc>
          <w:tcPr/>
          <w:p>
            <w:pPr>
              <w:pStyle w:val="Compact"/>
              <w:jc w:val="left"/>
            </w:pPr>
            <w:r>
              <w:rPr>
                <w:b/>
                <w:bCs/>
              </w:rPr>
              <w:t xml:space="preserve">RE:</w:t>
            </w:r>
          </w:p>
        </w:tc>
        <w:tc>
          <w:tcPr/>
          <w:p>
            <w:pPr>
              <w:pStyle w:val="Compact"/>
              <w:jc w:val="left"/>
            </w:pPr>
            <w:r>
              <w:t xml:space="preserve">Cross-Document Discrepancies and Open Items — IPO of Meridian Pulse Technologies, Inc. (Registration Statement on Form S-1, File No. 333-284517)</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identifies cross-document discrepancies and open items arising from a review of the following transaction documents prepared in connection with the initial public offering (the</w:t>
      </w:r>
      <w:r>
        <w:t xml:space="preserve"> </w:t>
      </w:r>
      <w:r>
        <w:t xml:space="preserve">“</w:t>
      </w:r>
      <w:r>
        <w:rPr>
          <w:b/>
          <w:bCs/>
        </w:rPr>
        <w:t xml:space="preserve">Offering</w:t>
      </w:r>
      <w:r>
        <w:t xml:space="preserve">”</w:t>
      </w:r>
      <w:r>
        <w:t xml:space="preserve">) of common stock of Meridian Pulse Technologies, Inc. (the</w:t>
      </w:r>
      <w:r>
        <w:t xml:space="preserve"> </w:t>
      </w:r>
      <w:r>
        <w:t xml:space="preserve">“</w:t>
      </w:r>
      <w:r>
        <w:rPr>
          <w:b/>
          <w:bCs/>
        </w:rPr>
        <w:t xml:space="preserve">Company</w:t>
      </w:r>
      <w:r>
        <w:t xml:space="preserve">”</w:t>
      </w:r>
      <w:r>
        <w:t xml:space="preserve">): (1) the IPO Term Sheet dated March 19, 2025 (the</w:t>
      </w:r>
      <w:r>
        <w:t xml:space="preserve"> </w:t>
      </w:r>
      <w:r>
        <w:t xml:space="preserve">“</w:t>
      </w:r>
      <w:r>
        <w:rPr>
          <w:b/>
          <w:bCs/>
        </w:rPr>
        <w:t xml:space="preserve">Term Sheet</w:t>
      </w:r>
      <w:r>
        <w:t xml:space="preserve">”</w:t>
      </w:r>
      <w:r>
        <w:t xml:space="preserve">); (2) selected excerpts from the Registration Statement on Form S-1 (File No. 333-284517) (the</w:t>
      </w:r>
      <w:r>
        <w:t xml:space="preserve"> </w:t>
      </w:r>
      <w:r>
        <w:t xml:space="preserve">“</w:t>
      </w:r>
      <w:r>
        <w:rPr>
          <w:b/>
          <w:bCs/>
        </w:rPr>
        <w:t xml:space="preserve">S-1</w:t>
      </w:r>
      <w:r>
        <w:t xml:space="preserve">”</w:t>
      </w:r>
      <w:r>
        <w:t xml:space="preserve">); (3) the Amended and Restated Certificate of Incorporation (the</w:t>
      </w:r>
      <w:r>
        <w:t xml:space="preserve"> </w:t>
      </w:r>
      <w:r>
        <w:t xml:space="preserve">“</w:t>
      </w:r>
      <w:r>
        <w:rPr>
          <w:b/>
          <w:bCs/>
        </w:rPr>
        <w:t xml:space="preserve">COI</w:t>
      </w:r>
      <w:r>
        <w:t xml:space="preserve">”</w:t>
      </w:r>
      <w:r>
        <w:t xml:space="preserve">); (4) the Summary of Key Terms — Revolving Credit Agreement (the</w:t>
      </w:r>
      <w:r>
        <w:t xml:space="preserve"> </w:t>
      </w:r>
      <w:r>
        <w:t xml:space="preserve">“</w:t>
      </w:r>
      <w:r>
        <w:rPr>
          <w:b/>
          <w:bCs/>
        </w:rPr>
        <w:t xml:space="preserve">Credit Summary</w:t>
      </w:r>
      <w:r>
        <w:t xml:space="preserve">”</w:t>
      </w:r>
      <w:r>
        <w:t xml:space="preserve">); (5) the Engagement Letter dated November 8, 2024 (the</w:t>
      </w:r>
      <w:r>
        <w:t xml:space="preserve"> </w:t>
      </w:r>
      <w:r>
        <w:t xml:space="preserve">“</w:t>
      </w:r>
      <w:r>
        <w:rPr>
          <w:b/>
          <w:bCs/>
        </w:rPr>
        <w:t xml:space="preserve">Engagement Letter</w:t>
      </w:r>
      <w:r>
        <w:t xml:space="preserve">”</w:t>
      </w:r>
      <w:r>
        <w:t xml:space="preserve">); (6) the Form of Lock-Up Agreement (the</w:t>
      </w:r>
      <w:r>
        <w:t xml:space="preserve"> </w:t>
      </w:r>
      <w:r>
        <w:t xml:space="preserve">“</w:t>
      </w:r>
      <w:r>
        <w:rPr>
          <w:b/>
          <w:bCs/>
        </w:rPr>
        <w:t xml:space="preserve">Lock-Up Form</w:t>
      </w:r>
      <w:r>
        <w:t xml:space="preserve">”</w:t>
      </w:r>
      <w:r>
        <w:t xml:space="preserve">); (7) the draft comfort letter from Whitman Reese &amp; Co. dated March 18, 2025 (the</w:t>
      </w:r>
      <w:r>
        <w:t xml:space="preserve"> </w:t>
      </w:r>
      <w:r>
        <w:t xml:space="preserve">“</w:t>
      </w:r>
      <w:r>
        <w:rPr>
          <w:b/>
          <w:bCs/>
        </w:rPr>
        <w:t xml:space="preserve">Comfort Letter</w:t>
      </w:r>
      <w:r>
        <w:t xml:space="preserve">”</w:t>
      </w:r>
      <w:r>
        <w:t xml:space="preserve">); (8) the Power of Attorney and Custody Agreement (the</w:t>
      </w:r>
      <w:r>
        <w:t xml:space="preserve"> </w:t>
      </w:r>
      <w:r>
        <w:t xml:space="preserve">“</w:t>
      </w:r>
      <w:r>
        <w:rPr>
          <w:b/>
          <w:bCs/>
        </w:rPr>
        <w:t xml:space="preserve">POA</w:t>
      </w:r>
      <w:r>
        <w:t xml:space="preserve">”</w:t>
      </w:r>
      <w:r>
        <w:t xml:space="preserve">); and (9) the Selling Stockholder Questionnaire completed by Cascade Kestridge Ventures, LP (the</w:t>
      </w:r>
      <w:r>
        <w:t xml:space="preserve"> </w:t>
      </w:r>
      <w:r>
        <w:t xml:space="preserve">“</w:t>
      </w:r>
      <w:r>
        <w:rPr>
          <w:b/>
          <w:bCs/>
        </w:rPr>
        <w:t xml:space="preserve">Questionnaire</w:t>
      </w:r>
      <w:r>
        <w:t xml:space="preserve">”</w:t>
      </w:r>
      <w:r>
        <w:t xml:space="preserve">).</w:t>
      </w:r>
    </w:p>
    <w:p>
      <w:pPr>
        <w:pStyle w:val="BodyText"/>
      </w:pPr>
      <w:r>
        <w:t xml:space="preserve">Each item below is a distinct discrepancy or open item. Items are grouped by subject matter for ease of reference. The underwriting agreement delivered concurrently herewith (the</w:t>
      </w:r>
      <w:r>
        <w:t xml:space="preserve"> </w:t>
      </w:r>
      <w:r>
        <w:t xml:space="preserve">“</w:t>
      </w:r>
      <w:r>
        <w:rPr>
          <w:b/>
          <w:bCs/>
        </w:rPr>
        <w:t xml:space="preserve">Underwriting Agreement</w:t>
      </w:r>
      <w:r>
        <w:t xml:space="preserve">”</w:t>
      </w:r>
      <w:r>
        <w:t xml:space="preserve">) has been drafted to reflect the majority/controlling position among the documents, with the conflicting positions flagged below for resolution.</w:t>
      </w:r>
    </w:p>
    <w:bookmarkEnd w:id="20"/>
    <w:bookmarkStart w:id="21" w:name="ii.-executive-summary"/>
    <w:p>
      <w:pPr>
        <w:pStyle w:val="Heading2"/>
      </w:pPr>
      <w:r>
        <w:t xml:space="preserve">II. EXECUTIVE SUMMARY</w:t>
      </w:r>
    </w:p>
    <w:p>
      <w:pPr>
        <w:pStyle w:val="FirstParagraph"/>
      </w:pPr>
      <w:r>
        <w:t xml:space="preserve">The review identified</w:t>
      </w:r>
      <w:r>
        <w:t xml:space="preserve"> </w:t>
      </w:r>
      <w:r>
        <w:rPr>
          <w:b/>
          <w:bCs/>
        </w:rPr>
        <w:t xml:space="preserve">fifty-four (54)</w:t>
      </w:r>
      <w:r>
        <w:t xml:space="preserve"> </w:t>
      </w:r>
      <w:r>
        <w:t xml:space="preserve">discrete discrepancies and open items. The most significant are: (a) a fundamental conflict in the identity of the Company’s revolving credit lender (the S-1, Term Sheet, and Comfort Letter refer to</w:t>
      </w:r>
      <w:r>
        <w:t xml:space="preserve"> </w:t>
      </w:r>
      <w:r>
        <w:t xml:space="preserve">“</w:t>
      </w:r>
      <w:r>
        <w:t xml:space="preserve">Oakvale National Bank,</w:t>
      </w:r>
      <w:r>
        <w:t xml:space="preserve">”</w:t>
      </w:r>
      <w:r>
        <w:t xml:space="preserve"> </w:t>
      </w:r>
      <w:r>
        <w:t xml:space="preserve">while the Credit Summary refers to</w:t>
      </w:r>
      <w:r>
        <w:t xml:space="preserve"> </w:t>
      </w:r>
      <w:r>
        <w:t xml:space="preserve">“</w:t>
      </w:r>
      <w:r>
        <w:t xml:space="preserve">Ridgemont National Bank</w:t>
      </w:r>
      <w:r>
        <w:t xml:space="preserve">”</w:t>
      </w:r>
      <w:r>
        <w:t xml:space="preserve">); (b) a material understatement of the mandatory prepayment obligation in the S-1</w:t>
      </w:r>
      <w:r>
        <w:t xml:space="preserve"> </w:t>
      </w:r>
      <w:r>
        <w:t xml:space="preserve">“</w:t>
      </w:r>
      <w:r>
        <w:t xml:space="preserve">Use of Proceeds</w:t>
      </w:r>
      <w:r>
        <w:t xml:space="preserve">”</w:t>
      </w:r>
      <w:r>
        <w:t xml:space="preserve"> </w:t>
      </w:r>
      <w:r>
        <w:t xml:space="preserve">and Capitalization table ($10 million) versus the credit agreement’s actual requirement (~$15.2 million); (c) a conflict between the Comfort Letter’s confirmed balance-sheet figures (total stockholders’ equity $198.4 million; cash $47.3 million) and the S-1 Capitalization table (total stockholders’ equity $101.4 million; cash $38.4 million); (d) conflicting identification of the general partners and controlling natural persons of two of the three Selling Stockholders across the S-1, the POA, and the Questionnaire, compounded by multiple variant spellings of the Cascade entity name across four documents; (e) a Term Sheet provision granting a springing lock-up extension to Dr. Krishnamurthy that is not reflected in the Lock-Up Form or the S-1; and (f) a cross-reference in the draft Comfort Letter to</w:t>
      </w:r>
      <w:r>
        <w:t xml:space="preserve"> </w:t>
      </w:r>
      <w:r>
        <w:t xml:space="preserve">“</w:t>
      </w:r>
      <w:r>
        <w:t xml:space="preserve">Section 7(d)</w:t>
      </w:r>
      <w:r>
        <w:t xml:space="preserve">”</w:t>
      </w:r>
      <w:r>
        <w:t xml:space="preserve"> </w:t>
      </w:r>
      <w:r>
        <w:t xml:space="preserve">of the Underwriting Agreement that does not correspond to the comfort-letter delivery condition in the executed agreement. These items must be reconciled prior to the filing of the Final Prospectus and the Closing.</w:t>
      </w:r>
    </w:p>
    <w:bookmarkEnd w:id="21"/>
    <w:bookmarkStart w:id="22" w:name="iii.-credit-agreement-discrepancies"/>
    <w:p>
      <w:pPr>
        <w:pStyle w:val="Heading2"/>
      </w:pPr>
      <w:r>
        <w:t xml:space="preserve">III. CREDIT AGREEMENT DISCREPANCIES</w:t>
      </w:r>
    </w:p>
    <w:p>
      <w:pPr>
        <w:pStyle w:val="FirstParagraph"/>
      </w:pPr>
      <w:r>
        <w:rPr>
          <w:b/>
          <w:bCs/>
        </w:rPr>
        <w:t xml:space="preserve">Item 1 — Identity of the Lender (Oakvale National Bank vs. Ridgemont National Bank).</w:t>
      </w:r>
      <w:r>
        <w:t xml:space="preserve"> </w:t>
      </w:r>
      <w:r>
        <w:t xml:space="preserve">The S-1 (Sections III.C, IV, IX.A), the Term Sheet (Section 11.1(i)), and the Comfort Letter (Sections V.A.v, VII.A) all refer to the Company’s revolving credit lender as</w:t>
      </w:r>
      <w:r>
        <w:t xml:space="preserve"> </w:t>
      </w:r>
      <w:r>
        <w:t xml:space="preserve">“</w:t>
      </w:r>
      <w:r>
        <w:rPr>
          <w:b/>
          <w:bCs/>
        </w:rPr>
        <w:t xml:space="preserve">Oakvale National Bank</w:t>
      </w:r>
      <w:r>
        <w:t xml:space="preserve">.</w:t>
      </w:r>
      <w:r>
        <w:t xml:space="preserve">”</w:t>
      </w:r>
      <w:r>
        <w:t xml:space="preserve"> </w:t>
      </w:r>
      <w:r>
        <w:t xml:space="preserve">The Credit Summary (Section 1), however, identifies the lender and administrative agent as</w:t>
      </w:r>
      <w:r>
        <w:t xml:space="preserve"> </w:t>
      </w:r>
      <w:r>
        <w:t xml:space="preserve">“</w:t>
      </w:r>
      <w:r>
        <w:rPr>
          <w:b/>
          <w:bCs/>
        </w:rPr>
        <w:t xml:space="preserve">Ridgemont National Bank</w:t>
      </w:r>
      <w:r>
        <w:t xml:space="preserve">,</w:t>
      </w:r>
      <w:r>
        <w:t xml:space="preserve">”</w:t>
      </w:r>
      <w:r>
        <w:t xml:space="preserve"> </w:t>
      </w:r>
      <w:r>
        <w:t xml:space="preserve">and the Credit Summary’s open-items notes (Sections 8 and 15) repeatedly refer to</w:t>
      </w:r>
      <w:r>
        <w:t xml:space="preserve"> </w:t>
      </w:r>
      <w:r>
        <w:t xml:space="preserve">“</w:t>
      </w:r>
      <w:r>
        <w:t xml:space="preserve">Ridgemont National Bank.</w:t>
      </w:r>
      <w:r>
        <w:t xml:space="preserve">”</w:t>
      </w:r>
      <w:r>
        <w:t xml:space="preserve"> </w:t>
      </w:r>
      <w:r>
        <w:t xml:space="preserve">This is a fundamental conflict that affects the accuracy of the S-1 disclosure, the Company’s representations in the Underwriting Agreement regarding material contracts (Section 3.10), and the Comfort Letter.</w:t>
      </w:r>
      <w:r>
        <w:t xml:space="preserve"> </w:t>
      </w:r>
      <w:r>
        <w:rPr>
          <w:b/>
          <w:bCs/>
        </w:rPr>
        <w:t xml:space="preserve">Recommendation:</w:t>
      </w:r>
      <w:r>
        <w:t xml:space="preserve"> </w:t>
      </w:r>
      <w:r>
        <w:t xml:space="preserve">Confirm the correct legal name of the lender immediately; correct the S-1 (via the Final Prospectus / 424(b)(4)) and the Credit Summary as necessary; ensure the Underwriting Agreement’s material-contracts representation uses the correct name.</w:t>
      </w:r>
    </w:p>
    <w:p>
      <w:pPr>
        <w:pStyle w:val="BodyText"/>
      </w:pPr>
      <w:r>
        <w:rPr>
          <w:b/>
          <w:bCs/>
        </w:rPr>
        <w:t xml:space="preserve">Item 2 — Date of the Credit Agreement and Undisclosed First Amendment (July 15, 2022 vs. June 15, 2023; First Amendment dated February 28, 2024).</w:t>
      </w:r>
      <w:r>
        <w:t xml:space="preserve"> </w:t>
      </w:r>
      <w:r>
        <w:t xml:space="preserve">The S-1 (Section IX.A) states that the credit agreement was entered into</w:t>
      </w:r>
      <w:r>
        <w:t xml:space="preserve"> </w:t>
      </w:r>
      <w:r>
        <w:t xml:space="preserve">“</w:t>
      </w:r>
      <w:r>
        <w:t xml:space="preserve">On July 15, 2022.</w:t>
      </w:r>
      <w:r>
        <w:t xml:space="preserve">”</w:t>
      </w:r>
      <w:r>
        <w:t xml:space="preserve"> </w:t>
      </w:r>
      <w:r>
        <w:t xml:space="preserve">The Credit Summary (Section 1) states the Revolving Credit Agreement is</w:t>
      </w:r>
      <w:r>
        <w:t xml:space="preserve"> </w:t>
      </w:r>
      <w:r>
        <w:t xml:space="preserve">“</w:t>
      </w:r>
      <w:r>
        <w:t xml:space="preserve">dated as of June 15, 2023 (as amended by that certain First Amendment to Revolving Credit Agreement dated as of February 28, 2024, the</w:t>
      </w:r>
      <w:r>
        <w:t xml:space="preserve"> </w:t>
      </w:r>
      <w:r>
        <w:t xml:space="preserve">‘</w:t>
      </w:r>
      <w:r>
        <w:t xml:space="preserve">Credit Agreement</w:t>
      </w:r>
      <w:r>
        <w:t xml:space="preserve">’</w:t>
      </w:r>
      <w:r>
        <w:t xml:space="preserve">).</w:t>
      </w:r>
      <w:r>
        <w:t xml:space="preserve">”</w:t>
      </w:r>
      <w:r>
        <w:t xml:space="preserve"> </w:t>
      </w:r>
      <w:r>
        <w:t xml:space="preserve">In addition to the conflicting execution date, the S-1 does not disclose the existence of the First Amendment to the Credit Agreement dated February 28, 2024, which the Credit Summary identifies.</w:t>
      </w:r>
      <w:r>
        <w:t xml:space="preserve"> </w:t>
      </w:r>
      <w:r>
        <w:rPr>
          <w:b/>
          <w:bCs/>
        </w:rPr>
        <w:t xml:space="preserve">Recommendation:</w:t>
      </w:r>
      <w:r>
        <w:t xml:space="preserve"> </w:t>
      </w:r>
      <w:r>
        <w:t xml:space="preserve">Confirm the correct execution date and amendment history; correct the S-1 disclosure, including adding disclosure of the First Amendment if material.</w:t>
      </w:r>
    </w:p>
    <w:p>
      <w:pPr>
        <w:pStyle w:val="BodyText"/>
      </w:pPr>
      <w:r>
        <w:rPr>
          <w:b/>
          <w:bCs/>
        </w:rPr>
        <w:t xml:space="preserve">Item 3 — Maturity Date (December 31, 2026 vs. June 15, 2027).</w:t>
      </w:r>
      <w:r>
        <w:t xml:space="preserve"> </w:t>
      </w:r>
      <w:r>
        <w:t xml:space="preserve">The S-1 (Sections IV and IX.A) states the facility</w:t>
      </w:r>
      <w:r>
        <w:t xml:space="preserve"> </w:t>
      </w:r>
      <w:r>
        <w:t xml:space="preserve">“</w:t>
      </w:r>
      <w:r>
        <w:t xml:space="preserve">matures on December 31, 2026.</w:t>
      </w:r>
      <w:r>
        <w:t xml:space="preserve">”</w:t>
      </w:r>
      <w:r>
        <w:t xml:space="preserve"> </w:t>
      </w:r>
      <w:r>
        <w:t xml:space="preserve">The Credit Summary (Section 3) states the</w:t>
      </w:r>
      <w:r>
        <w:t xml:space="preserve"> </w:t>
      </w:r>
      <w:r>
        <w:t xml:space="preserve">“</w:t>
      </w:r>
      <w:r>
        <w:t xml:space="preserve">Maturity Date: June 15, 2027 (four-year term from original execution).</w:t>
      </w:r>
      <w:r>
        <w:t xml:space="preserve">”</w:t>
      </w:r>
      <w:r>
        <w:t xml:space="preserve"> </w:t>
      </w:r>
      <w:r>
        <w:rPr>
          <w:b/>
          <w:bCs/>
        </w:rPr>
        <w:t xml:space="preserve">Recommendation:</w:t>
      </w:r>
      <w:r>
        <w:t xml:space="preserve"> </w:t>
      </w:r>
      <w:r>
        <w:t xml:space="preserve">Confirm the correct maturity date; correct the S-1 disclosure if necessary.</w:t>
      </w:r>
    </w:p>
    <w:p>
      <w:pPr>
        <w:pStyle w:val="BodyText"/>
      </w:pPr>
      <w:r>
        <w:rPr>
          <w:b/>
          <w:bCs/>
        </w:rPr>
        <w:t xml:space="preserve">Item 4 — Interest Rate / Applicable Margin (SOFR + 2.50% vs. SOFR + 2.25%).</w:t>
      </w:r>
      <w:r>
        <w:t xml:space="preserve"> </w:t>
      </w:r>
      <w:r>
        <w:t xml:space="preserve">The S-1 (Sections IV and IX.A) states borrowings bear interest at</w:t>
      </w:r>
      <w:r>
        <w:t xml:space="preserve"> </w:t>
      </w:r>
      <w:r>
        <w:t xml:space="preserve">“</w:t>
      </w:r>
      <w:r>
        <w:t xml:space="preserve">SOFR plus 2.50% per annum.</w:t>
      </w:r>
      <w:r>
        <w:t xml:space="preserve">”</w:t>
      </w:r>
      <w:r>
        <w:t xml:space="preserve"> </w:t>
      </w:r>
      <w:r>
        <w:t xml:space="preserve">The Credit Summary (Section 4) states the current applicable margin is</w:t>
      </w:r>
      <w:r>
        <w:t xml:space="preserve"> </w:t>
      </w:r>
      <w:r>
        <w:t xml:space="preserve">“</w:t>
      </w:r>
      <w:r>
        <w:t xml:space="preserve">SOFR + 2.25%</w:t>
      </w:r>
      <w:r>
        <w:t xml:space="preserve">”</w:t>
      </w:r>
      <w:r>
        <w:t xml:space="preserve"> </w:t>
      </w:r>
      <w:r>
        <w:t xml:space="preserve">(based on a pricing grid of 2.25% / 2.75% / 3.25% keyed to the Total Net Leverage Ratio, with the current ratio at ~0.78x placing the Company in the lowest tier). The S-1’s stated 2.50% margin does not correspond to any step in the Credit Summary’s pricing grid.</w:t>
      </w:r>
      <w:r>
        <w:t xml:space="preserve"> </w:t>
      </w:r>
      <w:r>
        <w:rPr>
          <w:b/>
          <w:bCs/>
        </w:rPr>
        <w:t xml:space="preserve">Recommendation:</w:t>
      </w:r>
      <w:r>
        <w:t xml:space="preserve"> </w:t>
      </w:r>
      <w:r>
        <w:t xml:space="preserve">Confirm the correct current margin and the pricing grid; correct the S-1 disclosure if necessary.</w:t>
      </w:r>
    </w:p>
    <w:p>
      <w:pPr>
        <w:pStyle w:val="BodyText"/>
      </w:pPr>
      <w:r>
        <w:rPr>
          <w:b/>
          <w:bCs/>
        </w:rPr>
        <w:t xml:space="preserve">Item 5 — Change of Control Threshold (50% vs. 35%).</w:t>
      </w:r>
      <w:r>
        <w:t xml:space="preserve"> </w:t>
      </w:r>
      <w:r>
        <w:t xml:space="preserve">The S-1 (Section IX.A) defines a change of control as the acquisition of</w:t>
      </w:r>
      <w:r>
        <w:t xml:space="preserve"> </w:t>
      </w:r>
      <w:r>
        <w:t xml:space="preserve">“</w:t>
      </w:r>
      <w:r>
        <w:t xml:space="preserve">more than 50% of our outstanding voting stock.</w:t>
      </w:r>
      <w:r>
        <w:t xml:space="preserve">”</w:t>
      </w:r>
      <w:r>
        <w:t xml:space="preserve"> </w:t>
      </w:r>
      <w:r>
        <w:t xml:space="preserve">The Credit Summary (Section 9) defines</w:t>
      </w:r>
      <w:r>
        <w:t xml:space="preserve"> </w:t>
      </w:r>
      <w:r>
        <w:t xml:space="preserve">“</w:t>
      </w:r>
      <w:r>
        <w:t xml:space="preserve">Change of Control</w:t>
      </w:r>
      <w:r>
        <w:t xml:space="preserve">”</w:t>
      </w:r>
      <w:r>
        <w:t xml:space="preserve"> </w:t>
      </w:r>
      <w:r>
        <w:t xml:space="preserve">as the acquisition of</w:t>
      </w:r>
      <w:r>
        <w:t xml:space="preserve"> </w:t>
      </w:r>
      <w:r>
        <w:t xml:space="preserve">“</w:t>
      </w:r>
      <w:r>
        <w:t xml:space="preserve">more than 35% of the outstanding voting equity interests of the Borrower</w:t>
      </w:r>
      <w:r>
        <w:t xml:space="preserve">”</w:t>
      </w:r>
      <w:r>
        <w:t xml:space="preserve"> </w:t>
      </w:r>
      <w:r>
        <w:t xml:space="preserve">(and also includes a board-composition and a subsidiary-ownership prong).</w:t>
      </w:r>
      <w:r>
        <w:t xml:space="preserve"> </w:t>
      </w:r>
      <w:r>
        <w:rPr>
          <w:b/>
          <w:bCs/>
        </w:rPr>
        <w:t xml:space="preserve">Recommendation:</w:t>
      </w:r>
      <w:r>
        <w:t xml:space="preserve"> </w:t>
      </w:r>
      <w:r>
        <w:t xml:space="preserve">Confirm the correct change-of-control threshold; correct the S-1 disclosure. This is material to the post-IPO change-of-control analysis (see Item 45).</w:t>
      </w:r>
    </w:p>
    <w:p>
      <w:pPr>
        <w:pStyle w:val="BodyText"/>
      </w:pPr>
      <w:r>
        <w:rPr>
          <w:b/>
          <w:bCs/>
        </w:rPr>
        <w:t xml:space="preserve">Item 6 — Financial Covenants (Interest Coverage 3.00x vs. Fixed Charge Coverage 1.25x; Missing Minimum Revenue Covenant).</w:t>
      </w:r>
      <w:r>
        <w:t xml:space="preserve"> </w:t>
      </w:r>
      <w:r>
        <w:t xml:space="preserve">The S-1 (Section IX.A) describes three financial covenants: (i) minimum unrestricted cash of $15,000,000; (ii) maximum total leverage ratio of 3.00 to 1.00; and (iii) minimum interest coverage ratio of not less than 3.00 to 1.00. The Credit Summary (Section 7) describes four financial covenants: (i) minimum trailing-twelve-month revenue of $200,000,000; (ii) maximum Total Net Leverage Ratio of 3.00 to 1.00 (defined as funded debt</w:t>
      </w:r>
      <w:r>
        <w:t xml:space="preserve"> </w:t>
      </w:r>
      <w:r>
        <w:rPr>
          <w:i/>
          <w:iCs/>
        </w:rPr>
        <w:t xml:space="preserve">minus unrestricted cash</w:t>
      </w:r>
      <w:r>
        <w:t xml:space="preserve">, divided by Adjusted EBITDA); (iii) minimum liquidity of $15,000,000; and (iv) Fixed Charge Coverage Ratio of not less than 1.25 to 1.00. Discrepancies: (a) the S-1’s</w:t>
      </w:r>
      <w:r>
        <w:t xml:space="preserve"> </w:t>
      </w:r>
      <w:r>
        <w:t xml:space="preserve">“</w:t>
      </w:r>
      <w:r>
        <w:t xml:space="preserve">minimum interest coverage ratio of 3.00 to 1.00</w:t>
      </w:r>
      <w:r>
        <w:t xml:space="preserve">”</w:t>
      </w:r>
      <w:r>
        <w:t xml:space="preserve"> </w:t>
      </w:r>
      <w:r>
        <w:t xml:space="preserve">does not match the Credit Summary’s</w:t>
      </w:r>
      <w:r>
        <w:t xml:space="preserve"> </w:t>
      </w:r>
      <w:r>
        <w:t xml:space="preserve">“</w:t>
      </w:r>
      <w:r>
        <w:t xml:space="preserve">Fixed Charge Coverage Ratio of 1.25 to 1.00</w:t>
      </w:r>
      <w:r>
        <w:t xml:space="preserve">”</w:t>
      </w:r>
      <w:r>
        <w:t xml:space="preserve"> </w:t>
      </w:r>
      <w:r>
        <w:t xml:space="preserve">(different ratio and different threshold); (b) the S-1 omits the minimum revenue covenant ($200 million); and (c) the S-1’s</w:t>
      </w:r>
      <w:r>
        <w:t xml:space="preserve"> </w:t>
      </w:r>
      <w:r>
        <w:t xml:space="preserve">“</w:t>
      </w:r>
      <w:r>
        <w:t xml:space="preserve">total leverage ratio</w:t>
      </w:r>
      <w:r>
        <w:t xml:space="preserve">”</w:t>
      </w:r>
      <w:r>
        <w:t xml:space="preserve"> </w:t>
      </w:r>
      <w:r>
        <w:t xml:space="preserve">differs from the Credit Summary’s</w:t>
      </w:r>
      <w:r>
        <w:t xml:space="preserve"> </w:t>
      </w:r>
      <w:r>
        <w:t xml:space="preserve">“</w:t>
      </w:r>
      <w:r>
        <w:t xml:space="preserve">Total Net Leverage Ratio</w:t>
      </w:r>
      <w:r>
        <w:t xml:space="preserve">”</w:t>
      </w:r>
      <w:r>
        <w:t xml:space="preserve"> </w:t>
      </w:r>
      <w:r>
        <w:t xml:space="preserve">(which is net of cash).</w:t>
      </w:r>
      <w:r>
        <w:t xml:space="preserve"> </w:t>
      </w:r>
      <w:r>
        <w:rPr>
          <w:b/>
          <w:bCs/>
        </w:rPr>
        <w:t xml:space="preserve">Recommendation:</w:t>
      </w:r>
      <w:r>
        <w:t xml:space="preserve"> </w:t>
      </w:r>
      <w:r>
        <w:t xml:space="preserve">Confirm the correct covenants; correct the S-1 disclosure.</w:t>
      </w:r>
    </w:p>
    <w:p>
      <w:pPr>
        <w:pStyle w:val="BodyText"/>
      </w:pPr>
      <w:r>
        <w:rPr>
          <w:b/>
          <w:bCs/>
        </w:rPr>
        <w:t xml:space="preserve">Item 7 — Mandatory Prepayment Amount (Use of Proceeds $10 million vs. Risk Factors ~$15.2 million vs. Credit Agreement ~$15.24 million).</w:t>
      </w:r>
      <w:r>
        <w:t xml:space="preserve"> </w:t>
      </w:r>
      <w:r>
        <w:t xml:space="preserve">The S-1</w:t>
      </w:r>
      <w:r>
        <w:t xml:space="preserve"> </w:t>
      </w:r>
      <w:r>
        <w:t xml:space="preserve">“</w:t>
      </w:r>
      <w:r>
        <w:t xml:space="preserve">Use of Proceeds</w:t>
      </w:r>
      <w:r>
        <w:t xml:space="preserve">”</w:t>
      </w:r>
      <w:r>
        <w:t xml:space="preserve"> </w:t>
      </w:r>
      <w:r>
        <w:t xml:space="preserve">(Section IV) and the S-1 Capitalization table footnote (2) disclose a repayment of</w:t>
      </w:r>
      <w:r>
        <w:t xml:space="preserve"> </w:t>
      </w:r>
      <w:r>
        <w:t xml:space="preserve">“</w:t>
      </w:r>
      <w:r>
        <w:t xml:space="preserve">approximately $10 million</w:t>
      </w:r>
      <w:r>
        <w:t xml:space="preserve">”</w:t>
      </w:r>
      <w:r>
        <w:t xml:space="preserve"> </w:t>
      </w:r>
      <w:r>
        <w:t xml:space="preserve">/</w:t>
      </w:r>
      <w:r>
        <w:t xml:space="preserve"> </w:t>
      </w:r>
      <w:r>
        <w:t xml:space="preserve">“</w:t>
      </w:r>
      <w:r>
        <w:t xml:space="preserve">approximately $10.0 million</w:t>
      </w:r>
      <w:r>
        <w:t xml:space="preserve">”</w:t>
      </w:r>
      <w:r>
        <w:t xml:space="preserve"> </w:t>
      </w:r>
      <w:r>
        <w:t xml:space="preserve">of the revolving credit facility. The S-1</w:t>
      </w:r>
      <w:r>
        <w:t xml:space="preserve"> </w:t>
      </w:r>
      <w:r>
        <w:t xml:space="preserve">“</w:t>
      </w:r>
      <w:r>
        <w:t xml:space="preserve">Risk Factors</w:t>
      </w:r>
      <w:r>
        <w:t xml:space="preserve">”</w:t>
      </w:r>
      <w:r>
        <w:t xml:space="preserve"> </w:t>
      </w:r>
      <w:r>
        <w:t xml:space="preserve">(Section III.C), however, states the Company</w:t>
      </w:r>
      <w:r>
        <w:t xml:space="preserve"> </w:t>
      </w:r>
      <w:r>
        <w:t xml:space="preserve">“</w:t>
      </w:r>
      <w:r>
        <w:t xml:space="preserve">expect[s] to be required to make a mandatory prepayment of approximately $15.2 million under the credit facility.</w:t>
      </w:r>
      <w:r>
        <w:t xml:space="preserve">”</w:t>
      </w:r>
      <w:r>
        <w:t xml:space="preserve"> </w:t>
      </w:r>
      <w:r>
        <w:t xml:space="preserve">The Credit Summary (Section 6) calculates the mandatory prepayment under Section 2.05(b)(i) at</w:t>
      </w:r>
      <w:r>
        <w:t xml:space="preserve"> </w:t>
      </w:r>
      <w:r>
        <w:rPr>
          <w:b/>
          <w:bCs/>
        </w:rPr>
        <w:t xml:space="preserve">$15,240,000</w:t>
      </w:r>
      <w:r>
        <w:t xml:space="preserve"> </w:t>
      </w:r>
      <w:r>
        <w:t xml:space="preserve">(or $13,640,000 if offering expenses of $3,200,000 are deductible from</w:t>
      </w:r>
      <w:r>
        <w:t xml:space="preserve"> </w:t>
      </w:r>
      <w:r>
        <w:t xml:space="preserve">“</w:t>
      </w:r>
      <w:r>
        <w:t xml:space="preserve">Net Equity Proceeds</w:t>
      </w:r>
      <w:r>
        <w:t xml:space="preserve">”</w:t>
      </w:r>
      <w:r>
        <w:t xml:space="preserve">). The Credit Summary expressly flags that the S-1 Use of Proceeds</w:t>
      </w:r>
      <w:r>
        <w:t xml:space="preserve"> </w:t>
      </w:r>
      <w:r>
        <w:t xml:space="preserve">“</w:t>
      </w:r>
      <w:r>
        <w:t xml:space="preserve">understates the mandatory prepayment obligation by $3,640,000 to $5,240,000.</w:t>
      </w:r>
      <w:r>
        <w:t xml:space="preserve">”</w:t>
      </w:r>
      <w:r>
        <w:t xml:space="preserve"> </w:t>
      </w:r>
      <w:r>
        <w:t xml:space="preserve">This is an internal inconsistency within the S-1 (Use of Proceeds vs. Risk Factors) and a discrepancy with the Credit Summary.</w:t>
      </w:r>
      <w:r>
        <w:t xml:space="preserve"> </w:t>
      </w:r>
      <w:r>
        <w:rPr>
          <w:b/>
          <w:bCs/>
        </w:rPr>
        <w:t xml:space="preserve">Recommendation:</w:t>
      </w:r>
      <w:r>
        <w:t xml:space="preserve"> </w:t>
      </w:r>
      <w:r>
        <w:t xml:space="preserve">Reconcile and correct the S-1 Use of Proceeds and Capitalization table to reflect the actual mandatory prepayment obligation; confirm whether offering expenses are deductible from</w:t>
      </w:r>
      <w:r>
        <w:t xml:space="preserve"> </w:t>
      </w:r>
      <w:r>
        <w:t xml:space="preserve">“</w:t>
      </w:r>
      <w:r>
        <w:t xml:space="preserve">Net Equity Proceeds.</w:t>
      </w:r>
      <w:r>
        <w:t xml:space="preserve">”</w:t>
      </w:r>
    </w:p>
    <w:p>
      <w:pPr>
        <w:pStyle w:val="BodyText"/>
      </w:pPr>
      <w:r>
        <w:rPr>
          <w:b/>
          <w:bCs/>
        </w:rPr>
        <w:t xml:space="preserve">Item 8 — Pro Forma Indebtedness in the S-1 Capitalization Table ($12.5 million vs. $7.26 million).</w:t>
      </w:r>
      <w:r>
        <w:t xml:space="preserve"> </w:t>
      </w:r>
      <w:r>
        <w:t xml:space="preserve">The S-1 Capitalization table shows pro forma as-adjusted revolving credit facility indebtedness of $12,500,000, which reflects a $10.0 million prepayment ($22.5 million − $10.0 million = $12.5 million). If the mandatory prepayment is actually $15.24 million (per the Credit Summary), the pro forma indebtedness should be $7,260,000 ($22.5 million − $15.24 million = $7.26 million). The Capitalization table is therefore inconsistent with the Risk Factors disclosure and the Credit Summary.</w:t>
      </w:r>
      <w:r>
        <w:t xml:space="preserve"> </w:t>
      </w:r>
      <w:r>
        <w:rPr>
          <w:b/>
          <w:bCs/>
        </w:rPr>
        <w:t xml:space="preserve">Recommendation:</w:t>
      </w:r>
      <w:r>
        <w:t xml:space="preserve"> </w:t>
      </w:r>
      <w:r>
        <w:t xml:space="preserve">Correct the pro forma indebtedness figure in the S-1 Capitalization table to reflect the actual mandatory prepayment.</w:t>
      </w:r>
    </w:p>
    <w:bookmarkEnd w:id="22"/>
    <w:bookmarkStart w:id="23" w:name="X0202eb9034157533d501c4d6771fccc2354d0ca"/>
    <w:p>
      <w:pPr>
        <w:pStyle w:val="Heading2"/>
      </w:pPr>
      <w:r>
        <w:t xml:space="preserve">IV. COMFORT LETTER vs. S-1 FINANCIAL FIGURE DISCREPANCIES</w:t>
      </w:r>
    </w:p>
    <w:p>
      <w:pPr>
        <w:pStyle w:val="FirstParagraph"/>
      </w:pPr>
      <w:r>
        <w:rPr>
          <w:b/>
          <w:bCs/>
        </w:rPr>
        <w:t xml:space="preserve">Item 9 — Total Stockholders’ Equity ($198.4 million vs. $101.4 million).</w:t>
      </w:r>
      <w:r>
        <w:t xml:space="preserve"> </w:t>
      </w:r>
      <w:r>
        <w:t xml:space="preserve">The Comfort Letter (Sections V.A.iv, V.C.iv, and Appendix A, Table 2) confirms</w:t>
      </w:r>
      <w:r>
        <w:t xml:space="preserve"> </w:t>
      </w:r>
      <w:r>
        <w:t xml:space="preserve">“</w:t>
      </w:r>
      <w:r>
        <w:t xml:space="preserve">Total stockholders’ equity as of December 31, 2024: $198,400,000</w:t>
      </w:r>
      <w:r>
        <w:t xml:space="preserve">”</w:t>
      </w:r>
      <w:r>
        <w:t xml:space="preserve"> </w:t>
      </w:r>
      <w:r>
        <w:t xml:space="preserve">and states that this</w:t>
      </w:r>
      <w:r>
        <w:t xml:space="preserve"> </w:t>
      </w:r>
      <w:r>
        <w:t xml:space="preserve">“</w:t>
      </w:r>
      <w:r>
        <w:t xml:space="preserve">agrees with the audited consolidated balance sheet.</w:t>
      </w:r>
      <w:r>
        <w:t xml:space="preserve">”</w:t>
      </w:r>
      <w:r>
        <w:t xml:space="preserve"> </w:t>
      </w:r>
      <w:r>
        <w:t xml:space="preserve">The S-1 Capitalization table (Section V) shows</w:t>
      </w:r>
      <w:r>
        <w:t xml:space="preserve"> </w:t>
      </w:r>
      <w:r>
        <w:t xml:space="preserve">“</w:t>
      </w:r>
      <w:r>
        <w:t xml:space="preserve">Total stockholders’ equity</w:t>
      </w:r>
      <w:r>
        <w:t xml:space="preserve">”</w:t>
      </w:r>
      <w:r>
        <w:t xml:space="preserve"> </w:t>
      </w:r>
      <w:r>
        <w:t xml:space="preserve">of $101,400,000 on an actual basis. These figures differ by $97.0 million.</w:t>
      </w:r>
      <w:r>
        <w:t xml:space="preserve"> </w:t>
      </w:r>
      <w:r>
        <w:rPr>
          <w:b/>
          <w:bCs/>
        </w:rPr>
        <w:t xml:space="preserve">Recommendation:</w:t>
      </w:r>
      <w:r>
        <w:t xml:space="preserve"> </w:t>
      </w:r>
      <w:r>
        <w:t xml:space="preserve">Reconcile immediately. This may indicate a material misstatement in either the S-1 Capitalization table or the Comfort Letter draft. The discrepancy may be connected to the preferred-stock conversion date issue (see Item 30): if preferred stock was still outstanding as of December 31, 2024 (per the S-1 narrative that the reorganization was</w:t>
      </w:r>
      <w:r>
        <w:t xml:space="preserve"> </w:t>
      </w:r>
      <w:r>
        <w:t xml:space="preserve">“</w:t>
      </w:r>
      <w:r>
        <w:t xml:space="preserve">completed on January 15, 2025</w:t>
      </w:r>
      <w:r>
        <w:t xml:space="preserve">”</w:t>
      </w:r>
      <w:r>
        <w:t xml:space="preserve">), total stockholders’ equity including preferred would be higher than the post-conversion common-only equity reflected in the S-1 Capitalization table. Notably, $101.4 million + approximately $97.0 million of preferred stock ≈ $198.4 million, which is consistent with the Comfort Letter figure and supports the inference that preferred stock was still outstanding as of December 31, 2024.</w:t>
      </w:r>
    </w:p>
    <w:p>
      <w:pPr>
        <w:pStyle w:val="BodyText"/>
      </w:pPr>
      <w:r>
        <w:rPr>
          <w:b/>
          <w:bCs/>
        </w:rPr>
        <w:t xml:space="preserve">Item 10 — Cash and Cash Equivalents ($47.3 million vs. $38.4 million).</w:t>
      </w:r>
      <w:r>
        <w:t xml:space="preserve"> </w:t>
      </w:r>
      <w:r>
        <w:t xml:space="preserve">The Comfort Letter (Section V.A.vi and Appendix A, Table 1) confirms</w:t>
      </w:r>
      <w:r>
        <w:t xml:space="preserve"> </w:t>
      </w:r>
      <w:r>
        <w:t xml:space="preserve">“</w:t>
      </w:r>
      <w:r>
        <w:t xml:space="preserve">Cash and cash equivalents as of December 31, 2024: $47,300,000</w:t>
      </w:r>
      <w:r>
        <w:t xml:space="preserve">”</w:t>
      </w:r>
      <w:r>
        <w:t xml:space="preserve"> </w:t>
      </w:r>
      <w:r>
        <w:t xml:space="preserve">and states that this</w:t>
      </w:r>
      <w:r>
        <w:t xml:space="preserve"> </w:t>
      </w:r>
      <w:r>
        <w:t xml:space="preserve">“</w:t>
      </w:r>
      <w:r>
        <w:t xml:space="preserve">agrees with the audited consolidated balance sheet.</w:t>
      </w:r>
      <w:r>
        <w:t xml:space="preserve">”</w:t>
      </w:r>
      <w:r>
        <w:t xml:space="preserve"> </w:t>
      </w:r>
      <w:r>
        <w:t xml:space="preserve">The S-1 Capitalization table (Section V) shows</w:t>
      </w:r>
      <w:r>
        <w:t xml:space="preserve"> </w:t>
      </w:r>
      <w:r>
        <w:t xml:space="preserve">“</w:t>
      </w:r>
      <w:r>
        <w:t xml:space="preserve">Cash and cash equivalents</w:t>
      </w:r>
      <w:r>
        <w:t xml:space="preserve">”</w:t>
      </w:r>
      <w:r>
        <w:t xml:space="preserve"> </w:t>
      </w:r>
      <w:r>
        <w:t xml:space="preserve">of $38,400,000 on an actual basis. These figures differ by $8.9 million.</w:t>
      </w:r>
      <w:r>
        <w:t xml:space="preserve"> </w:t>
      </w:r>
      <w:r>
        <w:rPr>
          <w:b/>
          <w:bCs/>
        </w:rPr>
        <w:t xml:space="preserve">Recommendation:</w:t>
      </w:r>
      <w:r>
        <w:t xml:space="preserve"> </w:t>
      </w:r>
      <w:r>
        <w:t xml:space="preserve">Reconcile; confirm which figure agrees with the audited balance sheet and correct the S-1 or the Comfort Letter draft as necessary.</w:t>
      </w:r>
    </w:p>
    <w:p>
      <w:pPr>
        <w:pStyle w:val="BodyText"/>
      </w:pPr>
      <w:r>
        <w:rPr>
          <w:b/>
          <w:bCs/>
        </w:rPr>
        <w:t xml:space="preserve">Item 11 — Total Assets ($312.7 million).</w:t>
      </w:r>
      <w:r>
        <w:t xml:space="preserve"> </w:t>
      </w:r>
      <w:r>
        <w:t xml:space="preserve">The Comfort Letter (Section V.A.iii) confirms</w:t>
      </w:r>
      <w:r>
        <w:t xml:space="preserve"> </w:t>
      </w:r>
      <w:r>
        <w:t xml:space="preserve">“</w:t>
      </w:r>
      <w:r>
        <w:t xml:space="preserve">Total assets as of December 31, 2024: $312,700,000.</w:t>
      </w:r>
      <w:r>
        <w:t xml:space="preserve">”</w:t>
      </w:r>
      <w:r>
        <w:t xml:space="preserve"> </w:t>
      </w:r>
      <w:r>
        <w:t xml:space="preserve">The S-1 excerpts do not separately state total assets in the Capitalization table, but the S-1’s total stockholders’ equity ($101.4 million) plus total indebtedness ($22.5 million) implies a materially lower balance sheet than $312.7 million in total assets.</w:t>
      </w:r>
      <w:r>
        <w:t xml:space="preserve"> </w:t>
      </w:r>
      <w:r>
        <w:rPr>
          <w:b/>
          <w:bCs/>
        </w:rPr>
        <w:t xml:space="preserve">Recommendation:</w:t>
      </w:r>
      <w:r>
        <w:t xml:space="preserve"> </w:t>
      </w:r>
      <w:r>
        <w:t xml:space="preserve">Reconcile total assets with the audited balance sheet; this is consistent with the equity and cash discrepancies in Items 9 and 10 and likely shares a common root cause.</w:t>
      </w:r>
    </w:p>
    <w:p>
      <w:pPr>
        <w:pStyle w:val="BodyText"/>
      </w:pPr>
      <w:r>
        <w:rPr>
          <w:b/>
          <w:bCs/>
        </w:rPr>
        <w:t xml:space="preserve">Item 12 — Net Tangible Book Value per Share ($4.72 vs. $2.17; increase $2.61 vs. $3.20).</w:t>
      </w:r>
      <w:r>
        <w:t xml:space="preserve"> </w:t>
      </w:r>
      <w:r>
        <w:t xml:space="preserve">The Comfort Letter (Appendix A, Table 3) confirms</w:t>
      </w:r>
      <w:r>
        <w:t xml:space="preserve"> </w:t>
      </w:r>
      <w:r>
        <w:t xml:space="preserve">“</w:t>
      </w:r>
      <w:r>
        <w:t xml:space="preserve">Net tangible book value per share (actual): $4.72</w:t>
      </w:r>
      <w:r>
        <w:t xml:space="preserve">”</w:t>
      </w:r>
      <w:r>
        <w:t xml:space="preserve"> </w:t>
      </w:r>
      <w:r>
        <w:t xml:space="preserve">and</w:t>
      </w:r>
      <w:r>
        <w:t xml:space="preserve"> </w:t>
      </w:r>
      <w:r>
        <w:t xml:space="preserve">“</w:t>
      </w:r>
      <w:r>
        <w:t xml:space="preserve">Increase in NTBV per share attributable to Offering: $2.61.</w:t>
      </w:r>
      <w:r>
        <w:t xml:space="preserve">”</w:t>
      </w:r>
      <w:r>
        <w:t xml:space="preserve"> </w:t>
      </w:r>
      <w:r>
        <w:t xml:space="preserve">The S-1 Dilution section (Section VI) states the historical net tangible book value per share is</w:t>
      </w:r>
      <w:r>
        <w:t xml:space="preserve"> </w:t>
      </w:r>
      <w:r>
        <w:t xml:space="preserve">“</w:t>
      </w:r>
      <w:r>
        <w:t xml:space="preserve">$2.17,</w:t>
      </w:r>
      <w:r>
        <w:t xml:space="preserve">”</w:t>
      </w:r>
      <w:r>
        <w:t xml:space="preserve"> </w:t>
      </w:r>
      <w:r>
        <w:t xml:space="preserve">the increase attributable to the Offering is</w:t>
      </w:r>
      <w:r>
        <w:t xml:space="preserve"> </w:t>
      </w:r>
      <w:r>
        <w:t xml:space="preserve">“</w:t>
      </w:r>
      <w:r>
        <w:t xml:space="preserve">$3.20,</w:t>
      </w:r>
      <w:r>
        <w:t xml:space="preserve">”</w:t>
      </w:r>
      <w:r>
        <w:t xml:space="preserve"> </w:t>
      </w:r>
      <w:r>
        <w:t xml:space="preserve">and the pro forma as-adjusted net tangible book value per share is</w:t>
      </w:r>
      <w:r>
        <w:t xml:space="preserve"> </w:t>
      </w:r>
      <w:r>
        <w:t xml:space="preserve">“</w:t>
      </w:r>
      <w:r>
        <w:t xml:space="preserve">$5.37.</w:t>
      </w:r>
      <w:r>
        <w:t xml:space="preserve">”</w:t>
      </w:r>
      <w:r>
        <w:t xml:space="preserve"> </w:t>
      </w:r>
      <w:r>
        <w:t xml:space="preserve">The Comfort Letter’s $4.72 actual NTBV (× 42,000,000 shares ≈ $198.2 million) is consistent with the Comfort Letter’s $198.4 million total stockholders’ equity (Item 9), while the S-1’s $2.17 actual NTBV (× 42,000,000 shares ≈ $91.2 million) is consistent with the S-1’s lower equity figures. The two sets of figures are mutually inconsistent.</w:t>
      </w:r>
      <w:r>
        <w:t xml:space="preserve"> </w:t>
      </w:r>
      <w:r>
        <w:rPr>
          <w:b/>
          <w:bCs/>
        </w:rPr>
        <w:t xml:space="preserve">Recommendation:</w:t>
      </w:r>
      <w:r>
        <w:t xml:space="preserve"> </w:t>
      </w:r>
      <w:r>
        <w:t xml:space="preserve">Reconcile before the final Comfort Letter and bring-down comfort letter are delivered; the Dilution and Capitalization disclosures in the Final Prospectus must be corrected if the S-1 figures are wrong.</w:t>
      </w:r>
    </w:p>
    <w:p>
      <w:pPr>
        <w:pStyle w:val="BodyText"/>
      </w:pPr>
      <w:r>
        <w:rPr>
          <w:b/>
          <w:bCs/>
        </w:rPr>
        <w:t xml:space="preserve">Item 13 — Dilution per Share to New Investors ($18.63 vs. $16.67).</w:t>
      </w:r>
      <w:r>
        <w:t xml:space="preserve"> </w:t>
      </w:r>
      <w:r>
        <w:t xml:space="preserve">The S-1 Dilution section (Section VI) states the dilution per share to new investors is</w:t>
      </w:r>
      <w:r>
        <w:t xml:space="preserve"> </w:t>
      </w:r>
      <w:r>
        <w:t xml:space="preserve">“</w:t>
      </w:r>
      <w:r>
        <w:t xml:space="preserve">$18.63,</w:t>
      </w:r>
      <w:r>
        <w:t xml:space="preserve">”</w:t>
      </w:r>
      <w:r>
        <w:t xml:space="preserve"> </w:t>
      </w:r>
      <w:r>
        <w:t xml:space="preserve">computed as the assumed IPO price ($24.00) less the pro forma as-adjusted NTBV per share ($5.37). The Comfort Letter (Appendix A, Table 3) confirms an actual NTBV of $4.72 and an increase of $2.61, implying a pro forma as-adjusted NTBV of $7.33 ($4.72 + $2.61) and a corresponding dilution per share of $16.67 ($24.00 − $7.33). The S-1’s $18.63 dilution figure is therefore inconsistent with the Comfort Letter’s confirmed NTBV figures.</w:t>
      </w:r>
      <w:r>
        <w:t xml:space="preserve"> </w:t>
      </w:r>
      <w:r>
        <w:rPr>
          <w:b/>
          <w:bCs/>
        </w:rPr>
        <w:t xml:space="preserve">Recommendation:</w:t>
      </w:r>
      <w:r>
        <w:t xml:space="preserve"> </w:t>
      </w:r>
      <w:r>
        <w:t xml:space="preserve">Reconcile the dilution-per-share disclosure; this is a direct consequence of the NTBV discrepancy in Item 12 and must be corrected in the Final Prospectus if the S-1 NTBV figures are wrong.</w:t>
      </w:r>
    </w:p>
    <w:bookmarkEnd w:id="23"/>
    <w:bookmarkStart w:id="24" w:name="X8f997e043ec957c5849d37a0bf60489f1de0f2d"/>
    <w:p>
      <w:pPr>
        <w:pStyle w:val="Heading2"/>
      </w:pPr>
      <w:r>
        <w:t xml:space="preserve">V. SELLING STOCKHOLDER IDENTITY AND DISCLOSURE DISCREPANCIES</w:t>
      </w:r>
    </w:p>
    <w:p>
      <w:pPr>
        <w:pStyle w:val="FirstParagraph"/>
      </w:pPr>
      <w:r>
        <w:rPr>
          <w:b/>
          <w:bCs/>
        </w:rPr>
        <w:t xml:space="preserve">Item 14 — Cascade Kestridge Ventures, LP — General Partner Name.</w:t>
      </w:r>
      <w:r>
        <w:t xml:space="preserve"> </w:t>
      </w:r>
      <w:r>
        <w:t xml:space="preserve">The S-1 (Section VIII, footnote 1) identifies the general partner of Cascade Kestridge Ventures, LP as</w:t>
      </w:r>
      <w:r>
        <w:t xml:space="preserve"> </w:t>
      </w:r>
      <w:r>
        <w:t xml:space="preserve">“</w:t>
      </w:r>
      <w:r>
        <w:rPr>
          <w:b/>
          <w:bCs/>
        </w:rPr>
        <w:t xml:space="preserve">Cascade Ridge Capital Management LLC</w:t>
      </w:r>
      <w:r>
        <w:t xml:space="preserve">.</w:t>
      </w:r>
      <w:r>
        <w:t xml:space="preserve">”</w:t>
      </w:r>
      <w:r>
        <w:t xml:space="preserve"> </w:t>
      </w:r>
      <w:r>
        <w:t xml:space="preserve">The POA (signature page) identifies the general partner as</w:t>
      </w:r>
      <w:r>
        <w:t xml:space="preserve"> </w:t>
      </w:r>
      <w:r>
        <w:t xml:space="preserve">“</w:t>
      </w:r>
      <w:r>
        <w:rPr>
          <w:b/>
          <w:bCs/>
        </w:rPr>
        <w:t xml:space="preserve">Cascade Ridge Capital Management, LLC</w:t>
      </w:r>
      <w:r>
        <w:t xml:space="preserve">”</w:t>
      </w:r>
      <w:r>
        <w:t xml:space="preserve"> </w:t>
      </w:r>
      <w:r>
        <w:t xml:space="preserve">(substantially the same). The Questionnaire (Section 1) identifies the general partner as</w:t>
      </w:r>
      <w:r>
        <w:t xml:space="preserve"> </w:t>
      </w:r>
      <w:r>
        <w:t xml:space="preserve">“</w:t>
      </w:r>
      <w:r>
        <w:rPr>
          <w:b/>
          <w:bCs/>
        </w:rPr>
        <w:t xml:space="preserve">Cascade Kestridge Ventures Management, LLC</w:t>
      </w:r>
      <w:r>
        <w:t xml:space="preserve">”</w:t>
      </w:r>
      <w:r>
        <w:t xml:space="preserve"> </w:t>
      </w:r>
      <w:r>
        <w:t xml:space="preserve">— a different entity name.</w:t>
      </w:r>
      <w:r>
        <w:t xml:space="preserve"> </w:t>
      </w:r>
      <w:r>
        <w:rPr>
          <w:b/>
          <w:bCs/>
        </w:rPr>
        <w:t xml:space="preserve">Recommendation:</w:t>
      </w:r>
      <w:r>
        <w:t xml:space="preserve"> </w:t>
      </w:r>
      <w:r>
        <w:t xml:space="preserve">Confirm the correct legal name of the general partner; correct the S-1 disclosure and the POA/Questionnaire as necessary. The Underwriting Agreement signature blocks use the attorneys-in-fact mechanism (per the POA) to avoid this conflict at execution, but the S-1 disclosure must be accurate.</w:t>
      </w:r>
    </w:p>
    <w:p>
      <w:pPr>
        <w:pStyle w:val="BodyText"/>
      </w:pPr>
      <w:r>
        <w:rPr>
          <w:b/>
          <w:bCs/>
        </w:rPr>
        <w:t xml:space="preserve">Item 15 — Cascade Kestridge Ventures, LP — Controlling Natural Person(s).</w:t>
      </w:r>
      <w:r>
        <w:t xml:space="preserve"> </w:t>
      </w:r>
      <w:r>
        <w:t xml:space="preserve">The S-1 (Section VIII, footnote 1) identifies</w:t>
      </w:r>
      <w:r>
        <w:t xml:space="preserve"> </w:t>
      </w:r>
      <w:r>
        <w:t xml:space="preserve">“</w:t>
      </w:r>
      <w:r>
        <w:rPr>
          <w:b/>
          <w:bCs/>
        </w:rPr>
        <w:t xml:space="preserve">Mr. James Whitfield</w:t>
      </w:r>
      <w:r>
        <w:t xml:space="preserve">”</w:t>
      </w:r>
      <w:r>
        <w:t xml:space="preserve"> </w:t>
      </w:r>
      <w:r>
        <w:t xml:space="preserve">as the managing member of the general partner and the person with voting and investment power. The POA (signature page) identifies</w:t>
      </w:r>
      <w:r>
        <w:t xml:space="preserve"> </w:t>
      </w:r>
      <w:r>
        <w:t xml:space="preserve">“</w:t>
      </w:r>
      <w:r>
        <w:rPr>
          <w:b/>
          <w:bCs/>
        </w:rPr>
        <w:t xml:space="preserve">Margaret T. Okonkwo</w:t>
      </w:r>
      <w:r>
        <w:t xml:space="preserve">”</w:t>
      </w:r>
      <w:r>
        <w:t xml:space="preserve"> </w:t>
      </w:r>
      <w:r>
        <w:t xml:space="preserve">as the Managing Member who signs. The Questionnaire (Section 1) identifies</w:t>
      </w:r>
      <w:r>
        <w:t xml:space="preserve"> </w:t>
      </w:r>
      <w:r>
        <w:t xml:space="preserve">“</w:t>
      </w:r>
      <w:r>
        <w:rPr>
          <w:b/>
          <w:bCs/>
        </w:rPr>
        <w:t xml:space="preserve">Marcus J. Aldridge</w:t>
      </w:r>
      <w:r>
        <w:t xml:space="preserve">, Managing Partner</w:t>
      </w:r>
      <w:r>
        <w:t xml:space="preserve">”</w:t>
      </w:r>
      <w:r>
        <w:t xml:space="preserve"> </w:t>
      </w:r>
      <w:r>
        <w:t xml:space="preserve">and</w:t>
      </w:r>
      <w:r>
        <w:t xml:space="preserve"> </w:t>
      </w:r>
      <w:r>
        <w:t xml:space="preserve">“</w:t>
      </w:r>
      <w:r>
        <w:rPr>
          <w:b/>
          <w:bCs/>
        </w:rPr>
        <w:t xml:space="preserve">Teresa Huang</w:t>
      </w:r>
      <w:r>
        <w:t xml:space="preserve">, Partner</w:t>
      </w:r>
      <w:r>
        <w:t xml:space="preserve">”</w:t>
      </w:r>
      <w:r>
        <w:t xml:space="preserve"> </w:t>
      </w:r>
      <w:r>
        <w:t xml:space="preserve">as the natural persons with voting and investment control. These are three different sets of individuals.</w:t>
      </w:r>
      <w:r>
        <w:t xml:space="preserve"> </w:t>
      </w:r>
      <w:r>
        <w:rPr>
          <w:b/>
          <w:bCs/>
        </w:rPr>
        <w:t xml:space="preserve">Recommendation:</w:t>
      </w:r>
      <w:r>
        <w:t xml:space="preserve"> </w:t>
      </w:r>
      <w:r>
        <w:t xml:space="preserve">Confirm the correct controlling natural persons; correct the S-1 beneficial-ownership disclosure. This is material to the accuracy of the S-1</w:t>
      </w:r>
      <w:r>
        <w:t xml:space="preserve"> </w:t>
      </w:r>
      <w:r>
        <w:t xml:space="preserve">“</w:t>
      </w:r>
      <w:r>
        <w:t xml:space="preserve">Principal and Selling Stockholders</w:t>
      </w:r>
      <w:r>
        <w:t xml:space="preserve">”</w:t>
      </w:r>
      <w:r>
        <w:t xml:space="preserve"> </w:t>
      </w:r>
      <w:r>
        <w:t xml:space="preserve">table and footnote.</w:t>
      </w:r>
    </w:p>
    <w:p>
      <w:pPr>
        <w:pStyle w:val="BodyText"/>
      </w:pPr>
      <w:r>
        <w:rPr>
          <w:b/>
          <w:bCs/>
        </w:rPr>
        <w:t xml:space="preserve">Item 16 — Cascade Kestridge Ventures, LP — Address.</w:t>
      </w:r>
      <w:r>
        <w:t xml:space="preserve"> </w:t>
      </w:r>
      <w:r>
        <w:t xml:space="preserve">The S-1 (Section VIII, footnote 1) lists the address as</w:t>
      </w:r>
      <w:r>
        <w:t xml:space="preserve"> </w:t>
      </w:r>
      <w:r>
        <w:t xml:space="preserve">“</w:t>
      </w:r>
      <w:r>
        <w:t xml:space="preserve">1200 Fourth Avenue, Suite 3000, Seattle, WA 98101.</w:t>
      </w:r>
      <w:r>
        <w:t xml:space="preserve">”</w:t>
      </w:r>
      <w:r>
        <w:t xml:space="preserve"> </w:t>
      </w:r>
      <w:r>
        <w:t xml:space="preserve">The Questionnaire (Section 1) lists the principal business address as</w:t>
      </w:r>
      <w:r>
        <w:t xml:space="preserve"> </w:t>
      </w:r>
      <w:r>
        <w:t xml:space="preserve">“</w:t>
      </w:r>
      <w:r>
        <w:t xml:space="preserve">2800 Sand Hill Road, Suite 210, Menlo Park, CA 94025.</w:t>
      </w:r>
      <w:r>
        <w:t xml:space="preserve">”</w:t>
      </w:r>
      <w:r>
        <w:t xml:space="preserve"> </w:t>
      </w:r>
      <w:r>
        <w:rPr>
          <w:b/>
          <w:bCs/>
        </w:rPr>
        <w:t xml:space="preserve">Recommendation:</w:t>
      </w:r>
      <w:r>
        <w:t xml:space="preserve"> </w:t>
      </w:r>
      <w:r>
        <w:t xml:space="preserve">Confirm the correct address; correct the S-1 disclosure.</w:t>
      </w:r>
    </w:p>
    <w:p>
      <w:pPr>
        <w:pStyle w:val="BodyText"/>
      </w:pPr>
      <w:r>
        <w:rPr>
          <w:b/>
          <w:bCs/>
        </w:rPr>
        <w:t xml:space="preserve">Item 17 — Cascade Kestridge Ventures, LP — Entity Name in the POA Signature Block.</w:t>
      </w:r>
      <w:r>
        <w:t xml:space="preserve"> </w:t>
      </w:r>
      <w:r>
        <w:t xml:space="preserve">The POA recitals and Schedule A refer to</w:t>
      </w:r>
      <w:r>
        <w:t xml:space="preserve"> </w:t>
      </w:r>
      <w:r>
        <w:t xml:space="preserve">“</w:t>
      </w:r>
      <w:r>
        <w:t xml:space="preserve">Cascade Kestridge Ventures, LP,</w:t>
      </w:r>
      <w:r>
        <w:t xml:space="preserve">”</w:t>
      </w:r>
      <w:r>
        <w:t xml:space="preserve"> </w:t>
      </w:r>
      <w:r>
        <w:t xml:space="preserve">but the POA signature block header reads</w:t>
      </w:r>
      <w:r>
        <w:t xml:space="preserve"> </w:t>
      </w:r>
      <w:r>
        <w:t xml:space="preserve">“</w:t>
      </w:r>
      <w:r>
        <w:rPr>
          <w:b/>
          <w:bCs/>
        </w:rPr>
        <w:t xml:space="preserve">CASCADE RIDGE VENTURES, LP</w:t>
      </w:r>
      <w:r>
        <w:t xml:space="preserve">”</w:t>
      </w:r>
      <w:r>
        <w:t xml:space="preserve"> </w:t>
      </w:r>
      <w:r>
        <w:t xml:space="preserve">— a different entity name. This is an internal inconsistency within the POA itself.</w:t>
      </w:r>
      <w:r>
        <w:t xml:space="preserve"> </w:t>
      </w:r>
      <w:r>
        <w:rPr>
          <w:b/>
          <w:bCs/>
        </w:rPr>
        <w:t xml:space="preserve">Recommendation:</w:t>
      </w:r>
      <w:r>
        <w:t xml:space="preserve"> </w:t>
      </w:r>
      <w:r>
        <w:t xml:space="preserve">Correct the POA signature block to read</w:t>
      </w:r>
      <w:r>
        <w:t xml:space="preserve"> </w:t>
      </w:r>
      <w:r>
        <w:t xml:space="preserve">“</w:t>
      </w:r>
      <w:r>
        <w:t xml:space="preserve">Cascade Kestridge Ventures, LP</w:t>
      </w:r>
      <w:r>
        <w:t xml:space="preserve">”</w:t>
      </w:r>
      <w:r>
        <w:t xml:space="preserve"> </w:t>
      </w:r>
      <w:r>
        <w:t xml:space="preserve">consistently.</w:t>
      </w:r>
    </w:p>
    <w:p>
      <w:pPr>
        <w:pStyle w:val="BodyText"/>
      </w:pPr>
      <w:r>
        <w:rPr>
          <w:b/>
          <w:bCs/>
        </w:rPr>
        <w:t xml:space="preserve">Item 18 — Cascade Kestridge Ventures, LP — Entity Name in the Questionnaire Signature Block.</w:t>
      </w:r>
      <w:r>
        <w:t xml:space="preserve"> </w:t>
      </w:r>
      <w:r>
        <w:t xml:space="preserve">The Questionnaire body and the printed title line refer to</w:t>
      </w:r>
      <w:r>
        <w:t xml:space="preserve"> </w:t>
      </w:r>
      <w:r>
        <w:t xml:space="preserve">“</w:t>
      </w:r>
      <w:r>
        <w:t xml:space="preserve">Cascade Kestridge Ventures, LP,</w:t>
      </w:r>
      <w:r>
        <w:t xml:space="preserve">”</w:t>
      </w:r>
      <w:r>
        <w:t xml:space="preserve"> </w:t>
      </w:r>
      <w:r>
        <w:t xml:space="preserve">but the Questionnaire signature block header reads</w:t>
      </w:r>
      <w:r>
        <w:t xml:space="preserve"> </w:t>
      </w:r>
      <w:r>
        <w:t xml:space="preserve">“</w:t>
      </w:r>
      <w:r>
        <w:rPr>
          <w:b/>
          <w:bCs/>
        </w:rPr>
        <w:t xml:space="preserve">CASCADE RIDGE VENTURES, LP</w:t>
      </w:r>
      <w:r>
        <w:t xml:space="preserve">”</w:t>
      </w:r>
      <w:r>
        <w:t xml:space="preserve"> </w:t>
      </w:r>
      <w:r>
        <w:t xml:space="preserve">— the same entity-name error as the POA (Item 17).</w:t>
      </w:r>
      <w:r>
        <w:t xml:space="preserve"> </w:t>
      </w:r>
      <w:r>
        <w:rPr>
          <w:b/>
          <w:bCs/>
        </w:rPr>
        <w:t xml:space="preserve">Recommendation:</w:t>
      </w:r>
      <w:r>
        <w:t xml:space="preserve"> </w:t>
      </w:r>
      <w:r>
        <w:t xml:space="preserve">Correct the Questionnaire signature block header to read</w:t>
      </w:r>
      <w:r>
        <w:t xml:space="preserve"> </w:t>
      </w:r>
      <w:r>
        <w:t xml:space="preserve">“</w:t>
      </w:r>
      <w:r>
        <w:t xml:space="preserve">Cascade Kestridge Ventures, LP</w:t>
      </w:r>
      <w:r>
        <w:t xml:space="preserve">”</w:t>
      </w:r>
      <w:r>
        <w:t xml:space="preserve"> </w:t>
      </w:r>
      <w:r>
        <w:t xml:space="preserve">consistently.</w:t>
      </w:r>
    </w:p>
    <w:p>
      <w:pPr>
        <w:pStyle w:val="BodyText"/>
      </w:pPr>
      <w:r>
        <w:rPr>
          <w:b/>
          <w:bCs/>
        </w:rPr>
        <w:t xml:space="preserve">Item 19 — Cascade Kestridge Ventures, LP — Entity Name in the Credit Summary.</w:t>
      </w:r>
      <w:r>
        <w:t xml:space="preserve"> </w:t>
      </w:r>
      <w:r>
        <w:t xml:space="preserve">The Credit Summary (Section 9, IPO Analysis) refers to</w:t>
      </w:r>
      <w:r>
        <w:t xml:space="preserve"> </w:t>
      </w:r>
      <w:r>
        <w:t xml:space="preserve">“</w:t>
      </w:r>
      <w:r>
        <w:rPr>
          <w:b/>
          <w:bCs/>
        </w:rPr>
        <w:t xml:space="preserve">Cascade Ridge Ventures</w:t>
      </w:r>
      <w:r>
        <w:t xml:space="preserve">”</w:t>
      </w:r>
      <w:r>
        <w:t xml:space="preserve"> </w:t>
      </w:r>
      <w:r>
        <w:t xml:space="preserve">as the holder of 4,200,000 shares (8.4%) post-IPO — a third variant of the Cascade entity name (in addition to</w:t>
      </w:r>
      <w:r>
        <w:t xml:space="preserve"> </w:t>
      </w:r>
      <w:r>
        <w:t xml:space="preserve">“</w:t>
      </w:r>
      <w:r>
        <w:t xml:space="preserve">Cascade Kestridge Ventures, LP</w:t>
      </w:r>
      <w:r>
        <w:t xml:space="preserve">”</w:t>
      </w:r>
      <w:r>
        <w:t xml:space="preserve"> </w:t>
      </w:r>
      <w:r>
        <w:t xml:space="preserve">used in the S-1, Term Sheet, and POA body, and</w:t>
      </w:r>
      <w:r>
        <w:t xml:space="preserve"> </w:t>
      </w:r>
      <w:r>
        <w:t xml:space="preserve">“</w:t>
      </w:r>
      <w:r>
        <w:t xml:space="preserve">CASCADE RIDGE VENTURES, LP</w:t>
      </w:r>
      <w:r>
        <w:t xml:space="preserve">”</w:t>
      </w:r>
      <w:r>
        <w:t xml:space="preserve"> </w:t>
      </w:r>
      <w:r>
        <w:t xml:space="preserve">in the POA and Questionnaire signature blocks).</w:t>
      </w:r>
      <w:r>
        <w:t xml:space="preserve"> </w:t>
      </w:r>
      <w:r>
        <w:rPr>
          <w:b/>
          <w:bCs/>
        </w:rPr>
        <w:t xml:space="preserve">Recommendation:</w:t>
      </w:r>
      <w:r>
        <w:t xml:space="preserve"> </w:t>
      </w:r>
      <w:r>
        <w:t xml:space="preserve">Correct the Credit Summary to use the correct legal name of the selling stockholder entity.</w:t>
      </w:r>
    </w:p>
    <w:p>
      <w:pPr>
        <w:pStyle w:val="BodyText"/>
      </w:pPr>
      <w:r>
        <w:rPr>
          <w:b/>
          <w:bCs/>
        </w:rPr>
        <w:t xml:space="preserve">Item 20 — Northlight Growth Partners Fund II, LP — General Partner Name.</w:t>
      </w:r>
      <w:r>
        <w:t xml:space="preserve"> </w:t>
      </w:r>
      <w:r>
        <w:t xml:space="preserve">The S-1 (Section VIII, footnote 2) identifies the general partner as</w:t>
      </w:r>
      <w:r>
        <w:t xml:space="preserve"> </w:t>
      </w:r>
      <w:r>
        <w:t xml:space="preserve">“</w:t>
      </w:r>
      <w:r>
        <w:rPr>
          <w:b/>
          <w:bCs/>
        </w:rPr>
        <w:t xml:space="preserve">Northlight Capital Advisors LLC</w:t>
      </w:r>
      <w:r>
        <w:t xml:space="preserve">.</w:t>
      </w:r>
      <w:r>
        <w:t xml:space="preserve">”</w:t>
      </w:r>
      <w:r>
        <w:t xml:space="preserve"> </w:t>
      </w:r>
      <w:r>
        <w:t xml:space="preserve">The POA (signature page) identifies the general partner as</w:t>
      </w:r>
      <w:r>
        <w:t xml:space="preserve"> </w:t>
      </w:r>
      <w:r>
        <w:t xml:space="preserve">“</w:t>
      </w:r>
      <w:r>
        <w:rPr>
          <w:b/>
          <w:bCs/>
        </w:rPr>
        <w:t xml:space="preserve">Northlight Growth Advisors, LLC</w:t>
      </w:r>
      <w:r>
        <w:t xml:space="preserve">”</w:t>
      </w:r>
      <w:r>
        <w:t xml:space="preserve"> </w:t>
      </w:r>
      <w:r>
        <w:t xml:space="preserve">— a different entity name.</w:t>
      </w:r>
      <w:r>
        <w:t xml:space="preserve"> </w:t>
      </w:r>
      <w:r>
        <w:rPr>
          <w:b/>
          <w:bCs/>
        </w:rPr>
        <w:t xml:space="preserve">Recommendation:</w:t>
      </w:r>
      <w:r>
        <w:t xml:space="preserve"> </w:t>
      </w:r>
      <w:r>
        <w:t xml:space="preserve">Confirm the correct legal name of the general partner; correct the S-1 disclosure and the POA as necessary.</w:t>
      </w:r>
    </w:p>
    <w:p>
      <w:pPr>
        <w:pStyle w:val="BodyText"/>
      </w:pPr>
      <w:r>
        <w:rPr>
          <w:b/>
          <w:bCs/>
        </w:rPr>
        <w:t xml:space="preserve">Item 21 — Northlight Growth Partners Fund II, LP — Controlling Natural Person.</w:t>
      </w:r>
      <w:r>
        <w:t xml:space="preserve"> </w:t>
      </w:r>
      <w:r>
        <w:t xml:space="preserve">The S-1 (Section VIII, footnote 2) identifies</w:t>
      </w:r>
      <w:r>
        <w:t xml:space="preserve"> </w:t>
      </w:r>
      <w:r>
        <w:t xml:space="preserve">“</w:t>
      </w:r>
      <w:r>
        <w:rPr>
          <w:b/>
          <w:bCs/>
        </w:rPr>
        <w:t xml:space="preserve">Ms. Caroline Briggs</w:t>
      </w:r>
      <w:r>
        <w:t xml:space="preserve">”</w:t>
      </w:r>
      <w:r>
        <w:t xml:space="preserve"> </w:t>
      </w:r>
      <w:r>
        <w:t xml:space="preserve">as the managing member of the general partner. The POA (signature page) identifies</w:t>
      </w:r>
      <w:r>
        <w:t xml:space="preserve"> </w:t>
      </w:r>
      <w:r>
        <w:t xml:space="preserve">“</w:t>
      </w:r>
      <w:r>
        <w:rPr>
          <w:b/>
          <w:bCs/>
        </w:rPr>
        <w:t xml:space="preserve">Eric P. Johansson</w:t>
      </w:r>
      <w:r>
        <w:t xml:space="preserve">”</w:t>
      </w:r>
      <w:r>
        <w:t xml:space="preserve"> </w:t>
      </w:r>
      <w:r>
        <w:t xml:space="preserve">as the Managing Partner who signs. These are different individuals.</w:t>
      </w:r>
      <w:r>
        <w:t xml:space="preserve"> </w:t>
      </w:r>
      <w:r>
        <w:rPr>
          <w:b/>
          <w:bCs/>
        </w:rPr>
        <w:t xml:space="preserve">Recommendation:</w:t>
      </w:r>
      <w:r>
        <w:t xml:space="preserve"> </w:t>
      </w:r>
      <w:r>
        <w:t xml:space="preserve">Confirm the correct controlling natural person; correct the S-1 beneficial-ownership disclosure.</w:t>
      </w:r>
    </w:p>
    <w:bookmarkEnd w:id="24"/>
    <w:bookmarkStart w:id="25" w:name="X5c777c5e07675fae0d4d415fe230e36fa8ff493"/>
    <w:p>
      <w:pPr>
        <w:pStyle w:val="Heading2"/>
      </w:pPr>
      <w:r>
        <w:t xml:space="preserve">VI. DR. KRISHNAMURTHY SHARE-COUNT DISCREPANCIES</w:t>
      </w:r>
    </w:p>
    <w:p>
      <w:pPr>
        <w:pStyle w:val="FirstParagraph"/>
      </w:pPr>
      <w:r>
        <w:rPr>
          <w:b/>
          <w:bCs/>
        </w:rPr>
        <w:t xml:space="preserve">Item 22 — Dr. Krishnamurthy — Shares to Be Sold (500,000 vs. up to 750,000).</w:t>
      </w:r>
      <w:r>
        <w:t xml:space="preserve"> </w:t>
      </w:r>
      <w:r>
        <w:t xml:space="preserve">The Term Sheet (Sections 2.1, 6.1), the S-1 (Section VIII beneficial-ownership table), and the POA (Schedule A) each state that Dr. Krishnamurthy will sell</w:t>
      </w:r>
      <w:r>
        <w:t xml:space="preserve"> </w:t>
      </w:r>
      <w:r>
        <w:rPr>
          <w:b/>
          <w:bCs/>
        </w:rPr>
        <w:t xml:space="preserve">500,000</w:t>
      </w:r>
      <w:r>
        <w:t xml:space="preserve"> </w:t>
      </w:r>
      <w:r>
        <w:t xml:space="preserve">shares. The Engagement Letter (Section 2 and Annex A) states Dr. Krishnamurthy will sell</w:t>
      </w:r>
      <w:r>
        <w:t xml:space="preserve"> </w:t>
      </w:r>
      <w:r>
        <w:t xml:space="preserve">“</w:t>
      </w:r>
      <w:r>
        <w:rPr>
          <w:b/>
          <w:bCs/>
        </w:rPr>
        <w:t xml:space="preserve">up to 750,000</w:t>
      </w:r>
      <w:r>
        <w:t xml:space="preserve">”</w:t>
      </w:r>
      <w:r>
        <w:t xml:space="preserve"> </w:t>
      </w:r>
      <w:r>
        <w:t xml:space="preserve">shares (with a baseline assumption of 500,000 for economic calculations). The Underwriting Agreement and the POA Schedule A reflect 500,000 shares.</w:t>
      </w:r>
      <w:r>
        <w:t xml:space="preserve"> </w:t>
      </w:r>
      <w:r>
        <w:rPr>
          <w:b/>
          <w:bCs/>
        </w:rPr>
        <w:t xml:space="preserve">Recommendation:</w:t>
      </w:r>
      <w:r>
        <w:t xml:space="preserve"> </w:t>
      </w:r>
      <w:r>
        <w:t xml:space="preserve">Confirm the final number of shares to be sold by Dr. Krishnamurthy; if 500,000, confirm the Engagement Letter’s</w:t>
      </w:r>
      <w:r>
        <w:t xml:space="preserve"> </w:t>
      </w:r>
      <w:r>
        <w:t xml:space="preserve">“</w:t>
      </w:r>
      <w:r>
        <w:t xml:space="preserve">up to 750,000</w:t>
      </w:r>
      <w:r>
        <w:t xml:space="preserve">”</w:t>
      </w:r>
      <w:r>
        <w:t xml:space="preserve"> </w:t>
      </w:r>
      <w:r>
        <w:t xml:space="preserve">is superseded by the Term Sheet and Underwriting Agreement.</w:t>
      </w:r>
    </w:p>
    <w:p>
      <w:pPr>
        <w:pStyle w:val="BodyText"/>
      </w:pPr>
      <w:r>
        <w:rPr>
          <w:b/>
          <w:bCs/>
        </w:rPr>
        <w:t xml:space="preserve">Item 23 — Dr. Krishnamurthy — Shares Currently Held (approximately 8.5 million vs. 8,400,000).</w:t>
      </w:r>
      <w:r>
        <w:t xml:space="preserve"> </w:t>
      </w:r>
      <w:r>
        <w:t xml:space="preserve">The Term Sheet (Section 6.1) states Dr. Krishnamurthy</w:t>
      </w:r>
      <w:r>
        <w:t xml:space="preserve"> </w:t>
      </w:r>
      <w:r>
        <w:t xml:space="preserve">“</w:t>
      </w:r>
      <w:r>
        <w:t xml:space="preserve">currently holds approximately 8.5 million shares.</w:t>
      </w:r>
      <w:r>
        <w:t xml:space="preserve">”</w:t>
      </w:r>
      <w:r>
        <w:t xml:space="preserve"> </w:t>
      </w:r>
      <w:r>
        <w:t xml:space="preserve">The S-1 (Section VIII, footnote 3), the Engagement Letter (Annex A), and the POA (Schedule A) each state 8,400,000 shares (7,600,000 shares held directly plus 800,000 shares subject to options exercisable within 60 days).</w:t>
      </w:r>
      <w:r>
        <w:t xml:space="preserve"> </w:t>
      </w:r>
      <w:r>
        <w:rPr>
          <w:b/>
          <w:bCs/>
        </w:rPr>
        <w:t xml:space="preserve">Recommendation:</w:t>
      </w:r>
      <w:r>
        <w:t xml:space="preserve"> </w:t>
      </w:r>
      <w:r>
        <w:t xml:space="preserve">Confirm the correct share count; correct the Term Sheet’s</w:t>
      </w:r>
      <w:r>
        <w:t xml:space="preserve"> </w:t>
      </w:r>
      <w:r>
        <w:t xml:space="preserve">“</w:t>
      </w:r>
      <w:r>
        <w:t xml:space="preserve">approximately 8.5 million</w:t>
      </w:r>
      <w:r>
        <w:t xml:space="preserve">”</w:t>
      </w:r>
      <w:r>
        <w:t xml:space="preserve"> </w:t>
      </w:r>
      <w:r>
        <w:t xml:space="preserve">to 8,400,000 (or clarify the basis for the 8.5 million figure).</w:t>
      </w:r>
    </w:p>
    <w:bookmarkEnd w:id="25"/>
    <w:bookmarkStart w:id="26" w:name="X2c0d0b458b1072238804f94c72f1d470441f129"/>
    <w:p>
      <w:pPr>
        <w:pStyle w:val="Heading2"/>
      </w:pPr>
      <w:r>
        <w:t xml:space="preserve">VII. OVER-ALLOTMENT OPTION SOURCE DISCREPANCY</w:t>
      </w:r>
    </w:p>
    <w:p>
      <w:pPr>
        <w:pStyle w:val="FirstParagraph"/>
      </w:pPr>
      <w:r>
        <w:rPr>
          <w:b/>
          <w:bCs/>
        </w:rPr>
        <w:t xml:space="preserve">Item 24 — Over-Allotment Option Source (Company and/or Selling Stockholders vs. exclusively Company).</w:t>
      </w:r>
      <w:r>
        <w:t xml:space="preserve"> </w:t>
      </w:r>
      <w:r>
        <w:t xml:space="preserve">The Term Sheet (Section 2.2) grants the Over-Allotment Option to purchase Option Shares</w:t>
      </w:r>
      <w:r>
        <w:t xml:space="preserve"> </w:t>
      </w:r>
      <w:r>
        <w:t xml:space="preserve">“</w:t>
      </w:r>
      <w:r>
        <w:t xml:space="preserve">from the Company</w:t>
      </w:r>
      <w:r>
        <w:t xml:space="preserve"> </w:t>
      </w:r>
      <w:r>
        <w:rPr>
          <w:b/>
          <w:bCs/>
        </w:rPr>
        <w:t xml:space="preserve">and/or</w:t>
      </w:r>
      <w:r>
        <w:t xml:space="preserve"> </w:t>
      </w:r>
      <w:r>
        <w:t xml:space="preserve">the Selling Stockholders.</w:t>
      </w:r>
      <w:r>
        <w:t xml:space="preserve">”</w:t>
      </w:r>
      <w:r>
        <w:t xml:space="preserve"> </w:t>
      </w:r>
      <w:r>
        <w:t xml:space="preserve">The S-1 (Prospectus Summary</w:t>
      </w:r>
      <w:r>
        <w:t xml:space="preserve"> </w:t>
      </w:r>
      <w:r>
        <w:t xml:space="preserve">“</w:t>
      </w:r>
      <w:r>
        <w:t xml:space="preserve">The Offering</w:t>
      </w:r>
      <w:r>
        <w:t xml:space="preserve">”</w:t>
      </w:r>
      <w:r>
        <w:t xml:space="preserve">; Section XI.B) states the option is to purchase additional shares</w:t>
      </w:r>
      <w:r>
        <w:t xml:space="preserve"> </w:t>
      </w:r>
      <w:r>
        <w:t xml:space="preserve">“</w:t>
      </w:r>
      <w:r>
        <w:t xml:space="preserve">from us</w:t>
      </w:r>
      <w:r>
        <w:t xml:space="preserve">”</w:t>
      </w:r>
      <w:r>
        <w:t xml:space="preserve"> </w:t>
      </w:r>
      <w:r>
        <w:t xml:space="preserve">(the Company). The Engagement Letter (Section 2) states the over-allotment option shares</w:t>
      </w:r>
      <w:r>
        <w:t xml:space="preserve"> </w:t>
      </w:r>
      <w:r>
        <w:t xml:space="preserve">“</w:t>
      </w:r>
      <w:r>
        <w:t xml:space="preserve">shall be sourced exclusively from newly issued Company shares.</w:t>
      </w:r>
      <w:r>
        <w:t xml:space="preserve">”</w:t>
      </w:r>
      <w:r>
        <w:t xml:space="preserve"> </w:t>
      </w:r>
      <w:r>
        <w:t xml:space="preserve">The Questionnaire (Section 2(b)) confirms the selling stockholder’s understanding that</w:t>
      </w:r>
      <w:r>
        <w:t xml:space="preserve"> </w:t>
      </w:r>
      <w:r>
        <w:t xml:space="preserve">“</w:t>
      </w:r>
      <w:r>
        <w:t xml:space="preserve">the over-allotment option is sourced exclusively from newly issued shares of the Company.</w:t>
      </w:r>
      <w:r>
        <w:t xml:space="preserve">”</w:t>
      </w:r>
      <w:r>
        <w:t xml:space="preserve"> </w:t>
      </w:r>
      <w:r>
        <w:t xml:space="preserve">The Underwriting Agreement (Section 2.2) adopts the</w:t>
      </w:r>
      <w:r>
        <w:t xml:space="preserve"> </w:t>
      </w:r>
      <w:r>
        <w:t xml:space="preserve">“</w:t>
      </w:r>
      <w:r>
        <w:t xml:space="preserve">exclusively Company</w:t>
      </w:r>
      <w:r>
        <w:t xml:space="preserve">”</w:t>
      </w:r>
      <w:r>
        <w:t xml:space="preserve"> </w:t>
      </w:r>
      <w:r>
        <w:t xml:space="preserve">formulation, consistent with the S-1, the Engagement Letter, and the Questionnaire.</w:t>
      </w:r>
      <w:r>
        <w:t xml:space="preserve"> </w:t>
      </w:r>
      <w:r>
        <w:rPr>
          <w:b/>
          <w:bCs/>
        </w:rPr>
        <w:t xml:space="preserve">Recommendation:</w:t>
      </w:r>
      <w:r>
        <w:t xml:space="preserve"> </w:t>
      </w:r>
      <w:r>
        <w:t xml:space="preserve">Confirm the Over-Allotment Option is sourced exclusively from the Company; if so, correct the Term Sheet’s</w:t>
      </w:r>
      <w:r>
        <w:t xml:space="preserve"> </w:t>
      </w:r>
      <w:r>
        <w:t xml:space="preserve">“</w:t>
      </w:r>
      <w:r>
        <w:t xml:space="preserve">and/or the Selling Stockholders</w:t>
      </w:r>
      <w:r>
        <w:t xml:space="preserve">”</w:t>
      </w:r>
      <w:r>
        <w:t xml:space="preserve"> </w:t>
      </w:r>
      <w:r>
        <w:t xml:space="preserve">language. If the intent is to permit selling-stockholder greenshoe shares, the S-1 disclosure and the POA Schedule A caps must be updated accordingly.</w:t>
      </w:r>
    </w:p>
    <w:bookmarkEnd w:id="26"/>
    <w:bookmarkStart w:id="27" w:name="viii.-lock-up-discrepancies"/>
    <w:p>
      <w:pPr>
        <w:pStyle w:val="Heading2"/>
      </w:pPr>
      <w:r>
        <w:t xml:space="preserve">VIII. LOCK-UP DISCREPANCIES</w:t>
      </w:r>
    </w:p>
    <w:p>
      <w:pPr>
        <w:pStyle w:val="FirstParagraph"/>
      </w:pPr>
      <w:r>
        <w:rPr>
          <w:b/>
          <w:bCs/>
        </w:rPr>
        <w:t xml:space="preserve">Item 25 — Early Release Threshold (TBD vs. 1% vs. </w:t>
      </w:r>
      <w:r>
        <w:rPr>
          <w:b/>
          <w:bCs/>
        </w:rPr>
        <w:t xml:space="preserve">“</w:t>
      </w:r>
      <w:r>
        <w:rPr>
          <w:b/>
          <w:bCs/>
        </w:rPr>
        <w:t xml:space="preserve">material number</w:t>
      </w:r>
      <w:r>
        <w:rPr>
          <w:b/>
          <w:bCs/>
        </w:rPr>
        <w:t xml:space="preserve">”</w:t>
      </w:r>
      <w:r>
        <w:rPr>
          <w:b/>
          <w:bCs/>
        </w:rPr>
        <w:t xml:space="preserve">).</w:t>
      </w:r>
      <w:r>
        <w:t xml:space="preserve"> </w:t>
      </w:r>
      <w:r>
        <w:t xml:space="preserve">The Term Sheet (Section 10.1) provides for three business days’ prior written notice to the Company for early releases covering shares</w:t>
      </w:r>
      <w:r>
        <w:t xml:space="preserve"> </w:t>
      </w:r>
      <w:r>
        <w:t xml:space="preserve">“</w:t>
      </w:r>
      <w:r>
        <w:t xml:space="preserve">in excess of a threshold</w:t>
      </w:r>
      <w:r>
        <w:t xml:space="preserve"> </w:t>
      </w:r>
      <w:r>
        <w:rPr>
          <w:b/>
          <w:bCs/>
        </w:rPr>
        <w:t xml:space="preserve">to be agreed upon</w:t>
      </w:r>
      <w:r>
        <w:t xml:space="preserve"> </w:t>
      </w:r>
      <w:r>
        <w:t xml:space="preserve">in the definitive underwriting agreement.</w:t>
      </w:r>
      <w:r>
        <w:t xml:space="preserve">”</w:t>
      </w:r>
      <w:r>
        <w:t xml:space="preserve"> </w:t>
      </w:r>
      <w:r>
        <w:t xml:space="preserve">The Engagement Letter (Section 7) and the Lock-Up Form (Section 3) specify the threshold as</w:t>
      </w:r>
      <w:r>
        <w:t xml:space="preserve"> </w:t>
      </w:r>
      <w:r>
        <w:t xml:space="preserve">“</w:t>
      </w:r>
      <w:r>
        <w:t xml:space="preserve">more than one percent (1%)</w:t>
      </w:r>
      <w:r>
        <w:t xml:space="preserve">”</w:t>
      </w:r>
      <w:r>
        <w:t xml:space="preserve"> </w:t>
      </w:r>
      <w:r>
        <w:t xml:space="preserve">of the outstanding shares. The S-1 (Section XI.D) refers to releases covering</w:t>
      </w:r>
      <w:r>
        <w:t xml:space="preserve"> </w:t>
      </w:r>
      <w:r>
        <w:t xml:space="preserve">“</w:t>
      </w:r>
      <w:r>
        <w:t xml:space="preserve">a material number of shares.</w:t>
      </w:r>
      <w:r>
        <w:t xml:space="preserve">”</w:t>
      </w:r>
      <w:r>
        <w:t xml:space="preserve"> </w:t>
      </w:r>
      <w:r>
        <w:t xml:space="preserve">The Underwriting Agreement (Section 11.2) adopts the 1% threshold, consistent with the Engagement Letter and the Lock-Up Form.</w:t>
      </w:r>
      <w:r>
        <w:t xml:space="preserve"> </w:t>
      </w:r>
      <w:r>
        <w:rPr>
          <w:b/>
          <w:bCs/>
        </w:rPr>
        <w:t xml:space="preserve">Recommendation:</w:t>
      </w:r>
      <w:r>
        <w:t xml:space="preserve"> </w:t>
      </w:r>
      <w:r>
        <w:t xml:space="preserve">Confirm the 1% threshold; correct the S-1’s</w:t>
      </w:r>
      <w:r>
        <w:t xml:space="preserve"> </w:t>
      </w:r>
      <w:r>
        <w:t xml:space="preserve">“</w:t>
      </w:r>
      <w:r>
        <w:t xml:space="preserve">material number of shares</w:t>
      </w:r>
      <w:r>
        <w:t xml:space="preserve">”</w:t>
      </w:r>
      <w:r>
        <w:t xml:space="preserve"> </w:t>
      </w:r>
      <w:r>
        <w:t xml:space="preserve">language to align with the 1% threshold.</w:t>
      </w:r>
    </w:p>
    <w:p>
      <w:pPr>
        <w:pStyle w:val="BodyText"/>
      </w:pPr>
      <w:r>
        <w:rPr>
          <w:b/>
          <w:bCs/>
        </w:rPr>
        <w:t xml:space="preserve">Item 26 — Springing Extension for Dr. Krishnamurthy Not in the Lock-Up Form or the S-1.</w:t>
      </w:r>
      <w:r>
        <w:t xml:space="preserve"> </w:t>
      </w:r>
      <w:r>
        <w:t xml:space="preserve">The Term Sheet (Section 10.2) and the POA (Section 2(c)) provide for a springing lock-up extension applicable to Dr. Krishnamurthy: if the closing price of the Common Stock is below the IPO Price for five (5) consecutive trading days during the final seventeen (17) trading days of the standard 180-day lock-up, Dr. Krishnamurthy’s lock-up automatically extends by eighteen (18) calendar days (to a total of 198 days). The Lock-Up Form, however, does</w:t>
      </w:r>
      <w:r>
        <w:t xml:space="preserve"> </w:t>
      </w:r>
      <w:r>
        <w:rPr>
          <w:b/>
          <w:bCs/>
        </w:rPr>
        <w:t xml:space="preserve">not</w:t>
      </w:r>
      <w:r>
        <w:t xml:space="preserve"> </w:t>
      </w:r>
      <w:r>
        <w:t xml:space="preserve">contain this springing extension (Section 6(a) terminates the lock-up at 180 days), and the S-1 (Section XI.D) does not disclose it. The Underwriting Agreement (Section 11.3) and Exhibit A incorporate the springing extension for Dr. Krishnamurthy.</w:t>
      </w:r>
      <w:r>
        <w:t xml:space="preserve"> </w:t>
      </w:r>
      <w:r>
        <w:rPr>
          <w:b/>
          <w:bCs/>
        </w:rPr>
        <w:t xml:space="preserve">Recommendation:</w:t>
      </w:r>
      <w:r>
        <w:t xml:space="preserve"> </w:t>
      </w:r>
      <w:r>
        <w:t xml:space="preserve">Amend the Lock-Up Form to include the springing extension for Dr. Krishnamurthy (or use a separate form for Dr. Krishnamurthy); add disclosure of the springing extension to the S-1 lock-up section in the Final Prospectus.</w:t>
      </w:r>
    </w:p>
    <w:p>
      <w:pPr>
        <w:pStyle w:val="BodyText"/>
      </w:pPr>
      <w:r>
        <w:rPr>
          <w:b/>
          <w:bCs/>
        </w:rPr>
        <w:t xml:space="preserve">Item 27 — Lock-Up Exceptions — Scope Differences Across Documents.</w:t>
      </w:r>
      <w:r>
        <w:t xml:space="preserve"> </w:t>
      </w:r>
      <w:r>
        <w:t xml:space="preserve">The Term Sheet (Section 10.1) lists four customary exceptions (gifts; estate-planning trusts; operation of law/estate distributions; Rule 10b5-1 plans). The S-1 (Section XI.D) lists six exceptions (gifts/estate planning; will or intestacy; QDRO; transfers to affiliates/LPs/members/stockholders; pro rata distributions; pre-existing Rule 10b5-1 plans). The Lock-Up Form (Section 2) lists eight exceptions (the foregoing plus exercise of options/RSU settlement with sell-to-cover; shares sold in the Offering; and transfers to the Company for repurchases/net exercises). The Engagement Letter (Section 7) lists three exceptions. The Underwriting Agreement (Exhibit A) adopts the broader Lock-Up Form exceptions.</w:t>
      </w:r>
      <w:r>
        <w:t xml:space="preserve"> </w:t>
      </w:r>
      <w:r>
        <w:rPr>
          <w:b/>
          <w:bCs/>
        </w:rPr>
        <w:t xml:space="preserve">Recommendation:</w:t>
      </w:r>
      <w:r>
        <w:t xml:space="preserve"> </w:t>
      </w:r>
      <w:r>
        <w:t xml:space="preserve">Confirm the final set of exceptions; ensure the S-1 disclosure and the executed Lock-Up Agreements are consistent. The Term Sheet’s narrower list should be updated to match the Lock-Up Form.</w:t>
      </w:r>
    </w:p>
    <w:p>
      <w:pPr>
        <w:pStyle w:val="BodyText"/>
      </w:pPr>
      <w:r>
        <w:rPr>
          <w:b/>
          <w:bCs/>
        </w:rPr>
        <w:t xml:space="preserve">Item 28 — Rule 10b5-1 Exception — Inconsistency on Sales During the Lock-Up Period.</w:t>
      </w:r>
      <w:r>
        <w:t xml:space="preserve"> </w:t>
      </w:r>
      <w:r>
        <w:t xml:space="preserve">The Term Sheet (Section 10.1, exception (d)) permits establishment of Rule 10b5-1 plans</w:t>
      </w:r>
      <w:r>
        <w:t xml:space="preserve"> </w:t>
      </w:r>
      <w:r>
        <w:t xml:space="preserve">“</w:t>
      </w:r>
      <w:r>
        <w:t xml:space="preserve">provided that</w:t>
      </w:r>
      <w:r>
        <w:t xml:space="preserve"> </w:t>
      </w:r>
      <w:r>
        <w:rPr>
          <w:b/>
          <w:bCs/>
        </w:rPr>
        <w:t xml:space="preserve">no sales or other dispositions of Common Stock occur during the lock-up period</w:t>
      </w:r>
      <w:r>
        <w:t xml:space="preserve"> </w:t>
      </w:r>
      <w:r>
        <w:t xml:space="preserve">pursuant to such plan.</w:t>
      </w:r>
      <w:r>
        <w:t xml:space="preserve">”</w:t>
      </w:r>
      <w:r>
        <w:t xml:space="preserve"> </w:t>
      </w:r>
      <w:r>
        <w:t xml:space="preserve">The Lock-Up Form (Section 2(e)) permits transactions under a pre-existing Rule 10b5-1 plan</w:t>
      </w:r>
      <w:r>
        <w:t xml:space="preserve"> </w:t>
      </w:r>
      <w:r>
        <w:t xml:space="preserve">“</w:t>
      </w:r>
      <w:r>
        <w:t xml:space="preserve">provided that … such plan does not provide for the transfer of Lock-Up Securities during the Lock-Up Period</w:t>
      </w:r>
      <w:r>
        <w:t xml:space="preserve">”</w:t>
      </w:r>
      <w:r>
        <w:t xml:space="preserve"> </w:t>
      </w:r>
      <w:r>
        <w:t xml:space="preserve">— consistent with the Term Sheet. The S-1 (Section XI.D, exception (vi)), however, refers to transfers</w:t>
      </w:r>
      <w:r>
        <w:t xml:space="preserve"> </w:t>
      </w:r>
      <w:r>
        <w:t xml:space="preserve">“</w:t>
      </w:r>
      <w:r>
        <w:t xml:space="preserve">pursuant to pre-existing trading plans under Rule 10b5-1</w:t>
      </w:r>
      <w:r>
        <w:t xml:space="preserve">”</w:t>
      </w:r>
      <w:r>
        <w:t xml:space="preserve"> </w:t>
      </w:r>
      <w:r>
        <w:t xml:space="preserve">without the no-sale-during-lock-up restriction, implying that sales may occur under such plans during the lock-up period.</w:t>
      </w:r>
      <w:r>
        <w:t xml:space="preserve"> </w:t>
      </w:r>
      <w:r>
        <w:rPr>
          <w:b/>
          <w:bCs/>
        </w:rPr>
        <w:t xml:space="preserve">Recommendation:</w:t>
      </w:r>
      <w:r>
        <w:t xml:space="preserve"> </w:t>
      </w:r>
      <w:r>
        <w:t xml:space="preserve">Correct the S-1 disclosure to make clear that no transfers of Lock-Up Securities occur during the Lock-Up Period pursuant to any Rule 10b5-1 plan, consistent with the Term Sheet and the Lock-Up Form.</w:t>
      </w:r>
    </w:p>
    <w:bookmarkEnd w:id="27"/>
    <w:bookmarkStart w:id="28" w:name="ix.-underwriter-role-labeling"/>
    <w:p>
      <w:pPr>
        <w:pStyle w:val="Heading2"/>
      </w:pPr>
      <w:r>
        <w:t xml:space="preserve">IX. UNDERWRITER ROLE LABELING</w:t>
      </w:r>
    </w:p>
    <w:p>
      <w:pPr>
        <w:pStyle w:val="FirstParagraph"/>
      </w:pPr>
      <w:r>
        <w:rPr>
          <w:b/>
          <w:bCs/>
        </w:rPr>
        <w:t xml:space="preserve">Item 29 —</w:t>
      </w:r>
      <w:r>
        <w:rPr>
          <w:b/>
          <w:bCs/>
        </w:rPr>
        <w:t xml:space="preserve"> </w:t>
      </w:r>
      <w:r>
        <w:rPr>
          <w:b/>
          <w:bCs/>
        </w:rPr>
        <w:t xml:space="preserve">“</w:t>
      </w:r>
      <w:r>
        <w:rPr>
          <w:b/>
          <w:bCs/>
        </w:rPr>
        <w:t xml:space="preserve">Joint Book-Running Manager</w:t>
      </w:r>
      <w:r>
        <w:rPr>
          <w:b/>
          <w:bCs/>
        </w:rPr>
        <w:t xml:space="preserve">”</w:t>
      </w:r>
      <w:r>
        <w:rPr>
          <w:b/>
          <w:bCs/>
        </w:rPr>
        <w:t xml:space="preserve"> </w:t>
      </w:r>
      <w:r>
        <w:rPr>
          <w:b/>
          <w:bCs/>
        </w:rPr>
        <w:t xml:space="preserve">vs. </w:t>
      </w:r>
      <w:r>
        <w:rPr>
          <w:b/>
          <w:bCs/>
        </w:rPr>
        <w:t xml:space="preserve">“</w:t>
      </w:r>
      <w:r>
        <w:rPr>
          <w:b/>
          <w:bCs/>
        </w:rPr>
        <w:t xml:space="preserve">Lead Book-Runner.</w:t>
      </w:r>
      <w:r>
        <w:rPr>
          <w:b/>
          <w:bCs/>
        </w:rPr>
        <w:t xml:space="preserve">”</w:t>
      </w:r>
      <w:r>
        <w:t xml:space="preserve"> </w:t>
      </w:r>
      <w:r>
        <w:t xml:space="preserve">The S-1 cover page labels Hargrove Securities LLC as</w:t>
      </w:r>
      <w:r>
        <w:t xml:space="preserve"> </w:t>
      </w:r>
      <w:r>
        <w:t xml:space="preserve">“</w:t>
      </w:r>
      <w:r>
        <w:rPr>
          <w:b/>
          <w:bCs/>
        </w:rPr>
        <w:t xml:space="preserve">Joint Book-Running Manager</w:t>
      </w:r>
      <w:r>
        <w:t xml:space="preserve">.</w:t>
      </w:r>
      <w:r>
        <w:t xml:space="preserve">”</w:t>
      </w:r>
      <w:r>
        <w:t xml:space="preserve"> </w:t>
      </w:r>
      <w:r>
        <w:t xml:space="preserve">The Term Sheet (Section 4.1) and the Engagement Letter (Section 1) label Hargrove as</w:t>
      </w:r>
      <w:r>
        <w:t xml:space="preserve"> </w:t>
      </w:r>
      <w:r>
        <w:t xml:space="preserve">“</w:t>
      </w:r>
      <w:r>
        <w:rPr>
          <w:b/>
          <w:bCs/>
        </w:rPr>
        <w:t xml:space="preserve">Lead Book-Runner</w:t>
      </w:r>
      <w:r>
        <w:t xml:space="preserve">”</w:t>
      </w:r>
      <w:r>
        <w:t xml:space="preserve"> </w:t>
      </w:r>
      <w:r>
        <w:t xml:space="preserve">/</w:t>
      </w:r>
      <w:r>
        <w:t xml:space="preserve"> </w:t>
      </w:r>
      <w:r>
        <w:t xml:space="preserve">“</w:t>
      </w:r>
      <w:r>
        <w:t xml:space="preserve">lead book-running manager.</w:t>
      </w:r>
      <w:r>
        <w:t xml:space="preserve">”</w:t>
      </w:r>
      <w:r>
        <w:t xml:space="preserve"> </w:t>
      </w:r>
      <w:r>
        <w:t xml:space="preserve">The</w:t>
      </w:r>
      <w:r>
        <w:t xml:space="preserve"> </w:t>
      </w:r>
      <w:r>
        <w:t xml:space="preserve">“</w:t>
      </w:r>
      <w:r>
        <w:t xml:space="preserve">Joint</w:t>
      </w:r>
      <w:r>
        <w:t xml:space="preserve">”</w:t>
      </w:r>
      <w:r>
        <w:t xml:space="preserve"> </w:t>
      </w:r>
      <w:r>
        <w:t xml:space="preserve">label on the S-1 cover page is inconsistent with there being only one book-running manager (Hargrove) and with the Term Sheet and Engagement Letter designations.</w:t>
      </w:r>
      <w:r>
        <w:t xml:space="preserve"> </w:t>
      </w:r>
      <w:r>
        <w:rPr>
          <w:b/>
          <w:bCs/>
        </w:rPr>
        <w:t xml:space="preserve">Recommendation:</w:t>
      </w:r>
      <w:r>
        <w:t xml:space="preserve"> </w:t>
      </w:r>
      <w:r>
        <w:t xml:space="preserve">Correct the S-1 cover page to read</w:t>
      </w:r>
      <w:r>
        <w:t xml:space="preserve"> </w:t>
      </w:r>
      <w:r>
        <w:t xml:space="preserve">“</w:t>
      </w:r>
      <w:r>
        <w:t xml:space="preserve">Book-Running Manager</w:t>
      </w:r>
      <w:r>
        <w:t xml:space="preserve">”</w:t>
      </w:r>
      <w:r>
        <w:t xml:space="preserve"> </w:t>
      </w:r>
      <w:r>
        <w:t xml:space="preserve">or</w:t>
      </w:r>
      <w:r>
        <w:t xml:space="preserve"> </w:t>
      </w:r>
      <w:r>
        <w:t xml:space="preserve">“</w:t>
      </w:r>
      <w:r>
        <w:t xml:space="preserve">Lead Book-Running Manager</w:t>
      </w:r>
      <w:r>
        <w:t xml:space="preserve">”</w:t>
      </w:r>
      <w:r>
        <w:t xml:space="preserve"> </w:t>
      </w:r>
      <w:r>
        <w:t xml:space="preserve">(consistent with the Term Sheet and Engagement Letter), unless a second book-running manager is being added.</w:t>
      </w:r>
    </w:p>
    <w:bookmarkEnd w:id="28"/>
    <w:bookmarkStart w:id="29" w:name="X45a3af8e1c66bf9728e938c13457da13849dfe7"/>
    <w:p>
      <w:pPr>
        <w:pStyle w:val="Heading2"/>
      </w:pPr>
      <w:r>
        <w:t xml:space="preserve">X. CERTIFICATE OF INCORPORATION / PREFERRED CONVERSION DATE</w:t>
      </w:r>
    </w:p>
    <w:p>
      <w:pPr>
        <w:pStyle w:val="FirstParagraph"/>
      </w:pPr>
      <w:r>
        <w:rPr>
          <w:b/>
          <w:bCs/>
        </w:rPr>
        <w:t xml:space="preserve">Item 30 — Preferred Stock Conversion / Reorganization Date (December 20, 2024 vs. January 15, 2025).</w:t>
      </w:r>
      <w:r>
        <w:t xml:space="preserve"> </w:t>
      </w:r>
      <w:r>
        <w:t xml:space="preserve">The COI states that the Amended and Restated Certificate of Incorporation is</w:t>
      </w:r>
      <w:r>
        <w:t xml:space="preserve"> </w:t>
      </w:r>
      <w:r>
        <w:t xml:space="preserve">“</w:t>
      </w:r>
      <w:r>
        <w:t xml:space="preserve">effective as of December 20, 2024</w:t>
      </w:r>
      <w:r>
        <w:t xml:space="preserve">”</w:t>
      </w:r>
      <w:r>
        <w:t xml:space="preserve"> </w:t>
      </w:r>
      <w:r>
        <w:t xml:space="preserve">and that</w:t>
      </w:r>
      <w:r>
        <w:t xml:space="preserve"> </w:t>
      </w:r>
      <w:r>
        <w:t xml:space="preserve">“</w:t>
      </w:r>
      <w:r>
        <w:t xml:space="preserve">all previously designated series of Preferred Stock (including any Series A Preferred Stock and Series B Preferred Stock previously outstanding) have been converted to Common Stock.</w:t>
      </w:r>
      <w:r>
        <w:t xml:space="preserve">”</w:t>
      </w:r>
      <w:r>
        <w:t xml:space="preserve"> </w:t>
      </w:r>
      <w:r>
        <w:t xml:space="preserve">The S-1 (Section V, Capitalization) states that</w:t>
      </w:r>
      <w:r>
        <w:t xml:space="preserve"> </w:t>
      </w:r>
      <w:r>
        <w:t xml:space="preserve">“</w:t>
      </w:r>
      <w:r>
        <w:t xml:space="preserve">All outstanding shares of preferred stock issued in these financing rounds were converted into shares of common stock in connection with the corporate reorganization</w:t>
      </w:r>
      <w:r>
        <w:t xml:space="preserve"> </w:t>
      </w:r>
      <w:r>
        <w:rPr>
          <w:b/>
          <w:bCs/>
        </w:rPr>
        <w:t xml:space="preserve">completed on January 15, 2025</w:t>
      </w:r>
      <w:r>
        <w:t xml:space="preserve">.</w:t>
      </w:r>
      <w:r>
        <w:t xml:space="preserve">”</w:t>
      </w:r>
      <w:r>
        <w:t xml:space="preserve"> </w:t>
      </w:r>
      <w:r>
        <w:t xml:space="preserve">Additionally, the S-1 Capitalization table shows 42,000,000 common shares outstanding as of December 31, 2024 on an</w:t>
      </w:r>
      <w:r>
        <w:t xml:space="preserve"> </w:t>
      </w:r>
      <w:r>
        <w:t xml:space="preserve">“</w:t>
      </w:r>
      <w:r>
        <w:t xml:space="preserve">actual</w:t>
      </w:r>
      <w:r>
        <w:t xml:space="preserve">”</w:t>
      </w:r>
      <w:r>
        <w:t xml:space="preserve"> </w:t>
      </w:r>
      <w:r>
        <w:t xml:space="preserve">basis, which implies the conversion occurred on or before December 31, 2024 (consistent with the COI’s December 20, 2024 effective date) and is inconsistent with the S-1 narrative’s January 15, 2025 date. The Questionnaire (Section 2(a)) also supports the December 20, 2024 date, stating that the Series A shares</w:t>
      </w:r>
      <w:r>
        <w:t xml:space="preserve"> </w:t>
      </w:r>
      <w:r>
        <w:t xml:space="preserve">“</w:t>
      </w:r>
      <w:r>
        <w:t xml:space="preserve">converted into shares of common stock upon the Company’s IPO-related recapitalization and charter amendment.</w:t>
      </w:r>
      <w:r>
        <w:t xml:space="preserve">”</w:t>
      </w:r>
      <w:r>
        <w:t xml:space="preserve"> </w:t>
      </w:r>
      <w:r>
        <w:t xml:space="preserve">Note also that January 15, 2025 is the same date the Registration Statement was initially filed, suggesting a possible conflation of dates.</w:t>
      </w:r>
      <w:r>
        <w:t xml:space="preserve"> </w:t>
      </w:r>
      <w:r>
        <w:rPr>
          <w:b/>
          <w:bCs/>
        </w:rPr>
        <w:t xml:space="preserve">Recommendation:</w:t>
      </w:r>
      <w:r>
        <w:t xml:space="preserve"> </w:t>
      </w:r>
      <w:r>
        <w:t xml:space="preserve">Confirm the correct conversion/reorganization date; correct the S-1 narrative. This discrepancy is a likely contributor to the Comfort Letter vs. S-1 equity discrepancy (Items 9–13).</w:t>
      </w:r>
    </w:p>
    <w:bookmarkEnd w:id="29"/>
    <w:bookmarkStart w:id="30" w:name="xi.-s-1-disclosure-gaps"/>
    <w:p>
      <w:pPr>
        <w:pStyle w:val="Heading2"/>
      </w:pPr>
      <w:r>
        <w:t xml:space="preserve">XI. S-1 DISCLOSURE GAPS</w:t>
      </w:r>
    </w:p>
    <w:p>
      <w:pPr>
        <w:pStyle w:val="FirstParagraph"/>
      </w:pPr>
      <w:r>
        <w:rPr>
          <w:b/>
          <w:bCs/>
        </w:rPr>
        <w:t xml:space="preserve">Item 31 — S-1 Omits Cascade Board Observer Seat Disclosure.</w:t>
      </w:r>
      <w:r>
        <w:t xml:space="preserve"> </w:t>
      </w:r>
      <w:r>
        <w:t xml:space="preserve">The Questionnaire (Section 4(a) and Section 5, item 6) discloses that Cascade Kestridge Ventures, LP</w:t>
      </w:r>
      <w:r>
        <w:t xml:space="preserve"> </w:t>
      </w:r>
      <w:r>
        <w:t xml:space="preserve">“</w:t>
      </w:r>
      <w:r>
        <w:t xml:space="preserve">held a board observer seat pursuant to the Series A Preferred Stock Purchase Agreement through January 2025</w:t>
      </w:r>
      <w:r>
        <w:t xml:space="preserve">”</w:t>
      </w:r>
      <w:r>
        <w:t xml:space="preserve"> </w:t>
      </w:r>
      <w:r>
        <w:t xml:space="preserve">and that this relationship is to be disclosed in the Registration Statement. The S-1 (Section VIII, footnote 1) does not mention the board observer seat. Under Item 403 of Regulation S-K, the nature of any material relationship between a selling stockholder and the Company within the past three years should be disclosed.</w:t>
      </w:r>
      <w:r>
        <w:t xml:space="preserve"> </w:t>
      </w:r>
      <w:r>
        <w:rPr>
          <w:b/>
          <w:bCs/>
        </w:rPr>
        <w:t xml:space="preserve">Recommendation:</w:t>
      </w:r>
      <w:r>
        <w:t xml:space="preserve"> </w:t>
      </w:r>
      <w:r>
        <w:t xml:space="preserve">Add disclosure of Cascade’s board observer seat (and its termination upon IPO closing) to the S-1</w:t>
      </w:r>
      <w:r>
        <w:t xml:space="preserve"> </w:t>
      </w:r>
      <w:r>
        <w:t xml:space="preserve">“</w:t>
      </w:r>
      <w:r>
        <w:t xml:space="preserve">Principal and Selling Stockholders</w:t>
      </w:r>
      <w:r>
        <w:t xml:space="preserve">”</w:t>
      </w:r>
      <w:r>
        <w:t xml:space="preserve"> </w:t>
      </w:r>
      <w:r>
        <w:t xml:space="preserve">section.</w:t>
      </w:r>
    </w:p>
    <w:p>
      <w:pPr>
        <w:pStyle w:val="BodyText"/>
      </w:pPr>
      <w:r>
        <w:rPr>
          <w:b/>
          <w:bCs/>
        </w:rPr>
        <w:t xml:space="preserve">Item 32 — S-1 Cover Page Date Blank.</w:t>
      </w:r>
      <w:r>
        <w:t xml:space="preserve"> </w:t>
      </w:r>
      <w:r>
        <w:t xml:space="preserve">The S-1 cover page states</w:t>
      </w:r>
      <w:r>
        <w:t xml:space="preserve"> </w:t>
      </w:r>
      <w:r>
        <w:t xml:space="preserve">“</w:t>
      </w:r>
      <w:r>
        <w:t xml:space="preserve">The date of this prospectus is</w:t>
      </w:r>
      <w:r>
        <w:t xml:space="preserve"> </w:t>
      </w:r>
      <w:r>
        <w:rPr>
          <w:b/>
          <w:bCs/>
        </w:rPr>
        <w:t xml:space="preserve">__</w:t>
      </w:r>
      <w:r>
        <w:t xml:space="preserve">, 2025.</w:t>
      </w:r>
      <w:r>
        <w:t xml:space="preserve">”</w:t>
      </w:r>
      <w:r>
        <w:t xml:space="preserve"> </w:t>
      </w:r>
      <w:r>
        <w:rPr>
          <w:b/>
          <w:bCs/>
        </w:rPr>
        <w:t xml:space="preserve">Recommendation:</w:t>
      </w:r>
      <w:r>
        <w:t xml:space="preserve"> </w:t>
      </w:r>
      <w:r>
        <w:t xml:space="preserve">The Final Prospectus date will be set at pricing and filed pursuant to Rule 424(b)(4); confirm the date is completed in the Final Prospectus.</w:t>
      </w:r>
    </w:p>
    <w:p>
      <w:pPr>
        <w:pStyle w:val="BodyText"/>
      </w:pPr>
      <w:r>
        <w:rPr>
          <w:b/>
          <w:bCs/>
        </w:rPr>
        <w:t xml:space="preserve">Item 33 — S-1 Pricing Tables Blank.</w:t>
      </w:r>
      <w:r>
        <w:t xml:space="preserve"> </w:t>
      </w:r>
      <w:r>
        <w:t xml:space="preserve">The S-1 cover page and underwriting tables (Sections I and XI.C) contain blank pricing fields (public offering price, underwriting discount, and proceeds) marked</w:t>
      </w:r>
      <w:r>
        <w:t xml:space="preserve"> </w:t>
      </w:r>
      <w:r>
        <w:t xml:space="preserve">“</w:t>
      </w:r>
      <w:r>
        <w:t xml:space="preserve">to be set forth in a pricing amendment or in a prospectus supplement filed pursuant to Rule 424(b)(4).</w:t>
      </w:r>
      <w:r>
        <w:t xml:space="preserve">”</w:t>
      </w:r>
      <w:r>
        <w:t xml:space="preserve"> </w:t>
      </w:r>
      <w:r>
        <w:rPr>
          <w:b/>
          <w:bCs/>
        </w:rPr>
        <w:t xml:space="preserve">Recommendation:</w:t>
      </w:r>
      <w:r>
        <w:t xml:space="preserve"> </w:t>
      </w:r>
      <w:r>
        <w:t xml:space="preserve">Complete the pricing tables in the Final Prospectus filed pursuant to Rule 424(b)(4) at pricing.</w:t>
      </w:r>
    </w:p>
    <w:bookmarkEnd w:id="30"/>
    <w:bookmarkStart w:id="31" w:name="Xeb818c0fca95d99621abb3b29cec1b8537af9b8"/>
    <w:p>
      <w:pPr>
        <w:pStyle w:val="Heading2"/>
      </w:pPr>
      <w:r>
        <w:t xml:space="preserve">XII. OPEN ITEMS AND CONDITIONS TO CLOSING</w:t>
      </w:r>
    </w:p>
    <w:p>
      <w:pPr>
        <w:pStyle w:val="FirstParagraph"/>
      </w:pPr>
      <w:r>
        <w:t xml:space="preserve">The following items must be satisfied or delivered on or prior to the Closing Date (March 24, 2025):</w:t>
      </w:r>
    </w:p>
    <w:p>
      <w:pPr>
        <w:pStyle w:val="BodyText"/>
      </w:pPr>
      <w:r>
        <w:rPr>
          <w:b/>
          <w:bCs/>
        </w:rPr>
        <w:t xml:space="preserve">Item 34 — Final Comfort Letter.</w:t>
      </w:r>
      <w:r>
        <w:t xml:space="preserve"> </w:t>
      </w:r>
      <w:r>
        <w:t xml:space="preserve">Only a draft Comfort Letter dated March 18, 2025 has been provided. A final comfort letter, dated as of the Pricing Date / date of the Final Prospectus, must be delivered in form and substance satisfactory to the Representatives and Underwriters’ Counsel. (Underwriting Agreement Section 6.3.)</w:t>
      </w:r>
    </w:p>
    <w:p>
      <w:pPr>
        <w:pStyle w:val="BodyText"/>
      </w:pPr>
      <w:r>
        <w:rPr>
          <w:b/>
          <w:bCs/>
        </w:rPr>
        <w:t xml:space="preserve">Item 35 — Bring-Down Comfort Letter.</w:t>
      </w:r>
      <w:r>
        <w:t xml:space="preserve"> </w:t>
      </w:r>
      <w:r>
        <w:t xml:space="preserve">A bring-down comfort letter, dated as of the Closing Date (March 24, 2025), extending the negative-assurance procedures through a date no more than three business days prior to the Closing Date, must be delivered. (Underwriting Agreement Section 6.3; Comfort Letter Section VI.)</w:t>
      </w:r>
    </w:p>
    <w:p>
      <w:pPr>
        <w:pStyle w:val="BodyText"/>
      </w:pPr>
      <w:r>
        <w:rPr>
          <w:b/>
          <w:bCs/>
        </w:rPr>
        <w:t xml:space="preserve">Item 36 — Company Counsel Opinion and Negative Assurance Letter.</w:t>
      </w:r>
      <w:r>
        <w:t xml:space="preserve"> </w:t>
      </w:r>
      <w:r>
        <w:t xml:space="preserve">A legal opinion and a negative assurance (10b-5) letter, each dated as of the Closing Date, from Stonebridge &amp; Calloway LLP, must be delivered in form and substance satisfactory to the Representatives and Underwriters’ Counsel. (Underwriting Agreement Section 6.4.)</w:t>
      </w:r>
    </w:p>
    <w:p>
      <w:pPr>
        <w:pStyle w:val="BodyText"/>
      </w:pPr>
      <w:r>
        <w:rPr>
          <w:b/>
          <w:bCs/>
        </w:rPr>
        <w:t xml:space="preserve">Item 37 — Underwriters’ Counsel Opinion.</w:t>
      </w:r>
      <w:r>
        <w:t xml:space="preserve"> </w:t>
      </w:r>
      <w:r>
        <w:t xml:space="preserve">A legal opinion, dated as of the Closing Date, from Ashford &amp; Pine LLP, must be delivered in form and substance satisfactory to the Representatives. (Underwriting Agreement Section 6.4.)</w:t>
      </w:r>
    </w:p>
    <w:p>
      <w:pPr>
        <w:pStyle w:val="BodyText"/>
      </w:pPr>
      <w:r>
        <w:rPr>
          <w:b/>
          <w:bCs/>
        </w:rPr>
        <w:t xml:space="preserve">Item 38 — Officers’ Certificate.</w:t>
      </w:r>
      <w:r>
        <w:t xml:space="preserve"> </w:t>
      </w:r>
      <w:r>
        <w:t xml:space="preserve">A certificate, dated as of the Closing Date, signed by Dr. Anand Krishnamurthy (CEO) and David Nishimura (CFO), in customary form, must be delivered. (Underwriting Agreement Section 6.5.)</w:t>
      </w:r>
    </w:p>
    <w:p>
      <w:pPr>
        <w:pStyle w:val="BodyText"/>
      </w:pPr>
      <w:r>
        <w:rPr>
          <w:b/>
          <w:bCs/>
        </w:rPr>
        <w:t xml:space="preserve">Item 39 — Secretary’s Certificate.</w:t>
      </w:r>
      <w:r>
        <w:t xml:space="preserve"> </w:t>
      </w:r>
      <w:r>
        <w:t xml:space="preserve">A certificate, dated as of the Closing Date, signed by Samantha Reeves (General Counsel &amp; Secretary), certifying as to the charter, bylaws, board resolutions, and officer incumbency, must be delivered. (Underwriting Agreement Section 6.6.)</w:t>
      </w:r>
    </w:p>
    <w:p>
      <w:pPr>
        <w:pStyle w:val="BodyText"/>
      </w:pPr>
      <w:r>
        <w:rPr>
          <w:b/>
          <w:bCs/>
        </w:rPr>
        <w:t xml:space="preserve">Item 40 — Lock-Up Agreements (Including Krishnamurthy Springing Extension).</w:t>
      </w:r>
      <w:r>
        <w:t xml:space="preserve"> </w:t>
      </w:r>
      <w:r>
        <w:t xml:space="preserve">Executed lock-up agreements must be received from all officers, directors, and holders of 1% or more of the outstanding shares of Common Stock (pre-Offering), including each Selling Stockholder. The Lock-Up Form must be amended to include the springing extension for Dr. Krishnamurthy (see Item 26). The Lock-Up Form date field is currently blank (</w:t>
      </w:r>
      <w:r>
        <w:t xml:space="preserve">“</w:t>
      </w:r>
      <w:r>
        <w:t xml:space="preserve">[___], 2025</w:t>
      </w:r>
      <w:r>
        <w:t xml:space="preserve">”</w:t>
      </w:r>
      <w:r>
        <w:t xml:space="preserve">) and must be completed upon execution. (Underwriting Agreement Section 6.7.)</w:t>
      </w:r>
    </w:p>
    <w:p>
      <w:pPr>
        <w:pStyle w:val="BodyText"/>
      </w:pPr>
      <w:r>
        <w:rPr>
          <w:b/>
          <w:bCs/>
        </w:rPr>
        <w:t xml:space="preserve">Item 41 — Nasdaq Listing Approval.</w:t>
      </w:r>
      <w:r>
        <w:t xml:space="preserve"> </w:t>
      </w:r>
      <w:r>
        <w:t xml:space="preserve">The Common Stock must be approved for listing on the Nasdaq Global Select Market, subject only to official notice of issuance. (Underwriting Agreement Section 6.8.)</w:t>
      </w:r>
    </w:p>
    <w:p>
      <w:pPr>
        <w:pStyle w:val="BodyText"/>
      </w:pPr>
      <w:r>
        <w:rPr>
          <w:b/>
          <w:bCs/>
        </w:rPr>
        <w:t xml:space="preserve">Item 42 — FINRA Clearance.</w:t>
      </w:r>
      <w:r>
        <w:t xml:space="preserve"> </w:t>
      </w:r>
      <w:r>
        <w:t xml:space="preserve">Evidence of FINRA clearance of the underwriting compensation arrangements must be received, and the Offering must comply with FINRA Rule 5110 (compensation not to exceed 8% of gross offering proceeds) and FINRA Rule 5121 (no disqualifying conflict of interest). (Underwriting Agreement Section 6.10.)</w:t>
      </w:r>
    </w:p>
    <w:p>
      <w:pPr>
        <w:pStyle w:val="BodyText"/>
      </w:pPr>
      <w:r>
        <w:rPr>
          <w:b/>
          <w:bCs/>
        </w:rPr>
        <w:t xml:space="preserve">Item 43 — Final Prospectus Filing (Rule 424(b)(4)).</w:t>
      </w:r>
      <w:r>
        <w:t xml:space="preserve"> </w:t>
      </w:r>
      <w:r>
        <w:t xml:space="preserve">The Final Prospectus must be filed with the Commission pursuant to Rule 424(b) under the Securities Act within the required timeframe following pricing. (Underwriting Agreement Section 6.2.)</w:t>
      </w:r>
    </w:p>
    <w:p>
      <w:pPr>
        <w:pStyle w:val="BodyText"/>
      </w:pPr>
      <w:r>
        <w:rPr>
          <w:b/>
          <w:bCs/>
        </w:rPr>
        <w:t xml:space="preserve">Item 44 — Power of Attorney and Custody Agreements.</w:t>
      </w:r>
      <w:r>
        <w:t xml:space="preserve"> </w:t>
      </w:r>
      <w:r>
        <w:t xml:space="preserve">A duly executed Power of Attorney and Custody Agreement must be received from each Selling Stockholder (Cascade Kestridge Ventures, LP; Northlight Growth Partners Fund II, LP; and Dr. Anand Krishnamurthy). The POA date field is currently blank (</w:t>
      </w:r>
      <w:r>
        <w:t xml:space="preserve">“</w:t>
      </w:r>
      <w:r>
        <w:t xml:space="preserve">Dated as of March __, 2025</w:t>
      </w:r>
      <w:r>
        <w:t xml:space="preserve">”</w:t>
      </w:r>
      <w:r>
        <w:t xml:space="preserve">) and must be completed; the Cascade signature-block entity-name error (Item 17) must be corrected. (Underwriting Agreement Section 6.11.)</w:t>
      </w:r>
    </w:p>
    <w:p>
      <w:pPr>
        <w:pStyle w:val="BodyText"/>
      </w:pPr>
      <w:r>
        <w:rPr>
          <w:b/>
          <w:bCs/>
        </w:rPr>
        <w:t xml:space="preserve">Item 45 — Selling Stockholder Questionnaires for Northlight and Krishnamurthy.</w:t>
      </w:r>
      <w:r>
        <w:t xml:space="preserve"> </w:t>
      </w:r>
      <w:r>
        <w:t xml:space="preserve">Only the Questionnaire for Cascade Kestridge Ventures, LP has been provided. Completed selling stockholder questionnaires for Northlight Growth Partners Fund II, LP and Dr. Anand Krishnamurthy must be received and reviewed for consistency with the S-1 disclosure. (Underwriting Agreement Section 6.12.)</w:t>
      </w:r>
    </w:p>
    <w:p>
      <w:pPr>
        <w:pStyle w:val="BodyText"/>
      </w:pPr>
      <w:r>
        <w:rPr>
          <w:b/>
          <w:bCs/>
        </w:rPr>
        <w:t xml:space="preserve">Item 46 — Lender Consent for Organizational Document Amendments.</w:t>
      </w:r>
      <w:r>
        <w:t xml:space="preserve"> </w:t>
      </w:r>
      <w:r>
        <w:t xml:space="preserve">The Credit Summary (Section 8) notes that the credit agreement restricts material amendments to the certificate of incorporation or bylaws without lender consent and flags that the Company filed an Amended and Restated Certificate of Incorporation on December 20, 2024.</w:t>
      </w:r>
      <w:r>
        <w:t xml:space="preserve"> </w:t>
      </w:r>
      <w:r>
        <w:rPr>
          <w:b/>
          <w:bCs/>
        </w:rPr>
        <w:t xml:space="preserve">Recommendation:</w:t>
      </w:r>
      <w:r>
        <w:t xml:space="preserve"> </w:t>
      </w:r>
      <w:r>
        <w:t xml:space="preserve">Confirm that the lender consented to the December 20, 2024 A&amp;R COI and to any further organizational-document amendments in connection with the Offering.</w:t>
      </w:r>
    </w:p>
    <w:p>
      <w:pPr>
        <w:pStyle w:val="BodyText"/>
      </w:pPr>
      <w:r>
        <w:rPr>
          <w:b/>
          <w:bCs/>
        </w:rPr>
        <w:t xml:space="preserve">Item 47 — Equity Issuance Prior Notice to Lender.</w:t>
      </w:r>
      <w:r>
        <w:t xml:space="preserve"> </w:t>
      </w:r>
      <w:r>
        <w:t xml:space="preserve">The Credit Summary (Section 10) notes that the credit agreement requires at least 10 business days’ prior written notice of any equity issuance, together with a summary of terms.</w:t>
      </w:r>
      <w:r>
        <w:t xml:space="preserve"> </w:t>
      </w:r>
      <w:r>
        <w:rPr>
          <w:b/>
          <w:bCs/>
        </w:rPr>
        <w:t xml:space="preserve">Recommendation:</w:t>
      </w:r>
      <w:r>
        <w:t xml:space="preserve"> </w:t>
      </w:r>
      <w:r>
        <w:t xml:space="preserve">Confirm that the required advance notice of the IPO was timely provided to the lender.</w:t>
      </w:r>
    </w:p>
    <w:p>
      <w:pPr>
        <w:pStyle w:val="BodyText"/>
      </w:pPr>
      <w:r>
        <w:rPr>
          <w:b/>
          <w:bCs/>
        </w:rPr>
        <w:t xml:space="preserve">Item 48 — Post-IPO Change-of-Control Analysis.</w:t>
      </w:r>
      <w:r>
        <w:t xml:space="preserve"> </w:t>
      </w:r>
      <w:r>
        <w:t xml:space="preserve">The Credit Summary (Section 9) concludes the IPO is not expected to constitute a change of control, but notes the analysis should be re-confirmed if the offering size or structure changes. The change-of-control threshold is in dispute (35% per the Credit Summary vs. 50% per the S-1 — see Item 5).</w:t>
      </w:r>
      <w:r>
        <w:t xml:space="preserve"> </w:t>
      </w:r>
      <w:r>
        <w:rPr>
          <w:b/>
          <w:bCs/>
        </w:rPr>
        <w:t xml:space="preserve">Recommendation:</w:t>
      </w:r>
      <w:r>
        <w:t xml:space="preserve"> </w:t>
      </w:r>
      <w:r>
        <w:t xml:space="preserve">Confirm the correct threshold and re-confirm that the post-IPO ownership structure (Dr. Krishnamurthy 15.8%; Cascade 8.4%; Northlight 6.6%) does not trigger a change of control under the credit agreement.</w:t>
      </w:r>
    </w:p>
    <w:p>
      <w:pPr>
        <w:pStyle w:val="BodyText"/>
      </w:pPr>
      <w:r>
        <w:rPr>
          <w:b/>
          <w:bCs/>
        </w:rPr>
        <w:t xml:space="preserve">Item 49 — UT Austin License — Security Interest / Change-of-Control Interaction.</w:t>
      </w:r>
      <w:r>
        <w:t xml:space="preserve"> </w:t>
      </w:r>
      <w:r>
        <w:t xml:space="preserve">The Credit Summary (Section 5, open item 5) flags that the credit agreement’s collateral includes the Company’s rights under the exclusive license agreement with the University of Texas at Austin</w:t>
      </w:r>
      <w:r>
        <w:t xml:space="preserve"> </w:t>
      </w:r>
      <w:r>
        <w:t xml:space="preserve">“</w:t>
      </w:r>
      <w:r>
        <w:t xml:space="preserve">to the extent such rights are assignable as collateral,</w:t>
      </w:r>
      <w:r>
        <w:t xml:space="preserve">”</w:t>
      </w:r>
      <w:r>
        <w:t xml:space="preserve"> </w:t>
      </w:r>
      <w:r>
        <w:t xml:space="preserve">and notes a potential interaction with the UT license’s anti-assignment or change-of-control provisions. The S-1 (Section IX.B) states the license</w:t>
      </w:r>
      <w:r>
        <w:t xml:space="preserve"> </w:t>
      </w:r>
      <w:r>
        <w:t xml:space="preserve">“</w:t>
      </w:r>
      <w:r>
        <w:t xml:space="preserve">may not be assigned by either party without the prior written consent of the other party, except that the Company may assign the agreement in connection with a merger, acquisition, or sale of substantially all of its assets.</w:t>
      </w:r>
      <w:r>
        <w:t xml:space="preserve">”</w:t>
      </w:r>
      <w:r>
        <w:t xml:space="preserve"> </w:t>
      </w:r>
      <w:r>
        <w:rPr>
          <w:b/>
          <w:bCs/>
        </w:rPr>
        <w:t xml:space="preserve">Recommendation:</w:t>
      </w:r>
      <w:r>
        <w:t xml:space="preserve"> </w:t>
      </w:r>
      <w:r>
        <w:t xml:space="preserve">Confirm that the grant of a security interest in the Company’s rights under the UT license does not violate the license’s anti-assignment provisions and that the Offering does not trigger any license change-of-control or assignment restriction.</w:t>
      </w:r>
    </w:p>
    <w:p>
      <w:pPr>
        <w:pStyle w:val="BodyText"/>
      </w:pPr>
      <w:r>
        <w:rPr>
          <w:b/>
          <w:bCs/>
        </w:rPr>
        <w:t xml:space="preserve">Item 50 — VitaBand Litigation — Adverse-Development and Cross-Default Monitoring.</w:t>
      </w:r>
      <w:r>
        <w:t xml:space="preserve"> </w:t>
      </w:r>
      <w:r>
        <w:t xml:space="preserve">The S-1 (Section X.A) discloses the VitaBand Corp. patent infringement action (Case No. 6:24-cv-00891, E.D. Tex.), seeking $45 million in damages plus injunctive relief, with a Markman hearing scheduled for June 2025. The Credit Summary (Section 11) notes that an adverse judgment in excess of $2 million not stayed or covered by insurance could constitute an event of default under the credit agreement.</w:t>
      </w:r>
      <w:r>
        <w:t xml:space="preserve"> </w:t>
      </w:r>
      <w:r>
        <w:rPr>
          <w:b/>
          <w:bCs/>
        </w:rPr>
        <w:t xml:space="preserve">Recommendation:</w:t>
      </w:r>
      <w:r>
        <w:t xml:space="preserve"> </w:t>
      </w:r>
      <w:r>
        <w:t xml:space="preserve">Confirm no adverse development in the VitaBand litigation has occurred between the date of the most recent Disclosure Documents and the Closing Date that would constitute a Material Adverse Change or a credit-agreement event of default; confirm the litigation disclosure in the Final Prospectus remains accurate.</w:t>
      </w:r>
    </w:p>
    <w:p>
      <w:pPr>
        <w:pStyle w:val="BodyText"/>
      </w:pPr>
      <w:r>
        <w:rPr>
          <w:b/>
          <w:bCs/>
        </w:rPr>
        <w:t xml:space="preserve">Item 51 — Public Offering Price Assumption ($24.00 Midpoint).</w:t>
      </w:r>
      <w:r>
        <w:t xml:space="preserve"> </w:t>
      </w:r>
      <w:r>
        <w:t xml:space="preserve">The Underwriting Agreement reflects a Public Offering Price of $24.00 per share, which is the midpoint of the $22.00–$26.00 estimated price range and the</w:t>
      </w:r>
      <w:r>
        <w:t xml:space="preserve"> </w:t>
      </w:r>
      <w:r>
        <w:t xml:space="preserve">“</w:t>
      </w:r>
      <w:r>
        <w:t xml:space="preserve">Assumed IPO Price</w:t>
      </w:r>
      <w:r>
        <w:t xml:space="preserve">”</w:t>
      </w:r>
      <w:r>
        <w:t xml:space="preserve"> </w:t>
      </w:r>
      <w:r>
        <w:t xml:space="preserve">used throughout the Term Sheet for illustrative calculations. The Term Sheet (Section 3.1) states that</w:t>
      </w:r>
      <w:r>
        <w:t xml:space="preserve"> </w:t>
      </w:r>
      <w:r>
        <w:t xml:space="preserve">“</w:t>
      </w:r>
      <w:r>
        <w:t xml:space="preserve">[f]inal pricing is subject to market conditions and agreement among the Company, the Selling Stockholders, and the Lead Underwriter on the Pricing Date.</w:t>
      </w:r>
      <w:r>
        <w:t xml:space="preserve">”</w:t>
      </w:r>
      <w:r>
        <w:t xml:space="preserve"> </w:t>
      </w:r>
      <w:r>
        <w:t xml:space="preserve">The S-1 cover page and underwriting tables leave the price blank (see Item 33).</w:t>
      </w:r>
      <w:r>
        <w:t xml:space="preserve"> </w:t>
      </w:r>
      <w:r>
        <w:rPr>
          <w:b/>
          <w:bCs/>
        </w:rPr>
        <w:t xml:space="preserve">Recommendation:</w:t>
      </w:r>
      <w:r>
        <w:t xml:space="preserve"> </w:t>
      </w:r>
      <w:r>
        <w:t xml:space="preserve">Confirm the actual Public Offering Price at pricing; if it differs from $24.00, update the Underwriting Agreement (Section 1.3 and the Underwriting Discount calculation), the Final Prospectus pricing tables, and the related economic calculations before execution.</w:t>
      </w:r>
    </w:p>
    <w:bookmarkEnd w:id="31"/>
    <w:bookmarkStart w:id="32" w:name="X769ea156e5608e9c689f60eb787917afaa6cf2e"/>
    <w:p>
      <w:pPr>
        <w:pStyle w:val="Heading2"/>
      </w:pPr>
      <w:r>
        <w:t xml:space="preserve">XIII. ADDITIONAL ITEMS IDENTIFIED ON COMPLETENESS RE-REVIEW</w:t>
      </w:r>
    </w:p>
    <w:p>
      <w:pPr>
        <w:pStyle w:val="FirstParagraph"/>
      </w:pPr>
      <w:r>
        <w:rPr>
          <w:b/>
          <w:bCs/>
        </w:rPr>
        <w:t xml:space="preserve">Item 52 — Comfort Letter Cross-Reference to</w:t>
      </w:r>
      <w:r>
        <w:rPr>
          <w:b/>
          <w:bCs/>
        </w:rPr>
        <w:t xml:space="preserve"> </w:t>
      </w:r>
      <w:r>
        <w:rPr>
          <w:b/>
          <w:bCs/>
        </w:rPr>
        <w:t xml:space="preserve">“</w:t>
      </w:r>
      <w:r>
        <w:rPr>
          <w:b/>
          <w:bCs/>
        </w:rPr>
        <w:t xml:space="preserve">Section 7(d)</w:t>
      </w:r>
      <w:r>
        <w:rPr>
          <w:b/>
          <w:bCs/>
        </w:rPr>
        <w:t xml:space="preserve">”</w:t>
      </w:r>
      <w:r>
        <w:rPr>
          <w:b/>
          <w:bCs/>
        </w:rPr>
        <w:t xml:space="preserve"> </w:t>
      </w:r>
      <w:r>
        <w:rPr>
          <w:b/>
          <w:bCs/>
        </w:rPr>
        <w:t xml:space="preserve">of the Underwriting Agreement.</w:t>
      </w:r>
      <w:r>
        <w:t xml:space="preserve"> </w:t>
      </w:r>
      <w:r>
        <w:t xml:space="preserve">The draft Comfort Letter (Section I) states that it</w:t>
      </w:r>
      <w:r>
        <w:t xml:space="preserve"> </w:t>
      </w:r>
      <w:r>
        <w:t xml:space="preserve">“</w:t>
      </w:r>
      <w:r>
        <w:t xml:space="preserve">is furnished pursuant to Section 7(d) of the Underwriting Agreement to be dated March 19, 2025.</w:t>
      </w:r>
      <w:r>
        <w:t xml:space="preserve">”</w:t>
      </w:r>
      <w:r>
        <w:t xml:space="preserve"> </w:t>
      </w:r>
      <w:r>
        <w:t xml:space="preserve">In the Underwriting Agreement delivered herewith, the comfort letter delivery condition is set forth in Section 6.3, and Article VII (Sections 7.1–7.5) addresses indemnification and contribution — not comfort letter delivery. The Comfort Letter’s cross-reference to</w:t>
      </w:r>
      <w:r>
        <w:t xml:space="preserve"> </w:t>
      </w:r>
      <w:r>
        <w:t xml:space="preserve">“</w:t>
      </w:r>
      <w:r>
        <w:t xml:space="preserve">Section 7(d)</w:t>
      </w:r>
      <w:r>
        <w:t xml:space="preserve">”</w:t>
      </w:r>
      <w:r>
        <w:t xml:space="preserve"> </w:t>
      </w:r>
      <w:r>
        <w:t xml:space="preserve">therefore does not correspond to the comfort-letter delivery condition in the executed Underwriting Agreement.</w:t>
      </w:r>
      <w:r>
        <w:t xml:space="preserve"> </w:t>
      </w:r>
      <w:r>
        <w:rPr>
          <w:b/>
          <w:bCs/>
        </w:rPr>
        <w:t xml:space="preserve">Recommendation:</w:t>
      </w:r>
      <w:r>
        <w:t xml:space="preserve"> </w:t>
      </w:r>
      <w:r>
        <w:t xml:space="preserve">Reconcile the section cross-reference in the final Comfort Letter (and bring-down comfort letter) to match the actual section number of the comfort-letter delivery condition in the executed Underwriting Agreement (Section 6.3), or confirm that the Underwriting Agreement’s section numbering should be adjusted to match the Comfort Letter’s expectation.</w:t>
      </w:r>
    </w:p>
    <w:p>
      <w:pPr>
        <w:pStyle w:val="BodyText"/>
      </w:pPr>
      <w:r>
        <w:rPr>
          <w:b/>
          <w:bCs/>
        </w:rPr>
        <w:t xml:space="preserve">Item 53 — Comfort Letter Date (March 18, 2025 vs. </w:t>
      </w:r>
      <w:r>
        <w:rPr>
          <w:b/>
          <w:bCs/>
        </w:rPr>
        <w:t xml:space="preserve">“</w:t>
      </w:r>
      <w:r>
        <w:rPr>
          <w:b/>
          <w:bCs/>
        </w:rPr>
        <w:t xml:space="preserve">Dated as of the Pricing Date</w:t>
      </w:r>
      <w:r>
        <w:rPr>
          <w:b/>
          <w:bCs/>
        </w:rPr>
        <w:t xml:space="preserve">”</w:t>
      </w:r>
      <w:r>
        <w:rPr>
          <w:b/>
          <w:bCs/>
        </w:rPr>
        <w:t xml:space="preserve">).</w:t>
      </w:r>
      <w:r>
        <w:t xml:space="preserve"> </w:t>
      </w:r>
      <w:r>
        <w:t xml:space="preserve">The Term Sheet (Section 12(c)) and the draft Comfort Letter both date the pricing comfort letter as of</w:t>
      </w:r>
      <w:r>
        <w:t xml:space="preserve"> </w:t>
      </w:r>
      <w:r>
        <w:rPr>
          <w:b/>
          <w:bCs/>
        </w:rPr>
        <w:t xml:space="preserve">March 18, 2025</w:t>
      </w:r>
      <w:r>
        <w:t xml:space="preserve"> </w:t>
      </w:r>
      <w:r>
        <w:t xml:space="preserve">(one day before the March 19, 2025 Pricing Date). The Underwriting Agreement (Section 6.3) requires the comfort letter to be</w:t>
      </w:r>
      <w:r>
        <w:t xml:space="preserve"> </w:t>
      </w:r>
      <w:r>
        <w:t xml:space="preserve">“</w:t>
      </w:r>
      <w:r>
        <w:t xml:space="preserve">dated as of the date of the Final Prospectus (or the Pricing Date)</w:t>
      </w:r>
      <w:r>
        <w:t xml:space="preserve">”</w:t>
      </w:r>
      <w:r>
        <w:t xml:space="preserve"> </w:t>
      </w:r>
      <w:r>
        <w:t xml:space="preserve">— i.e., March 19, 2025. There is a one-day discrepancy between the Term Sheet/draft Comfort Letter (March 18) and the Underwriting Agreement (March 19 / Pricing Date).</w:t>
      </w:r>
      <w:r>
        <w:t xml:space="preserve"> </w:t>
      </w:r>
      <w:r>
        <w:rPr>
          <w:b/>
          <w:bCs/>
        </w:rPr>
        <w:t xml:space="preserve">Recommendation:</w:t>
      </w:r>
      <w:r>
        <w:t xml:space="preserve"> </w:t>
      </w:r>
      <w:r>
        <w:t xml:space="preserve">Confirm the correct date of the final pricing comfort letter; if the Final Prospectus is dated March 19, 2025 (the Pricing Date), the comfort letter should be dated as of that date, and the Term Sheet’s</w:t>
      </w:r>
      <w:r>
        <w:t xml:space="preserve"> </w:t>
      </w:r>
      <w:r>
        <w:t xml:space="preserve">“</w:t>
      </w:r>
      <w:r>
        <w:t xml:space="preserve">March 18, 2025</w:t>
      </w:r>
      <w:r>
        <w:t xml:space="preserve">”</w:t>
      </w:r>
      <w:r>
        <w:t xml:space="preserve"> </w:t>
      </w:r>
      <w:r>
        <w:t xml:space="preserve">reference should be corrected.</w:t>
      </w:r>
    </w:p>
    <w:p>
      <w:pPr>
        <w:pStyle w:val="BodyText"/>
      </w:pPr>
      <w:r>
        <w:rPr>
          <w:b/>
          <w:bCs/>
        </w:rPr>
        <w:t xml:space="preserve">Item 54 — Engagement Letter $500,000 Expense Reimbursement Cap upon Non-Consummation Not Reflected in the Underwriting Agreement.</w:t>
      </w:r>
      <w:r>
        <w:t xml:space="preserve"> </w:t>
      </w:r>
      <w:r>
        <w:t xml:space="preserve">The Engagement Letter (Section 5,</w:t>
      </w:r>
      <w:r>
        <w:t xml:space="preserve"> </w:t>
      </w:r>
      <w:r>
        <w:t xml:space="preserve">“</w:t>
      </w:r>
      <w:r>
        <w:t xml:space="preserve">Expense Reimbursement upon Non-Consummation</w:t>
      </w:r>
      <w:r>
        <w:t xml:space="preserve">”</w:t>
      </w:r>
      <w:r>
        <w:t xml:space="preserve">) provides that, if the Offering is not consummated for any reason other than a material breach by Hargrove, the Company shall reimburse Hargrove for its reasonable, documented out-of-pocket expenses (including Underwriters’ Counsel fees) up to a maximum aggregate of</w:t>
      </w:r>
      <w:r>
        <w:t xml:space="preserve"> </w:t>
      </w:r>
      <w:r>
        <w:rPr>
          <w:b/>
          <w:bCs/>
        </w:rPr>
        <w:t xml:space="preserve">$500,000</w:t>
      </w:r>
      <w:r>
        <w:t xml:space="preserve">, payable within 30 days of written demand. The Underwriting Agreement (Section 10.2) provides that, upon termination, no party has liability except for (a) expenses already incurred in accordance with Article IX and (b) the indemnification and contribution provisions. The Underwriting Agreement does not cross-reference or replicate the Engagement Letter’s $500,000 reimbursement cap. Because the Engagement Letter survives termination (Engagement Letter Section 12), both provisions could apply concurrently.</w:t>
      </w:r>
      <w:r>
        <w:t xml:space="preserve"> </w:t>
      </w:r>
      <w:r>
        <w:rPr>
          <w:b/>
          <w:bCs/>
        </w:rPr>
        <w:t xml:space="preserve">Recommendation:</w:t>
      </w:r>
      <w:r>
        <w:t xml:space="preserve"> </w:t>
      </w:r>
      <w:r>
        <w:t xml:space="preserve">Confirm whether the Underwriting Agreement’s termination-expense provision is intended to supersede, or to coexist with, the Engagement Letter’s $500,000 expense reimbursement cap; reconcile the two provisions to avoid ambiguity regarding the Company’s expense reimbursement obligation if the Offering is terminated.</w:t>
      </w:r>
    </w:p>
    <w:bookmarkEnd w:id="32"/>
    <w:bookmarkStart w:id="33" w:name="X35820e28a1d2b6f9c0b42cfd9ab256f661ab749"/>
    <w:p>
      <w:pPr>
        <w:pStyle w:val="Heading2"/>
      </w:pPr>
      <w:r>
        <w:t xml:space="preserve">XIV. ITEMS CONFIRMED CONSISTENT (NO ACTION REQUIRED)</w:t>
      </w:r>
    </w:p>
    <w:p>
      <w:pPr>
        <w:pStyle w:val="FirstParagraph"/>
      </w:pPr>
      <w:r>
        <w:t xml:space="preserve">The following items were reviewed and found consistent across the relevant documents; no action is required, but they are listed for completeness:</w:t>
      </w:r>
    </w:p>
    <w:p>
      <w:pPr>
        <w:pStyle w:val="Compact"/>
        <w:numPr>
          <w:ilvl w:val="0"/>
          <w:numId w:val="1001"/>
        </w:numPr>
      </w:pPr>
      <w:r>
        <w:t xml:space="preserve">Authorized capital stock: 200,000,000 Common + 10,000,000 Preferred (par $0.001) — consistent across the COI, S-1, and Term Sheet.</w:t>
      </w:r>
    </w:p>
    <w:p>
      <w:pPr>
        <w:pStyle w:val="Compact"/>
        <w:numPr>
          <w:ilvl w:val="0"/>
          <w:numId w:val="1001"/>
        </w:numPr>
      </w:pPr>
      <w:r>
        <w:t xml:space="preserve">Pre-IPO shares outstanding: 42,000,000 — consistent across the S-1, Term Sheet, Engagement Letter, and Comfort Letter.</w:t>
      </w:r>
    </w:p>
    <w:p>
      <w:pPr>
        <w:pStyle w:val="Compact"/>
        <w:numPr>
          <w:ilvl w:val="0"/>
          <w:numId w:val="1001"/>
        </w:numPr>
      </w:pPr>
      <w:r>
        <w:t xml:space="preserve">Post-offering shares: 50,000,000 (pre-greenshoe) / 51,800,000 (greenshoe full) — consistent across the S-1, Term Sheet, and Comfort Letter.</w:t>
      </w:r>
    </w:p>
    <w:p>
      <w:pPr>
        <w:pStyle w:val="Compact"/>
        <w:numPr>
          <w:ilvl w:val="0"/>
          <w:numId w:val="1001"/>
        </w:numPr>
      </w:pPr>
      <w:r>
        <w:t xml:space="preserve">Underwriting discount: 6.0% / $1.44 per share / $22.56 net — consistent across the S-1, Term Sheet, Engagement Letter, and Comfort Letter.</w:t>
      </w:r>
    </w:p>
    <w:p>
      <w:pPr>
        <w:pStyle w:val="Compact"/>
        <w:numPr>
          <w:ilvl w:val="0"/>
          <w:numId w:val="1001"/>
        </w:numPr>
      </w:pPr>
      <w:r>
        <w:t xml:space="preserve">Net proceeds to the Company (primary, pre-greenshoe): $180,480,000 (before expenses) / ~$177.3 million (after expenses) — consistent across the S-1, Term Sheet, Engagement Letter, and Comfort Letter.</w:t>
      </w:r>
    </w:p>
    <w:p>
      <w:pPr>
        <w:pStyle w:val="Compact"/>
        <w:numPr>
          <w:ilvl w:val="0"/>
          <w:numId w:val="1001"/>
        </w:numPr>
      </w:pPr>
      <w:r>
        <w:t xml:space="preserve">Equity Incentive Plan: 6,000,000 authorized; 4,200,000 options outstanding at $6.50 WAEP; 1,800,000 reserved — consistent across the S-1, Term Sheet, and Comfort Letter.</w:t>
      </w:r>
    </w:p>
    <w:p>
      <w:pPr>
        <w:pStyle w:val="Compact"/>
        <w:numPr>
          <w:ilvl w:val="0"/>
          <w:numId w:val="1001"/>
        </w:numPr>
      </w:pPr>
      <w:r>
        <w:t xml:space="preserve">Federal NOL carryforwards: $14.2 million — consistent across the S-1, Credit Summary, and Comfort Letter.</w:t>
      </w:r>
    </w:p>
    <w:p>
      <w:pPr>
        <w:pStyle w:val="Compact"/>
        <w:numPr>
          <w:ilvl w:val="0"/>
          <w:numId w:val="1001"/>
        </w:numPr>
      </w:pPr>
      <w:r>
        <w:t xml:space="preserve">FDA 510(k) clearance: K230847, August 22, 2023 — consistent across the S-1 and Term Sheet.</w:t>
      </w:r>
    </w:p>
    <w:p>
      <w:pPr>
        <w:pStyle w:val="Compact"/>
        <w:numPr>
          <w:ilvl w:val="0"/>
          <w:numId w:val="1001"/>
        </w:numPr>
      </w:pPr>
      <w:r>
        <w:t xml:space="preserve">VitaBand damages claimed: $45 million — consistent across the S-1, Term Sheet, and Credit Summary.</w:t>
      </w:r>
    </w:p>
    <w:p>
      <w:pPr>
        <w:pStyle w:val="Compact"/>
        <w:numPr>
          <w:ilvl w:val="0"/>
          <w:numId w:val="1001"/>
        </w:numPr>
      </w:pPr>
      <w:r>
        <w:t xml:space="preserve">EEOC charge reserve: $350,000 — consistent across the S-1 and Credit Summary.</w:t>
      </w:r>
    </w:p>
    <w:p>
      <w:pPr>
        <w:pStyle w:val="Compact"/>
        <w:numPr>
          <w:ilvl w:val="0"/>
          <w:numId w:val="1001"/>
        </w:numPr>
      </w:pPr>
      <w:r>
        <w:t xml:space="preserve">Pricing Date / Date of Agreement: March 19, 2025 — consistent across the Term Sheet, Comfort Letter, Lock-Up Form, and POA.</w:t>
      </w:r>
    </w:p>
    <w:p>
      <w:pPr>
        <w:pStyle w:val="Compact"/>
        <w:numPr>
          <w:ilvl w:val="0"/>
          <w:numId w:val="1001"/>
        </w:numPr>
      </w:pPr>
      <w:r>
        <w:t xml:space="preserve">Closing Date: March 24, 2025 (T+3) — consistent across the Term Sheet and POA.</w:t>
      </w:r>
    </w:p>
    <w:p>
      <w:pPr>
        <w:pStyle w:val="Compact"/>
        <w:numPr>
          <w:ilvl w:val="0"/>
          <w:numId w:val="1001"/>
        </w:numPr>
      </w:pPr>
      <w:r>
        <w:t xml:space="preserve">Over-Allotment Option expiration: April 23, 2025 — consistent across the Term Sheet and POA.</w:t>
      </w:r>
    </w:p>
    <w:p>
      <w:pPr>
        <w:pStyle w:val="Compact"/>
        <w:numPr>
          <w:ilvl w:val="0"/>
          <w:numId w:val="1001"/>
        </w:numPr>
      </w:pPr>
      <w:r>
        <w:t xml:space="preserve">Governing law of the Underwriting Agreement: New York — consistent across the Term Sheet, Engagement Letter, Lock-Up Form, and POA.</w:t>
      </w:r>
    </w:p>
    <w:p>
      <w:pPr>
        <w:pStyle w:val="Compact"/>
        <w:numPr>
          <w:ilvl w:val="0"/>
          <w:numId w:val="1001"/>
        </w:numPr>
      </w:pPr>
      <w:r>
        <w:t xml:space="preserve">Selling Stockholder Shares allocations: Cascade 2,000,000; Northlight 1,500,000; Krishnamurthy 500,000 — consistent across the Term Sheet, S-1, POA Schedule A, and Engagement Letter (baseline).</w:t>
      </w:r>
    </w:p>
    <w:p>
      <w:pPr>
        <w:pStyle w:val="Compact"/>
        <w:numPr>
          <w:ilvl w:val="0"/>
          <w:numId w:val="1001"/>
        </w:numPr>
      </w:pPr>
      <w:r>
        <w:t xml:space="preserve">Underwriter syndicate allocations: Hargrove 70% (8,400,000 Firm / 1,260,000 Option); Bellweather 30% (3,600,000 Firm / 540,000 Option) — consistent across the Term Sheet, S-1, and Engagement Letter.</w:t>
      </w:r>
    </w:p>
    <w:p>
      <w:pPr>
        <w:pStyle w:val="Compact"/>
        <w:numPr>
          <w:ilvl w:val="0"/>
          <w:numId w:val="1001"/>
        </w:numPr>
      </w:pPr>
      <w:r>
        <w:t xml:space="preserve">Board of Directors composition (7 directors) — consistent across the Term Sheet (Section 15.4) and the S-1 (Section VIII).</w:t>
      </w:r>
    </w:p>
    <w:p>
      <w:pPr>
        <w:pStyle w:val="Compact"/>
        <w:numPr>
          <w:ilvl w:val="0"/>
          <w:numId w:val="1001"/>
        </w:numPr>
      </w:pPr>
      <w:r>
        <w:t xml:space="preserve">Tanaka supply agreement term (through December 31, 2027) and minimum purchase commitment ($12,000,000) — consistent across the S-1 (Sections III.A and IX.C).</w:t>
      </w:r>
    </w:p>
    <w:p>
      <w:pPr>
        <w:pStyle w:val="Compact"/>
        <w:numPr>
          <w:ilvl w:val="0"/>
          <w:numId w:val="1001"/>
        </w:numPr>
      </w:pPr>
      <w:r>
        <w:t xml:space="preserve">UT Austin license royalty (3.5% of net sales; $500,000 minimum annual royalty) and term (through June 30, 2033) — consistent across the S-1 (Sections III.A and IX.B).</w:t>
      </w:r>
    </w:p>
    <w:p>
      <w:pPr>
        <w:pStyle w:val="Compact"/>
        <w:numPr>
          <w:ilvl w:val="0"/>
          <w:numId w:val="1001"/>
        </w:numPr>
      </w:pPr>
      <w:r>
        <w:t xml:space="preserve">Revolving credit facility outstanding balance ($22,500,000) and commitment ($40,000,000) — consistent across the S-1, Credit Summary, and Comfort Letter.</w:t>
      </w:r>
    </w:p>
    <w:p>
      <w:r>
        <w:pict>
          <v:rect style="width:0;height:1.5pt" o:hralign="center" o:hrstd="t" o:hr="t"/>
        </w:pict>
      </w:r>
    </w:p>
    <w:p>
      <w:pPr>
        <w:pStyle w:val="FirstParagraph"/>
      </w:pPr>
      <w:r>
        <w:rPr>
          <w:i/>
          <w:iCs/>
        </w:rPr>
        <w:t xml:space="preserve">This memorandum is prepared for the internal use of the IPO working group in connection with the Offering and is subject to the attorney-client privilege and the work-product doctrine where applicable. It is based on the documents listed in Section I as of March 19, 2025, and should be updated as the identified items are resolved.</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 — Cross-Document Discrepancies and Open Items</dc:title>
  <dc:creator/>
  <cp:keywords/>
  <dcterms:created xsi:type="dcterms:W3CDTF">2026-06-27T01:33:08Z</dcterms:created>
  <dcterms:modified xsi:type="dcterms:W3CDTF">2026-06-27T01:33:08Z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19, 2025</vt:lpwstr>
  </property>
  <property fmtid="{D5CDD505-2E9C-101B-9397-08002B2CF9AE}" pid="3" name="subtitle">
    <vt:lpwstr>Initial Public Offering of Meridian Pulse Technologies, Inc.</vt:lpwstr>
  </property>
</Properties>
</file>