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&amp;</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p>
      <w:pPr>
        <w:pStyle w:val="Subtitle"/>
      </w:pPr>
      <w:r>
        <w:t xml:space="preserve">Without</w:t>
      </w:r>
      <w:r>
        <w:t xml:space="preserve"> </w:t>
      </w:r>
      <w:r>
        <w:t xml:space="preserve">Prejudice</w:t>
      </w:r>
      <w:r>
        <w:t xml:space="preserve"> </w:t>
      </w:r>
      <w:r>
        <w:t xml:space="preserve">—</w:t>
      </w:r>
      <w:r>
        <w:t xml:space="preserve"> </w:t>
      </w:r>
      <w:r>
        <w:t xml:space="preserve">For</w:t>
      </w:r>
      <w:r>
        <w:t xml:space="preserve"> </w:t>
      </w:r>
      <w:r>
        <w:t xml:space="preserve">Settlement</w:t>
      </w:r>
      <w:r>
        <w:t xml:space="preserve"> </w:t>
      </w:r>
      <w:r>
        <w:t xml:space="preserve">Discussion</w:t>
      </w:r>
      <w:r>
        <w:t xml:space="preserve"> </w:t>
      </w:r>
      <w:r>
        <w:t xml:space="preserve">Purposes</w:t>
      </w:r>
      <w:r>
        <w:t xml:space="preserve"> </w:t>
      </w:r>
      <w:r>
        <w:t xml:space="preserve">Only</w:t>
      </w:r>
      <w:r>
        <w:t xml:space="preserve"> </w:t>
      </w:r>
      <w:r>
        <w:t xml:space="preserve">(Fed.</w:t>
      </w:r>
      <w:r>
        <w:t xml:space="preserve"> </w:t>
      </w:r>
      <w:r>
        <w:t xml:space="preserve">R.</w:t>
      </w:r>
      <w:r>
        <w:t xml:space="preserve"> </w:t>
      </w:r>
      <w:r>
        <w:t xml:space="preserve">Evid.</w:t>
      </w:r>
      <w:r>
        <w:t xml:space="preserve"> </w:t>
      </w:r>
      <w:r>
        <w:t xml:space="preserve">408)</w:t>
      </w:r>
    </w:p>
    <w:bookmarkStart w:id="38" w:name="memorandum"/>
    <w:p>
      <w:pPr>
        <w:pStyle w:val="Heading1"/>
      </w:pPr>
      <w:r>
        <w:t xml:space="preserve">MEMORANDUM</w:t>
      </w:r>
    </w:p>
    <w:p>
      <w:pPr>
        <w:pStyle w:val="FirstParagraph"/>
      </w:pPr>
      <w:r>
        <w:rPr>
          <w:b/>
          <w:bCs/>
        </w:rPr>
        <w:t xml:space="preserve">PRIVILEGED &amp; CONFIDENTIAL</w:t>
      </w:r>
    </w:p>
    <w:p>
      <w:pPr>
        <w:pStyle w:val="BodyText"/>
      </w:pPr>
      <w:r>
        <w:rPr>
          <w:b/>
          <w:bCs/>
        </w:rPr>
        <w:t xml:space="preserve">WITHOUT PREJUDICE — FOR SETTLEMENT DISCUSSION PURPOSES ONLY</w:t>
      </w:r>
    </w:p>
    <w:p>
      <w:pPr>
        <w:pStyle w:val="BodyText"/>
      </w:pPr>
      <w:r>
        <w:rPr>
          <w:i/>
          <w:iCs/>
        </w:rPr>
        <w:t xml:space="preserve">This memorandum is submitted pursuant to Federal Rule of Evidence 408 and applicable state-law equivalents for the sole purpose of facilitating settlement of the open Intercreditor Agreement provisions. Nothing herein constitutes an admission of fact or law, a binding commitment, or a waiver of any right, and it may not be offered into evidence except to enforce any agreement reached as a result of these discussions. This memorandum is protected by the attorney-client privilege and the attorney work product doctrine. Do not forward or distribute without express authorization.</w:t>
      </w:r>
    </w:p>
    <w:p>
      <w:pPr>
        <w:pStyle w:val="BodyText"/>
      </w:pPr>
      <w:r>
        <w:rPr>
          <w:b/>
          <w:bCs/>
        </w:rPr>
        <w:t xml:space="preserve">TO:</w:t>
      </w:r>
      <w:r>
        <w:t xml:space="preserve"> </w:t>
      </w:r>
      <w:r>
        <w:t xml:space="preserve">Sandra Koh-Wexler, Chief Executive Officer, Meridian Industrial Holdings, Inc.</w:t>
      </w:r>
    </w:p>
    <w:p>
      <w:pPr>
        <w:pStyle w:val="BodyText"/>
      </w:pPr>
      <w:r>
        <w:rPr>
          <w:b/>
          <w:bCs/>
        </w:rPr>
        <w:t xml:space="preserve">CC:</w:t>
      </w:r>
      <w:r>
        <w:t xml:space="preserve"> </w:t>
      </w:r>
      <w:r>
        <w:t xml:space="preserve">Rachel Fong, General Counsel, Meridian Industrial Holdings, Inc.</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Clause Language for the Four Contested Provisions of the Intercreditor Agreement (dated as of July 31, 2025) — Presented as a Single Indivisible Package</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You have asked Kesswick, Tanaka &amp; Moreau LLP (</w:t>
      </w:r>
      <w:r>
        <w:t xml:space="preserve">“</w:t>
      </w:r>
      <w:r>
        <w:t xml:space="preserve">KTM</w:t>
      </w:r>
      <w:r>
        <w:t xml:space="preserve">”</w:t>
      </w:r>
      <w:r>
        <w:t xml:space="preserve">) to prepare proposed compromise language for the four contested provisions of the Intercreditor Agreement (the</w:t>
      </w:r>
      <w:r>
        <w:t xml:space="preserve"> </w:t>
      </w:r>
      <w:r>
        <w:t xml:space="preserve">“</w:t>
      </w:r>
      <w:r>
        <w:t xml:space="preserve">ICA</w:t>
      </w:r>
      <w:r>
        <w:t xml:space="preserve">”</w:t>
      </w:r>
      <w:r>
        <w:t xml:space="preserve">) to be entered into among Cartwright National Bank, N.A. (as First Lien Agent, the</w:t>
      </w:r>
      <w:r>
        <w:t xml:space="preserve"> </w:t>
      </w:r>
      <w:r>
        <w:t xml:space="preserve">“</w:t>
      </w:r>
      <w:r>
        <w:t xml:space="preserve">1L Agent</w:t>
      </w:r>
      <w:r>
        <w:t xml:space="preserve">”</w:t>
      </w:r>
      <w:r>
        <w:t xml:space="preserve">), Ridgeline Capital Partners, LP (as Second Lien Agent, the</w:t>
      </w:r>
      <w:r>
        <w:t xml:space="preserve"> </w:t>
      </w:r>
      <w:r>
        <w:t xml:space="preserve">“</w:t>
      </w:r>
      <w:r>
        <w:t xml:space="preserve">2L Agent</w:t>
      </w:r>
      <w:r>
        <w:t xml:space="preserve">”</w:t>
      </w:r>
      <w:r>
        <w:t xml:space="preserve">), and Meridian Industrial Holdings, Inc. (the</w:t>
      </w:r>
      <w:r>
        <w:t xml:space="preserve"> </w:t>
      </w:r>
      <w:r>
        <w:t xml:space="preserve">“</w:t>
      </w:r>
      <w:r>
        <w:t xml:space="preserve">Borrower</w:t>
      </w:r>
      <w:r>
        <w:t xml:space="preserve">”</w:t>
      </w:r>
      <w:r>
        <w:t xml:space="preserve">). ICA negotiations commenced on May 12, 2025, and have reached an impasse on four provisions: (i) Section 3.01(b) (Standstill Period); (ii) Section 5.01 (Second Lien Purchase Right); (iii) Section 2.03(c) (Permitted Second Lien Refinancing Indebtedness); and (iv) Section 4.02 (Application of Asset Disposition and Casualty Proceeds).</w:t>
      </w:r>
    </w:p>
    <w:p>
      <w:pPr>
        <w:pStyle w:val="BodyText"/>
      </w:pPr>
      <w:r>
        <w:t xml:space="preserve">The urgency is acute. The drop-dead date for closing is</w:t>
      </w:r>
      <w:r>
        <w:t xml:space="preserve"> </w:t>
      </w:r>
      <w:r>
        <w:rPr>
          <w:b/>
          <w:bCs/>
        </w:rPr>
        <w:t xml:space="preserve">July 31, 2025</w:t>
      </w:r>
      <w:r>
        <w:t xml:space="preserve"> </w:t>
      </w:r>
      <w:r>
        <w:t xml:space="preserve">(approximately 34 days from the date of this memorandum), and the Existing Credit Facility being refinanced matures on</w:t>
      </w:r>
      <w:r>
        <w:t xml:space="preserve"> </w:t>
      </w:r>
      <w:r>
        <w:rPr>
          <w:b/>
          <w:bCs/>
        </w:rPr>
        <w:t xml:space="preserve">August 15, 2025</w:t>
      </w:r>
      <w:r>
        <w:t xml:space="preserve"> </w:t>
      </w:r>
      <w:r>
        <w:t xml:space="preserve">— a 15-day margin that leaves no room for slippage. The compromise terms set forth below are designed to be credible and closeable within that window, so that the parties can move directly to definitive documentation without another round of positional bargaining.</w:t>
      </w:r>
    </w:p>
    <w:p>
      <w:pPr>
        <w:pStyle w:val="BodyText"/>
      </w:pPr>
      <w:r>
        <w:t xml:space="preserve">As you instructed, the four proposals are presented as a</w:t>
      </w:r>
      <w:r>
        <w:t xml:space="preserve"> </w:t>
      </w:r>
      <w:r>
        <w:rPr>
          <w:b/>
          <w:bCs/>
        </w:rPr>
        <w:t xml:space="preserve">single, integrated, indivisible package</w:t>
      </w:r>
      <w:r>
        <w:t xml:space="preserve">. The concessions on each provision are linked to, and balanced against, the concessions on the others. Unbundling the package would undermine the overall balance and is not contemplated. Meridian’s willingness to actively endorse and advocate for this package to both agents is, in our judgment, the most effective available mechanism for breaking the deadlock, and the package has been calibrated so that Meridian can genuinely endorse it with both lender groups.</w:t>
      </w:r>
    </w:p>
    <w:p>
      <w:pPr>
        <w:pStyle w:val="BodyText"/>
      </w:pPr>
      <w:r>
        <w:t xml:space="preserve">This memorandum draws on: (a) the position letters from Aldgate &amp; Pryor LLP (on behalf of the 1L Agent, dated June 20, 2025) and Sternfeld Yates &amp; Carroll LLP (on behalf of the 2L Agent, dated June 23, 2025); (b) the informal, without-prejudice flexibility guidance communicated by Thomas Buchanan III (1L Agent’s counsel) and Naomi Oduya (2L Agent’s counsel); (c) the KTM market survey of 42 first lien / second lien intercreditor agreements closed between January 2022 and December 2024 (the</w:t>
      </w:r>
      <w:r>
        <w:t xml:space="preserve"> </w:t>
      </w:r>
      <w:r>
        <w:t xml:space="preserve">“</w:t>
      </w:r>
      <w:r>
        <w:t xml:space="preserve">KTM Survey</w:t>
      </w:r>
      <w:r>
        <w:t xml:space="preserve">”</w:t>
      </w:r>
      <w:r>
        <w:t xml:space="preserve">); (d) the lender appraisal of Meridian’s Total Enterprise Value; (e) the Meridian capital structure summary; and (f) the working drafts of the ICA, the First Lien Credit Agreement, and the Second Lien Credit Agreement.</w:t>
      </w:r>
    </w:p>
    <w:bookmarkEnd w:id="20"/>
    <w:bookmarkStart w:id="21" w:name="ii.-capital-structure-and-market-context"/>
    <w:p>
      <w:pPr>
        <w:pStyle w:val="Heading2"/>
      </w:pPr>
      <w:r>
        <w:t xml:space="preserve">II. Capital Structure and Market Context</w:t>
      </w:r>
    </w:p>
    <w:p>
      <w:pPr>
        <w:pStyle w:val="FirstParagraph"/>
      </w:pPr>
      <w:r>
        <w:t xml:space="preserve">The compromise package is calibrated to the agreed capital structure and to current market practice. The relevant metrics, which both agents have acknowledged in their position letters,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First Lien Facility ($125M Revolver + $350M Term Loan A)</w:t>
            </w:r>
          </w:p>
        </w:tc>
        <w:tc>
          <w:tcPr/>
          <w:p>
            <w:pPr>
              <w:pStyle w:val="Compact"/>
              <w:jc w:val="left"/>
            </w:pPr>
            <w:r>
              <w:t xml:space="preserve">$475,000,000</w:t>
            </w:r>
          </w:p>
        </w:tc>
        <w:tc>
          <w:tcPr/>
          <w:p>
            <w:pPr>
              <w:pStyle w:val="Compact"/>
              <w:jc w:val="left"/>
            </w:pPr>
            <w:r>
              <w:t xml:space="preserve">Capital structure summary</w:t>
            </w: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Capital structure summary</w:t>
            </w:r>
          </w:p>
        </w:tc>
      </w:tr>
      <w:tr>
        <w:tc>
          <w:tcPr/>
          <w:p>
            <w:pPr>
              <w:pStyle w:val="Compact"/>
              <w:jc w:val="left"/>
            </w:pPr>
            <w:r>
              <w:t xml:space="preserve">Total Secured Debt</w:t>
            </w:r>
          </w:p>
        </w:tc>
        <w:tc>
          <w:tcPr/>
          <w:p>
            <w:pPr>
              <w:pStyle w:val="Compact"/>
              <w:jc w:val="left"/>
            </w:pPr>
            <w:r>
              <w:t xml:space="preserve">$625,000,000</w:t>
            </w:r>
          </w:p>
        </w:tc>
        <w:tc>
          <w:tcPr/>
          <w:p>
            <w:pPr>
              <w:pStyle w:val="Compact"/>
              <w:jc w:val="left"/>
            </w:pPr>
            <w:r>
              <w:t xml:space="preserve">Capital structure summary</w:t>
            </w:r>
          </w:p>
        </w:tc>
      </w:tr>
      <w:tr>
        <w:tc>
          <w:tcPr/>
          <w:p>
            <w:pPr>
              <w:pStyle w:val="Compact"/>
              <w:jc w:val="left"/>
            </w:pPr>
            <w:r>
              <w:t xml:space="preserve">Total Enterprise Value (appraised, May 15, 2025)</w:t>
            </w:r>
          </w:p>
        </w:tc>
        <w:tc>
          <w:tcPr/>
          <w:p>
            <w:pPr>
              <w:pStyle w:val="Compact"/>
              <w:jc w:val="left"/>
            </w:pPr>
            <w:r>
              <w:t xml:space="preserve">~$640,000,000 (range $620M–$660M)</w:t>
            </w:r>
          </w:p>
        </w:tc>
        <w:tc>
          <w:tcPr/>
          <w:p>
            <w:pPr>
              <w:pStyle w:val="Compact"/>
              <w:jc w:val="left"/>
            </w:pPr>
            <w:r>
              <w:t xml:space="preserve">Lender appraisal</w:t>
            </w:r>
          </w:p>
        </w:tc>
      </w:tr>
      <w:tr>
        <w:tc>
          <w:tcPr/>
          <w:p>
            <w:pPr>
              <w:pStyle w:val="Compact"/>
              <w:jc w:val="left"/>
            </w:pPr>
            <w:r>
              <w:t xml:space="preserve">First Lien Loan-to-Value</w:t>
            </w:r>
          </w:p>
        </w:tc>
        <w:tc>
          <w:tcPr/>
          <w:p>
            <w:pPr>
              <w:pStyle w:val="Compact"/>
              <w:jc w:val="left"/>
            </w:pPr>
            <w:r>
              <w:t xml:space="preserve">74.22%</w:t>
            </w:r>
          </w:p>
        </w:tc>
        <w:tc>
          <w:tcPr/>
          <w:p>
            <w:pPr>
              <w:pStyle w:val="Compact"/>
              <w:jc w:val="left"/>
            </w:pPr>
            <w:r>
              <w:t xml:space="preserve">$475M ÷ $640M</w:t>
            </w:r>
          </w:p>
        </w:tc>
      </w:tr>
      <w:tr>
        <w:tc>
          <w:tcPr/>
          <w:p>
            <w:pPr>
              <w:pStyle w:val="Compact"/>
              <w:jc w:val="left"/>
            </w:pPr>
            <w:r>
              <w:t xml:space="preserve">Total Loan-to-Value</w:t>
            </w:r>
          </w:p>
        </w:tc>
        <w:tc>
          <w:tcPr/>
          <w:p>
            <w:pPr>
              <w:pStyle w:val="Compact"/>
              <w:jc w:val="left"/>
            </w:pPr>
            <w:r>
              <w:t xml:space="preserve">97.66%</w:t>
            </w:r>
          </w:p>
        </w:tc>
        <w:tc>
          <w:tcPr/>
          <w:p>
            <w:pPr>
              <w:pStyle w:val="Compact"/>
              <w:jc w:val="left"/>
            </w:pPr>
            <w:r>
              <w:t xml:space="preserve">$625M ÷ $640M</w:t>
            </w:r>
          </w:p>
        </w:tc>
      </w:tr>
      <w:tr>
        <w:tc>
          <w:tcPr/>
          <w:p>
            <w:pPr>
              <w:pStyle w:val="Compact"/>
              <w:jc w:val="left"/>
            </w:pPr>
            <w:r>
              <w:t xml:space="preserve">Second Lien Equity Cushion</w:t>
            </w:r>
          </w:p>
        </w:tc>
        <w:tc>
          <w:tcPr/>
          <w:p>
            <w:pPr>
              <w:pStyle w:val="Compact"/>
              <w:jc w:val="left"/>
            </w:pPr>
            <w:r>
              <w:t xml:space="preserve">25.78% (~$165M absolute)</w:t>
            </w:r>
          </w:p>
        </w:tc>
        <w:tc>
          <w:tcPr/>
          <w:p>
            <w:pPr>
              <w:pStyle w:val="Compact"/>
              <w:jc w:val="left"/>
            </w:pPr>
            <w:r>
              <w:t xml:space="preserve">($640M − $475M) ÷ $640M</w:t>
            </w:r>
          </w:p>
        </w:tc>
      </w:tr>
      <w:tr>
        <w:tc>
          <w:tcPr/>
          <w:p>
            <w:pPr>
              <w:pStyle w:val="Compact"/>
              <w:jc w:val="left"/>
            </w:pPr>
            <w:r>
              <w:t xml:space="preserve">LTM EBITDA</w:t>
            </w:r>
          </w:p>
        </w:tc>
        <w:tc>
          <w:tcPr/>
          <w:p>
            <w:pPr>
              <w:pStyle w:val="Compact"/>
              <w:jc w:val="left"/>
            </w:pPr>
            <w:r>
              <w:t xml:space="preserve">$89.4M</w:t>
            </w:r>
          </w:p>
        </w:tc>
        <w:tc>
          <w:tcPr/>
          <w:p>
            <w:pPr>
              <w:pStyle w:val="Compact"/>
              <w:jc w:val="left"/>
            </w:pPr>
            <w:r>
              <w:t xml:space="preserve">Borrower-reported</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t xml:space="preserve">Total Leverage</w:t>
            </w:r>
          </w:p>
        </w:tc>
        <w:tc>
          <w:tcPr/>
          <w:p>
            <w:pPr>
              <w:pStyle w:val="Compact"/>
              <w:jc w:val="left"/>
            </w:pPr>
            <w:r>
              <w:t xml:space="preserve">6.99x</w:t>
            </w:r>
          </w:p>
        </w:tc>
        <w:tc>
          <w:tcPr/>
          <w:p>
            <w:pPr>
              <w:pStyle w:val="Compact"/>
              <w:jc w:val="left"/>
            </w:pPr>
            <w:r>
              <w:t xml:space="preserve">$625M ÷ $89.4M</w:t>
            </w:r>
          </w:p>
        </w:tc>
      </w:tr>
      <w:tr>
        <w:tc>
          <w:tcPr/>
          <w:p>
            <w:pPr>
              <w:pStyle w:val="Compact"/>
              <w:jc w:val="left"/>
            </w:pPr>
            <w:r>
              <w:t xml:space="preserve">1L pricing / maturity</w:t>
            </w:r>
          </w:p>
        </w:tc>
        <w:tc>
          <w:tcPr/>
          <w:p>
            <w:pPr>
              <w:pStyle w:val="Compact"/>
              <w:jc w:val="left"/>
            </w:pPr>
            <w:r>
              <w:t xml:space="preserve">SOFR + 250 bps (floating); June 15, 2030</w:t>
            </w:r>
          </w:p>
        </w:tc>
        <w:tc>
          <w:tcPr/>
          <w:p>
            <w:pPr>
              <w:pStyle w:val="Compact"/>
              <w:jc w:val="left"/>
            </w:pPr>
            <w:r>
              <w:t xml:space="preserve">Credit agreements</w:t>
            </w:r>
          </w:p>
        </w:tc>
      </w:tr>
      <w:tr>
        <w:tc>
          <w:tcPr/>
          <w:p>
            <w:pPr>
              <w:pStyle w:val="Compact"/>
              <w:jc w:val="left"/>
            </w:pPr>
            <w:r>
              <w:t xml:space="preserve">2L pricing / maturity</w:t>
            </w:r>
          </w:p>
        </w:tc>
        <w:tc>
          <w:tcPr/>
          <w:p>
            <w:pPr>
              <w:pStyle w:val="Compact"/>
              <w:jc w:val="left"/>
            </w:pPr>
            <w:r>
              <w:t xml:space="preserve">SOFR + 625 bps (floating); June 15, 2031</w:t>
            </w:r>
          </w:p>
        </w:tc>
        <w:tc>
          <w:tcPr/>
          <w:p>
            <w:pPr>
              <w:pStyle w:val="Compact"/>
              <w:jc w:val="left"/>
            </w:pPr>
            <w:r>
              <w:t xml:space="preserve">Credit agreements</w:t>
            </w:r>
          </w:p>
        </w:tc>
      </w:tr>
      <w:tr>
        <w:tc>
          <w:tcPr/>
          <w:p>
            <w:pPr>
              <w:pStyle w:val="Compact"/>
              <w:jc w:val="left"/>
            </w:pPr>
            <w:r>
              <w:t xml:space="preserve">SOFR (as of June 27, 2025)</w:t>
            </w:r>
          </w:p>
        </w:tc>
        <w:tc>
          <w:tcPr/>
          <w:p>
            <w:pPr>
              <w:pStyle w:val="Compact"/>
              <w:jc w:val="left"/>
            </w:pPr>
            <w:r>
              <w:t xml:space="preserve">5.33%</w:t>
            </w:r>
          </w:p>
        </w:tc>
        <w:tc>
          <w:tcPr/>
          <w:p>
            <w:pPr>
              <w:pStyle w:val="Compact"/>
              <w:jc w:val="left"/>
            </w:pPr>
            <w:r>
              <w:t xml:space="preserve">Used for all illustrative calculations</w:t>
            </w:r>
          </w:p>
        </w:tc>
      </w:tr>
      <w:tr>
        <w:tc>
          <w:tcPr/>
          <w:p>
            <w:pPr>
              <w:pStyle w:val="Compact"/>
              <w:jc w:val="left"/>
            </w:pPr>
            <w:r>
              <w:t xml:space="preserve">1L all-in non-default rate (illustrative)</w:t>
            </w:r>
          </w:p>
        </w:tc>
        <w:tc>
          <w:tcPr/>
          <w:p>
            <w:pPr>
              <w:pStyle w:val="Compact"/>
              <w:jc w:val="left"/>
            </w:pPr>
            <w:r>
              <w:t xml:space="preserve">7.83%</w:t>
            </w:r>
          </w:p>
        </w:tc>
        <w:tc>
          <w:tcPr/>
          <w:p>
            <w:pPr>
              <w:pStyle w:val="Compact"/>
              <w:jc w:val="left"/>
            </w:pPr>
            <w:r>
              <w:t xml:space="preserve">5.33% + 2.50%</w:t>
            </w:r>
          </w:p>
        </w:tc>
      </w:tr>
      <w:tr>
        <w:tc>
          <w:tcPr/>
          <w:p>
            <w:pPr>
              <w:pStyle w:val="Compact"/>
              <w:jc w:val="left"/>
            </w:pPr>
            <w:r>
              <w:t xml:space="preserve">1L default rate (illustrative)</w:t>
            </w:r>
          </w:p>
        </w:tc>
        <w:tc>
          <w:tcPr/>
          <w:p>
            <w:pPr>
              <w:pStyle w:val="Compact"/>
              <w:jc w:val="left"/>
            </w:pPr>
            <w:r>
              <w:t xml:space="preserve">9.83%</w:t>
            </w:r>
          </w:p>
        </w:tc>
        <w:tc>
          <w:tcPr/>
          <w:p>
            <w:pPr>
              <w:pStyle w:val="Compact"/>
              <w:jc w:val="left"/>
            </w:pPr>
            <w:r>
              <w:t xml:space="preserve">5.33% + 4.50% (non-default + 200 bps)</w:t>
            </w:r>
          </w:p>
        </w:tc>
      </w:tr>
      <w:tr>
        <w:tc>
          <w:tcPr/>
          <w:p>
            <w:pPr>
              <w:pStyle w:val="Compact"/>
              <w:jc w:val="left"/>
            </w:pPr>
            <w:r>
              <w:t xml:space="preserve">2L all-in non-default rate (illustrative)</w:t>
            </w:r>
          </w:p>
        </w:tc>
        <w:tc>
          <w:tcPr/>
          <w:p>
            <w:pPr>
              <w:pStyle w:val="Compact"/>
              <w:jc w:val="left"/>
            </w:pPr>
            <w:r>
              <w:t xml:space="preserve">11.58%</w:t>
            </w:r>
          </w:p>
        </w:tc>
        <w:tc>
          <w:tcPr/>
          <w:p>
            <w:pPr>
              <w:pStyle w:val="Compact"/>
              <w:jc w:val="left"/>
            </w:pPr>
            <w:r>
              <w:t xml:space="preserve">5.33% + 6.25%</w:t>
            </w:r>
          </w:p>
        </w:tc>
      </w:tr>
      <w:tr>
        <w:tc>
          <w:tcPr/>
          <w:p>
            <w:pPr>
              <w:pStyle w:val="Compact"/>
              <w:jc w:val="left"/>
            </w:pPr>
            <w:r>
              <w:t xml:space="preserve">2L financial maintenance covenant</w:t>
            </w:r>
          </w:p>
        </w:tc>
        <w:tc>
          <w:tcPr/>
          <w:p>
            <w:pPr>
              <w:pStyle w:val="Compact"/>
              <w:jc w:val="left"/>
            </w:pPr>
            <w:r>
              <w:t xml:space="preserve">Total Leverage ≤ 6.5x</w:t>
            </w:r>
          </w:p>
        </w:tc>
        <w:tc>
          <w:tcPr/>
          <w:p>
            <w:pPr>
              <w:pStyle w:val="Compact"/>
              <w:jc w:val="left"/>
            </w:pPr>
            <w:r>
              <w:t xml:space="preserve">Second Lien Credit Agreement § 7.08</w:t>
            </w:r>
          </w:p>
        </w:tc>
      </w:tr>
      <w:tr>
        <w:tc>
          <w:tcPr/>
          <w:p>
            <w:pPr>
              <w:pStyle w:val="Compact"/>
              <w:jc w:val="left"/>
            </w:pPr>
            <w:r>
              <w:t xml:space="preserve">1L financial maintenance covenants</w:t>
            </w:r>
          </w:p>
        </w:tc>
        <w:tc>
          <w:tcPr/>
          <w:p>
            <w:pPr>
              <w:pStyle w:val="Compact"/>
              <w:jc w:val="left"/>
            </w:pPr>
            <w:r>
              <w:t xml:space="preserve">Total First Lien Net Leverage ≤ 5.50x; Interest Coverage ≥ 2.00x</w:t>
            </w:r>
          </w:p>
        </w:tc>
        <w:tc>
          <w:tcPr/>
          <w:p>
            <w:pPr>
              <w:pStyle w:val="Compact"/>
              <w:jc w:val="left"/>
            </w:pPr>
            <w:r>
              <w:t xml:space="preserve">First Lien Credit Agreement § 6.10</w:t>
            </w:r>
          </w:p>
        </w:tc>
      </w:tr>
    </w:tbl>
    <w:p>
      <w:pPr>
        <w:pStyle w:val="BodyText"/>
      </w:pPr>
      <w:r>
        <w:t xml:space="preserve">Two features of this capital structure drive every compromise below. First, the</w:t>
      </w:r>
      <w:r>
        <w:t xml:space="preserve"> </w:t>
      </w:r>
      <w:r>
        <w:rPr>
          <w:b/>
          <w:bCs/>
        </w:rPr>
        <w:t xml:space="preserve">Total LTV of 97.66%</w:t>
      </w:r>
      <w:r>
        <w:t xml:space="preserve"> </w:t>
      </w:r>
      <w:r>
        <w:t xml:space="preserve">means aggregate secured debt nearly equals enterprise value, so the 1L Agent’s insistence on structural protection against leakage and premature enforcement is well-founded. Second, the</w:t>
      </w:r>
      <w:r>
        <w:t xml:space="preserve"> </w:t>
      </w:r>
      <w:r>
        <w:rPr>
          <w:b/>
          <w:bCs/>
        </w:rPr>
        <w:t xml:space="preserve">second lien equity cushion of only 25.78%</w:t>
      </w:r>
      <w:r>
        <w:t xml:space="preserve"> </w:t>
      </w:r>
      <w:r>
        <w:t xml:space="preserve">means the 2L Agent’s insistence on meaningful remedies, a viable purchase right, and residual proceeds access is equally well-founded — those protections are the primary safeguard of the $150M second lien investment. The KTM Survey confirms that the compromise positions below sit at or near the market median for transactions of comparable size, leverage, and structure, and several surveyed deals (notably Deal-007, a non-sponsor industrial credit with an identical $475M / $150M / $625M structure) are directly on point.</w:t>
      </w:r>
    </w:p>
    <w:bookmarkEnd w:id="21"/>
    <w:bookmarkStart w:id="22" w:name="X39820fc9557f0f072965899f4220e04ab1c7a9e"/>
    <w:p>
      <w:pPr>
        <w:pStyle w:val="Heading2"/>
      </w:pPr>
      <w:r>
        <w:t xml:space="preserve">III. The Compromise Package — Guiding Principles</w:t>
      </w:r>
    </w:p>
    <w:p>
      <w:pPr>
        <w:pStyle w:val="FirstParagraph"/>
      </w:pPr>
      <w:r>
        <w:t xml:space="preserve">The package is constructed on four principles, each of which should be emphasized to the agents:</w:t>
      </w:r>
    </w:p>
    <w:p>
      <w:pPr>
        <w:numPr>
          <w:ilvl w:val="0"/>
          <w:numId w:val="1001"/>
        </w:numPr>
      </w:pPr>
      <w:r>
        <w:rPr>
          <w:b/>
          <w:bCs/>
        </w:rPr>
        <w:t xml:space="preserve">Each term falls within both sides’ stated flexibility.</w:t>
      </w:r>
      <w:r>
        <w:t xml:space="preserve"> </w:t>
      </w:r>
      <w:r>
        <w:t xml:space="preserve">Every compromise position is supported by the without-prejudice guidance each agent’s counsel has already communicated. No party is being asked to move beyond the zone it has already identified as acceptable.</w:t>
      </w:r>
    </w:p>
    <w:p>
      <w:pPr>
        <w:numPr>
          <w:ilvl w:val="0"/>
          <w:numId w:val="1001"/>
        </w:numPr>
      </w:pPr>
      <w:r>
        <w:rPr>
          <w:b/>
          <w:bCs/>
        </w:rPr>
        <w:t xml:space="preserve">Each term is market-supported.</w:t>
      </w:r>
      <w:r>
        <w:t xml:space="preserve"> </w:t>
      </w:r>
      <w:r>
        <w:t xml:space="preserve">Every compromise position is at or near the median of the KTM Survey (42 deals, 2022–2024), and the most directly comparable deal (Deal-007) tracks the compromise on multiple provisions.</w:t>
      </w:r>
    </w:p>
    <w:p>
      <w:pPr>
        <w:numPr>
          <w:ilvl w:val="0"/>
          <w:numId w:val="1001"/>
        </w:numPr>
      </w:pPr>
      <w:r>
        <w:rPr>
          <w:b/>
          <w:bCs/>
        </w:rPr>
        <w:t xml:space="preserve">The package is balanced.</w:t>
      </w:r>
      <w:r>
        <w:t xml:space="preserve"> </w:t>
      </w:r>
      <w:r>
        <w:t xml:space="preserve">The 1L Agent preserves par recovery on funded debt, a hard sweep on large asset sales, a standstill well above its stated floor, and an MFN-protected refinancing regime. The 2L Agent obtains a standstill within its stated ceiling with meaningful early-termination triggers, a purchase right priced at the non-default rate with optional (not mandatory) revolver assumption, a refinancing permission with fees/costs headroom, and residual proceeds access. Meridian preserves operational flexibility (reinvestment for ordinary-course asset sales) and a realistic path to closing.</w:t>
      </w:r>
    </w:p>
    <w:p>
      <w:pPr>
        <w:numPr>
          <w:ilvl w:val="0"/>
          <w:numId w:val="1001"/>
        </w:numPr>
      </w:pPr>
      <w:r>
        <w:rPr>
          <w:b/>
          <w:bCs/>
        </w:rPr>
        <w:t xml:space="preserve">The package is indivisible.</w:t>
      </w:r>
      <w:r>
        <w:t xml:space="preserve"> </w:t>
      </w:r>
      <w:r>
        <w:t xml:space="preserve">The concessions are interdependent. For example, the 1L Agent’s acceptance of optional (rather than mandatory) revolver assumption and non-default-rate interest on the purchase price is balanced by the 2L Agent’s acceptance of a 180-day standstill (double its opening 90-day position) and a 10% (rather than 20%) refinancing cap. Unbundling would allow either side to cherry-pick the concessions favorable to it while withholding the offsetting concessions, destroying the balance. The package should be presented, negotiated, and (if agreed) documented as a whole.</w:t>
      </w:r>
    </w:p>
    <w:bookmarkEnd w:id="22"/>
    <w:bookmarkStart w:id="25" w:name="iv.-section-3.01b-standstill-period"/>
    <w:p>
      <w:pPr>
        <w:pStyle w:val="Heading2"/>
      </w:pPr>
      <w:r>
        <w:t xml:space="preserve">IV. Section 3.01(b) — Standstill Period</w:t>
      </w:r>
    </w:p>
    <w:bookmarkStart w:id="23" w:name="a.-proposed-compromise-language"/>
    <w:p>
      <w:pPr>
        <w:pStyle w:val="Heading3"/>
      </w:pPr>
      <w:r>
        <w:t xml:space="preserve">A. Proposed Compromise Language</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w:t>
      </w:r>
      <w:r>
        <w:t xml:space="preserve"> </w:t>
      </w:r>
      <w:r>
        <w:rPr>
          <w:b/>
          <w:bCs/>
        </w:rPr>
        <w:t xml:space="preserve">one hundred eighty (180) days</w:t>
      </w:r>
      <w:r>
        <w:t xml:space="preserve"> </w:t>
      </w:r>
      <w:r>
        <w:t xml:space="preserve">following delivery by the First Lien Agent to the Second Lien Agent of a written notice (a</w:t>
      </w:r>
      <w:r>
        <w:t xml:space="preserve"> </w:t>
      </w:r>
      <w:r>
        <w:t xml:space="preserve">“</w:t>
      </w:r>
      <w:r>
        <w:rPr>
          <w:b/>
          <w:bCs/>
        </w:rPr>
        <w:t xml:space="preserve">Blockage Notice</w:t>
      </w:r>
      <w:r>
        <w:t xml:space="preserve">”</w:t>
      </w:r>
      <w:r>
        <w:t xml:space="preserve">) specifying the Second Lien Default giving rise thereto (the</w:t>
      </w:r>
      <w:r>
        <w:t xml:space="preserve"> </w:t>
      </w:r>
      <w:r>
        <w:t xml:space="preserve">“</w:t>
      </w:r>
      <w:r>
        <w:rPr>
          <w:b/>
          <w:bCs/>
        </w:rPr>
        <w:t xml:space="preserve">Standstill Period</w:t>
      </w:r>
      <w:r>
        <w:t xml:space="preserve">”</w:t>
      </w:r>
      <w:r>
        <w:t xml:space="preserve">). The Standstill Period shall be measured from the date of actual receipt of the Blockage Notice by the Second Lien Agent.</w:t>
      </w:r>
    </w:p>
    <w:p>
      <w:pPr>
        <w:pStyle w:val="BlockText"/>
      </w:pPr>
      <w:r>
        <w:rPr>
          <w:b/>
          <w:bCs/>
        </w:rPr>
        <w:t xml:space="preserve">Early Termination.</w:t>
      </w:r>
      <w:r>
        <w:t xml:space="preserve"> </w:t>
      </w:r>
      <w:r>
        <w:t xml:space="preserve">Notwithstanding the foregoing, the Standstill Period shall terminate prior to the expiration of the 180-day period upon the occurrence of any of the following early termination events (each, an</w:t>
      </w:r>
      <w:r>
        <w:t xml:space="preserve"> </w:t>
      </w:r>
      <w:r>
        <w:t xml:space="preserve">“</w:t>
      </w:r>
      <w:r>
        <w:rPr>
          <w:b/>
          <w:bCs/>
        </w:rPr>
        <w:t xml:space="preserve">Early Termination Event</w:t>
      </w:r>
      <w:r>
        <w:t xml:space="preserve">”</w:t>
      </w:r>
      <w:r>
        <w:t xml:space="preserve">), each of which shall be objectively verifiable:</w:t>
      </w:r>
    </w:p>
    <w:p>
      <w:pPr>
        <w:pStyle w:val="BlockText"/>
        <w:numPr>
          <w:ilvl w:val="0"/>
          <w:numId w:val="1002"/>
        </w:numPr>
      </w:pPr>
      <w:r>
        <w:rPr>
          <w:b/>
          <w:bCs/>
        </w:rPr>
        <w:t xml:space="preserve">Sale or Liquidation of Substantially All Collateral.</w:t>
      </w:r>
      <w:r>
        <w:t xml:space="preserve"> </w:t>
      </w:r>
      <w:r>
        <w:t xml:space="preserve">The First Lien Agent (or any First Lien Secured Party) shall have consummated a sale, transfer, or other disposition of substantially all of the Collateral (whether under Article 9 of the UCC, Section 363 of the Bankruptcy Code, or otherwise), or a motion for the sale of substantially all of the Collateral under Section 363 of the Bankruptcy Code shall have been filed and noticed without the consent of the Second Lien Agent;</w:t>
      </w:r>
    </w:p>
    <w:p>
      <w:pPr>
        <w:pStyle w:val="BlockText"/>
        <w:numPr>
          <w:ilvl w:val="0"/>
          <w:numId w:val="1002"/>
        </w:numPr>
      </w:pPr>
      <w:r>
        <w:rPr>
          <w:b/>
          <w:bCs/>
        </w:rPr>
        <w:t xml:space="preserve">Cessation of Enforcement.</w:t>
      </w:r>
      <w:r>
        <w:t xml:space="preserve"> </w:t>
      </w:r>
      <w:r>
        <w:t xml:space="preserve">The First Lien Agent shall have failed to take any enforcement action with respect to the Collateral for a period of</w:t>
      </w:r>
      <w:r>
        <w:t xml:space="preserve"> </w:t>
      </w:r>
      <w:r>
        <w:rPr>
          <w:b/>
          <w:bCs/>
        </w:rPr>
        <w:t xml:space="preserve">sixty (60) consecutive days</w:t>
      </w:r>
      <w:r>
        <w:t xml:space="preserve"> </w:t>
      </w:r>
      <w:r>
        <w:t xml:space="preserve">during the Standstill Period after having commenced an enforcement action; or</w:t>
      </w:r>
    </w:p>
    <w:p>
      <w:pPr>
        <w:pStyle w:val="BlockText"/>
        <w:numPr>
          <w:ilvl w:val="0"/>
          <w:numId w:val="1002"/>
        </w:numPr>
      </w:pPr>
      <w:r>
        <w:rPr>
          <w:b/>
          <w:bCs/>
        </w:rPr>
        <w:t xml:space="preserve">Plan Impairment Without Consent.</w:t>
      </w:r>
      <w:r>
        <w:t xml:space="preserve"> </w:t>
      </w:r>
      <w:r>
        <w:t xml:space="preserve">A plan of reorganization or liquidation shall have been filed in an Insolvency Proceeding that impairs the Second Lien Obligations without the consent of the Second Lien Agent.</w:t>
      </w:r>
    </w:p>
    <w:p>
      <w:pPr>
        <w:pStyle w:val="BlockText"/>
      </w:pPr>
      <w:r>
        <w:t xml:space="preserve">Upon the occurrence of any Early Termination Event, the Standstill Period shall terminate immediately, and the Second Lien Agent may exercise any and all rights and remedies available to it under the Second Lien Loan Documents and applicable law with respect to the Collateral, subject to Section 3.03 and the priority and subordination provisions of this Agreement (which shall continue in full force and effect).</w:t>
      </w:r>
    </w:p>
    <w:p>
      <w:pPr>
        <w:pStyle w:val="BlockText"/>
      </w:pPr>
      <w:r>
        <w:rPr>
          <w:b/>
          <w:bCs/>
        </w:rPr>
        <w:t xml:space="preserve">Blockage Notice Cap.</w:t>
      </w:r>
      <w:r>
        <w:t xml:space="preserve"> </w:t>
      </w:r>
      <w:r>
        <w:t xml:space="preserve">The First Lien Agent may not deliver Blockage Notices such that Standstill Periods are in effect for more than</w:t>
      </w:r>
      <w:r>
        <w:t xml:space="preserve"> </w:t>
      </w:r>
      <w:r>
        <w:rPr>
          <w:b/>
          <w:bCs/>
        </w:rPr>
        <w:t xml:space="preserve">one hundred eighty (180) days in the aggregate during any rolling three hundred sixty (360)-day period</w:t>
      </w:r>
      <w:r>
        <w:t xml:space="preserve">. For the avoidance of doubt, this cap limits the aggregate duration of standstills, not the number of Blockage Notices, and a new Standstill Period may be commenced in connection with any subsequently occurring (or recurring) Second Lien Default so long as the aggregate-duration cap is not exceeded. The Standstill Period shall be tolled, and shall not run, during the pendency of any Insolvency Proceeding with respect to the Borrower or any loan party.</w:t>
      </w:r>
    </w:p>
    <w:bookmarkEnd w:id="23"/>
    <w:bookmarkStart w:id="24" w:name="b.-negotiation-rationale"/>
    <w:p>
      <w:pPr>
        <w:pStyle w:val="Heading3"/>
      </w:pPr>
      <w:r>
        <w:t xml:space="preserve">B. Negotiation Rationale</w:t>
      </w:r>
    </w:p>
    <w:p>
      <w:pPr>
        <w:pStyle w:val="FirstParagraph"/>
      </w:pPr>
      <w:r>
        <w:rPr>
          <w:b/>
          <w:bCs/>
        </w:rPr>
        <w:t xml:space="preserve">Duration — 180 days.</w:t>
      </w:r>
      <w:r>
        <w:t xml:space="preserve"> </w:t>
      </w:r>
      <w:r>
        <w:t xml:space="preserve">The 1L Agent opened at 270 days; the 2L Agent opened at 90 days. The 1L Agent’s counsel has confirmed that the Cartwright credit committee has approved a</w:t>
      </w:r>
      <w:r>
        <w:t xml:space="preserve"> </w:t>
      </w:r>
      <w:r>
        <w:rPr>
          <w:b/>
          <w:bCs/>
        </w:rPr>
        <w:t xml:space="preserve">minimum standstill of 150 days</w:t>
      </w:r>
      <w:r>
        <w:t xml:space="preserve"> </w:t>
      </w:r>
      <w:r>
        <w:t xml:space="preserve">(the hard floor) and that the syndicate</w:t>
      </w:r>
      <w:r>
        <w:t xml:space="preserve"> </w:t>
      </w:r>
      <w:r>
        <w:t xml:space="preserve">“</w:t>
      </w:r>
      <w:r>
        <w:t xml:space="preserve">could live with something in the 150- to 180-day range.</w:t>
      </w:r>
      <w:r>
        <w:t xml:space="preserve">”</w:t>
      </w:r>
      <w:r>
        <w:t xml:space="preserve"> </w:t>
      </w:r>
      <w:r>
        <w:t xml:space="preserve">The 2L Agent’s counsel has confirmed that Ridgeline</w:t>
      </w:r>
      <w:r>
        <w:t xml:space="preserve"> </w:t>
      </w:r>
      <w:r>
        <w:t xml:space="preserve">“</w:t>
      </w:r>
      <w:r>
        <w:t xml:space="preserve">can accept up to a</w:t>
      </w:r>
      <w:r>
        <w:t xml:space="preserve"> </w:t>
      </w:r>
      <w:r>
        <w:rPr>
          <w:b/>
          <w:bCs/>
        </w:rPr>
        <w:t xml:space="preserve">180-day standstill</w:t>
      </w:r>
      <w:r>
        <w:t xml:space="preserve">, but only if the ICA includes meaningful early termination triggers.</w:t>
      </w:r>
      <w:r>
        <w:t xml:space="preserve">”</w:t>
      </w:r>
      <w:r>
        <w:t xml:space="preserve"> </w:t>
      </w:r>
      <w:r>
        <w:t xml:space="preserve">A 180-day standstill therefore sits at the precise intersection of the two sides’ stated zones of flexibility — at the top of the 1L Agent’s acceptable range and at the ceiling of the 2L Agent’s acceptable range — and is the</w:t>
      </w:r>
      <w:r>
        <w:t xml:space="preserve"> </w:t>
      </w:r>
      <w:r>
        <w:rPr>
          <w:b/>
          <w:bCs/>
        </w:rPr>
        <w:t xml:space="preserve">median of the KTM Survey</w:t>
      </w:r>
      <w:r>
        <w:t xml:space="preserve"> </w:t>
      </w:r>
      <w:r>
        <w:t xml:space="preserve">(180 days across 42 deals; mean 172.9 days; 25th percentile 150 days; 75th percentile 202.5 days). It is also the sponsor-backed median (180 days) and is consistent with the most directly comparable surveyed deal, Deal-007 (a non-sponsor industrial credit with an identical $475M / $150M / $625M structure), which provided for a 150-day standstill.</w:t>
      </w:r>
    </w:p>
    <w:p>
      <w:pPr>
        <w:pStyle w:val="BodyText"/>
      </w:pPr>
      <w:r>
        <w:rPr>
          <w:b/>
          <w:bCs/>
        </w:rPr>
        <w:t xml:space="preserve">Why 180 days is acceptable to the 1L Agent.</w:t>
      </w:r>
      <w:r>
        <w:t xml:space="preserve"> </w:t>
      </w:r>
      <w:r>
        <w:t xml:space="preserve">It is 30 days above the Cartwright credit committee’s hard floor of 150 days and within the 150–180 day range the syndicate has identified as acceptable. It provides a full two quarters for the 1L Agent to pursue a restructuring, orderly asset sale, or refinancing without competing 2L enforcement. Critically, the floating-rate structure means the 2L is compensated for the passage of time during the standstill: at the 2L non-default all-in rate of 11.58%, interest accrues on the $150M Second Lien Term Loan B at approximately</w:t>
      </w:r>
      <w:r>
        <w:t xml:space="preserve"> </w:t>
      </w:r>
      <w:r>
        <w:rPr>
          <w:b/>
          <w:bCs/>
        </w:rPr>
        <w:t xml:space="preserve">$17.37 million per annum</w:t>
      </w:r>
      <w:r>
        <w:t xml:space="preserve">, or approximately</w:t>
      </w:r>
      <w:r>
        <w:t xml:space="preserve"> </w:t>
      </w:r>
      <w:r>
        <w:rPr>
          <w:b/>
          <w:bCs/>
        </w:rPr>
        <w:t xml:space="preserve">$8.68 million over a 180-day standstill</w:t>
      </w:r>
      <w:r>
        <w:t xml:space="preserve"> </w:t>
      </w:r>
      <w:r>
        <w:t xml:space="preserve">(and at the 2L default rate of 13.58%, approximately $10.19 million over 180 days). This substantially mitigates the time-value cost the 1L Agent has cited as justifying a longer standstill.</w:t>
      </w:r>
    </w:p>
    <w:p>
      <w:pPr>
        <w:pStyle w:val="BodyText"/>
      </w:pPr>
      <w:r>
        <w:rPr>
          <w:b/>
          <w:bCs/>
        </w:rPr>
        <w:t xml:space="preserve">Why 180 days is acceptable to the 2L Agent.</w:t>
      </w:r>
      <w:r>
        <w:t xml:space="preserve"> </w:t>
      </w:r>
      <w:r>
        <w:t xml:space="preserve">It is half of the 1L Agent’s opening 270-day position and is the maximum the 2L Agent has indicated it can accept. It limits the period during which collateral value erosion can occur — a central 2L concern given the thin 25.78% equity cushion and the composition of Meridian’s collateral base, which the 2L Agent has specifically identified as consisting principally of manufacturing equipment (including CNC machining centers, industrial presses, and automated assembly lines), specialized inventory (including work-in-process and customer-specific finished goods with limited shelf life), and owned real property (including the primary manufacturing facility in Akron, Ohio, the distribution center in Greenville, South Carolina, and the corporate headquarters in Charlotte, North Carolina) — each of which is subject to accelerated depreciation, operational deterioration, or market risk during a period of financial distress. The 2L Agent has framed a 25.78% TEV decline over a 270-day standstill as a scenario that would reduce 2L recovery to zero, and a 15% TEV decline (to approximately $544 million) as reducing 2L theoretical recovery to approximately $69 million (46 cents on the dollar) before liquidation costs; halving the standstill to 180 days materially reduces that erosion window. The 2L Agent’s acceptance is, however, expressly conditioned on meaningful early-termination triggers, which the compromise provides.</w:t>
      </w:r>
    </w:p>
    <w:p>
      <w:pPr>
        <w:pStyle w:val="BodyText"/>
      </w:pPr>
      <w:r>
        <w:rPr>
          <w:b/>
          <w:bCs/>
        </w:rPr>
        <w:t xml:space="preserve">Trigger and measurement.</w:t>
      </w:r>
      <w:r>
        <w:t xml:space="preserve"> </w:t>
      </w:r>
      <w:r>
        <w:t xml:space="preserve">The compromise measures the Standstill Period from the date of actual receipt of the Blockage Notice by the Second Lien Agent, not from the occurrence of the underlying Second Lien Default. This adopts the 2L Agent’s specific position that the standstill trigger must be the formal commencement of the enforcement process (delivery and receipt of notice), not the potentially ambiguous and fact-dependent moment at which a default first arises, so that the 2L does not bear the consequences of any delay in the identification, investigation, or confirmation of a default prior to notice. It is consistent with the working ICA’s existing structure (under which the First Lien Agent delivers the Blockage Notice) and with the standard-form ICA’s Standstill Trigger Notice mechanic, and it gives both parties an objective, verifiable start date for the standstill clock.</w:t>
      </w:r>
    </w:p>
    <w:p>
      <w:pPr>
        <w:pStyle w:val="BodyText"/>
      </w:pPr>
      <w:r>
        <w:rPr>
          <w:b/>
          <w:bCs/>
        </w:rPr>
        <w:t xml:space="preserve">Early Termination Triggers.</w:t>
      </w:r>
      <w:r>
        <w:t xml:space="preserve"> </w:t>
      </w:r>
      <w:r>
        <w:t xml:space="preserve">The 1L Agent’s opening position was that no early termination events be available under any circumstance. The 1L Agent’s counsel has, however, confirmed that</w:t>
      </w:r>
      <w:r>
        <w:t xml:space="preserve"> </w:t>
      </w:r>
      <w:r>
        <w:t xml:space="preserve">“</w:t>
      </w:r>
      <w:r>
        <w:t xml:space="preserve">if a longer standstill — closer to 180 days — were paired with carefully defined early termination triggers, that is something the committee would be willing to consider,</w:t>
      </w:r>
      <w:r>
        <w:t xml:space="preserve">”</w:t>
      </w:r>
      <w:r>
        <w:t xml:space="preserve"> </w:t>
      </w:r>
      <w:r>
        <w:t xml:space="preserve">provided the triggers are</w:t>
      </w:r>
      <w:r>
        <w:t xml:space="preserve"> </w:t>
      </w:r>
      <w:r>
        <w:t xml:space="preserve">“</w:t>
      </w:r>
      <w:r>
        <w:t xml:space="preserve">narrow and objectively verifiable.</w:t>
      </w:r>
      <w:r>
        <w:t xml:space="preserve">”</w:t>
      </w:r>
      <w:r>
        <w:t xml:space="preserve"> </w:t>
      </w:r>
      <w:r>
        <w:t xml:space="preserve">The 2L Agent’s counsel has confirmed that early-termination triggers are a</w:t>
      </w:r>
      <w:r>
        <w:t xml:space="preserve"> </w:t>
      </w:r>
      <w:r>
        <w:t xml:space="preserve">“</w:t>
      </w:r>
      <w:r>
        <w:t xml:space="preserve">firm condition</w:t>
      </w:r>
      <w:r>
        <w:t xml:space="preserve">”</w:t>
      </w:r>
      <w:r>
        <w:t xml:space="preserve"> </w:t>
      </w:r>
      <w:r>
        <w:t xml:space="preserve">that</w:t>
      </w:r>
      <w:r>
        <w:t xml:space="preserve"> </w:t>
      </w:r>
      <w:r>
        <w:t xml:space="preserve">“</w:t>
      </w:r>
      <w:r>
        <w:t xml:space="preserve">cannot be decoupled</w:t>
      </w:r>
      <w:r>
        <w:t xml:space="preserve">”</w:t>
      </w:r>
      <w:r>
        <w:t xml:space="preserve"> </w:t>
      </w:r>
      <w:r>
        <w:t xml:space="preserve">from the duration, and has identified three trigger types for discussion: (i) cessation of active enforcement by the 1L for a specified period; (ii) disposition of substantially all of the collateral; and (iii) filing of a plan of reorganization that impairs 2L claims without 2L consent.</w:t>
      </w:r>
    </w:p>
    <w:p>
      <w:pPr>
        <w:pStyle w:val="BodyText"/>
      </w:pPr>
      <w:r>
        <w:t xml:space="preserve">The three triggers proposed above map directly onto the 2L Agent’s stated needs and are each objectively verifiable, satisfying the 1L Agent’s requirement:</w:t>
      </w:r>
    </w:p>
    <w:p>
      <w:pPr>
        <w:pStyle w:val="Compact"/>
        <w:numPr>
          <w:ilvl w:val="0"/>
          <w:numId w:val="1003"/>
        </w:numPr>
      </w:pPr>
      <w:r>
        <w:rPr>
          <w:b/>
          <w:bCs/>
        </w:rPr>
        <w:t xml:space="preserve">Trigger (A) (sale/liquidation of substantially all Collateral)</w:t>
      </w:r>
      <w:r>
        <w:t xml:space="preserve"> </w:t>
      </w:r>
      <w:r>
        <w:t xml:space="preserve">is the most common trigger in the KTM Survey —</w:t>
      </w:r>
      <w:r>
        <w:t xml:space="preserve"> </w:t>
      </w:r>
      <w:r>
        <w:t xml:space="preserve">“</w:t>
      </w:r>
      <w:r>
        <w:t xml:space="preserve">liquidation commenced</w:t>
      </w:r>
      <w:r>
        <w:t xml:space="preserve">”</w:t>
      </w:r>
      <w:r>
        <w:t xml:space="preserve"> </w:t>
      </w:r>
      <w:r>
        <w:t xml:space="preserve">appears in 29 of 42 deals and</w:t>
      </w:r>
      <w:r>
        <w:t xml:space="preserve"> </w:t>
      </w:r>
      <w:r>
        <w:t xml:space="preserve">“</w:t>
      </w:r>
      <w:r>
        <w:t xml:space="preserve">sale motion filed without 2L consent</w:t>
      </w:r>
      <w:r>
        <w:t xml:space="preserve">”</w:t>
      </w:r>
      <w:r>
        <w:t xml:space="preserve"> </w:t>
      </w:r>
      <w:r>
        <w:t xml:space="preserve">in 9 of 42. Once the 1L Agent has itself disposed of substantially all the Collateral, the standstill’s purpose (protecting the 1L Agent’s exclusive enforcement window) is moot, and continued restriction of the 2L would serve no legitimate 1L interest.</w:t>
      </w:r>
    </w:p>
    <w:p>
      <w:pPr>
        <w:pStyle w:val="Compact"/>
        <w:numPr>
          <w:ilvl w:val="0"/>
          <w:numId w:val="1003"/>
        </w:numPr>
      </w:pPr>
      <w:r>
        <w:rPr>
          <w:b/>
          <w:bCs/>
        </w:rPr>
        <w:t xml:space="preserve">Trigger (B) (cessation of enforcement for 60 consecutive days)</w:t>
      </w:r>
      <w:r>
        <w:t xml:space="preserve"> </w:t>
      </w:r>
      <w:r>
        <w:t xml:space="preserve">addresses the 2L Agent’s core concern that the 1L Agent could</w:t>
      </w:r>
      <w:r>
        <w:t xml:space="preserve"> </w:t>
      </w:r>
      <w:r>
        <w:t xml:space="preserve">“</w:t>
      </w:r>
      <w:r>
        <w:t xml:space="preserve">run out the clock</w:t>
      </w:r>
      <w:r>
        <w:t xml:space="preserve">”</w:t>
      </w:r>
      <w:r>
        <w:t xml:space="preserve"> </w:t>
      </w:r>
      <w:r>
        <w:t xml:space="preserve">by invoking the standstill and then failing to pursue remedies while collateral value declines. A 60-day inactivity period is an objective, bright-line test. This trigger does not penalize the 1L Agent for deliberate, active enforcement; it only terminates the standstill if the 1L Agent walks away.</w:t>
      </w:r>
    </w:p>
    <w:p>
      <w:pPr>
        <w:pStyle w:val="Compact"/>
        <w:numPr>
          <w:ilvl w:val="0"/>
          <w:numId w:val="1003"/>
        </w:numPr>
      </w:pPr>
      <w:r>
        <w:rPr>
          <w:b/>
          <w:bCs/>
        </w:rPr>
        <w:t xml:space="preserve">Trigger (C) (plan impairing 2L without consent)</w:t>
      </w:r>
      <w:r>
        <w:t xml:space="preserve"> </w:t>
      </w:r>
      <w:r>
        <w:t xml:space="preserve">protects the 2L against being crammed down in a bankruptcy plan it did not support, and is consistent with the ICA’s existing bankruptcy provisions (Article VI), which already preserve the 2L’s right to vote on a plan and to object to inconsistent treatment.</w:t>
      </w:r>
    </w:p>
    <w:p>
      <w:pPr>
        <w:pStyle w:val="FirstParagraph"/>
      </w:pPr>
      <w:r>
        <w:t xml:space="preserve">The compromise deliberately does</w:t>
      </w:r>
      <w:r>
        <w:t xml:space="preserve"> </w:t>
      </w:r>
      <w:r>
        <w:rPr>
          <w:b/>
          <w:bCs/>
        </w:rPr>
        <w:t xml:space="preserve">not</w:t>
      </w:r>
      <w:r>
        <w:t xml:space="preserve"> </w:t>
      </w:r>
      <w:r>
        <w:t xml:space="preserve">include a bare involuntary-bankruptcy-filing trigger (which the 1L Agent’s position letter specifically objected to and which would be redundant of the bankruptcy-specific protections in Article VI). The sale-motion and plan-impairment triggers capture the bankruptcy-related concerns the 2L reasonably has, without the overbreadth the 1L Agent has resisted. The KTM Survey confirms that pairing a ≥180-day standstill with early-termination triggers is the</w:t>
      </w:r>
      <w:r>
        <w:t xml:space="preserve"> </w:t>
      </w:r>
      <w:r>
        <w:rPr>
          <w:b/>
          <w:bCs/>
        </w:rPr>
        <w:t xml:space="preserve">market standard</w:t>
      </w:r>
      <w:r>
        <w:t xml:space="preserve">: 25 of 42 surveyed deals (60%) combine a standstill of 180 days or longer with early-termination triggers, and 76% of all deals include triggers of some kind.</w:t>
      </w:r>
    </w:p>
    <w:p>
      <w:pPr>
        <w:pStyle w:val="BodyText"/>
      </w:pPr>
      <w:r>
        <w:rPr>
          <w:b/>
          <w:bCs/>
        </w:rPr>
        <w:t xml:space="preserve">Blockage Notice Cap.</w:t>
      </w:r>
      <w:r>
        <w:t xml:space="preserve"> </w:t>
      </w:r>
      <w:r>
        <w:t xml:space="preserve">Neither party’s bracketed proposal included a cap on the number of Blockage Notices, and the drafting note in the working ICA flags this as an open item. A cap is a customary anti-abuse protection that prevents the 1L Agent from invoking serial standstills to indefinitely block 2L remedies. The proposed cap — no more than 180 days of standstill in the aggregate during any rolling 360-day period — is calibrated so that, at the compromise duration, the 1L Agent can invoke at most one full 180-day standstill (or two 90-day standstills, etc.) per rolling 12-month period. This preserves the 1L Agent’s ability to invoke the standstill for genuine, recurring defaults while preventing tactical, repeated invocation. The cap is consistent with the standard-form ICA’s recognition (Section 3.5) that standstills may be reinstituted for recurring defaults, and adds only the aggregate-duration limitation.</w:t>
      </w:r>
    </w:p>
    <w:p>
      <w:pPr>
        <w:pStyle w:val="BodyText"/>
      </w:pPr>
      <w:r>
        <w:rPr>
          <w:b/>
          <w:bCs/>
        </w:rPr>
        <w:t xml:space="preserve">Economic impact.</w:t>
      </w:r>
      <w:r>
        <w:t xml:space="preserve"> </w:t>
      </w:r>
      <w:r>
        <w:t xml:space="preserve">Relative to the 1L Agent’s 270-day opening position, the 180-day compromise shortens the 2L’s collateral-erosion exposure window by 90 days (a 33% reduction). Relative to the 2L Agent’s 90-day opening position, it extends the 1L Agent’s protected enforcement window by 90 days (a 100% increase). The early-termination triggers and Blockage Notice cap together ensure the standstill cannot be deployed tactically to convert lien subordination into indefinite payment subordination — the 2L Agent’s principal stated concern — while preserving a meaningful, market-standard enforcement pause for the 1L Agent.</w:t>
      </w:r>
    </w:p>
    <w:p>
      <w:pPr>
        <w:pStyle w:val="BodyText"/>
      </w:pPr>
      <w:r>
        <w:rPr>
          <w:b/>
          <w:bCs/>
        </w:rPr>
        <w:t xml:space="preserve">Reconciliation with the 1L Agent’s cited precedents.</w:t>
      </w:r>
      <w:r>
        <w:t xml:space="preserve"> </w:t>
      </w:r>
      <w:r>
        <w:t xml:space="preserve">The 1L Agent’s position letter cites three precedent transactions in support of a 270-day (or longer) standstill: Hartsfield/Consolidated Metals (270 days, no early termination triggers), Briarcliff/Weston Energy Partners (240 days, a single narrow trigger limited to a voluntary bankruptcy filing), and Kingsbridge/Atlas Materials (300 days, no triggers). These precedents are 1L-favorable data points that sit above the market median and are, in two respects, distinguishable from the Meridian transaction. First, the 1L Agent itself acknowledged that Briarcliff/Weston Energy involved a materially less aggressive leverage profile (total leverage ~5.8x and Total LTV ~88%, versus Meridian’s 6.99x and 97.66%) and a substantially larger equity cushion, which the 1L Agent cited as justifying that transaction’s shorter standstill — the same logic supports the 180-day compromise here, where the thinner cushion cuts in favor of the early-termination triggers (which the compromise provides) even as it supports a meaningful standstill duration. Second, the KTM Survey — which covers 42 broadly syndicated 1L/2L ICAs closed 2022–2024, a larger and more representative dataset than three selected precedents — shows a median of 180 days, a mean of 172.9 days, and only one deal (Deal-015, an outlier described as a</w:t>
      </w:r>
      <w:r>
        <w:t xml:space="preserve"> </w:t>
      </w:r>
      <w:r>
        <w:t xml:space="preserve">“</w:t>
      </w:r>
      <w:r>
        <w:t xml:space="preserve">long standstill negotiated by strong sponsor</w:t>
      </w:r>
      <w:r>
        <w:t xml:space="preserve">”</w:t>
      </w:r>
      <w:r>
        <w:t xml:space="preserve">) at 270 days; none of the 42 surveyed deals employed a standstill longer than 270 days, and 76% included early-termination triggers. The compromise therefore tracks the representative market practice rather than the 1L-favorable tail of the distribution, while still landing within the 1L Agent’s own stated 150–180 day acceptable range and above its 150-day hard floor.</w:t>
      </w:r>
    </w:p>
    <w:bookmarkEnd w:id="24"/>
    <w:bookmarkEnd w:id="25"/>
    <w:bookmarkStart w:id="28" w:name="X4198d7a94facc9fce1fb88f889eaddf70358678"/>
    <w:p>
      <w:pPr>
        <w:pStyle w:val="Heading2"/>
      </w:pPr>
      <w:r>
        <w:t xml:space="preserve">V. Section 5.01 — Second Lien Purchase Right</w:t>
      </w:r>
    </w:p>
    <w:bookmarkStart w:id="26" w:name="a.-proposed-compromise-language-1"/>
    <w:p>
      <w:pPr>
        <w:pStyle w:val="Heading3"/>
      </w:pPr>
      <w:r>
        <w:t xml:space="preserve">A. Proposed Compromise Language</w:t>
      </w:r>
    </w:p>
    <w:p>
      <w:pPr>
        <w:pStyle w:val="BlockText"/>
      </w:pPr>
      <w:r>
        <w:rPr>
          <w:b/>
          <w:bCs/>
        </w:rPr>
        <w:t xml:space="preserve">Section 5.01 — Second Lien Purchase Right.</w:t>
      </w:r>
      <w:r>
        <w:t xml:space="preserve"> </w:t>
      </w:r>
      <w:r>
        <w:t xml:space="preserve">At any time following the occurrence and during the continuance of an Event of Default under the First Lien Credit Agreement (whether or not the First Lien Obligations have been accelerated or any enforcement action with respect to the Collateral has been commenced by the First Lien Agent), the Second Lien Agent (on behalf of the Second Lien Lenders, or one or more Second Lien Lenders, or any designee of the foregoing) shall have the right, but not the obligation (the</w:t>
      </w:r>
      <w:r>
        <w:t xml:space="preserve"> </w:t>
      </w:r>
      <w:r>
        <w:t xml:space="preserve">“</w:t>
      </w:r>
      <w:r>
        <w:rPr>
          <w:b/>
          <w:bCs/>
        </w:rPr>
        <w:t xml:space="preserve">Second Lien Purchase Right</w:t>
      </w:r>
      <w:r>
        <w:t xml:space="preserve">”</w:t>
      </w:r>
      <w:r>
        <w:t xml:space="preserve">), to purchase all (but not less than all) of the First Lien Obligations from the First Lien Secured Parties by paying to the First Lien Agent in immediately available funds a purchase price (the</w:t>
      </w:r>
      <w:r>
        <w:t xml:space="preserve"> </w:t>
      </w:r>
      <w:r>
        <w:t xml:space="preserve">“</w:t>
      </w:r>
      <w:r>
        <w:rPr>
          <w:b/>
          <w:bCs/>
        </w:rPr>
        <w:t xml:space="preserve">Purchase Price</w:t>
      </w:r>
      <w:r>
        <w:t xml:space="preserve">”</w:t>
      </w:r>
      <w:r>
        <w:t xml:space="preserve">) equal to the sum of the following components, each calculated as of the closing date of the purchase (the</w:t>
      </w:r>
      <w:r>
        <w:t xml:space="preserve"> </w:t>
      </w:r>
      <w:r>
        <w:t xml:space="preserve">“</w:t>
      </w:r>
      <w:r>
        <w:rPr>
          <w:b/>
          <w:bCs/>
        </w:rPr>
        <w:t xml:space="preserve">Purchase Date</w:t>
      </w:r>
      <w:r>
        <w:t xml:space="preserve">”</w:t>
      </w:r>
      <w:r>
        <w:t xml:space="preserve">):</w:t>
      </w:r>
    </w:p>
    <w:p>
      <w:pPr>
        <w:pStyle w:val="BlockText"/>
        <w:numPr>
          <w:ilvl w:val="0"/>
          <w:numId w:val="1004"/>
        </w:numPr>
      </w:pPr>
      <w:r>
        <w:rPr>
          <w:b/>
          <w:bCs/>
        </w:rPr>
        <w:t xml:space="preserve">Outstanding Principal.</w:t>
      </w:r>
      <w:r>
        <w:t xml:space="preserve"> </w:t>
      </w:r>
      <w:r>
        <w:t xml:space="preserve">One hundred percent (100%) of the aggregate outstanding principal amount of all funded First Lien Obligations (including all amounts outstanding under the First Lien Term Loan A and all drawn amounts under the First Lien Revolver);</w:t>
      </w:r>
    </w:p>
    <w:p>
      <w:pPr>
        <w:pStyle w:val="BlockText"/>
        <w:numPr>
          <w:ilvl w:val="0"/>
          <w:numId w:val="1004"/>
        </w:numPr>
      </w:pPr>
      <w:r>
        <w:rPr>
          <w:b/>
          <w:bCs/>
        </w:rPr>
        <w:t xml:space="preserve">Accrued Interest at the Non-Default Contract Rate.</w:t>
      </w:r>
      <w:r>
        <w:t xml:space="preserve"> </w:t>
      </w:r>
      <w:r>
        <w:t xml:space="preserve">All accrued and unpaid interest on the First Lien Obligations, calculated at the</w:t>
      </w:r>
      <w:r>
        <w:t xml:space="preserve"> </w:t>
      </w:r>
      <w:r>
        <w:rPr>
          <w:b/>
          <w:bCs/>
        </w:rPr>
        <w:t xml:space="preserve">non-default contract rate</w:t>
      </w:r>
      <w:r>
        <w:t xml:space="preserve"> </w:t>
      </w:r>
      <w:r>
        <w:t xml:space="preserve">applicable under the First Lien Credit Agreement (i.e., SOFR plus the Applicable Rate of 250 basis points, yielding an all-in rate of approximately 7.83% per annum based on a SOFR of 5.33% as of June 27, 2025), through and including the Purchase Date, calculated on the basis of a 360-day year for the actual number of days elapsed (excluding any default-rate increment, late charges, or other punitive amounts);</w:t>
      </w:r>
    </w:p>
    <w:p>
      <w:pPr>
        <w:pStyle w:val="BlockText"/>
        <w:numPr>
          <w:ilvl w:val="0"/>
          <w:numId w:val="1004"/>
        </w:numPr>
      </w:pPr>
      <w:r>
        <w:rPr>
          <w:b/>
          <w:bCs/>
        </w:rPr>
        <w:t xml:space="preserve">Fees, Costs, Expenses, and Other Amounts.</w:t>
      </w:r>
      <w:r>
        <w:t xml:space="preserve"> </w:t>
      </w:r>
      <w:r>
        <w:t xml:space="preserve">All fees (including commitment fees, letter of credit fees, and agency fees), costs, expenses (including reasonable and documented fees and disbursements of counsel), indemnification obligations then due and payable or asserted in writing, breakage costs (including any swap breakage or early termination costs under any hedging arrangements), yield protection amounts, and all other amounts then due and payable under the First Lien Loan Documents, whether or not invoiced; and</w:t>
      </w:r>
    </w:p>
    <w:p>
      <w:pPr>
        <w:pStyle w:val="BlockText"/>
        <w:numPr>
          <w:ilvl w:val="0"/>
          <w:numId w:val="1004"/>
        </w:numPr>
      </w:pPr>
      <w:r>
        <w:rPr>
          <w:b/>
          <w:bCs/>
        </w:rPr>
        <w:t xml:space="preserve">Letter of Credit Exposure.</w:t>
      </w:r>
      <w:r>
        <w:t xml:space="preserve"> </w:t>
      </w:r>
      <w:r>
        <w:t xml:space="preserve">An amount equal to the aggregate LC Exposure (as defined in the First Lien Credit Agreement), which the purchaser shall satisfy by either (x) depositing cash collateral in an amount equal to 103% of the aggregate face amount of all outstanding Letters of Credit in an account with the First Lien Agent for the benefit of the Issuing Bank, or (y) delivering to the Issuing Bank one or more back-to-back replacement letters of credit in form and substance satisfactory to the Issuing Bank, in each case simultaneously with the consummation of the purchase.</w:t>
      </w:r>
    </w:p>
    <w:p>
      <w:pPr>
        <w:pStyle w:val="BlockText"/>
      </w:pPr>
      <w:r>
        <w:rPr>
          <w:b/>
          <w:bCs/>
        </w:rPr>
        <w:t xml:space="preserve">Unfunded Revolver Commitments — Optional Assumption.</w:t>
      </w:r>
      <w:r>
        <w:t xml:space="preserve"> </w:t>
      </w:r>
      <w:r>
        <w:t xml:space="preserve">As a condition to the purchase, the Second Lien Agent (or its designee) shall have the</w:t>
      </w:r>
      <w:r>
        <w:t xml:space="preserve"> </w:t>
      </w:r>
      <w:r>
        <w:rPr>
          <w:b/>
          <w:bCs/>
        </w:rPr>
        <w:t xml:space="preserve">option, but not the obligation</w:t>
      </w:r>
      <w:r>
        <w:t xml:space="preserve">, to assume all unfunded commitments under the First Lien Revolver (which, as of the date hereof, total $125,000,000 in aggregate commitments, less any amounts drawn thereunder as of the Purchase Date) by executing and delivering to the First Lien Agent an assumption agreement in form and substance reasonably satisfactory to the First Lien Agent. If the purchaser does not elect to assume the unfunded Revolver commitments, the unfunded Revolver commitments shall terminate upon consummation of the purchase, and the First Lien Agent shall, upon the purchaser’s request, use commercially reasonable efforts to facilitate the arrangement of replacement revolving credit commitments with one or more lenders acceptable to the Borrower. The purchase shall be on a par, non-recourse, as-is, where-is basis, without representation or warranty of any kind by the First Lien Agent or any First Lien Lender (other than customary representations as to the authority of the assigning lender to assign and the enforceability of the transfer).</w:t>
      </w:r>
    </w:p>
    <w:bookmarkEnd w:id="26"/>
    <w:bookmarkStart w:id="27" w:name="b.-negotiation-rationale-1"/>
    <w:p>
      <w:pPr>
        <w:pStyle w:val="Heading3"/>
      </w:pPr>
      <w:r>
        <w:t xml:space="preserve">B. Negotiation Rationale</w:t>
      </w:r>
    </w:p>
    <w:p>
      <w:pPr>
        <w:pStyle w:val="FirstParagraph"/>
      </w:pPr>
      <w:r>
        <w:t xml:space="preserve">This provision has four disputed sub-elements. The compromise resolves each within both sides’ stated flexibility and the market majority.</w:t>
      </w:r>
    </w:p>
    <w:p>
      <w:pPr>
        <w:pStyle w:val="BodyText"/>
      </w:pPr>
      <w:r>
        <w:rPr>
          <w:b/>
          <w:bCs/>
        </w:rPr>
        <w:t xml:space="preserve">Sub-element 1 — Par purchase price for funded debt (non-negotiable, confirmed).</w:t>
      </w:r>
      <w:r>
        <w:t xml:space="preserve"> </w:t>
      </w:r>
      <w:r>
        <w:t xml:space="preserve">The 1L Agent’s counsel has stated unequivocally that</w:t>
      </w:r>
      <w:r>
        <w:t xml:space="preserve"> </w:t>
      </w:r>
      <w:r>
        <w:t xml:space="preserve">“</w:t>
      </w:r>
      <w:r>
        <w:t xml:space="preserve">par purchase price for funded debt is non-negotiable</w:t>
      </w:r>
      <w:r>
        <w:t xml:space="preserve">”</w:t>
      </w:r>
      <w:r>
        <w:t xml:space="preserve"> </w:t>
      </w:r>
      <w:r>
        <w:t xml:space="preserve">and that the syndicate</w:t>
      </w:r>
      <w:r>
        <w:t xml:space="preserve"> </w:t>
      </w:r>
      <w:r>
        <w:t xml:space="preserve">“</w:t>
      </w:r>
      <w:r>
        <w:t xml:space="preserve">will not accept any formulation that permits purchase below par.</w:t>
      </w:r>
      <w:r>
        <w:t xml:space="preserve">”</w:t>
      </w:r>
      <w:r>
        <w:t xml:space="preserve"> </w:t>
      </w:r>
      <w:r>
        <w:t xml:space="preserve">The 2L Agent’s counsel has, in turn, confirmed that</w:t>
      </w:r>
      <w:r>
        <w:t xml:space="preserve"> </w:t>
      </w:r>
      <w:r>
        <w:t xml:space="preserve">“</w:t>
      </w:r>
      <w:r>
        <w:t xml:space="preserve">Ridgeline acknowledges that par for funded debt may be acceptable</w:t>
      </w:r>
      <w:r>
        <w:t xml:space="preserve">”</w:t>
      </w:r>
      <w:r>
        <w:t xml:space="preserve"> </w:t>
      </w:r>
      <w:r>
        <w:t xml:space="preserve">— a significant concession from its opening</w:t>
      </w:r>
      <w:r>
        <w:t xml:space="preserve"> </w:t>
      </w:r>
      <w:r>
        <w:t xml:space="preserve">“</w:t>
      </w:r>
      <w:r>
        <w:t xml:space="preserve">lesser of par or FMV</w:t>
      </w:r>
      <w:r>
        <w:t xml:space="preserve">”</w:t>
      </w:r>
      <w:r>
        <w:t xml:space="preserve"> </w:t>
      </w:r>
      <w:r>
        <w:t xml:space="preserve">position. The compromise therefore adopts</w:t>
      </w:r>
      <w:r>
        <w:t xml:space="preserve"> </w:t>
      </w:r>
      <w:r>
        <w:rPr>
          <w:b/>
          <w:bCs/>
        </w:rPr>
        <w:t xml:space="preserve">par (100% of outstanding funded principal)</w:t>
      </w:r>
      <w:r>
        <w:t xml:space="preserve"> </w:t>
      </w:r>
      <w:r>
        <w:t xml:space="preserve">as the base. This is also the market majority: 71% of KTM Survey deals use a par mechanic (versus 19% hybrid and 10% FMV). The 2L Agent’s opening FMV alternative is dropped; in exchange, the 2L obtains favorable terms on the interest rate and revolver assumption (below), which is the trade that makes par acceptable to the 2L.</w:t>
      </w:r>
    </w:p>
    <w:p>
      <w:pPr>
        <w:pStyle w:val="BodyText"/>
      </w:pPr>
      <w:r>
        <w:rPr>
          <w:b/>
          <w:bCs/>
        </w:rPr>
        <w:t xml:space="preserve">Sub-element 2 — Accrued interest at the non-default contract rate (not the default rate).</w:t>
      </w:r>
      <w:r>
        <w:t xml:space="preserve"> </w:t>
      </w:r>
      <w:r>
        <w:t xml:space="preserve">The 1L Agent opened requiring default-rate interest (SOFR + 450 bps = 9.83%); the 2L Agent opened requiring the non-default contract rate (SOFR + 250 bps = 7.83%). The 1L Agent’s counsel has confirmed that</w:t>
      </w:r>
      <w:r>
        <w:t xml:space="preserve"> </w:t>
      </w:r>
      <w:r>
        <w:t xml:space="preserve">“</w:t>
      </w:r>
      <w:r>
        <w:t xml:space="preserve">there may be room to accept accrued interest calculated at the non-default contract rate,</w:t>
      </w:r>
      <w:r>
        <w:t xml:space="preserve">”</w:t>
      </w:r>
      <w:r>
        <w:t xml:space="preserve"> </w:t>
      </w:r>
      <w:r>
        <w:t xml:space="preserve">and the 2L Agent’s counsel has confirmed willingness to</w:t>
      </w:r>
      <w:r>
        <w:t xml:space="preserve"> </w:t>
      </w:r>
      <w:r>
        <w:t xml:space="preserve">“</w:t>
      </w:r>
      <w:r>
        <w:t xml:space="preserve">discuss whether accrued interest at the non-default contract rate … could be part of the overall package.</w:t>
      </w:r>
      <w:r>
        <w:t xml:space="preserve">”</w:t>
      </w:r>
      <w:r>
        <w:t xml:space="preserve"> </w:t>
      </w:r>
      <w:r>
        <w:t xml:space="preserve">The compromise adopts the</w:t>
      </w:r>
      <w:r>
        <w:t xml:space="preserve"> </w:t>
      </w:r>
      <w:r>
        <w:rPr>
          <w:b/>
          <w:bCs/>
        </w:rPr>
        <w:t xml:space="preserve">non-default contract rate</w:t>
      </w:r>
      <w:r>
        <w:t xml:space="preserve">. This is the market majority:</w:t>
      </w:r>
      <w:r>
        <w:t xml:space="preserve"> </w:t>
      </w:r>
      <w:r>
        <w:rPr>
          <w:b/>
          <w:bCs/>
        </w:rPr>
        <w:t xml:space="preserve">69% of KTM Survey deals exclude default-rate interest</w:t>
      </w:r>
      <w:r>
        <w:t xml:space="preserve"> </w:t>
      </w:r>
      <w:r>
        <w:t xml:space="preserve">from the par calculation (only 31% include it), and 90% include the non-default contract rate. The most directly comparable deal, Deal-007, uses par at the non-default rate.</w:t>
      </w:r>
    </w:p>
    <w:p>
      <w:pPr>
        <w:pStyle w:val="BodyText"/>
      </w:pPr>
      <w:r>
        <w:rPr>
          <w:b/>
          <w:bCs/>
        </w:rPr>
        <w:t xml:space="preserve">Economic quantification.</w:t>
      </w:r>
      <w:r>
        <w:t xml:space="preserve"> </w:t>
      </w:r>
      <w:r>
        <w:t xml:space="preserve">The difference between the default rate and the non-default rate is 200 basis points. On the $475M First Lien Facility, the default-rate increment is approximately:</w:t>
      </w:r>
    </w:p>
    <w:p>
      <w:pPr>
        <w:pStyle w:val="Compact"/>
        <w:numPr>
          <w:ilvl w:val="0"/>
          <w:numId w:val="1005"/>
        </w:numPr>
      </w:pPr>
      <w:r>
        <w:rPr>
          <w:b/>
          <w:bCs/>
        </w:rPr>
        <w:t xml:space="preserve">90-day accrual:</w:t>
      </w:r>
      <w:r>
        <w:t xml:space="preserve"> </w:t>
      </w:r>
      <w:r>
        <w:t xml:space="preserve">$475,000,000 × 2.00% × 90/360 =</w:t>
      </w:r>
      <w:r>
        <w:t xml:space="preserve"> </w:t>
      </w:r>
      <w:r>
        <w:rPr>
          <w:b/>
          <w:bCs/>
        </w:rPr>
        <w:t xml:space="preserve">$2.375 million</w:t>
      </w:r>
      <w:r>
        <w:t xml:space="preserve"> </w:t>
      </w:r>
      <w:r>
        <w:t xml:space="preserve">(non-default accrued interest ≈ $9.30M; default-rate accrued interest ≈ $11.67M);</w:t>
      </w:r>
    </w:p>
    <w:p>
      <w:pPr>
        <w:pStyle w:val="Compact"/>
        <w:numPr>
          <w:ilvl w:val="0"/>
          <w:numId w:val="1005"/>
        </w:numPr>
      </w:pPr>
      <w:r>
        <w:rPr>
          <w:b/>
          <w:bCs/>
        </w:rPr>
        <w:t xml:space="preserve">180-day accrual:</w:t>
      </w:r>
      <w:r>
        <w:t xml:space="preserve"> </w:t>
      </w:r>
      <w:r>
        <w:t xml:space="preserve">approximately</w:t>
      </w:r>
      <w:r>
        <w:t xml:space="preserve"> </w:t>
      </w:r>
      <w:r>
        <w:rPr>
          <w:b/>
          <w:bCs/>
        </w:rPr>
        <w:t xml:space="preserve">$4.75 million</w:t>
      </w:r>
      <w:r>
        <w:t xml:space="preserve"> </w:t>
      </w:r>
      <w:r>
        <w:t xml:space="preserve">(non-default ≈ $18.60M; default ≈ $23.35M);</w:t>
      </w:r>
    </w:p>
    <w:p>
      <w:pPr>
        <w:pStyle w:val="Compact"/>
        <w:numPr>
          <w:ilvl w:val="0"/>
          <w:numId w:val="1005"/>
        </w:numPr>
      </w:pPr>
      <w:r>
        <w:rPr>
          <w:b/>
          <w:bCs/>
        </w:rPr>
        <w:t xml:space="preserve">270-day accrual:</w:t>
      </w:r>
      <w:r>
        <w:t xml:space="preserve"> </w:t>
      </w:r>
      <w:r>
        <w:t xml:space="preserve">approximately</w:t>
      </w:r>
      <w:r>
        <w:t xml:space="preserve"> </w:t>
      </w:r>
      <w:r>
        <w:rPr>
          <w:b/>
          <w:bCs/>
        </w:rPr>
        <w:t xml:space="preserve">$7.14 million</w:t>
      </w:r>
      <w:r>
        <w:t xml:space="preserve"> </w:t>
      </w:r>
      <w:r>
        <w:t xml:space="preserve">(non-default ≈ $27.88M; default ≈ $35.02M).</w:t>
      </w:r>
    </w:p>
    <w:p>
      <w:pPr>
        <w:pStyle w:val="FirstParagraph"/>
      </w:pPr>
      <w:r>
        <w:t xml:space="preserve">Using the non-default rate therefore saves the purchasing 2L group approximately $2.4 million (on a 90-day accrual) to $7.1 million (on a 270-day accrual) relative to the 1L Agent’s opening position — a material but bounded concession that is squarely within the 1L Agent’s stated flexibility and is the market majority approach. The illustrative par Purchase Price for funded debt alone, on a 90-day accrual at the non-default rate, is approximately</w:t>
      </w:r>
      <w:r>
        <w:t xml:space="preserve"> </w:t>
      </w:r>
      <w:r>
        <w:rPr>
          <w:b/>
          <w:bCs/>
        </w:rPr>
        <w:t xml:space="preserve">$484.3 million</w:t>
      </w:r>
      <w:r>
        <w:t xml:space="preserve"> </w:t>
      </w:r>
      <w:r>
        <w:t xml:space="preserve">($475M principal + $9.30M accrued interest), before fees, expenses, and LC Exposure treatment — consistent with the figures both agents have used in their own illustrative calculations and with Deal-007’s illustrative par price of $484.3M.</w:t>
      </w:r>
    </w:p>
    <w:p>
      <w:pPr>
        <w:pStyle w:val="BodyText"/>
      </w:pPr>
      <w:r>
        <w:t xml:space="preserve">The 1L Agent’s position letter frames the exclusion of default-rate interest as conferring a</w:t>
      </w:r>
      <w:r>
        <w:t xml:space="preserve"> </w:t>
      </w:r>
      <w:r>
        <w:t xml:space="preserve">“</w:t>
      </w:r>
      <w:r>
        <w:t xml:space="preserve">windfall</w:t>
      </w:r>
      <w:r>
        <w:t xml:space="preserve">”</w:t>
      </w:r>
      <w:r>
        <w:t xml:space="preserve"> </w:t>
      </w:r>
      <w:r>
        <w:t xml:space="preserve">on the purchasing 2L group equal to the 200 bps spread (approximately $9.5 million per annum on $475 million). The compromise acknowledges that framing but concludes that the non-default rate is the appropriate measure for three reasons: (a) it is the market majority — 69% of KTM Survey deals exclude default-rate interest, and notably 2 of the 3 precedents the 1L Agent itself cited (Hartsfield/Consolidated Metals and Briarcliff/Weston Energy Partners) used the non-default rate, with only Kingsbridge/Atlas Materials using the default rate; (b) the purchase right is a protective mechanism designed to allow the 2L to acquire the senior position at its economic value, not a windfall-extraction device, and the 1L Lenders are fully compensated for the use of their capital through principal plus non-default-rate interest plus all fees, expenses, breakage costs, and yield protection amounts; and (c) the 1L Agent’s counsel has expressly confirmed that the non-default rate</w:t>
      </w:r>
      <w:r>
        <w:t xml:space="preserve"> </w:t>
      </w:r>
      <w:r>
        <w:t xml:space="preserve">“</w:t>
      </w:r>
      <w:r>
        <w:t xml:space="preserve">could potentially [be] accept[ed],</w:t>
      </w:r>
      <w:r>
        <w:t xml:space="preserve">”</w:t>
      </w:r>
      <w:r>
        <w:t xml:space="preserve"> </w:t>
      </w:r>
      <w:r>
        <w:t xml:space="preserve">placing the concession within the 1L’s stated flexibility rather than outside it.</w:t>
      </w:r>
    </w:p>
    <w:p>
      <w:pPr>
        <w:pStyle w:val="BodyText"/>
      </w:pPr>
      <w:r>
        <w:rPr>
          <w:b/>
          <w:bCs/>
        </w:rPr>
        <w:t xml:space="preserve">Sub-element 3 — Optional (not mandatory) assumption of unfunded Revolver commitments.</w:t>
      </w:r>
      <w:r>
        <w:t xml:space="preserve"> </w:t>
      </w:r>
      <w:r>
        <w:t xml:space="preserve">The 1L Agent opened requiring mandatory assumption of the $125M unfunded Revolver commitments; the 2L Agent opened requiring no assumption (with the Revolver commitments terminating on consummation of the purchase). The 1L Agent’s counsel has confirmed that</w:t>
      </w:r>
      <w:r>
        <w:t xml:space="preserve"> </w:t>
      </w:r>
      <w:r>
        <w:t xml:space="preserve">“</w:t>
      </w:r>
      <w:r>
        <w:t xml:space="preserve">there may be room to soften this requirement, potentially making assumption of unfunded Revolver commitments optional rather than mandatory.</w:t>
      </w:r>
      <w:r>
        <w:t xml:space="preserve">”</w:t>
      </w:r>
      <w:r>
        <w:t xml:space="preserve"> </w:t>
      </w:r>
      <w:r>
        <w:t xml:space="preserve">The 2L Agent’s counsel has confirmed that mandatory assumption is a</w:t>
      </w:r>
      <w:r>
        <w:t xml:space="preserve"> </w:t>
      </w:r>
      <w:r>
        <w:rPr>
          <w:b/>
          <w:bCs/>
        </w:rPr>
        <w:t xml:space="preserve">“</w:t>
      </w:r>
      <w:r>
        <w:rPr>
          <w:b/>
          <w:bCs/>
        </w:rPr>
        <w:t xml:space="preserve">deal-breaker</w:t>
      </w:r>
      <w:r>
        <w:rPr>
          <w:b/>
          <w:bCs/>
        </w:rPr>
        <w:t xml:space="preserve">”</w:t>
      </w:r>
      <w:r>
        <w:t xml:space="preserve"> </w:t>
      </w:r>
      <w:r>
        <w:t xml:space="preserve">given that Ridgeline’s fund limited partnership agreement</w:t>
      </w:r>
      <w:r>
        <w:t xml:space="preserve"> </w:t>
      </w:r>
      <w:r>
        <w:t xml:space="preserve">“</w:t>
      </w:r>
      <w:r>
        <w:t xml:space="preserve">contains structural constraints that prevent the fund from taking on open-ended revolving credit commitment obligations</w:t>
      </w:r>
      <w:r>
        <w:t xml:space="preserve">”</w:t>
      </w:r>
      <w:r>
        <w:t xml:space="preserve"> </w:t>
      </w:r>
      <w:r>
        <w:t xml:space="preserve">— a limitation of the fund vehicle itself, not a negotiating posture. The compromise adopts</w:t>
      </w:r>
      <w:r>
        <w:t xml:space="preserve"> </w:t>
      </w:r>
      <w:r>
        <w:rPr>
          <w:b/>
          <w:bCs/>
        </w:rPr>
        <w:t xml:space="preserve">optional assumption at the purchaser’s election</w:t>
      </w:r>
      <w:r>
        <w:t xml:space="preserve">. This is the market majority and a strengthening trend:</w:t>
      </w:r>
      <w:r>
        <w:t xml:space="preserve"> </w:t>
      </w:r>
      <w:r>
        <w:rPr>
          <w:b/>
          <w:bCs/>
        </w:rPr>
        <w:t xml:space="preserve">62% of KTM Survey deals make revolver assumption optional</w:t>
      </w:r>
      <w:r>
        <w:t xml:space="preserve"> </w:t>
      </w:r>
      <w:r>
        <w:t xml:space="preserve">(versus 24% mandatory and 14% silent), and the trend is accelerating —</w:t>
      </w:r>
      <w:r>
        <w:t xml:space="preserve"> </w:t>
      </w:r>
      <w:r>
        <w:rPr>
          <w:b/>
          <w:bCs/>
        </w:rPr>
        <w:t xml:space="preserve">77% of 2024 deals</w:t>
      </w:r>
      <w:r>
        <w:t xml:space="preserve"> </w:t>
      </w:r>
      <w:r>
        <w:t xml:space="preserve">use optional assumption (versus 50% of 2022 deals). Deal-007 (the most comparable deal) uses optional revolver assumption.</w:t>
      </w:r>
    </w:p>
    <w:p>
      <w:pPr>
        <w:pStyle w:val="BodyText"/>
      </w:pPr>
      <w:r>
        <w:rPr>
          <w:b/>
          <w:bCs/>
        </w:rPr>
        <w:t xml:space="preserve">Economic quantification.</w:t>
      </w:r>
      <w:r>
        <w:t xml:space="preserve"> </w:t>
      </w:r>
      <w:r>
        <w:t xml:space="preserve">Mandatory assumption would require the 2L group to take on up to</w:t>
      </w:r>
      <w:r>
        <w:t xml:space="preserve"> </w:t>
      </w:r>
      <w:r>
        <w:rPr>
          <w:b/>
          <w:bCs/>
        </w:rPr>
        <w:t xml:space="preserve">$125 million</w:t>
      </w:r>
      <w:r>
        <w:t xml:space="preserve"> </w:t>
      </w:r>
      <w:r>
        <w:t xml:space="preserve">of open-ended contingent funding obligations — an obligation the 2L group’s fund vehicle is structurally prohibited from assuming. Making assumption optional removes this deal-breaker while preserving the 1L Agent’s ability to have the Revolver assumed (and Meridian’s committed liquidity preserved) where the purchaser is able and willing to do so. Where the purchaser does not assume, the unfunded commitments terminate on consummation of the purchase, and the First Lien Agent agrees to use commercially reasonable efforts to facilitate replacement revolving commitments — protecting Meridian’s ongoing liquidity access without forcing the 2L group to violate its fund constraints.</w:t>
      </w:r>
    </w:p>
    <w:p>
      <w:pPr>
        <w:pStyle w:val="BodyText"/>
      </w:pPr>
      <w:r>
        <w:t xml:space="preserve">The 1L Agent’s position letter argues that mandatory assumption is necessary to prevent a</w:t>
      </w:r>
      <w:r>
        <w:t xml:space="preserve"> </w:t>
      </w:r>
      <w:r>
        <w:t xml:space="preserve">“</w:t>
      </w:r>
      <w:r>
        <w:t xml:space="preserve">bifurcation of the First Lien syndicate</w:t>
      </w:r>
      <w:r>
        <w:t xml:space="preserve">”</w:t>
      </w:r>
      <w:r>
        <w:t xml:space="preserve"> </w:t>
      </w:r>
      <w:r>
        <w:t xml:space="preserve">into purchasing 2L holders of funded debt and remaining Revolver lenders holding unfunded commitments, which the 1L contends would create intractable conflicts regarding voting rights, collateral allocation, and enforcement decisions, and would deprive Meridian of assured access to the full $125 million Revolver. The compromise addresses this concern directly: where the purchaser does not elect to assume, the unfunded Revolver commitments terminate cleanly on consummation of the purchase (rather than remaining outstanding and held by a fragmented group), and the First Lien Agent covenants to use commercially reasonable efforts to facilitate replacement revolving commitments — so there is no lingering bifurcated syndicate and Meridian’s path to replacement liquidity is preserved. Where the purchaser does elect to assume, the 1L Agent’s preferred outcome is achieved in full. The compromise thus eliminates the structural bifurcation risk the 1L identifies while accommodating the 2L’s fund-vehicle constraint, which the 2L Agent has traced to Ridgeline’s Amended and Restated Agreement of Limited Partnership, dated as of March 1, 2021 (the</w:t>
      </w:r>
      <w:r>
        <w:t xml:space="preserve"> </w:t>
      </w:r>
      <w:r>
        <w:t xml:space="preserve">“</w:t>
      </w:r>
      <w:r>
        <w:t xml:space="preserve">Limited Partnership Agreement</w:t>
      </w:r>
      <w:r>
        <w:t xml:space="preserve">”</w:t>
      </w:r>
      <w:r>
        <w:t xml:space="preserve">), and which restricts the fund’s ability to enter into open-ended commitment obligations requiring future capital calls on an uncertain and potentially accelerated schedule.</w:t>
      </w:r>
    </w:p>
    <w:p>
      <w:pPr>
        <w:pStyle w:val="BodyText"/>
      </w:pPr>
      <w:r>
        <w:rPr>
          <w:b/>
          <w:bCs/>
        </w:rPr>
        <w:t xml:space="preserve">Economic impracticability at full draw (2L Agent’s concern).</w:t>
      </w:r>
      <w:r>
        <w:t xml:space="preserve"> </w:t>
      </w:r>
      <w:r>
        <w:t xml:space="preserve">The 2L Agent’s position letter argues that a par-only purchase price renders the purchase right</w:t>
      </w:r>
      <w:r>
        <w:t xml:space="preserve"> </w:t>
      </w:r>
      <w:r>
        <w:t xml:space="preserve">“</w:t>
      </w:r>
      <w:r>
        <w:t xml:space="preserve">economically impracticable</w:t>
      </w:r>
      <w:r>
        <w:t xml:space="preserve">”</w:t>
      </w:r>
      <w:r>
        <w:t xml:space="preserve"> </w:t>
      </w:r>
      <w:r>
        <w:t xml:space="preserve">at full draw, because the 2L would have to deploy approximately $484.3 million (funded par at the non-default rate, 90-day accrual) to acquire senior obligations, bringing the 2L’s total capital at risk to approximately $634.3 million (its existing $150 million plus the purchase price) — a figure approaching the appraised TEV of $640 million and exceeding any realistic distressed TEV. The compromise materially mitigates this concern relative to the 1L Agent’s opening position: by adopting the non-default rate (saving ~$2.375 million on a 90-day accrual versus the default rate) and by making revolver assumption optional (removing the $125 million contingent obligation the 1L Agent would have mandated), the compromise reduces the funded capital the 2L must deploy and eliminates the open-ended contingent exposure, keeping the purchase right within the range of economic rationality for the 2L in the distressed scenarios in which it would be exercised. The 2L Agent’s counsel has confirmed that par for funded debt</w:t>
      </w:r>
      <w:r>
        <w:t xml:space="preserve"> </w:t>
      </w:r>
      <w:r>
        <w:t xml:space="preserve">“</w:t>
      </w:r>
      <w:r>
        <w:t xml:space="preserve">may be acceptable</w:t>
      </w:r>
      <w:r>
        <w:t xml:space="preserve">”</w:t>
      </w:r>
      <w:r>
        <w:t xml:space="preserve"> </w:t>
      </w:r>
      <w:r>
        <w:t xml:space="preserve">precisely when paired with these accommodations, which the compromise provides.</w:t>
      </w:r>
    </w:p>
    <w:p>
      <w:pPr>
        <w:pStyle w:val="BodyText"/>
      </w:pPr>
      <w:r>
        <w:rPr>
          <w:b/>
          <w:bCs/>
        </w:rPr>
        <w:t xml:space="preserve">Sub-element 4 — Letter of Credit Exposure.</w:t>
      </w:r>
      <w:r>
        <w:t xml:space="preserve"> </w:t>
      </w:r>
      <w:r>
        <w:t xml:space="preserve">The First Lien Credit Agreement (Section 2.04(f)) already requires any purchaser of the First Lien Obligations to either cash-collateralize outstanding Letters of Credit at 103% of face amount or deliver replacement Letters of Credit satisfactory to the Issuing Bank. The compromise carries this requirement into the ICA as component (iv) of the Purchase Price. This is not a contested point but is included for completeness and to protect the Issuing Bank and the 1L syndicate regardless of whether the purchaser assumes the unfunded Revolver commitments.</w:t>
      </w:r>
    </w:p>
    <w:p>
      <w:pPr>
        <w:pStyle w:val="BodyText"/>
      </w:pPr>
      <w:r>
        <w:rPr>
          <w:b/>
          <w:bCs/>
        </w:rPr>
        <w:t xml:space="preserve">Exercise triggers.</w:t>
      </w:r>
      <w:r>
        <w:t xml:space="preserve"> </w:t>
      </w:r>
      <w:r>
        <w:t xml:space="preserve">The 1L Agent opened limiting exercise to an Event of Default under the First Lien Credit Agreement; the 2L Agent opened seeking broader triggers (1L Event of Default, 2L Event of Default, or acceleration). The compromise adopts the 1L Agent’s trigger — an Event of Default under the First Lien Credit Agreement — but clarifies that the right is exercisable</w:t>
      </w:r>
      <w:r>
        <w:t xml:space="preserve"> </w:t>
      </w:r>
      <w:r>
        <w:rPr>
          <w:b/>
          <w:bCs/>
        </w:rPr>
        <w:t xml:space="preserve">whether or not the First Lien Obligations have been accelerated</w:t>
      </w:r>
      <w:r>
        <w:t xml:space="preserve">. This is a concession to the 1L Agent on the scope of triggers (the 2L’s proposed 2L-Event-of-Default trigger is dropped) that is balanced by the 2L’s gains on the interest rate and revolver assumption. It is consistent with the market:</w:t>
      </w:r>
      <w:r>
        <w:t xml:space="preserve"> </w:t>
      </w:r>
      <w:r>
        <w:t xml:space="preserve">“</w:t>
      </w:r>
      <w:r>
        <w:t xml:space="preserve">acceleration of 1L</w:t>
      </w:r>
      <w:r>
        <w:t xml:space="preserve">”</w:t>
      </w:r>
      <w:r>
        <w:t xml:space="preserve"> </w:t>
      </w:r>
      <w:r>
        <w:t xml:space="preserve">is a trigger in 100% of KTM Survey deals and</w:t>
      </w:r>
      <w:r>
        <w:t xml:space="preserve"> </w:t>
      </w:r>
      <w:r>
        <w:t xml:space="preserve">“</w:t>
      </w:r>
      <w:r>
        <w:t xml:space="preserve">commencement of enforcement action</w:t>
      </w:r>
      <w:r>
        <w:t xml:space="preserve">”</w:t>
      </w:r>
      <w:r>
        <w:t xml:space="preserve"> </w:t>
      </w:r>
      <w:r>
        <w:t xml:space="preserve">in 74%, both of which follow from a 1L Event of Default. The median exercise window in the KTM Survey is 30 days, consistent with the mechanics in Section 5.02 of the working ICA (10–20 Business Days).</w:t>
      </w:r>
    </w:p>
    <w:bookmarkEnd w:id="27"/>
    <w:bookmarkEnd w:id="28"/>
    <w:bookmarkStart w:id="31" w:name="Xaf8c5020155ed998853379c8882a1074db86052"/>
    <w:p>
      <w:pPr>
        <w:pStyle w:val="Heading2"/>
      </w:pPr>
      <w:r>
        <w:t xml:space="preserve">VI. Section 2.03(c) — Permitted Second Lien Refinancing Indebtedness</w:t>
      </w:r>
    </w:p>
    <w:p>
      <w:pPr>
        <w:pStyle w:val="FirstParagraph"/>
      </w:pPr>
      <w:r>
        <w:t xml:space="preserve">This provision has three disputed sub-elements (principal cap, maturity floor, and restrictiveness test), plus the agreed joinder requirement. The compromise resolves each.</w:t>
      </w:r>
    </w:p>
    <w:bookmarkStart w:id="29" w:name="a.-proposed-compromise-language-2"/>
    <w:p>
      <w:pPr>
        <w:pStyle w:val="Heading3"/>
      </w:pPr>
      <w:r>
        <w:t xml:space="preserve">A. Proposed Compromise Language</w:t>
      </w:r>
    </w:p>
    <w:p>
      <w:pPr>
        <w:pStyle w:val="BlockText"/>
      </w:pPr>
      <w:r>
        <w:rPr>
          <w:b/>
          <w:bCs/>
        </w:rPr>
        <w:t xml:space="preserve">Section 2.03(c) — Permitted Second Lien Refinancing Indebtedness.</w:t>
      </w:r>
      <w:r>
        <w:t xml:space="preserve"> </w:t>
      </w:r>
      <w:r>
        <w:t xml:space="preserve">“</w:t>
      </w:r>
      <w:r>
        <w:rPr>
          <w:b/>
          <w:bCs/>
        </w:rPr>
        <w:t xml:space="preserve">Permitted Second Lien Refinancing Indebtedness</w:t>
      </w:r>
      <w:r>
        <w:t xml:space="preserve">”</w:t>
      </w:r>
      <w:r>
        <w:t xml:space="preserve"> </w:t>
      </w:r>
      <w:r>
        <w:t xml:space="preserve">means indebtedness incurred by the Borrower to refinance, replace, renew, or extend all or any portion of the Second Lien Obligations, provided that all of the following conditions are satisfied:</w:t>
      </w:r>
    </w:p>
    <w:p>
      <w:pPr>
        <w:pStyle w:val="BlockText"/>
        <w:numPr>
          <w:ilvl w:val="0"/>
          <w:numId w:val="1006"/>
        </w:numPr>
      </w:pPr>
      <w:r>
        <w:rPr>
          <w:b/>
          <w:bCs/>
        </w:rPr>
        <w:t xml:space="preserve">Principal Amount.</w:t>
      </w:r>
      <w:r>
        <w:t xml:space="preserve"> </w:t>
      </w:r>
      <w:r>
        <w:t xml:space="preserve">The aggregate principal amount of such refinancing indebtedness shall not exceed</w:t>
      </w:r>
      <w:r>
        <w:t xml:space="preserve"> </w:t>
      </w:r>
      <w:r>
        <w:rPr>
          <w:b/>
          <w:bCs/>
        </w:rPr>
        <w:t xml:space="preserve">one hundred ten percent (110%)</w:t>
      </w:r>
      <w:r>
        <w:t xml:space="preserve"> </w:t>
      </w:r>
      <w:r>
        <w:t xml:space="preserve">of the aggregate principal amount of the Second Lien Obligations being refinanced (i.e., based on the current $150,000,000 Second Lien Term Loan B, a maximum of $165,000,000, representing a maximum permitted increase of $15,000,000); provided that the portion of such refinancing indebtedness exceeding the principal amount of the Second Lien Obligations being refinanced (i.e., up to $15,000,000) shall be limited to the payment of accrued and unpaid interest, premiums (including call premiums or make-whole amounts), fees (including arrangement, underwriting, and placement fees), original issue discount, and reasonable and documented transaction costs (including legal, advisory, rating agency, and filing costs) incurred in connection with such refinancing;</w:t>
      </w:r>
    </w:p>
    <w:p>
      <w:pPr>
        <w:pStyle w:val="BlockText"/>
        <w:numPr>
          <w:ilvl w:val="0"/>
          <w:numId w:val="1006"/>
        </w:numPr>
      </w:pPr>
      <w:r>
        <w:rPr>
          <w:b/>
          <w:bCs/>
        </w:rPr>
        <w:t xml:space="preserve">Maturity.</w:t>
      </w:r>
      <w:r>
        <w:t xml:space="preserve"> </w:t>
      </w:r>
      <w:r>
        <w:t xml:space="preserve">The stated final maturity date of such refinancing indebtedness shall be no earlier than the</w:t>
      </w:r>
      <w:r>
        <w:t xml:space="preserve"> </w:t>
      </w:r>
      <w:r>
        <w:rPr>
          <w:b/>
          <w:bCs/>
        </w:rPr>
        <w:t xml:space="preserve">later of</w:t>
      </w:r>
      <w:r>
        <w:t xml:space="preserve"> </w:t>
      </w:r>
      <w:r>
        <w:t xml:space="preserve">(x) the date that is ninety-one (91) days after the then-applicable First Lien Maturity Date (as defined in the First Lien Credit Agreement, giving effect to any extension thereof pursuant to Section 2.14 of the First Lien Credit Agreement) (i.e., no earlier than September 14, 2030, based on the current First Lien Maturity Date of June 15, 2030) and (y) the original Second Lien Maturity Date (i.e., no earlier than June 15, 2031);</w:t>
      </w:r>
    </w:p>
    <w:p>
      <w:pPr>
        <w:pStyle w:val="BlockText"/>
        <w:numPr>
          <w:ilvl w:val="0"/>
          <w:numId w:val="1006"/>
        </w:numPr>
      </w:pPr>
      <w:r>
        <w:rPr>
          <w:b/>
          <w:bCs/>
        </w:rPr>
        <w:t xml:space="preserve">Narrowed Restrictiveness Test.</w:t>
      </w:r>
      <w:r>
        <w:t xml:space="preserve"> </w:t>
      </w:r>
      <w:r>
        <w:t xml:space="preserve">The events of default (and the cure periods applicable thereto), the negative covenants, and the lien-priority and subordination provisions of such refinancing indebtedness shall not, taken as a whole, be materially more restrictive to the Borrower than the corresponding provisions of the Second Lien Credit Agreement as in effect on the Closing Date; provided that (A) this clause (iii) shall not apply to pricing (including interest rate, fees, and original issue discount), optional or mandatory prepayment or redemption terms, or financial maintenance covenants (which are governed by clause (iv)), and (B) the determination of whether any provision is</w:t>
      </w:r>
      <w:r>
        <w:t xml:space="preserve"> </w:t>
      </w:r>
      <w:r>
        <w:t xml:space="preserve">“</w:t>
      </w:r>
      <w:r>
        <w:t xml:space="preserve">materially more restrictive</w:t>
      </w:r>
      <w:r>
        <w:t xml:space="preserve">”</w:t>
      </w:r>
      <w:r>
        <w:t xml:space="preserve"> </w:t>
      </w:r>
      <w:r>
        <w:t xml:space="preserve">shall be made by the First Lien Agent in its reasonable judgment;</w:t>
      </w:r>
    </w:p>
    <w:p>
      <w:pPr>
        <w:pStyle w:val="BlockText"/>
        <w:numPr>
          <w:ilvl w:val="0"/>
          <w:numId w:val="1006"/>
        </w:numPr>
      </w:pPr>
      <w:r>
        <w:rPr>
          <w:b/>
          <w:bCs/>
        </w:rPr>
        <w:t xml:space="preserve">Most-Favored-Nation Right (Financial Covenants).</w:t>
      </w:r>
      <w:r>
        <w:t xml:space="preserve"> </w:t>
      </w:r>
      <w:r>
        <w:t xml:space="preserve">If such refinancing indebtedness includes any financial maintenance covenant that is more favorable to the lenders thereof than the corresponding financial maintenance covenant in the First Lien Credit Agreement as in effect on the Closing Date (for this purpose, the existing Second Lien financial maintenance covenant is a Total Leverage ratio not to exceed 6.50 to 1.00, and the existing First Lien financial maintenance covenants are a Total First Lien Net Leverage ratio not to exceed 5.50 to 1.00 and an Interest Coverage ratio not less than 2.00 to 1.00), then, upon the Borrower’s delivery to the First Lien Agent of written notice of the consummation of such refinancing (together with a copy of the governing documentation), the First Lien Credit Agreement shall be deemed automatically amended, without any further consent or action by any First Lien Lender, to include such more favorable financial maintenance covenant for the benefit of the First Lien Lenders, mutatis mutandis and with appropriate adjustments to reflect the First Lien capital structure; and</w:t>
      </w:r>
    </w:p>
    <w:p>
      <w:pPr>
        <w:pStyle w:val="BlockText"/>
        <w:numPr>
          <w:ilvl w:val="0"/>
          <w:numId w:val="1006"/>
        </w:numPr>
      </w:pPr>
      <w:r>
        <w:rPr>
          <w:b/>
          <w:bCs/>
        </w:rPr>
        <w:t xml:space="preserve">Joinder.</w:t>
      </w:r>
      <w:r>
        <w:t xml:space="preserve"> </w:t>
      </w:r>
      <w:r>
        <w:t xml:space="preserve">The holders of such refinancing indebtedness (or their agent or representative) shall have become party to this Agreement (or a replacement intercreditor agreement on substantially similar terms) by executing and delivering a joinder agreement in form and substance reasonably satisfactory to the First Lien Agent and the Second Lien Agent.</w:t>
      </w:r>
    </w:p>
    <w:bookmarkEnd w:id="29"/>
    <w:bookmarkStart w:id="30" w:name="b.-negotiation-rationale-2"/>
    <w:p>
      <w:pPr>
        <w:pStyle w:val="Heading3"/>
      </w:pPr>
      <w:r>
        <w:t xml:space="preserve">B. Negotiation Rationale</w:t>
      </w:r>
    </w:p>
    <w:p>
      <w:pPr>
        <w:pStyle w:val="FirstParagraph"/>
      </w:pPr>
      <w:r>
        <w:rPr>
          <w:b/>
          <w:bCs/>
        </w:rPr>
        <w:t xml:space="preserve">Sub-element 1 — Principal cap: 10% limited to fees/costs.</w:t>
      </w:r>
      <w:r>
        <w:t xml:space="preserve"> </w:t>
      </w:r>
      <w:r>
        <w:t xml:space="preserve">The 1L Agent opened at 0% (equal or lesser principal only); the 2L Agent opened at 20% ($30M). The 2L Agent’s counsel has confirmed that Ridgeline</w:t>
      </w:r>
      <w:r>
        <w:t xml:space="preserve"> </w:t>
      </w:r>
      <w:r>
        <w:t xml:space="preserve">“</w:t>
      </w:r>
      <w:r>
        <w:t xml:space="preserve">can accept a 10% principal increase cap — that is, $15M — provided the increase is limited to refinancing-related fees and costs.</w:t>
      </w:r>
      <w:r>
        <w:t xml:space="preserve">”</w:t>
      </w:r>
      <w:r>
        <w:t xml:space="preserve"> </w:t>
      </w:r>
      <w:r>
        <w:t xml:space="preserve">The 1L Agent’s counsel has not signaled a specific number but has confirmed a</w:t>
      </w:r>
      <w:r>
        <w:t xml:space="preserve"> </w:t>
      </w:r>
      <w:r>
        <w:t xml:space="preserve">“</w:t>
      </w:r>
      <w:r>
        <w:t xml:space="preserve">willingness to discuss it further in the context of the overall package.</w:t>
      </w:r>
      <w:r>
        <w:t xml:space="preserve">”</w:t>
      </w:r>
      <w:r>
        <w:t xml:space="preserve"> </w:t>
      </w:r>
      <w:r>
        <w:t xml:space="preserve">The compromise adopts</w:t>
      </w:r>
      <w:r>
        <w:t xml:space="preserve"> </w:t>
      </w:r>
      <w:r>
        <w:rPr>
          <w:b/>
          <w:bCs/>
        </w:rPr>
        <w:t xml:space="preserve">10% ($15M) limited to fees, costs, premiums, and OID</w:t>
      </w:r>
      <w:r>
        <w:t xml:space="preserve">. This is the</w:t>
      </w:r>
      <w:r>
        <w:t xml:space="preserve"> </w:t>
      </w:r>
      <w:r>
        <w:rPr>
          <w:b/>
          <w:bCs/>
        </w:rPr>
        <w:t xml:space="preserve">market median</w:t>
      </w:r>
      <w:r>
        <w:t xml:space="preserve"> </w:t>
      </w:r>
      <w:r>
        <w:t xml:space="preserve">(10%; mean 8.9%), with 52% of KTM Survey deals permitting an increase in the 1–10% range, and</w:t>
      </w:r>
      <w:r>
        <w:t xml:space="preserve"> </w:t>
      </w:r>
      <w:r>
        <w:rPr>
          <w:b/>
          <w:bCs/>
        </w:rPr>
        <w:t xml:space="preserve">79% of deals that permit any increase limit that increase to fees, costs, and premiums only</w:t>
      </w:r>
      <w:r>
        <w:t xml:space="preserve">. Deal-007 (the most comparable deal) permits a 10% cap ($15M) limited to fees/costs. The Second Lien Credit Agreement itself (Section 7.01(d) and the definition of</w:t>
      </w:r>
      <w:r>
        <w:t xml:space="preserve"> </w:t>
      </w:r>
      <w:r>
        <w:t xml:space="preserve">“</w:t>
      </w:r>
      <w:r>
        <w:t xml:space="preserve">Permitted Refinancing Indebtedness</w:t>
      </w:r>
      <w:r>
        <w:t xml:space="preserve">”</w:t>
      </w:r>
      <w:r>
        <w:t xml:space="preserve">) already permits up to 20% ($30M) limited to accrued interest, premiums, fees, and transaction costs — so the ICA compromise at 10% is more restrictive than the 2L’s own credit agreement, which is an appropriate 1L-protective feature of the intercreditor bargain.</w:t>
      </w:r>
    </w:p>
    <w:p>
      <w:pPr>
        <w:pStyle w:val="BodyText"/>
      </w:pPr>
      <w:r>
        <w:t xml:space="preserve">The 2L Agent’s position letter specifically identifies the customary refinancing costs that the 10% headroom is designed to accommodate: call premiums or make-whole amounts payable on prepayment of the existing Second Lien Term Loan B (which, per the Second Lien Credit Agreement Section 2.04(b), are 2.00% in year one, 1.00% in year two, and par thereafter); arranger and underwriting fees (typically 200–350 basis points of the committed amount in the current second lien market); original issue discount (typically 97–99 cents on the dollar for a facility of this type and leverage profile, depending on market conditions at the time of refinancing); and legal, advisory, rating agency, and filing costs. The $15 million permitted increase is calibrated to cover these customary frictions on a $150 million refinancing without permitting new money to the Borrower, consistent with the market majority (79% of deals that permit any increase limit it to fees, costs, and premiums).</w:t>
      </w:r>
    </w:p>
    <w:p>
      <w:pPr>
        <w:pStyle w:val="BodyText"/>
      </w:pPr>
      <w:r>
        <w:rPr>
          <w:b/>
          <w:bCs/>
        </w:rPr>
        <w:t xml:space="preserve">Economic / LTV impact (candid assessment).</w:t>
      </w:r>
      <w:r>
        <w:t xml:space="preserve"> </w:t>
      </w:r>
      <w:r>
        <w:t xml:space="preserve">A full 10% upsize would increase total secured debt from $625M to $640M, which equals the appraised TEV and would produce a Total LTV of 100% — the precise concern the 1L Agent raised. Two features of the compromise materially mitigate this concern. First, the increase is</w:t>
      </w:r>
      <w:r>
        <w:t xml:space="preserve"> </w:t>
      </w:r>
      <w:r>
        <w:rPr>
          <w:b/>
          <w:bCs/>
        </w:rPr>
        <w:t xml:space="preserve">limited to refinancing fees, costs, premiums, and OID</w:t>
      </w:r>
      <w:r>
        <w:t xml:space="preserve"> </w:t>
      </w:r>
      <w:r>
        <w:t xml:space="preserve">— not new money to the Borrower — and these amounts typically amortize as part of the replacement facility rather than remaining as permanent incremental secured debt. Second, the Second Lien Credit Agreement’s financial maintenance covenant (Total Leverage ≤ 6.5x) constrains total debt to approximately 6.5 × $89.4M = $581M on a going-forward basis (the Borrower currently sits at 6.99x and expects deleveraging before the first covenant test), which is well below the $640M figure. The 1L Agent’s protection against incremental secured debt is therefore preserved by (a) the fees/costs limitation, (b) the 2L’s own financial covenant, and (c) the MFN right (below), which ensures the 1L shares in any covenant tightening. The 1L Agent’s opening 0% position is preserved in substance for any increase attributable to new money to the Borrower; only the customary refinancing-friction costs are accommodated, which is the market majority approach.</w:t>
      </w:r>
    </w:p>
    <w:p>
      <w:pPr>
        <w:pStyle w:val="BodyText"/>
      </w:pPr>
      <w:r>
        <w:rPr>
          <w:b/>
          <w:bCs/>
        </w:rPr>
        <w:t xml:space="preserve">Sub-element 2 — Maturity floor: dual test (later of 91 days post-1L and original 2L maturity).</w:t>
      </w:r>
      <w:r>
        <w:t xml:space="preserve"> </w:t>
      </w:r>
      <w:r>
        <w:t xml:space="preserve">The 1L Agent opened requiring a maturity no earlier than 91 days after the First Lien Maturity Date (i.e., September 14, 2030); the 2L Agent opened requiring a maturity no earlier than the original Second Lien Maturity Date (June 15, 2031). You asked us to analyze whether the 2L Agent’s position disadvantages the 1L Agent in any scenario.</w:t>
      </w:r>
      <w:r>
        <w:t xml:space="preserve"> </w:t>
      </w:r>
      <w:r>
        <w:rPr>
          <w:b/>
          <w:bCs/>
        </w:rPr>
        <w:t xml:space="preserve">It does not.</w:t>
      </w:r>
      <w:r>
        <w:t xml:space="preserve"> </w:t>
      </w:r>
      <w:r>
        <w:t xml:space="preserve">The original Second Lien Maturity Date (June 15, 2031) is 365 days after the First Lien Maturity Date (June 15, 2030) and 274 days after the 91-day post-1L date (September 14, 2030). The 2L Agent’s proposed floor therefore requires a</w:t>
      </w:r>
      <w:r>
        <w:t xml:space="preserve"> </w:t>
      </w:r>
      <w:r>
        <w:rPr>
          <w:b/>
          <w:bCs/>
        </w:rPr>
        <w:t xml:space="preserve">later</w:t>
      </w:r>
      <w:r>
        <w:t xml:space="preserve"> </w:t>
      </w:r>
      <w:r>
        <w:t xml:space="preserve">maturity than the 1L Agent’s proposed floor and is, in current circumstances,</w:t>
      </w:r>
      <w:r>
        <w:t xml:space="preserve"> </w:t>
      </w:r>
      <w:r>
        <w:rPr>
          <w:b/>
          <w:bCs/>
        </w:rPr>
        <w:t xml:space="preserve">more restrictive</w:t>
      </w:r>
      <w:r>
        <w:t xml:space="preserve"> </w:t>
      </w:r>
      <w:r>
        <w:t xml:space="preserve">(more protective of the 1L) than the 1L Agent’s own position.</w:t>
      </w:r>
    </w:p>
    <w:p>
      <w:pPr>
        <w:pStyle w:val="BodyText"/>
      </w:pPr>
      <w:r>
        <w:t xml:space="preserve">The only scenario in which the 1L Agent’s 91-day test would bind independently is if the First Lien Maturity Date is</w:t>
      </w:r>
      <w:r>
        <w:t xml:space="preserve"> </w:t>
      </w:r>
      <w:r>
        <w:rPr>
          <w:b/>
          <w:bCs/>
        </w:rPr>
        <w:t xml:space="preserve">extended</w:t>
      </w:r>
      <w:r>
        <w:t xml:space="preserve"> </w:t>
      </w:r>
      <w:r>
        <w:t xml:space="preserve">pursuant to Section 2.14 of the First Lien Credit Agreement to a date after June 15, 2030. In that case, the 91-day-post-1L floor would float forward (e.g., if the 1L maturity is extended to June 15, 2031, the 91-day floor becomes September 14, 2031), while the original-2L-maturity floor would remain fixed at June 15, 2031. The compromise adopts</w:t>
      </w:r>
      <w:r>
        <w:t xml:space="preserve"> </w:t>
      </w:r>
      <w:r>
        <w:rPr>
          <w:b/>
          <w:bCs/>
        </w:rPr>
        <w:t xml:space="preserve">both tests (the later of the two)</w:t>
      </w:r>
      <w:r>
        <w:t xml:space="preserve">, which (a) gives the 1L Agent the floating 91-day protection that matters in the extension scenario, (b) gives the 2L Agent the fixed original-maturity floor it has requested, and (c) in current circumstances is governed by the 2L Agent’s position (June 15, 2031), which is more protective of the 1L than the 1L’s own opening position. This</w:t>
      </w:r>
      <w:r>
        <w:t xml:space="preserve"> </w:t>
      </w:r>
      <w:r>
        <w:t xml:space="preserve">“</w:t>
      </w:r>
      <w:r>
        <w:t xml:space="preserve">both/and</w:t>
      </w:r>
      <w:r>
        <w:t xml:space="preserve">”</w:t>
      </w:r>
      <w:r>
        <w:t xml:space="preserve"> </w:t>
      </w:r>
      <w:r>
        <w:t xml:space="preserve">formulation is the market majority:</w:t>
      </w:r>
      <w:r>
        <w:t xml:space="preserve"> </w:t>
      </w:r>
      <w:r>
        <w:rPr>
          <w:b/>
          <w:bCs/>
        </w:rPr>
        <w:t xml:space="preserve">93% of KTM Survey deals use the 91-day-post-1L test and 81% also include the original-2L-maturity floor</w:t>
      </w:r>
      <w:r>
        <w:t xml:space="preserve">. It satisfies both sides without either side conceding anything of substance today, and it future-proofs the provision against 1L maturity extensions. The First Lien Credit Agreement’s Section 6.09(a) independently prohibits the Borrower from amending the Second Lien Credit Agreement to shorten the 2L maturity to earlier than 91 days after the Latest First Lien Maturity Date, providing a backstop protection for the 1L.</w:t>
      </w:r>
    </w:p>
    <w:p>
      <w:pPr>
        <w:pStyle w:val="BodyText"/>
      </w:pPr>
      <w:r>
        <w:rPr>
          <w:b/>
          <w:bCs/>
        </w:rPr>
        <w:t xml:space="preserve">Sub-element 3 — Restrictiveness test: narrowed, paired with MFN.</w:t>
      </w:r>
      <w:r>
        <w:t xml:space="preserve"> </w:t>
      </w:r>
      <w:r>
        <w:t xml:space="preserve">The 1L Agent opened requiring a blanket</w:t>
      </w:r>
      <w:r>
        <w:t xml:space="preserve"> </w:t>
      </w:r>
      <w:r>
        <w:t xml:space="preserve">“</w:t>
      </w:r>
      <w:r>
        <w:t xml:space="preserve">no more restrictive in any material respect</w:t>
      </w:r>
      <w:r>
        <w:t xml:space="preserve">”</w:t>
      </w:r>
      <w:r>
        <w:t xml:space="preserve"> </w:t>
      </w:r>
      <w:r>
        <w:t xml:space="preserve">test; the 2L Agent opened requiring no restrictiveness test at all. The 1L Agent’s counsel has confirmed that Cartwright</w:t>
      </w:r>
      <w:r>
        <w:t xml:space="preserve"> </w:t>
      </w:r>
      <w:r>
        <w:t xml:space="preserve">“</w:t>
      </w:r>
      <w:r>
        <w:t xml:space="preserve">is open to a narrowed restrictiveness test — one that would not require a blanket comparison but would instead focus on specifically enumerated provisions — provided it is combined with a most-favored-nation right for the benefit of the 1L lenders.</w:t>
      </w:r>
      <w:r>
        <w:t xml:space="preserve">”</w:t>
      </w:r>
      <w:r>
        <w:t xml:space="preserve"> </w:t>
      </w:r>
      <w:r>
        <w:t xml:space="preserve">The 2L Agent’s counsel has confirmed it is</w:t>
      </w:r>
      <w:r>
        <w:t xml:space="preserve"> </w:t>
      </w:r>
      <w:r>
        <w:t xml:space="preserve">“</w:t>
      </w:r>
      <w:r>
        <w:t xml:space="preserve">open to discussing whether a narrowed restrictiveness test paired with an MFN right could work.</w:t>
      </w:r>
      <w:r>
        <w:t xml:space="preserve">”</w:t>
      </w:r>
      <w:r>
        <w:t xml:space="preserve"> </w:t>
      </w:r>
      <w:r>
        <w:t xml:space="preserve">The compromise adopts exactly this pairing.</w:t>
      </w:r>
    </w:p>
    <w:p>
      <w:pPr>
        <w:pStyle w:val="BodyText"/>
      </w:pPr>
      <w:r>
        <w:t xml:space="preserve">The</w:t>
      </w:r>
      <w:r>
        <w:t xml:space="preserve"> </w:t>
      </w:r>
      <w:r>
        <w:rPr>
          <w:b/>
          <w:bCs/>
        </w:rPr>
        <w:t xml:space="preserve">narrowed restrictiveness test</w:t>
      </w:r>
      <w:r>
        <w:t xml:space="preserve"> </w:t>
      </w:r>
      <w:r>
        <w:t xml:space="preserve">(clause (iii)) is limited to three enumerated categories — events of default (and cure periods), negative covenants, and lien-priority/subordination provisions — and expressly excludes pricing, prepayment/redemption terms, and financial maintenance covenants (which are governed by the MFN). This addresses the 1L Agent’s stated concern that a refinancing could introduce tighter covenants, shorter cure periods, or subordination-altering provisions that could trigger cross-defaults to the First Lien Credit Agreement or undermine the ICA’s priority structure, while avoiding the overbreadth and subjectivity of a blanket test (the 2L Agent’s stated objection). This is the market majority:</w:t>
      </w:r>
      <w:r>
        <w:t xml:space="preserve"> </w:t>
      </w:r>
      <w:r>
        <w:rPr>
          <w:b/>
          <w:bCs/>
        </w:rPr>
        <w:t xml:space="preserve">52% of KTM Survey deals use a narrowed test</w:t>
      </w:r>
      <w:r>
        <w:t xml:space="preserve"> </w:t>
      </w:r>
      <w:r>
        <w:t xml:space="preserve">(versus 33% blanket and 14% none), and the trend is strongly toward the narrowed approach —</w:t>
      </w:r>
      <w:r>
        <w:t xml:space="preserve"> </w:t>
      </w:r>
      <w:r>
        <w:rPr>
          <w:b/>
          <w:bCs/>
        </w:rPr>
        <w:t xml:space="preserve">38% of 2022 deals versus 65% of 2024 deals</w:t>
      </w:r>
      <w:r>
        <w:t xml:space="preserve"> </w:t>
      </w:r>
      <w:r>
        <w:t xml:space="preserve">use the narrowed-plus-MFN combination.</w:t>
      </w:r>
    </w:p>
    <w:p>
      <w:pPr>
        <w:pStyle w:val="BodyText"/>
      </w:pPr>
      <w:r>
        <w:t xml:space="preserve">The</w:t>
      </w:r>
      <w:r>
        <w:t xml:space="preserve"> </w:t>
      </w:r>
      <w:r>
        <w:rPr>
          <w:b/>
          <w:bCs/>
        </w:rPr>
        <w:t xml:space="preserve">MFN right</w:t>
      </w:r>
      <w:r>
        <w:t xml:space="preserve"> </w:t>
      </w:r>
      <w:r>
        <w:t xml:space="preserve">(clause (iv)) provides that if the refinancing indebtedness includes a financial maintenance covenant more favorable to its lenders than the corresponding First Lien covenant, the First Lien Lenders automatically receive the benefit of that more favorable covenant. This is the mechanism the 1L Agent’s counsel specifically requested, and it ensures the 1L is not left with looser covenants than the refinanced 2L tranche. The MFN is</w:t>
      </w:r>
      <w:r>
        <w:t xml:space="preserve"> </w:t>
      </w:r>
      <w:r>
        <w:rPr>
          <w:b/>
          <w:bCs/>
        </w:rPr>
        <w:t xml:space="preserve">limited to financial maintenance covenants</w:t>
      </w:r>
      <w:r>
        <w:t xml:space="preserve">, consistent with the market:</w:t>
      </w:r>
      <w:r>
        <w:t xml:space="preserve"> </w:t>
      </w:r>
      <w:r>
        <w:rPr>
          <w:b/>
          <w:bCs/>
        </w:rPr>
        <w:t xml:space="preserve">100% of narrowed-restrictiveness deals in the KTM Survey pair with an MFN, and 82% of MFN provisions are limited to financial covenants only</w:t>
      </w:r>
      <w:r>
        <w:t xml:space="preserve">. The existing 2L financial maintenance covenant (Total Leverage ≤ 6.5x) and the existing 1L covenants (Total First Lien Net Leverage ≤ 5.50x; Interest Coverage ≥ 2.00x) are recited as the benchmarks, and the Second Lien Credit Agreement’s Section 7.08(d) already establishes 6.5x as the baseline and deems any lower level</w:t>
      </w:r>
      <w:r>
        <w:t xml:space="preserve"> </w:t>
      </w:r>
      <w:r>
        <w:t xml:space="preserve">“</w:t>
      </w:r>
      <w:r>
        <w:t xml:space="preserve">more restrictive</w:t>
      </w:r>
      <w:r>
        <w:t xml:space="preserve">”</w:t>
      </w:r>
      <w:r>
        <w:t xml:space="preserve"> </w:t>
      </w:r>
      <w:r>
        <w:t xml:space="preserve">— so the MFN and the 2L’s own credit agreement are internally consistent. By way of illustration, the 1L Agent’s position letter specifically flags the risk that a refinancing could tighten the Total Leverage financial maintenance covenant from the existing 6.5x to, say, 6.0x, which could trigger a default under the replacement Second Lien Documents at a time when the Borrower remains in compliance with its First Lien covenants, thereby introducing enforcement risk and destabilizing the capital structure. The MFN right addresses this concern directly: if the replacement facility tightens the total-leverage covenant below the 1L’s corresponding covenant level, the First Lien Credit Agreement is deemed automatically amended to include that tighter covenant for the 1L’s benefit, so the 1L is never left with looser covenants than the refinanced 2L tranche and the cross-default/destabilization risk the 1L identifies is neutralized. The Second Lien Credit Agreement’s Section 7.08(d) independently deems any total-leverage maintenance covenant below 6.50x</w:t>
      </w:r>
      <w:r>
        <w:t xml:space="preserve"> </w:t>
      </w:r>
      <w:r>
        <w:t xml:space="preserve">“</w:t>
      </w:r>
      <w:r>
        <w:t xml:space="preserve">more restrictive</w:t>
      </w:r>
      <w:r>
        <w:t xml:space="preserve">”</w:t>
      </w:r>
      <w:r>
        <w:t xml:space="preserve"> </w:t>
      </w:r>
      <w:r>
        <w:t xml:space="preserve">and prohibits it absent the requisite consents, providing a second backstop. Deal-007 (the most comparable deal) uses precisely this structure: a 10% cap limited to fees/costs, a narrowed restrictiveness test, and an MFN right on financial covenants.</w:t>
      </w:r>
    </w:p>
    <w:p>
      <w:pPr>
        <w:pStyle w:val="BodyText"/>
      </w:pPr>
      <w:r>
        <w:rPr>
          <w:b/>
          <w:bCs/>
        </w:rPr>
        <w:t xml:space="preserve">Joinder (clause (v))</w:t>
      </w:r>
      <w:r>
        <w:t xml:space="preserve"> </w:t>
      </w:r>
      <w:r>
        <w:t xml:space="preserve">is agreed in substance by both sides and is included for completeness.</w:t>
      </w:r>
    </w:p>
    <w:p>
      <w:pPr>
        <w:pStyle w:val="BodyText"/>
      </w:pPr>
      <w:r>
        <w:rPr>
          <w:b/>
          <w:bCs/>
        </w:rPr>
        <w:t xml:space="preserve">Weighted Average Life to Maturity (WAL).</w:t>
      </w:r>
      <w:r>
        <w:t xml:space="preserve"> </w:t>
      </w:r>
      <w:r>
        <w:t xml:space="preserve">Neither party’s bracketed proposal addressed a WAL test, and the drafting note does not flag it as a disputed sub-element. The KTM Survey shows that only 29% of deals impose a WAL requirement (71% do not), making</w:t>
      </w:r>
      <w:r>
        <w:t xml:space="preserve"> </w:t>
      </w:r>
      <w:r>
        <w:t xml:space="preserve">“</w:t>
      </w:r>
      <w:r>
        <w:t xml:space="preserve">no ICA-level WAL test</w:t>
      </w:r>
      <w:r>
        <w:t xml:space="preserve">”</w:t>
      </w:r>
      <w:r>
        <w:t xml:space="preserve"> </w:t>
      </w:r>
      <w:r>
        <w:t xml:space="preserve">the market majority. The Second Lien Credit Agreement’s own definition of</w:t>
      </w:r>
      <w:r>
        <w:t xml:space="preserve"> </w:t>
      </w:r>
      <w:r>
        <w:t xml:space="preserve">“</w:t>
      </w:r>
      <w:r>
        <w:t xml:space="preserve">Permitted Refinancing Indebtedness</w:t>
      </w:r>
      <w:r>
        <w:t xml:space="preserve">”</w:t>
      </w:r>
      <w:r>
        <w:t xml:space="preserve"> </w:t>
      </w:r>
      <w:r>
        <w:t xml:space="preserve">(clause (c)) already requires that replacement indebtedness</w:t>
      </w:r>
      <w:r>
        <w:t xml:space="preserve"> </w:t>
      </w:r>
      <w:r>
        <w:t xml:space="preserve">“</w:t>
      </w:r>
      <w:r>
        <w:t xml:space="preserve">shall not have a weighted average life to maturity shorter than the remaining weighted average life to maturity of the Loans being refinanced.</w:t>
      </w:r>
      <w:r>
        <w:t xml:space="preserve">”</w:t>
      </w:r>
      <w:r>
        <w:t xml:space="preserve"> </w:t>
      </w:r>
      <w:r>
        <w:t xml:space="preserve">The compromise therefore does not impose an additional ICA-level WAL test, relying instead on (a) the Second Lien Credit Agreement’s own WAL test, which governs the bilateral 2L refinancing as between the Borrower and the 2L lenders, and (b) the maturity floor in clause (ii), which protects the 1L against maturity compression. This is consistent with the market majority and avoids duplicative testing, while preserving the 1L’s maturity protection through the dual-test maturity floor.</w:t>
      </w:r>
    </w:p>
    <w:bookmarkEnd w:id="30"/>
    <w:bookmarkEnd w:id="31"/>
    <w:bookmarkStart w:id="34" w:name="Xd1a698153dc27c219e8727ecad94cbc874994b2"/>
    <w:p>
      <w:pPr>
        <w:pStyle w:val="Heading2"/>
      </w:pPr>
      <w:r>
        <w:t xml:space="preserve">VII. Section 4.02 — Application of Asset Disposition and Casualty Proceeds</w:t>
      </w:r>
    </w:p>
    <w:bookmarkStart w:id="32" w:name="a.-proposed-compromise-language-3"/>
    <w:p>
      <w:pPr>
        <w:pStyle w:val="Heading3"/>
      </w:pPr>
      <w:r>
        <w:t xml:space="preserve">A. Proposed Compromise Language</w:t>
      </w:r>
    </w:p>
    <w:p>
      <w:pPr>
        <w:pStyle w:val="BlockText"/>
      </w:pPr>
      <w:r>
        <w:rPr>
          <w:b/>
          <w:bCs/>
        </w:rPr>
        <w:t xml:space="preserve">Section 4.02 — Application of Asset Disposition and Casualty Proceeds.</w:t>
      </w:r>
    </w:p>
    <w:p>
      <w:pPr>
        <w:pStyle w:val="BlockText"/>
        <w:numPr>
          <w:ilvl w:val="0"/>
          <w:numId w:val="1007"/>
        </w:numPr>
      </w:pPr>
      <w:r>
        <w:rPr>
          <w:b/>
          <w:bCs/>
        </w:rPr>
        <w:t xml:space="preserve">Bifurcated Application.</w:t>
      </w:r>
      <w:r>
        <w:t xml:space="preserve"> </w:t>
      </w:r>
      <w:r>
        <w:t xml:space="preserve">All Net Cash Proceeds received by the Borrower or any other loan party in respect of any Asset Disposition or Casualty Event shall be applied as follows:</w:t>
      </w:r>
    </w:p>
    <w:p>
      <w:pPr>
        <w:pStyle w:val="BlockText"/>
        <w:numPr>
          <w:ilvl w:val="0"/>
          <w:numId w:val="1007"/>
        </w:numPr>
      </w:pPr>
      <w:r>
        <w:rPr>
          <w:b/>
          <w:bCs/>
        </w:rPr>
        <w:t xml:space="preserve">Large Dispositions — Hard Sweep.</w:t>
      </w:r>
      <w:r>
        <w:t xml:space="preserve"> </w:t>
      </w:r>
      <w:r>
        <w:t xml:space="preserve">With respect to any single Asset Disposition or Casualty Event yielding Net Cash Proceeds in excess of</w:t>
      </w:r>
      <w:r>
        <w:t xml:space="preserve"> </w:t>
      </w:r>
      <w:r>
        <w:rPr>
          <w:b/>
          <w:bCs/>
        </w:rPr>
        <w:t xml:space="preserve">$20,000,000</w:t>
      </w:r>
      <w:r>
        <w:t xml:space="preserve"> </w:t>
      </w:r>
      <w:r>
        <w:t xml:space="preserve">(each, a</w:t>
      </w:r>
      <w:r>
        <w:t xml:space="preserve"> </w:t>
      </w:r>
      <w:r>
        <w:t xml:space="preserve">“</w:t>
      </w:r>
      <w:r>
        <w:rPr>
          <w:b/>
          <w:bCs/>
        </w:rPr>
        <w:t xml:space="preserve">Large Disposition</w:t>
      </w:r>
      <w:r>
        <w:t xml:space="preserve">”</w:t>
      </w:r>
      <w:r>
        <w:t xml:space="preserve">), one hundred percent (100%) of such Net Cash Proceeds shall be applied to prepay the First Lien Obligations in accordance with the mandatory prepayment provisions of the First Lien Credit Agreement. For the avoidance of doubt, the reinvestment rights granted to the Borrower under Section 2.05(b)(iv) of the First Lien Credit Agreement shall be</w:t>
      </w:r>
      <w:r>
        <w:t xml:space="preserve"> </w:t>
      </w:r>
      <w:r>
        <w:rPr>
          <w:b/>
          <w:bCs/>
        </w:rPr>
        <w:t xml:space="preserve">superseded by this clause (a)(i)</w:t>
      </w:r>
      <w:r>
        <w:t xml:space="preserve"> </w:t>
      </w:r>
      <w:r>
        <w:t xml:space="preserve">with respect to any Large Disposition, and no reinvestment in replacement assets shall be permitted with respect to Net Cash Proceeds of a Large Disposition. No portion of such Net Cash Proceeds shall be available for application to the Second Lien Obligations, or for distribution to the Borrower or any other person, until the Discharge of First Lien Obligations shall have occurred.</w:t>
      </w:r>
    </w:p>
    <w:p>
      <w:pPr>
        <w:pStyle w:val="Compact"/>
        <w:numPr>
          <w:ilvl w:val="0"/>
          <w:numId w:val="1008"/>
        </w:numPr>
      </w:pPr>
      <w:r>
        <w:rPr>
          <w:b/>
          <w:bCs/>
        </w:rPr>
        <w:t xml:space="preserve">Ordinary-Course Dispositions — Reinvestment Mechanics.</w:t>
      </w:r>
      <w:r>
        <w:t xml:space="preserve"> </w:t>
      </w:r>
      <w:r>
        <w:t xml:space="preserve">With respect to any Asset Disposition or Casualty Event yielding Net Cash Proceeds of $20,000,000 or less (each, an</w:t>
      </w:r>
      <w:r>
        <w:t xml:space="preserve"> </w:t>
      </w:r>
      <w:r>
        <w:t xml:space="preserve">“</w:t>
      </w:r>
      <w:r>
        <w:rPr>
          <w:b/>
          <w:bCs/>
        </w:rPr>
        <w:t xml:space="preserve">Ordinary-Course Disposition</w:t>
      </w:r>
      <w:r>
        <w:t xml:space="preserve">”</w:t>
      </w:r>
      <w:r>
        <w:t xml:space="preserve">), such Net Cash Proceeds shall be applied in accordance with the reinvestment and mandatory prepayment mechanics set forth in the First Lien Credit Agreement, including (A) the Borrower’s right to reinvest such Net Cash Proceeds in Permitted Reinvestment Assets during the 365-day Reinvestment Period, (B) the individual Asset Disposition prepayment trigger of $5,000,000, and (C) the annual aggregate prepayment trigger of $15,000,000. Net Cash Proceeds of an Ordinary-Course Disposition that are not reinvested within the Reinvestment Period shall be applied to prepay the First Lien Obligations in accordance with the First Lien Credit Agreement (a 100% sweep of non-reinvested proceeds).</w:t>
      </w:r>
    </w:p>
    <w:p>
      <w:pPr>
        <w:pStyle w:val="BlockText"/>
        <w:numPr>
          <w:ilvl w:val="0"/>
          <w:numId w:val="1009"/>
        </w:numPr>
      </w:pPr>
      <w:r>
        <w:rPr>
          <w:b/>
          <w:bCs/>
        </w:rPr>
        <w:t xml:space="preserve">Anti-Evasion.</w:t>
      </w:r>
      <w:r>
        <w:t xml:space="preserve"> </w:t>
      </w:r>
      <w:r>
        <w:t xml:space="preserve">No Asset Disposition (and no series of related Asset Dispositions or Casualty Events) shall be structured, timed, or otherwise arranged in a manner designed to avoid the $20,000,000 threshold set forth in clause (a)(i). The First Lien Agent may, in its reasonable discretion, aggregate any Asset Dispositions and Casualty Events occurring within a 90-day period if the First Lien Agent reasonably determines that such dispositions or events constitute a single plan or related series of transactions, and in such event the Net Cash Proceeds from all such aggregated dispositions and events shall be treated as Net Cash Proceeds of a single Asset Disposition or Casualty Event for purposes of determining whether the $20,000,000 threshold has been exceeded. In making such determination, the First Lien Agent shall consider, among other factors, the identity of the acquirer or acquirers, the nature and location of the assets disposed of, and the timing and sequencing of the dispositions. This anti-evasion provision is in addition to, and does not limit, the anti-evasion provisions of Section 2.05(b)(iii) of the First Lien Credit Agreement.</w:t>
      </w:r>
    </w:p>
    <w:p>
      <w:pPr>
        <w:pStyle w:val="BlockText"/>
        <w:numPr>
          <w:ilvl w:val="0"/>
          <w:numId w:val="1009"/>
        </w:numPr>
      </w:pPr>
      <w:r>
        <w:rPr>
          <w:b/>
          <w:bCs/>
        </w:rPr>
        <w:t xml:space="preserve">Residual Proceeds to Second Lien.</w:t>
      </w:r>
      <w:r>
        <w:t xml:space="preserve"> </w:t>
      </w:r>
      <w:r>
        <w:t xml:space="preserve">After the application of Net Cash Proceeds to the First Lien Obligations in accordance with clause (a) (including, with respect to Ordinary-Course Dispositions, after the expiration of the Reinvestment Period and the 100% sweep of non-reinvested proceeds), any residual Net Cash Proceeds remaining shall be applied to prepay the Second Lien Obligations in accordance with the mandatory prepayment provisions of the Second Lien Credit Agreement, until the Discharge of Second Lien Obligations shall have occurred; and thereafter, to the Borrower or to whomsoever may be lawfully entitled thereto. For the avoidance of doubt, no residual Net Cash Proceeds shall be distributed to the Borrower (or its equity holders) so long as any Second Lien Obligations remain outstanding.</w:t>
      </w:r>
    </w:p>
    <w:p>
      <w:pPr>
        <w:pStyle w:val="BlockText"/>
        <w:numPr>
          <w:ilvl w:val="0"/>
          <w:numId w:val="1009"/>
        </w:numPr>
      </w:pPr>
      <w:r>
        <w:rPr>
          <w:b/>
          <w:bCs/>
        </w:rPr>
        <w:t xml:space="preserve">Conflicts; ICA Controls.</w:t>
      </w:r>
      <w:r>
        <w:t xml:space="preserve"> </w:t>
      </w:r>
      <w:r>
        <w:t xml:space="preserve">In the event of any conflict between this Section 4.02 and the reinvestment or mandatory prepayment provisions of the First Lien Credit Agreement, the provisions of this Section 4.02 shall govern and control as among the First Lien Secured Parties, the Second Lien Secured Parties, and the Borrower; provided that, with respect to Ordinary-Course Dispositions, this Section 4.02 defers to, and incorporates by reference, the reinvestment and mandatory prepayment mechanics of the First Lien Credit Agreement as in effect on the Closing Date.</w:t>
      </w:r>
    </w:p>
    <w:p>
      <w:pPr>
        <w:pStyle w:val="BlockText"/>
        <w:numPr>
          <w:ilvl w:val="0"/>
          <w:numId w:val="1009"/>
        </w:numPr>
      </w:pPr>
      <w:r>
        <w:rPr>
          <w:b/>
          <w:bCs/>
        </w:rPr>
        <w:t xml:space="preserve">Reporting.</w:t>
      </w:r>
      <w:r>
        <w:t xml:space="preserve"> </w:t>
      </w:r>
      <w:r>
        <w:t xml:space="preserve">The Borrower shall deliver to the First Lien Agent and the Second Lien Agent (i) a quarterly certificate of compliance certifying the aggregate Net Cash Proceeds from all Asset Dispositions and Casualty Events during the applicable fiscal quarter and the application thereof; (ii) prompt written notice (and in any event within five Business Days) of any Asset Disposition or Casualty Event yielding Net Cash Proceeds in excess of $5,000,000, describing in reasonable detail the assets involved, the estimated Net Cash Proceeds, and whether the Borrower intends to reinvest any portion thereof; and (iii) an annual aggregate disposition report setting forth an itemized list of all Asset Dispositions and Casualty Events during the applicable fiscal year and the Net Cash Proceeds and application thereof.</w:t>
      </w:r>
    </w:p>
    <w:bookmarkEnd w:id="32"/>
    <w:bookmarkStart w:id="33" w:name="b.-negotiation-rationale-3"/>
    <w:p>
      <w:pPr>
        <w:pStyle w:val="Heading3"/>
      </w:pPr>
      <w:r>
        <w:t xml:space="preserve">B. Negotiation Rationale</w:t>
      </w:r>
    </w:p>
    <w:p>
      <w:pPr>
        <w:pStyle w:val="FirstParagraph"/>
      </w:pPr>
      <w:r>
        <w:rPr>
          <w:b/>
          <w:bCs/>
        </w:rPr>
        <w:t xml:space="preserve">Bifurcated approach — hard sweep for large sales; reinvestment for ordinary-course.</w:t>
      </w:r>
      <w:r>
        <w:t xml:space="preserve"> </w:t>
      </w:r>
      <w:r>
        <w:t xml:space="preserve">The 1L Agent opened requiring a 100% sweep of all Net Cash Proceeds, overriding all reinvestment rights, with no 2L access until the 1L is paid in full. The 2L Agent opened requiring the ICA to follow the First Lien Credit Agreement’s reinvestment mechanics in full, with residual proceeds flowing to the 2L. The 1L Agent’s counsel has confirmed that</w:t>
      </w:r>
      <w:r>
        <w:t xml:space="preserve"> </w:t>
      </w:r>
      <w:r>
        <w:t xml:space="preserve">“</w:t>
      </w:r>
      <w:r>
        <w:t xml:space="preserve">a hard sweep of proceeds from large and/or extraordinary asset sales is essential to the syndicate and is not subject to significant compromise,</w:t>
      </w:r>
      <w:r>
        <w:t xml:space="preserve">”</w:t>
      </w:r>
      <w:r>
        <w:t xml:space="preserve"> </w:t>
      </w:r>
      <w:r>
        <w:t xml:space="preserve">but that</w:t>
      </w:r>
      <w:r>
        <w:t xml:space="preserve"> </w:t>
      </w:r>
      <w:r>
        <w:t xml:space="preserve">“</w:t>
      </w:r>
      <w:r>
        <w:t xml:space="preserve">reinvestment rights for smaller, ordinary-course asset sales may be acceptable,</w:t>
      </w:r>
      <w:r>
        <w:t xml:space="preserve">”</w:t>
      </w:r>
      <w:r>
        <w:t xml:space="preserve"> </w:t>
      </w:r>
      <w:r>
        <w:t xml:space="preserve">suggesting</w:t>
      </w:r>
      <w:r>
        <w:t xml:space="preserve"> </w:t>
      </w:r>
      <w:r>
        <w:t xml:space="preserve">“</w:t>
      </w:r>
      <w:r>
        <w:t xml:space="preserve">the ICA defer to the 1L Credit Agreement’s existing reinvestment mechanics for ordinary-course sales below a defined threshold, while imposing a hard 100% sweep to 1L obligations for larger or extraordinary dispositions.</w:t>
      </w:r>
      <w:r>
        <w:t xml:space="preserve">”</w:t>
      </w:r>
      <w:r>
        <w:t xml:space="preserve"> </w:t>
      </w:r>
      <w:r>
        <w:t xml:space="preserve">The 2L Agent’s counsel has confirmed that the 2L</w:t>
      </w:r>
      <w:r>
        <w:t xml:space="preserve"> </w:t>
      </w:r>
      <w:r>
        <w:t xml:space="preserve">“</w:t>
      </w:r>
      <w:r>
        <w:t xml:space="preserve">understands that hard sweeps on large or extraordinary asset sales may be necessary</w:t>
      </w:r>
      <w:r>
        <w:t xml:space="preserve">”</w:t>
      </w:r>
      <w:r>
        <w:t xml:space="preserve"> </w:t>
      </w:r>
      <w:r>
        <w:t xml:space="preserve">and</w:t>
      </w:r>
      <w:r>
        <w:t xml:space="preserve"> </w:t>
      </w:r>
      <w:r>
        <w:t xml:space="preserve">“</w:t>
      </w:r>
      <w:r>
        <w:t xml:space="preserve">could live with the 1L reinvestment mechanics applying for ordinary-course sales … provided that the residual after 1L application flows to the 2L rather than back to the Borrower.</w:t>
      </w:r>
      <w:r>
        <w:t xml:space="preserve">”</w:t>
      </w:r>
      <w:r>
        <w:t xml:space="preserve"> </w:t>
      </w:r>
      <w:r>
        <w:t xml:space="preserve">You have indicated that an ordinary-course threshold of $20 million has been discussed informally.</w:t>
      </w:r>
    </w:p>
    <w:p>
      <w:pPr>
        <w:pStyle w:val="BodyText"/>
      </w:pPr>
      <w:r>
        <w:t xml:space="preserve">The compromise adopts exactly this bifurcated structure with a</w:t>
      </w:r>
      <w:r>
        <w:t xml:space="preserve"> </w:t>
      </w:r>
      <w:r>
        <w:rPr>
          <w:b/>
          <w:bCs/>
        </w:rPr>
        <w:t xml:space="preserve">$20,000,000 threshold</w:t>
      </w:r>
      <w:r>
        <w:t xml:space="preserve">. This is the market standard:</w:t>
      </w:r>
      <w:r>
        <w:t xml:space="preserve"> </w:t>
      </w:r>
      <w:r>
        <w:rPr>
          <w:b/>
          <w:bCs/>
        </w:rPr>
        <w:t xml:space="preserve">100% of KTM Survey deals sweep proceeds to the 1L</w:t>
      </w:r>
      <w:r>
        <w:t xml:space="preserve"> </w:t>
      </w:r>
      <w:r>
        <w:t xml:space="preserve">(universal);</w:t>
      </w:r>
      <w:r>
        <w:t xml:space="preserve"> </w:t>
      </w:r>
      <w:r>
        <w:rPr>
          <w:b/>
          <w:bCs/>
        </w:rPr>
        <w:t xml:space="preserve">81% preserve reinvestment rights</w:t>
      </w:r>
      <w:r>
        <w:t xml:space="preserve"> </w:t>
      </w:r>
      <w:r>
        <w:t xml:space="preserve">(91% of those using a 365-day period, matching the First Lien Credit Agreement);</w:t>
      </w:r>
      <w:r>
        <w:t xml:space="preserve"> </w:t>
      </w:r>
      <w:r>
        <w:rPr>
          <w:b/>
          <w:bCs/>
        </w:rPr>
        <w:t xml:space="preserve">90% include a hard sweep for large/extraordinary sales</w:t>
      </w:r>
      <w:r>
        <w:t xml:space="preserve">;</w:t>
      </w:r>
      <w:r>
        <w:t xml:space="preserve"> </w:t>
      </w:r>
      <w:r>
        <w:rPr>
          <w:b/>
          <w:bCs/>
        </w:rPr>
        <w:t xml:space="preserve">81% exclude ordinary-course sales</w:t>
      </w:r>
      <w:r>
        <w:t xml:space="preserve"> </w:t>
      </w:r>
      <w:r>
        <w:t xml:space="preserve">with a</w:t>
      </w:r>
      <w:r>
        <w:t xml:space="preserve"> </w:t>
      </w:r>
      <w:r>
        <w:rPr>
          <w:b/>
          <w:bCs/>
        </w:rPr>
        <w:t xml:space="preserve">median ordinary-course threshold of $20,000,000</w:t>
      </w:r>
      <w:r>
        <w:t xml:space="preserve"> </w:t>
      </w:r>
      <w:r>
        <w:t xml:space="preserve">(range $10M–$30M); and</w:t>
      </w:r>
      <w:r>
        <w:t xml:space="preserve"> </w:t>
      </w:r>
      <w:r>
        <w:rPr>
          <w:b/>
          <w:bCs/>
        </w:rPr>
        <w:t xml:space="preserve">79% provide 2L residual access</w:t>
      </w:r>
      <w:r>
        <w:t xml:space="preserve"> </w:t>
      </w:r>
      <w:r>
        <w:t xml:space="preserve">after 1L paydown. The 1L Agent’s position letter cites three precedents (Hartsfield/Consolidated Metals, Kingsbridge/Atlas Materials, and Briarcliff/Weston Energy Partners) in support of a 100% sweep with express override of reinvestment rights; those precedents are consistent with the universal 100%-sweep market practice and with the hard-sweep component of the compromise for Large Dispositions, and the 1L Agent itself noted that Briarcliff/Weston Energy ultimately agreed to the 100% sweep even though its leverage (5.8x, 88% LTV) was less aggressive than Meridian’s — a fortiori supporting the hard sweep here. Deal-007 (the most comparable deal) uses precisely this framework: a $20M ordinary-course threshold with anti-evasion at the same level, a 365-day reinvestment period per the First Lien Credit Agreement, a hard sweep for extraordinary sales, and 2L residual access after full 1L paydown.</w:t>
      </w:r>
    </w:p>
    <w:p>
      <w:pPr>
        <w:pStyle w:val="BodyText"/>
      </w:pPr>
      <w:r>
        <w:rPr>
          <w:b/>
          <w:bCs/>
        </w:rPr>
        <w:t xml:space="preserve">Why the $20M threshold is appropriate.</w:t>
      </w:r>
      <w:r>
        <w:t xml:space="preserve"> </w:t>
      </w:r>
      <w:r>
        <w:t xml:space="preserve">The $20M threshold represents approximately</w:t>
      </w:r>
      <w:r>
        <w:t xml:space="preserve"> </w:t>
      </w:r>
      <w:r>
        <w:rPr>
          <w:b/>
          <w:bCs/>
        </w:rPr>
        <w:t xml:space="preserve">22.4% of LTM EBITDA</w:t>
      </w:r>
      <w:r>
        <w:t xml:space="preserve"> </w:t>
      </w:r>
      <w:r>
        <w:t xml:space="preserve">($20M ÷ $89.4M), which is consistent with the median ordinary-course threshold in the KTM Survey and accommodates Meridian’s routine asset turnover (replacement of aging manufacturing equipment, upgrades to production lines, responses to shifts in customer demand) without triggering the hard sweep. Asset sales and casualty events above $20M — which would include any disposition of a material facility, a business unit, or a major equipment line — are subject to the hard 100% sweep, protecting the 1L against leakage of significant proceeds in the near-par LTV environment. The First Lien Credit Agreement’s own $5M individual and $15M annual aggregate prepayment triggers are preserved for Ordinary-Course Dispositions (so the 1L’s negotiated prepayment thresholds continue to operate for routine sales), and the ICA adds only the $20M bright line above which reinvestment is unavailable.</w:t>
      </w:r>
    </w:p>
    <w:p>
      <w:pPr>
        <w:pStyle w:val="BodyText"/>
      </w:pPr>
      <w:r>
        <w:rPr>
          <w:b/>
          <w:bCs/>
        </w:rPr>
        <w:t xml:space="preserve">Anti-evasion.</w:t>
      </w:r>
      <w:r>
        <w:t xml:space="preserve"> </w:t>
      </w:r>
      <w:r>
        <w:t xml:space="preserve">Both agents’ counsel have flagged the need for robust anti-evasion language to prevent a Large Disposition from being structured as a series of sub-$20M transactions. The compromise adopts anti-evasion language that (a) prohibits structuring to avoid the $20M threshold, (b) permits the First Lien Agent to aggregate dispositions within a 90-day period where they constitute a single plan or related series (mirroring the anti-evasion provision already in Section 2.05(b)(iii) of the First Lien Credit Agreement), and (c) identifies the relevant aggregation factors (identity of acquirer, nature/location of assets, timing/sequencing). This is the market majority:</w:t>
      </w:r>
      <w:r>
        <w:t xml:space="preserve"> </w:t>
      </w:r>
      <w:r>
        <w:rPr>
          <w:b/>
          <w:bCs/>
        </w:rPr>
        <w:t xml:space="preserve">97% of ordinary-course-exclusion deals in the KTM Survey include an anti-evasion clause</w:t>
      </w:r>
      <w:r>
        <w:t xml:space="preserve">, typically set at the same threshold as the ordinary-course exclusion ($20M here).</w:t>
      </w:r>
    </w:p>
    <w:p>
      <w:pPr>
        <w:pStyle w:val="BodyText"/>
      </w:pPr>
      <w:r>
        <w:rPr>
          <w:b/>
          <w:bCs/>
        </w:rPr>
        <w:t xml:space="preserve">Residual proceeds to the 2L.</w:t>
      </w:r>
      <w:r>
        <w:t xml:space="preserve"> </w:t>
      </w:r>
      <w:r>
        <w:t xml:space="preserve">The 1L Agent’s counsel has indicated that residual proceeds flowing to the 2L after full 1L satisfaction is</w:t>
      </w:r>
      <w:r>
        <w:t xml:space="preserve"> </w:t>
      </w:r>
      <w:r>
        <w:t xml:space="preserve">“</w:t>
      </w:r>
      <w:r>
        <w:t xml:space="preserve">less of a concern if the hard sweep for significant sales is preserved.</w:t>
      </w:r>
      <w:r>
        <w:t xml:space="preserve">”</w:t>
      </w:r>
      <w:r>
        <w:t xml:space="preserve"> </w:t>
      </w:r>
      <w:r>
        <w:t xml:space="preserve">The 2L Agent’s counsel has characterized 2L residual access as</w:t>
      </w:r>
      <w:r>
        <w:t xml:space="preserve"> </w:t>
      </w:r>
      <w:r>
        <w:t xml:space="preserve">“</w:t>
      </w:r>
      <w:r>
        <w:t xml:space="preserve">symbolically important even if economically limited</w:t>
      </w:r>
      <w:r>
        <w:t xml:space="preserve">”</w:t>
      </w:r>
      <w:r>
        <w:t xml:space="preserve"> </w:t>
      </w:r>
      <w:r>
        <w:t xml:space="preserve">— the 2L needs to demonstrate to its investors and LPs that the intercreditor structure preserves at least a theoretical waterfall right after full 1L satisfaction. The compromise provides that residual Net Cash Proceeds (after application to the 1L, including after expiration of the reinvestment period for Ordinary-Course Dispositions and after the hard sweep for Large Dispositions) flow to the</w:t>
      </w:r>
      <w:r>
        <w:t xml:space="preserve"> </w:t>
      </w:r>
      <w:r>
        <w:rPr>
          <w:b/>
          <w:bCs/>
        </w:rPr>
        <w:t xml:space="preserve">Second Lien Obligations</w:t>
      </w:r>
      <w:r>
        <w:t xml:space="preserve"> </w:t>
      </w:r>
      <w:r>
        <w:t xml:space="preserve">(not back to the Borrower) until the 2L is paid in full, and only then to the Borrower. This is the market majority (79% of deals) and addresses the 2L’s symbolic concern without any economic cost to the 1L, since residual proceeds by definition exist only after the 1L has been paid in full.</w:t>
      </w:r>
    </w:p>
    <w:p>
      <w:pPr>
        <w:pStyle w:val="BodyText"/>
      </w:pPr>
      <w:r>
        <w:rPr>
          <w:b/>
          <w:bCs/>
        </w:rPr>
        <w:t xml:space="preserve">Conflicts / ICA controls.</w:t>
      </w:r>
      <w:r>
        <w:t xml:space="preserve"> </w:t>
      </w:r>
      <w:r>
        <w:t xml:space="preserve">The compromise preserves the 1L Agent’s position that the ICA waterfall controls over the First Lien Credit Agreement’s reinvestment provisions to the extent of any conflict (consistent with Section 9.10 of the working ICA), while expressly deferring to the First Lien Credit Agreement’s reinvestment mechanics for Ordinary-Course Dispositions. This gives the 1L the override it has insisted upon for Large Dispositions while preserving the Borrower’s operational flexibility for routine sales — the balance both agents have signaled.</w:t>
      </w:r>
    </w:p>
    <w:p>
      <w:pPr>
        <w:pStyle w:val="BodyText"/>
      </w:pPr>
      <w:r>
        <w:rPr>
          <w:b/>
          <w:bCs/>
        </w:rPr>
        <w:t xml:space="preserve">Reporting.</w:t>
      </w:r>
      <w:r>
        <w:t xml:space="preserve"> </w:t>
      </w:r>
      <w:r>
        <w:t xml:space="preserve">The compromise adopts a reporting regime consistent with the market majority: a quarterly certificate of compliance (90% of deals), prompt event-driven notice for sales above $5M (79% of deals), and an annual aggregate disposition report (38% of deals). The $5 million ICA notice threshold is consistent with the market majority (prompt notice above the individual trigger, which is $5 million in the First Lien Credit Agreement) and complements the First Lien Credit Agreement’s own $3 million Reporting Threshold (Section 2.05(b)(v)), which provides an additional, lower early-visibility layer to the First Lien Agent; together they give both agents visibility into proceeds application.</w:t>
      </w:r>
    </w:p>
    <w:p>
      <w:pPr>
        <w:pStyle w:val="BodyText"/>
      </w:pPr>
      <w:r>
        <w:rPr>
          <w:b/>
          <w:bCs/>
        </w:rPr>
        <w:t xml:space="preserve">Economic impact.</w:t>
      </w:r>
      <w:r>
        <w:t xml:space="preserve"> </w:t>
      </w:r>
      <w:r>
        <w:t xml:space="preserve">The hard sweep on Large Dispositions protects the 1L’s recovery in the near-par LTV environment — every dollar of large-sale or casualty proceeds is applied to the $475M First Lien Obligations until paid in full, preserving the $165M margin of collateral coverage. The reinvestment carve-out for Ordinary-Course Dispositions preserves Meridian’s ability to maintain and modernize its industrial asset base (a operational necessity you have emphasized), and the residual-to-2L mechanism provides the 2L with the waterfall access its investors require. The $20M threshold is calibrated so that only extraordinary dispositions trigger the hard sweep, while routine asset turnover continues under the First Lien Credit Agreement’s existing, negotiated mechanics.</w:t>
      </w:r>
    </w:p>
    <w:bookmarkEnd w:id="33"/>
    <w:bookmarkEnd w:id="34"/>
    <w:bookmarkStart w:id="35" w:name="X2e91fbf25e5ec33e77f20d73fdd97b026fa4703"/>
    <w:p>
      <w:pPr>
        <w:pStyle w:val="Heading2"/>
      </w:pPr>
      <w:r>
        <w:t xml:space="preserve">VIII. Package Interdependence and Indivisibility</w:t>
      </w:r>
    </w:p>
    <w:p>
      <w:pPr>
        <w:pStyle w:val="FirstParagraph"/>
      </w:pPr>
      <w:r>
        <w:t xml:space="preserve">The four compromises above are not independent proposals. They are an interdependent set in which each side’s concessions are balanced by offsetting gains, and the overall balance depends on the package being accepted or rejected as a whole. The principal linkages are:</w:t>
      </w:r>
    </w:p>
    <w:p>
      <w:pPr>
        <w:numPr>
          <w:ilvl w:val="0"/>
          <w:numId w:val="1010"/>
        </w:numPr>
      </w:pPr>
      <w:r>
        <w:rPr>
          <w:b/>
          <w:bCs/>
        </w:rPr>
        <w:t xml:space="preserve">Standstill duration ↔ Purchase Right pricing.</w:t>
      </w:r>
      <w:r>
        <w:t xml:space="preserve"> </w:t>
      </w:r>
      <w:r>
        <w:t xml:space="preserve">The 2L Agent’s acceptance of a 180-day standstill (double its 90-day opening) is balanced by the 1L Agent’s acceptance of non-default-rate interest and optional revolver assumption on the purchase right. A longer standstill increases the 2L’s collateral-erosion risk; a more favorable purchase price (non-default rate, optional revolver) gives the 2L a more viable protective mechanism to acquire the senior position and control the workout. The two provisions operate as a paired risk-allocation: the standstill governs the 2L’s enforced patience, and the purchase right governs the 2L’s ultimate exit. Decoupling them would allow the 1L to insist on a long standstill while withholding the purchase-right concessions, or allow the 2L to demand purchase-right concessions while withholding standstill duration — either of which would destroy the balance.</w:t>
      </w:r>
    </w:p>
    <w:p>
      <w:pPr>
        <w:numPr>
          <w:ilvl w:val="0"/>
          <w:numId w:val="1010"/>
        </w:numPr>
      </w:pPr>
      <w:r>
        <w:rPr>
          <w:b/>
          <w:bCs/>
        </w:rPr>
        <w:t xml:space="preserve">Refinancing cap ↔ Restrictiveness/MFN.</w:t>
      </w:r>
      <w:r>
        <w:t xml:space="preserve"> </w:t>
      </w:r>
      <w:r>
        <w:t xml:space="preserve">The 1L Agent’s acceptance of a 10% refinancing cap (above its 0% opening) is balanced by the 2L Agent’s acceptance of a narrowed restrictiveness test (rather than no test) and an MFN right (rather than no MFN). The 10% cap gives the 2L the fees/costs headroom it needs to refinance; the narrowed test and MFN give the 1L the protection it needs against the refinancing introducing destabilizing terms or looser covenants. The two are properly paired: the cap permits the refinancing to occur, and the restrictiveness/MFN regime governs the terms on which it may occur.</w:t>
      </w:r>
    </w:p>
    <w:p>
      <w:pPr>
        <w:numPr>
          <w:ilvl w:val="0"/>
          <w:numId w:val="1010"/>
        </w:numPr>
      </w:pPr>
      <w:r>
        <w:rPr>
          <w:b/>
          <w:bCs/>
        </w:rPr>
        <w:t xml:space="preserve">Proceeds hard sweep ↔ Residual to 2L.</w:t>
      </w:r>
      <w:r>
        <w:t xml:space="preserve"> </w:t>
      </w:r>
      <w:r>
        <w:t xml:space="preserve">The 1L Agent’s hard sweep on Large Dispositions is balanced by the 2L’s residual access after full 1L paydown. The hard sweep protects the 1L’s recovery; the residual access gives the 2L the waterfall right its investors require. Neither has economic cost to the other (the residual exists only after the 1L is paid in full), but the pairing is what makes the bifurcated structure politically acceptable to both lender groups.</w:t>
      </w:r>
    </w:p>
    <w:p>
      <w:pPr>
        <w:numPr>
          <w:ilvl w:val="0"/>
          <w:numId w:val="1010"/>
        </w:numPr>
      </w:pPr>
      <w:r>
        <w:rPr>
          <w:b/>
          <w:bCs/>
        </w:rPr>
        <w:t xml:space="preserve">Cross-provision balance.</w:t>
      </w:r>
      <w:r>
        <w:t xml:space="preserve"> </w:t>
      </w:r>
      <w:r>
        <w:t xml:space="preserve">The 1L Agent’s principal concessions (non-default-rate interest, optional revolver assumption, 10% refinancing cap, reinvestment carve-out for ordinary-course sales, residual to 2L) are collectively balanced by the 2L Agent’s principal concessions (180-day standstill versus 90, par purchase price versus lesser-of-par-or-FMV, narrowed restrictiveness test plus MFN versus no test, exercise trigger limited to 1L Event of Default, hard sweep on Large Dispositions). Neither side obtains all of its opening positions; each side obtains the protections most central to its investment thesis; and every compromise position is at or near the KTM Survey median and within both sides’ communicated flexibility.</w:t>
      </w:r>
    </w:p>
    <w:p>
      <w:pPr>
        <w:pStyle w:val="FirstParagraph"/>
      </w:pPr>
      <w:r>
        <w:t xml:space="preserve">For these reasons, the package should be presented to the agents as a single take-it-or-leave-it compromise, with Meridian’s express endorsement, and should not be offered piecemeal. If either agent seeks to unbundle a particular provision, the appropriate response is to refer back to the package as a whole and to the linkages above.</w:t>
      </w:r>
    </w:p>
    <w:bookmarkEnd w:id="35"/>
    <w:bookmarkStart w:id="36" w:name="ix.-recommendation-and-next-steps"/>
    <w:p>
      <w:pPr>
        <w:pStyle w:val="Heading2"/>
      </w:pPr>
      <w:r>
        <w:t xml:space="preserve">IX. Recommendation and Next Steps</w:t>
      </w:r>
    </w:p>
    <w:p>
      <w:pPr>
        <w:pStyle w:val="FirstParagraph"/>
      </w:pPr>
      <w:r>
        <w:t xml:space="preserve">We recommend that you:</w:t>
      </w:r>
    </w:p>
    <w:p>
      <w:pPr>
        <w:numPr>
          <w:ilvl w:val="0"/>
          <w:numId w:val="1011"/>
        </w:numPr>
      </w:pPr>
      <w:r>
        <w:rPr>
          <w:b/>
          <w:bCs/>
        </w:rPr>
        <w:t xml:space="preserve">Review and approve</w:t>
      </w:r>
      <w:r>
        <w:t xml:space="preserve"> </w:t>
      </w:r>
      <w:r>
        <w:t xml:space="preserve">the compromise package set forth above as Meridian’s proposed resolution of the four contested ICA provisions.</w:t>
      </w:r>
    </w:p>
    <w:p>
      <w:pPr>
        <w:numPr>
          <w:ilvl w:val="0"/>
          <w:numId w:val="1011"/>
        </w:numPr>
      </w:pPr>
      <w:r>
        <w:rPr>
          <w:b/>
          <w:bCs/>
        </w:rPr>
        <w:t xml:space="preserve">Communicate Meridian’s endorsement</w:t>
      </w:r>
      <w:r>
        <w:t xml:space="preserve"> </w:t>
      </w:r>
      <w:r>
        <w:t xml:space="preserve">of the package to both Thomas Buchanan III (Aldgate &amp; Pryor LLP, on behalf of the 1L Agent) and Naomi Oduya (Sternfeld Yates &amp; Carroll LLP, on behalf of the 2L Agent), emphasizing that (a) the package is presented as an indivisible whole, (b) each term falls within both sides’ stated flexibility and is supported by the KTM Survey, and (c) Meridian is prepared to advocate for the package with both lender groups to close on or before July 31, 2025.</w:t>
      </w:r>
    </w:p>
    <w:p>
      <w:pPr>
        <w:numPr>
          <w:ilvl w:val="0"/>
          <w:numId w:val="1011"/>
        </w:numPr>
      </w:pPr>
      <w:r>
        <w:rPr>
          <w:b/>
          <w:bCs/>
        </w:rPr>
        <w:t xml:space="preserve">Propose a joint drafting session</w:t>
      </w:r>
      <w:r>
        <w:t xml:space="preserve"> </w:t>
      </w:r>
      <w:r>
        <w:t xml:space="preserve">among KTM, Aldgate &amp; Pryor, and Sternfeld Yates &amp; Carroll to convert the agreed compromise language into marked revisions to the working ICA, targeting completion of the marked ICA by July 15, 2025 (the internal target for ICA resolution) to allow time for syndicate and fund credit-committee approvals and final execution by July 31, 2025.</w:t>
      </w:r>
    </w:p>
    <w:p>
      <w:pPr>
        <w:numPr>
          <w:ilvl w:val="0"/>
          <w:numId w:val="1011"/>
        </w:numPr>
      </w:pPr>
      <w:r>
        <w:rPr>
          <w:b/>
          <w:bCs/>
        </w:rPr>
        <w:t xml:space="preserve">Reserve Meridian’s rights</w:t>
      </w:r>
      <w:r>
        <w:t xml:space="preserve"> </w:t>
      </w:r>
      <w:r>
        <w:t xml:space="preserve">throughout, including the right to modify or withdraw the package if either agent proposes material departures, and the right to seek alternative resolutions if the package is not accepted in its entirety.</w:t>
      </w:r>
    </w:p>
    <w:p>
      <w:pPr>
        <w:pStyle w:val="FirstParagraph"/>
      </w:pPr>
      <w:r>
        <w:t xml:space="preserve">We are available to discuss any aspect of this memorandum at your convenience, including tomorrow morning before 10:00 a.m. ET or after 3:00 p.m. ET, as you indicated. Rachel Fong can coordinate scheduling.</w:t>
      </w:r>
    </w:p>
    <w:bookmarkEnd w:id="36"/>
    <w:bookmarkStart w:id="37" w:name="x.-reservation-of-rights-privilege"/>
    <w:p>
      <w:pPr>
        <w:pStyle w:val="Heading2"/>
      </w:pPr>
      <w:r>
        <w:t xml:space="preserve">X. Reservation of Rights; Privilege</w:t>
      </w:r>
    </w:p>
    <w:p>
      <w:pPr>
        <w:pStyle w:val="FirstParagraph"/>
      </w:pPr>
      <w:r>
        <w:t xml:space="preserve">This memorandum is provided in KTM’s capacity as counsel to Meridian Industrial Holdings, Inc. and constitutes attorney-client communication and attorney work product. It is submitted without prejudice and for settlement discussion purposes only pursuant to Federal Rule of Evidence 408 and applicable state-law equivalents. Nothing herein constitutes (a) a binding commitment, agreement, or obligation of Meridian, KTM, or any other person; (b) an admission of fact or law; (c) a waiver of any right, remedy, claim, or defense available to Meridian or any other party; or (d) an offer capable of acceptance. All positions remain subject to the negotiation and execution of definitive documentation in form and substance satisfactory to Meridian and its counsel, to the satisfaction of all conditions precedent to closing, and to the respective internal approvals of the 1L Agent, the 1L syndicate, the 2L Agent, and the 2L lenders. Meridian expressly reserves the right to modify, supplement, or withdraw any or all of the proposals set forth herein as negotiations progress and as additional information becomes available. This memorandum may not be offered or admitted into evidence in any judicial, arbitral, or administrative proceeding for any purpose other than to enforce the terms of any agreement reached as a result of the discussions contemplated herein.</w:t>
      </w:r>
    </w:p>
    <w:p>
      <w:r>
        <w:pict>
          <v:rect style="width:0;height:1.5pt" o:hralign="center" o:hrstd="t" o:hr="t"/>
        </w:pict>
      </w:r>
    </w:p>
    <w:p>
      <w:pPr>
        <w:pStyle w:val="FirstParagraph"/>
      </w:pPr>
      <w:r>
        <w:rPr>
          <w:i/>
          <w:iCs/>
        </w:rPr>
        <w:t xml:space="preserve">Prepared by: David Tanaka, Partner, Kesswick, Tanaka &amp; Moreau LLP, 51 West 52nd Street, 34th Floor, New York, NY 10019. All transaction documents are governed by the laws of the State of New York.</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&amp; CONFIDENTIAL — ATTORNEY-CLIENT COMMUNICATION / ATTORNEY WORK PRODUCT</dc:title>
  <dc:creator/>
  <cp:keywords/>
  <dcterms:created xsi:type="dcterms:W3CDTF">2026-06-27T01:28:09Z</dcterms:created>
  <dcterms:modified xsi:type="dcterms:W3CDTF">2026-06-27T01:28:09Z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Without Prejudice — For Settlement Discussion Purposes Only (Fed. R. Evid. 408)</vt:lpwstr>
  </property>
</Properties>
</file>