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4333800478230509f6c0ab08086c10b9e5e933b"/>
    <w:p>
      <w:pPr>
        <w:pStyle w:val="Heading1"/>
      </w:pPr>
      <w:r>
        <w:t xml:space="preserve">Compromise Proposals for Seven Contested Terms</w:t>
      </w:r>
    </w:p>
    <w:bookmarkStart w:id="20" w:name="X1c81051a67bf26b457f6bcff9efe3448df540a8"/>
    <w:p>
      <w:pPr>
        <w:pStyle w:val="Heading2"/>
      </w:pPr>
      <w:r>
        <w:t xml:space="preserve">Master AI Services Agreement — ClinIQ™ Platform v4.2</w:t>
      </w:r>
    </w:p>
    <w:p>
      <w:pPr>
        <w:pStyle w:val="FirstParagraph"/>
      </w:pPr>
      <w:r>
        <w:rPr>
          <w:b/>
          <w:bCs/>
        </w:rPr>
        <w:t xml:space="preserve">Meridian Health Systems, Inc. (</w:t>
      </w:r>
      <w:r>
        <w:rPr>
          <w:b/>
          <w:bCs/>
        </w:rPr>
        <w:t xml:space="preserve">“</w:t>
      </w:r>
      <w:r>
        <w:rPr>
          <w:b/>
          <w:bCs/>
        </w:rPr>
        <w:t xml:space="preserve">Meridian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Customer</w:t>
      </w:r>
      <w:r>
        <w:rPr>
          <w:b/>
          <w:bCs/>
        </w:rPr>
        <w:t xml:space="preserve">”</w:t>
      </w:r>
      <w:r>
        <w:rPr>
          <w:b/>
          <w:bCs/>
        </w:rPr>
        <w:t xml:space="preserve">) and Cognitive Foundry, Inc. (</w:t>
      </w:r>
      <w:r>
        <w:rPr>
          <w:b/>
          <w:bCs/>
        </w:rPr>
        <w:t xml:space="preserve">“</w:t>
      </w:r>
      <w:r>
        <w:rPr>
          <w:b/>
          <w:bCs/>
        </w:rPr>
        <w:t xml:space="preserve">Cognitive Foundry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Vendor</w:t>
      </w:r>
      <w:r>
        <w:rPr>
          <w:b/>
          <w:bCs/>
        </w:rPr>
        <w:t xml:space="preserve">”</w:t>
      </w:r>
      <w:r>
        <w:rPr>
          <w:b/>
          <w:bCs/>
        </w:rPr>
        <w:t xml:space="preserve">)</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t xml:space="preserve">This memorandum constitutes privileged and confidential attorney work product prepared by Whitfield Ames LLP (</w:t>
      </w:r>
      <w:r>
        <w:t xml:space="preserve">“</w:t>
      </w:r>
      <w:r>
        <w:t xml:space="preserve">Whitfield Ames</w:t>
      </w:r>
      <w:r>
        <w:t xml:space="preserve">”</w:t>
      </w:r>
      <w:r>
        <w:t xml:space="preserve">) at the direction of the Office of the General Counsel of Meridian Health Systems, Inc. in anticipation of the July 18, 2025 joint negotiation session with Cognitive Foundry, Inc. It is protected by the attorney-client privilege and the work-product doctrine and is intended exclusively for the Meridian negotiation team (Dr. Priya Narayanan, SVP &amp; General Counsel; Marcus Delgado, VP, Digital Health &amp; Technology Transactions; and authorized Whitfield Ames personnel). Do not disclose to Cognitive Foundry, its counsel (Sandra Hu / Rafael Bowen, Kessler Pratt &amp; Lowe LLP), or any other party without General Counsel approval.</w:t>
      </w:r>
    </w:p>
    <w:p>
      <w:pPr>
        <w:pStyle w:val="BodyText"/>
      </w:pPr>
      <w:r>
        <w:rPr>
          <w:b/>
          <w:bCs/>
        </w:rPr>
        <w:t xml:space="preserve">Prepared by:</w:t>
      </w:r>
      <w:r>
        <w:t xml:space="preserve"> </w:t>
      </w:r>
      <w:r>
        <w:t xml:space="preserve">Whitfield Ames LLP (Elaine Sutter, Partner; Jessica Fong; David Ouellette)</w:t>
      </w:r>
      <w:r>
        <w:t xml:space="preserve"> </w:t>
      </w:r>
      <w:r>
        <w:rPr>
          <w:b/>
          <w:bCs/>
        </w:rPr>
        <w:t xml:space="preserve">Prepared for:</w:t>
      </w:r>
      <w:r>
        <w:t xml:space="preserve"> </w:t>
      </w:r>
      <w:r>
        <w:t xml:space="preserve">Meridian Health Systems, Inc. — Office of the General Counsel</w:t>
      </w:r>
      <w:r>
        <w:t xml:space="preserve"> </w:t>
      </w:r>
      <w:r>
        <w:rPr>
          <w:b/>
          <w:bCs/>
        </w:rPr>
        <w:t xml:space="preserve">Date:</w:t>
      </w:r>
      <w:r>
        <w:t xml:space="preserve"> </w:t>
      </w:r>
      <w:r>
        <w:t xml:space="preserve">July 14, 2025</w:t>
      </w:r>
      <w:r>
        <w:t xml:space="preserve"> </w:t>
      </w:r>
      <w:r>
        <w:rPr>
          <w:b/>
          <w:bCs/>
        </w:rPr>
        <w:t xml:space="preserve">Joint negotiation session:</w:t>
      </w:r>
      <w:r>
        <w:t xml:space="preserve"> </w:t>
      </w:r>
      <w:r>
        <w:t xml:space="preserve">July 18, 2025 |</w:t>
      </w:r>
      <w:r>
        <w:t xml:space="preserve"> </w:t>
      </w:r>
      <w:r>
        <w:rPr>
          <w:b/>
          <w:bCs/>
        </w:rPr>
        <w:t xml:space="preserve">Target execution:</w:t>
      </w:r>
      <w:r>
        <w:t xml:space="preserve"> </w:t>
      </w:r>
      <w:r>
        <w:t xml:space="preserve">August 15, 2025 |</w:t>
      </w:r>
      <w:r>
        <w:t xml:space="preserve"> </w:t>
      </w:r>
      <w:r>
        <w:rPr>
          <w:b/>
          <w:bCs/>
        </w:rPr>
        <w:t xml:space="preserve">Target go-live:</w:t>
      </w:r>
      <w:r>
        <w:t xml:space="preserve"> </w:t>
      </w:r>
      <w:r>
        <w:t xml:space="preserve">January 6, 2026</w:t>
      </w:r>
    </w:p>
    <w:p>
      <w:r>
        <w:pict>
          <v:rect style="width:0;height:1.5pt" o:hralign="center" o:hrstd="t" o:hr="t"/>
        </w:pict>
      </w:r>
    </w:p>
    <w:bookmarkEnd w:id="20"/>
    <w:bookmarkStart w:id="25" w:name="i.-introduction-and-executive-summary"/>
    <w:p>
      <w:pPr>
        <w:pStyle w:val="Heading2"/>
      </w:pPr>
      <w:r>
        <w:t xml:space="preserve">I. Introduction and Executive Summary</w:t>
      </w:r>
    </w:p>
    <w:bookmarkStart w:id="21" w:name="a.-engagement-and-purpose"/>
    <w:p>
      <w:pPr>
        <w:pStyle w:val="Heading3"/>
      </w:pPr>
      <w:r>
        <w:t xml:space="preserve">A. Engagement and Purpose</w:t>
      </w:r>
    </w:p>
    <w:p>
      <w:pPr>
        <w:pStyle w:val="FirstParagraph"/>
      </w:pPr>
      <w:r>
        <w:t xml:space="preserve">This memorandum sets forth compromise proposals for the seven contested terms remaining in the Master AI Services Agreement (the</w:t>
      </w:r>
      <w:r>
        <w:t xml:space="preserve"> </w:t>
      </w:r>
      <w:r>
        <w:t xml:space="preserve">“</w:t>
      </w:r>
      <w:r>
        <w:t xml:space="preserve">Agreement</w:t>
      </w:r>
      <w:r>
        <w:t xml:space="preserve">”</w:t>
      </w:r>
      <w:r>
        <w:t xml:space="preserve">) governing Cognitive Foundry’s ClinIQ™ Platform (version 4.2) (the</w:t>
      </w:r>
      <w:r>
        <w:t xml:space="preserve"> </w:t>
      </w:r>
      <w:r>
        <w:t xml:space="preserve">“</w:t>
      </w:r>
      <w:r>
        <w:t xml:space="preserve">Platform</w:t>
      </w:r>
      <w:r>
        <w:t xml:space="preserve">”</w:t>
      </w:r>
      <w:r>
        <w:t xml:space="preserve">), as identified in the Contested Terms Matrix finalized July 1, 2025. Each proposal follows the four-component format directed by Elaine Sutter on July 3, 2025:</w:t>
      </w:r>
      <w:r>
        <w:t xml:space="preserve"> </w:t>
      </w:r>
      <w:r>
        <w:rPr>
          <w:b/>
          <w:bCs/>
        </w:rPr>
        <w:t xml:space="preserve">(i)</w:t>
      </w:r>
      <w:r>
        <w:t xml:space="preserve"> </w:t>
      </w:r>
      <w:r>
        <w:t xml:space="preserve">proposed contract clause language in redline-ready form;</w:t>
      </w:r>
      <w:r>
        <w:t xml:space="preserve"> </w:t>
      </w:r>
      <w:r>
        <w:rPr>
          <w:b/>
          <w:bCs/>
        </w:rPr>
        <w:t xml:space="preserve">(ii)</w:t>
      </w:r>
      <w:r>
        <w:t xml:space="preserve"> </w:t>
      </w:r>
      <w:r>
        <w:t xml:space="preserve">negotiation rationale and fallback ladder;</w:t>
      </w:r>
      <w:r>
        <w:t xml:space="preserve"> </w:t>
      </w:r>
      <w:r>
        <w:rPr>
          <w:b/>
          <w:bCs/>
        </w:rPr>
        <w:t xml:space="preserve">(iii)</w:t>
      </w:r>
      <w:r>
        <w:t xml:space="preserve"> </w:t>
      </w:r>
      <w:r>
        <w:t xml:space="preserve">acceptability analysis for the Cognitive Foundry negotiating team; and</w:t>
      </w:r>
      <w:r>
        <w:t xml:space="preserve"> </w:t>
      </w:r>
      <w:r>
        <w:rPr>
          <w:b/>
          <w:bCs/>
        </w:rPr>
        <w:t xml:space="preserve">(iv)</w:t>
      </w:r>
      <w:r>
        <w:t xml:space="preserve"> </w:t>
      </w:r>
      <w:r>
        <w:t xml:space="preserve">regulatory and compliance constraints.</w:t>
      </w:r>
    </w:p>
    <w:p>
      <w:pPr>
        <w:pStyle w:val="BodyText"/>
      </w:pPr>
      <w:r>
        <w:t xml:space="preserve">The proposals are calibrated to Meridian’s board-approved priority ranking and to the strategic guidance issued by Marcus Delgado (July 3, 2025 internal memo) and Elaine Sutter (July 3, 2025 instruction email). Where a proposed landing zone departs from a Playbook absolute floor or red line, the departure is flagged for General Counsel escalation consistent with the Meridian AI/Technology Vendor Negotiation Playbook (2025 Edition) (the</w:t>
      </w:r>
      <w:r>
        <w:t xml:space="preserve"> </w:t>
      </w:r>
      <w:r>
        <w:t xml:space="preserve">“</w:t>
      </w:r>
      <w:r>
        <w:t xml:space="preserve">Playbook</w:t>
      </w:r>
      <w:r>
        <w:t xml:space="preserve">”</w:t>
      </w:r>
      <w:r>
        <w:t xml:space="preserve">) Section 12 escalation matrix.</w:t>
      </w:r>
    </w:p>
    <w:bookmarkEnd w:id="21"/>
    <w:bookmarkStart w:id="22" w:name="b.-deal-context"/>
    <w:p>
      <w:pPr>
        <w:pStyle w:val="Heading3"/>
      </w:pPr>
      <w:r>
        <w:t xml:space="preserve">B. Deal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Platform</w:t>
            </w:r>
          </w:p>
        </w:tc>
        <w:tc>
          <w:tcPr/>
          <w:p>
            <w:pPr>
              <w:pStyle w:val="Compact"/>
              <w:jc w:val="left"/>
            </w:pPr>
            <w:r>
              <w:t xml:space="preserve">ClinIQ™ v4.2 (sepsis prediction, radiology triage, medication-interaction modules)</w:t>
            </w:r>
          </w:p>
        </w:tc>
      </w:tr>
      <w:tr>
        <w:tc>
          <w:tcPr/>
          <w:p>
            <w:pPr>
              <w:pStyle w:val="Compact"/>
              <w:jc w:val="left"/>
            </w:pPr>
            <w:r>
              <w:t xml:space="preserve">Total Contract Value (TCV)</w:t>
            </w:r>
          </w:p>
        </w:tc>
        <w:tc>
          <w:tcPr/>
          <w:p>
            <w:pPr>
              <w:pStyle w:val="Compact"/>
              <w:jc w:val="left"/>
            </w:pPr>
            <w:r>
              <w:t xml:space="preserve">$38.4M over 4-year Initial Term</w:t>
            </w:r>
          </w:p>
        </w:tc>
      </w:tr>
      <w:tr>
        <w:tc>
          <w:tcPr/>
          <w:p>
            <w:pPr>
              <w:pStyle w:val="Compact"/>
              <w:jc w:val="left"/>
            </w:pPr>
            <w:r>
              <w:t xml:space="preserve">Annual Contract Value (ACV)</w:t>
            </w:r>
          </w:p>
        </w:tc>
        <w:tc>
          <w:tcPr/>
          <w:p>
            <w:pPr>
              <w:pStyle w:val="Compact"/>
              <w:jc w:val="left"/>
            </w:pPr>
            <w:r>
              <w:t xml:space="preserve">$9.6M/yr</w:t>
            </w:r>
          </w:p>
        </w:tc>
      </w:tr>
      <w:tr>
        <w:tc>
          <w:tcPr/>
          <w:p>
            <w:pPr>
              <w:pStyle w:val="Compact"/>
              <w:jc w:val="left"/>
            </w:pPr>
            <w:r>
              <w:t xml:space="preserve">Year 1 implementation fee (one-time)</w:t>
            </w:r>
          </w:p>
        </w:tc>
        <w:tc>
          <w:tcPr/>
          <w:p>
            <w:pPr>
              <w:pStyle w:val="Compact"/>
              <w:jc w:val="left"/>
            </w:pPr>
            <w:r>
              <w:t xml:space="preserve">$4.2M</w:t>
            </w:r>
          </w:p>
        </w:tc>
      </w:tr>
      <w:tr>
        <w:tc>
          <w:tcPr/>
          <w:p>
            <w:pPr>
              <w:pStyle w:val="Compact"/>
              <w:jc w:val="left"/>
            </w:pPr>
            <w:r>
              <w:t xml:space="preserve">Annual recurring fee</w:t>
            </w:r>
          </w:p>
        </w:tc>
        <w:tc>
          <w:tcPr/>
          <w:p>
            <w:pPr>
              <w:pStyle w:val="Compact"/>
              <w:jc w:val="left"/>
            </w:pPr>
            <w:r>
              <w:t xml:space="preserve">$8.55M/yr (quarterly installments of $2,137,500; monthly equivalent $712,500)</w:t>
            </w:r>
          </w:p>
        </w:tc>
      </w:tr>
      <w:tr>
        <w:tc>
          <w:tcPr/>
          <w:p>
            <w:pPr>
              <w:pStyle w:val="Compact"/>
              <w:jc w:val="left"/>
            </w:pPr>
            <w:r>
              <w:t xml:space="preserve">Deployment</w:t>
            </w:r>
          </w:p>
        </w:tc>
        <w:tc>
          <w:tcPr/>
          <w:p>
            <w:pPr>
              <w:pStyle w:val="Compact"/>
              <w:jc w:val="left"/>
            </w:pPr>
            <w:r>
              <w:t xml:space="preserve">14 acute-care hospitals across DE, PA, NJ; ~6,200 named licensed users; ~2.1M annual patient encounters</w:t>
            </w:r>
          </w:p>
        </w:tc>
      </w:tr>
      <w:tr>
        <w:tc>
          <w:tcPr/>
          <w:p>
            <w:pPr>
              <w:pStyle w:val="Compact"/>
              <w:jc w:val="left"/>
            </w:pPr>
            <w:r>
              <w:t xml:space="preserve">NJ facilities subject to NJ AI Act</w:t>
            </w:r>
          </w:p>
        </w:tc>
        <w:tc>
          <w:tcPr/>
          <w:p>
            <w:pPr>
              <w:pStyle w:val="Compact"/>
              <w:jc w:val="left"/>
            </w:pPr>
            <w:r>
              <w:t xml:space="preserve">3 (Meridian Atlantic Medical Center; Meridian South Jersey Regional Hospital; Meridian Princeton Medical Center)</w:t>
            </w:r>
          </w:p>
        </w:tc>
      </w:tr>
      <w:tr>
        <w:tc>
          <w:tcPr/>
          <w:p>
            <w:pPr>
              <w:pStyle w:val="Compact"/>
              <w:jc w:val="left"/>
            </w:pPr>
            <w:r>
              <w:t xml:space="preserve">Hosting</w:t>
            </w:r>
          </w:p>
        </w:tc>
        <w:tc>
          <w:tcPr/>
          <w:p>
            <w:pPr>
              <w:pStyle w:val="Compact"/>
              <w:jc w:val="left"/>
            </w:pPr>
            <w:r>
              <w:t xml:space="preserve">AWS GovCloud (us-east-1)</w:t>
            </w:r>
          </w:p>
        </w:tc>
      </w:tr>
      <w:tr>
        <w:tc>
          <w:tcPr/>
          <w:p>
            <w:pPr>
              <w:pStyle w:val="Compact"/>
              <w:jc w:val="left"/>
            </w:pPr>
            <w:r>
              <w:t xml:space="preserve">BAA (Exhibit F)</w:t>
            </w:r>
          </w:p>
        </w:tc>
        <w:tc>
          <w:tcPr/>
          <w:p>
            <w:pPr>
              <w:pStyle w:val="Compact"/>
              <w:jc w:val="left"/>
            </w:pPr>
            <w:r>
              <w:t xml:space="preserve">Executed June 2, 2025</w:t>
            </w:r>
          </w:p>
        </w:tc>
      </w:tr>
      <w:tr>
        <w:tc>
          <w:tcPr/>
          <w:p>
            <w:pPr>
              <w:pStyle w:val="Compact"/>
              <w:jc w:val="left"/>
            </w:pPr>
            <w:r>
              <w:t xml:space="preserve">Governing law / disputes</w:t>
            </w:r>
          </w:p>
        </w:tc>
        <w:tc>
          <w:tcPr/>
          <w:p>
            <w:pPr>
              <w:pStyle w:val="Compact"/>
              <w:jc w:val="left"/>
            </w:pPr>
            <w:r>
              <w:t xml:space="preserve">Delaware; AAA Commercial arbitration, Wilmington, DE</w:t>
            </w:r>
          </w:p>
        </w:tc>
      </w:tr>
      <w:tr>
        <w:tc>
          <w:tcPr/>
          <w:p>
            <w:pPr>
              <w:pStyle w:val="Compact"/>
              <w:jc w:val="left"/>
            </w:pPr>
            <w:r>
              <w:t xml:space="preserve">Vendor counsel</w:t>
            </w:r>
          </w:p>
        </w:tc>
        <w:tc>
          <w:tcPr/>
          <w:p>
            <w:pPr>
              <w:pStyle w:val="Compact"/>
              <w:jc w:val="left"/>
            </w:pPr>
            <w:r>
              <w:t xml:space="preserve">Sandra Hu (VP, Commercial Legal); Rafael Bowen (Partner, Kessler Pratt &amp; Lowe LLP)</w:t>
            </w:r>
          </w:p>
        </w:tc>
      </w:tr>
    </w:tbl>
    <w:bookmarkEnd w:id="22"/>
    <w:bookmarkStart w:id="23" w:name="Xa60dce9b6134148f495bdc6cdeba56d07062169"/>
    <w:p>
      <w:pPr>
        <w:pStyle w:val="Heading3"/>
      </w:pPr>
      <w:r>
        <w:t xml:space="preserve">C. Meridian Priority Ranking and Concession Logic</w:t>
      </w:r>
    </w:p>
    <w:p>
      <w:pPr>
        <w:pStyle w:val="FirstParagraph"/>
      </w:pPr>
      <w:r>
        <w:t xml:space="preserve">The Playbook (Section 2.5) and the Delgado/Sutter guidance establish the following priority ranking, which governs allocation of negotiating capital and sequencing of concessions at the table:</w:t>
      </w:r>
    </w:p>
    <w:p>
      <w:pPr>
        <w:pStyle w:val="Compact"/>
        <w:numPr>
          <w:ilvl w:val="0"/>
          <w:numId w:val="1001"/>
        </w:numPr>
      </w:pPr>
      <w:r>
        <w:rPr>
          <w:b/>
          <w:bCs/>
        </w:rPr>
        <w:t xml:space="preserve">Patient-safety liability</w:t>
      </w:r>
      <w:r>
        <w:t xml:space="preserve"> </w:t>
      </w:r>
      <w:r>
        <w:t xml:space="preserve">(Term 1) — non-negotiable;</w:t>
      </w:r>
      <w:r>
        <w:t xml:space="preserve"> </w:t>
      </w:r>
      <w:r>
        <w:t xml:space="preserve">“</w:t>
      </w:r>
      <w:r>
        <w:t xml:space="preserve">our hill</w:t>
      </w:r>
      <w:r>
        <w:t xml:space="preserve">”</w:t>
      </w:r>
    </w:p>
    <w:p>
      <w:pPr>
        <w:pStyle w:val="Compact"/>
        <w:numPr>
          <w:ilvl w:val="0"/>
          <w:numId w:val="1001"/>
        </w:numPr>
      </w:pPr>
      <w:r>
        <w:rPr>
          <w:b/>
          <w:bCs/>
        </w:rPr>
        <w:t xml:space="preserve">Audit rights</w:t>
      </w:r>
      <w:r>
        <w:t xml:space="preserve"> </w:t>
      </w:r>
      <w:r>
        <w:t xml:space="preserve">(Term 2) — regulatory mandate under the NJ AI in Healthcare Transparency Act</w:t>
      </w:r>
    </w:p>
    <w:p>
      <w:pPr>
        <w:pStyle w:val="Compact"/>
        <w:numPr>
          <w:ilvl w:val="0"/>
          <w:numId w:val="1001"/>
        </w:numPr>
      </w:pPr>
      <w:r>
        <w:rPr>
          <w:b/>
          <w:bCs/>
        </w:rPr>
        <w:t xml:space="preserve">Termination flexibility</w:t>
      </w:r>
      <w:r>
        <w:t xml:space="preserve"> </w:t>
      </w:r>
      <w:r>
        <w:t xml:space="preserve">(Term 3) — exit must never be economically prohibitive</w:t>
      </w:r>
    </w:p>
    <w:p>
      <w:pPr>
        <w:pStyle w:val="Compact"/>
        <w:numPr>
          <w:ilvl w:val="0"/>
          <w:numId w:val="1001"/>
        </w:numPr>
      </w:pPr>
      <w:r>
        <w:rPr>
          <w:b/>
          <w:bCs/>
        </w:rPr>
        <w:t xml:space="preserve">Data usage</w:t>
      </w:r>
      <w:r>
        <w:t xml:space="preserve"> </w:t>
      </w:r>
      <w:r>
        <w:t xml:space="preserve">(Term 4) — deploy as concession currency; Vendor’s highest-priority commercial term</w:t>
      </w:r>
    </w:p>
    <w:p>
      <w:pPr>
        <w:pStyle w:val="Compact"/>
        <w:numPr>
          <w:ilvl w:val="0"/>
          <w:numId w:val="1001"/>
        </w:numPr>
      </w:pPr>
      <w:r>
        <w:rPr>
          <w:b/>
          <w:bCs/>
        </w:rPr>
        <w:t xml:space="preserve">SLA accuracy</w:t>
      </w:r>
      <w:r>
        <w:t xml:space="preserve"> </w:t>
      </w:r>
      <w:r>
        <w:t xml:space="preserve">(Term 5) — push for binding benchmarks; accept 3-miss termination trigger</w:t>
      </w:r>
    </w:p>
    <w:p>
      <w:pPr>
        <w:pStyle w:val="Compact"/>
        <w:numPr>
          <w:ilvl w:val="0"/>
          <w:numId w:val="1001"/>
        </w:numPr>
      </w:pPr>
      <w:r>
        <w:rPr>
          <w:b/>
          <w:bCs/>
        </w:rPr>
        <w:t xml:space="preserve">IP ownership</w:t>
      </w:r>
      <w:r>
        <w:t xml:space="preserve"> </w:t>
      </w:r>
      <w:r>
        <w:t xml:space="preserve">(Term 6) — accept Vendor ownership with irrevocable perpetual license + portability</w:t>
      </w:r>
    </w:p>
    <w:p>
      <w:pPr>
        <w:pStyle w:val="Compact"/>
        <w:numPr>
          <w:ilvl w:val="0"/>
          <w:numId w:val="1001"/>
        </w:numPr>
      </w:pPr>
      <w:r>
        <w:rPr>
          <w:b/>
          <w:bCs/>
        </w:rPr>
        <w:t xml:space="preserve">Indemnification scope</w:t>
      </w:r>
      <w:r>
        <w:t xml:space="preserve"> </w:t>
      </w:r>
      <w:r>
        <w:t xml:space="preserve">(Term 7) — most readily tradeable; align with board risk committee expectations</w:t>
      </w:r>
    </w:p>
    <w:p>
      <w:pPr>
        <w:pStyle w:val="FirstParagraph"/>
      </w:pPr>
      <w:r>
        <w:rPr>
          <w:b/>
          <w:bCs/>
        </w:rPr>
        <w:t xml:space="preserve">Critical rule (Playbook §2.5):</w:t>
      </w:r>
      <w:r>
        <w:t xml:space="preserve"> </w:t>
      </w:r>
      <w:r>
        <w:t xml:space="preserve">Negotiators must not concede on a higher-priority item to gain advantage on a lower-priority item without express General Counsel approval. The ranking is most relevant during final-stage package deals.</w:t>
      </w:r>
    </w:p>
    <w:p>
      <w:pPr>
        <w:pStyle w:val="BodyText"/>
      </w:pPr>
      <w:r>
        <w:rPr>
          <w:b/>
          <w:bCs/>
        </w:rPr>
        <w:t xml:space="preserve">Concession strategy.</w:t>
      </w:r>
      <w:r>
        <w:t xml:space="preserve"> </w:t>
      </w:r>
      <w:r>
        <w:t xml:space="preserve">Because aggregated/de-identified data from Meridian’s 14-hospital network is assessed to be Cognitive Foundry’s single highest-priority commercial term, Meridian will hold its opening position on Term 4 through the early rounds and deploy calibrated flexibility there in exchange for movement on Terms 1–3. The package approach is addressed in Section IV.</w:t>
      </w:r>
    </w:p>
    <w:bookmarkEnd w:id="23"/>
    <w:bookmarkStart w:id="24" w:name="d.-summary-of-recommended-landing-zones"/>
    <w:p>
      <w:pPr>
        <w:pStyle w:val="Heading3"/>
      </w:pPr>
      <w:r>
        <w:t xml:space="preserve">D. Summary of Recommended Landing Zones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Contested Term (Meridian priority)</w:t>
            </w:r>
          </w:p>
        </w:tc>
        <w:tc>
          <w:tcPr/>
          <w:p>
            <w:pPr>
              <w:pStyle w:val="Compact"/>
              <w:jc w:val="left"/>
            </w:pPr>
            <w:r>
              <w:t xml:space="preserve">Recommended Landing Zone</w:t>
            </w:r>
          </w:p>
        </w:tc>
      </w:tr>
      <w:tr>
        <w:tc>
          <w:tcPr/>
          <w:p>
            <w:pPr>
              <w:pStyle w:val="Compact"/>
              <w:jc w:val="left"/>
            </w:pPr>
            <w:r>
              <w:t xml:space="preserve">1</w:t>
            </w:r>
          </w:p>
        </w:tc>
        <w:tc>
          <w:tcPr/>
          <w:p>
            <w:pPr>
              <w:pStyle w:val="Compact"/>
              <w:jc w:val="left"/>
            </w:pPr>
            <w:r>
              <w:t xml:space="preserve">Patient-Safety Liability / Super-Cap</w:t>
            </w:r>
          </w:p>
        </w:tc>
        <w:tc>
          <w:tcPr/>
          <w:p>
            <w:pPr>
              <w:pStyle w:val="Compact"/>
              <w:jc w:val="left"/>
            </w:pPr>
            <w:r>
              <w:t xml:space="preserve">General cap 1.5× ACV (~$14.4M); patient-safety super-cap 3× ACV (~$28.8M); HIPAA/PHI breach and willful misconduct uncapped; IP indemnity at super-cap; insurance $30M/$60M with binding increase commitment by March 31, 2026</w:t>
            </w:r>
          </w:p>
        </w:tc>
      </w:tr>
      <w:tr>
        <w:tc>
          <w:tcPr/>
          <w:p>
            <w:pPr>
              <w:pStyle w:val="Compact"/>
              <w:jc w:val="left"/>
            </w:pPr>
            <w:r>
              <w:t xml:space="preserve">2</w:t>
            </w:r>
          </w:p>
        </w:tc>
        <w:tc>
          <w:tcPr/>
          <w:p>
            <w:pPr>
              <w:pStyle w:val="Compact"/>
              <w:jc w:val="left"/>
            </w:pPr>
            <w:r>
              <w:t xml:space="preserve">Audit Rights / Model Transparency</w:t>
            </w:r>
          </w:p>
        </w:tc>
        <w:tc>
          <w:tcPr/>
          <w:p>
            <w:pPr>
              <w:pStyle w:val="Compact"/>
              <w:jc w:val="left"/>
            </w:pPr>
            <w:r>
              <w:t xml:space="preserve">Annual independent audit by Langford at Tier 2 (baseline) with Tier 3 secure-enclave escalation for cause/regulatory triggers; NJ Act compliance baked in; anti-waiver clause; cost allocation with Vendor bearing NJ-Act-driven and cause-based audit costs</w:t>
            </w:r>
          </w:p>
        </w:tc>
      </w:tr>
      <w:tr>
        <w:tc>
          <w:tcPr/>
          <w:p>
            <w:pPr>
              <w:pStyle w:val="Compact"/>
              <w:jc w:val="left"/>
            </w:pPr>
            <w:r>
              <w:t xml:space="preserve">3</w:t>
            </w:r>
          </w:p>
        </w:tc>
        <w:tc>
          <w:tcPr/>
          <w:p>
            <w:pPr>
              <w:pStyle w:val="Compact"/>
              <w:jc w:val="left"/>
            </w:pPr>
            <w:r>
              <w:t xml:space="preserve">Termination / ETF / Transition</w:t>
            </w:r>
          </w:p>
        </w:tc>
        <w:tc>
          <w:tcPr/>
          <w:p>
            <w:pPr>
              <w:pStyle w:val="Compact"/>
              <w:jc w:val="left"/>
            </w:pPr>
            <w:r>
              <w:t xml:space="preserve">Graduated ETF 50%/25%/0% (Years 1/2/3–4); 150-day notice; 12-month transition at cost + 5%; data return within 45 days in FHIR R4 + HL7 v2</w:t>
            </w:r>
            <w:r>
              <w:t xml:space="preserve"> </w:t>
            </w:r>
            <w:r>
              <w:rPr>
                <w:i/>
                <w:iCs/>
              </w:rPr>
              <w:t xml:space="preserve">(GC escalation required — Playbook deviation)</w:t>
            </w:r>
          </w:p>
        </w:tc>
      </w:tr>
      <w:tr>
        <w:tc>
          <w:tcPr/>
          <w:p>
            <w:pPr>
              <w:pStyle w:val="Compact"/>
              <w:jc w:val="left"/>
            </w:pPr>
            <w:r>
              <w:t xml:space="preserve">4</w:t>
            </w:r>
          </w:p>
        </w:tc>
        <w:tc>
          <w:tcPr/>
          <w:p>
            <w:pPr>
              <w:pStyle w:val="Compact"/>
              <w:jc w:val="left"/>
            </w:pPr>
            <w:r>
              <w:t xml:space="preserve">Aggregated / De-Identified Data Usage</w:t>
            </w:r>
          </w:p>
        </w:tc>
        <w:tc>
          <w:tcPr/>
          <w:p>
            <w:pPr>
              <w:pStyle w:val="Compact"/>
              <w:jc w:val="left"/>
            </w:pPr>
            <w:r>
              <w:t xml:space="preserve">Opt-out on 45 days’ notice; verified deletion of unincorporated data + retraining-without-Meridian-data for incorporated data within 180 days; HIPAA de-identification; no sale; NJ Act documentation</w:t>
            </w:r>
            <w:r>
              <w:t xml:space="preserve"> </w:t>
            </w:r>
            <w:r>
              <w:rPr>
                <w:i/>
                <w:iCs/>
              </w:rPr>
              <w:t xml:space="preserve">(GC escalation required — exceeds 30-day red line)</w:t>
            </w:r>
          </w:p>
        </w:tc>
      </w:tr>
      <w:tr>
        <w:tc>
          <w:tcPr/>
          <w:p>
            <w:pPr>
              <w:pStyle w:val="Compact"/>
              <w:jc w:val="left"/>
            </w:pPr>
            <w:r>
              <w:t xml:space="preserve">5</w:t>
            </w:r>
          </w:p>
        </w:tc>
        <w:tc>
          <w:tcPr/>
          <w:p>
            <w:pPr>
              <w:pStyle w:val="Compact"/>
              <w:jc w:val="left"/>
            </w:pPr>
            <w:r>
              <w:t xml:space="preserve">SLA / AI Accuracy Benchmarks</w:t>
            </w:r>
          </w:p>
        </w:tc>
        <w:tc>
          <w:tcPr/>
          <w:p>
            <w:pPr>
              <w:pStyle w:val="Compact"/>
              <w:jc w:val="left"/>
            </w:pPr>
            <w:r>
              <w:t xml:space="preserve">Binding benchmarks (sepsis 92%/88%; radiology 90%/85%; med-interaction 95%/90%); escalating credits 5%/10%/15%; termination after 3 consecutive quarterly misses; aggregate quarterly cap 20%</w:t>
            </w:r>
          </w:p>
        </w:tc>
      </w:tr>
      <w:tr>
        <w:tc>
          <w:tcPr/>
          <w:p>
            <w:pPr>
              <w:pStyle w:val="Compact"/>
              <w:jc w:val="left"/>
            </w:pPr>
            <w:r>
              <w:t xml:space="preserve">6</w:t>
            </w:r>
          </w:p>
        </w:tc>
        <w:tc>
          <w:tcPr/>
          <w:p>
            <w:pPr>
              <w:pStyle w:val="Compact"/>
              <w:jc w:val="left"/>
            </w:pPr>
            <w:r>
              <w:t xml:space="preserve">IP Ownership</w:t>
            </w:r>
          </w:p>
        </w:tc>
        <w:tc>
          <w:tcPr/>
          <w:p>
            <w:pPr>
              <w:pStyle w:val="Compact"/>
              <w:jc w:val="left"/>
            </w:pPr>
            <w:r>
              <w:t xml:space="preserve">Vendor owns all Model IP; Customer receives irrevocable perpetual license to Outputs and derivative data sets + portability of Customer Data/Outputs/derivative data sets; Langford Tier 3 enclave as the weights-review mechanism</w:t>
            </w:r>
          </w:p>
        </w:tc>
      </w:tr>
      <w:tr>
        <w:tc>
          <w:tcPr/>
          <w:p>
            <w:pPr>
              <w:pStyle w:val="Compact"/>
              <w:jc w:val="left"/>
            </w:pPr>
            <w:r>
              <w:t xml:space="preserve">7</w:t>
            </w:r>
          </w:p>
        </w:tc>
        <w:tc>
          <w:tcPr/>
          <w:p>
            <w:pPr>
              <w:pStyle w:val="Compact"/>
              <w:jc w:val="left"/>
            </w:pPr>
            <w:r>
              <w:t xml:space="preserve">Indemnification Scope</w:t>
            </w:r>
          </w:p>
        </w:tc>
        <w:tc>
          <w:tcPr/>
          <w:p>
            <w:pPr>
              <w:pStyle w:val="Compact"/>
              <w:jc w:val="left"/>
            </w:pPr>
            <w:r>
              <w:t xml:space="preserve">Vendor indemnifies IP + data breach + regulatory penalties (incl. NJ Act) + patient-harm from AI-output errors; shared defense with Vendor primary for AI-output claims; subject to super-cap</w:t>
            </w:r>
          </w:p>
        </w:tc>
      </w:tr>
    </w:tbl>
    <w:p>
      <w:r>
        <w:pict>
          <v:rect style="width:0;height:1.5pt" o:hralign="center" o:hrstd="t" o:hr="t"/>
        </w:pict>
      </w:r>
    </w:p>
    <w:bookmarkEnd w:id="24"/>
    <w:bookmarkEnd w:id="25"/>
    <w:bookmarkStart w:id="30" w:name="ii.-cross-cutting-considerations"/>
    <w:p>
      <w:pPr>
        <w:pStyle w:val="Heading2"/>
      </w:pPr>
      <w:r>
        <w:t xml:space="preserve">II. Cross-Cutting Considerations</w:t>
      </w:r>
    </w:p>
    <w:p>
      <w:pPr>
        <w:pStyle w:val="FirstParagraph"/>
      </w:pPr>
      <w:r>
        <w:t xml:space="preserve">Three issues cut across multiple terms and must be handled as a coherent package rather than term-by-term.</w:t>
      </w:r>
    </w:p>
    <w:bookmarkStart w:id="26" w:name="X15e250a403bf30de82c6bb35fc55a1da0690763"/>
    <w:p>
      <w:pPr>
        <w:pStyle w:val="Heading3"/>
      </w:pPr>
      <w:r>
        <w:t xml:space="preserve">A. Insurance Coverage Gap (affects Terms 1 and 7)</w:t>
      </w:r>
    </w:p>
    <w:p>
      <w:pPr>
        <w:pStyle w:val="FirstParagraph"/>
      </w:pPr>
      <w:r>
        <w:t xml:space="preserve">Cognitive Foundry’s current cyber/E&amp;O coverage is</w:t>
      </w:r>
      <w:r>
        <w:t xml:space="preserve"> </w:t>
      </w:r>
      <w:r>
        <w:rPr>
          <w:b/>
          <w:bCs/>
        </w:rPr>
        <w:t xml:space="preserve">$25M per occurrence / $50M aggregate</w:t>
      </w:r>
      <w:r>
        <w:t xml:space="preserve"> </w:t>
      </w:r>
      <w:r>
        <w:t xml:space="preserve">(Northfield Mutual Insurance Co., Policy No. NM-CY-2025-04417; policy period July 1, 2025–June 30, 2026). Meridian’s Playbook minimum (Section 11.1) is</w:t>
      </w:r>
      <w:r>
        <w:t xml:space="preserve"> </w:t>
      </w:r>
      <w:r>
        <w:rPr>
          <w:b/>
          <w:bCs/>
        </w:rPr>
        <w:t xml:space="preserve">$30M per occurrence / $60M aggregate</w:t>
      </w:r>
      <w:r>
        <w:t xml:space="preserve"> </w:t>
      </w:r>
      <w:r>
        <w:t xml:space="preserve">— a delta of +$5M occurrence / +$10M aggregate. Cognitive Foundry is evaluating an increase at its September 1, 2026 renewal but declines a binding contractual floor pre-signing.</w:t>
      </w:r>
    </w:p>
    <w:p>
      <w:pPr>
        <w:pStyle w:val="BodyText"/>
      </w:pPr>
      <w:r>
        <w:rPr>
          <w:b/>
          <w:bCs/>
        </w:rPr>
        <w:t xml:space="preserve">Recommended approach (Playbook §11.2).</w:t>
      </w:r>
      <w:r>
        <w:t xml:space="preserve"> </w:t>
      </w:r>
      <w:r>
        <w:t xml:space="preserve">Do not waive the minimum. Negotiate a time-limited gap with a binding coverage-increase commitment and contractual step-in rights: (a) Vendor covenants to increase cyber/E&amp;O to $30M/$60M no later than the earlier of its next renewal or</w:t>
      </w:r>
      <w:r>
        <w:t xml:space="preserve"> </w:t>
      </w:r>
      <w:r>
        <w:rPr>
          <w:b/>
          <w:bCs/>
        </w:rPr>
        <w:t xml:space="preserve">March 31, 2026</w:t>
      </w:r>
      <w:r>
        <w:t xml:space="preserve">; (b) during the gap, Vendor provides broker written confirmation that the increase has been requested and is reasonably expected; (c) if Vendor fails to obtain the increase by the deadline, Meridian may obtain supplemental coverage at Vendor’s expense, withhold a percentage of fees in escrow, or terminate without penalty. Carrier must be rated A- or better by A.M. Best. This structure is reflected in the Term 1 and Term 7 clause language.</w:t>
      </w:r>
    </w:p>
    <w:bookmarkEnd w:id="26"/>
    <w:bookmarkStart w:id="27" w:name="X65cd06fe5231831a4471678fb3263749c275af5"/>
    <w:p>
      <w:pPr>
        <w:pStyle w:val="Heading3"/>
      </w:pPr>
      <w:r>
        <w:t xml:space="preserve">B. Board Risk Committee — Tier 1 Enterprise Risk (affects Terms 1, 2, 5, 7)</w:t>
      </w:r>
    </w:p>
    <w:p>
      <w:pPr>
        <w:pStyle w:val="FirstParagraph"/>
      </w:pPr>
      <w:r>
        <w:t xml:space="preserve">In January 2025, the Meridian Board Risk Committee designated AI-related liability a</w:t>
      </w:r>
      <w:r>
        <w:t xml:space="preserve"> </w:t>
      </w:r>
      <w:r>
        <w:rPr>
          <w:b/>
          <w:bCs/>
        </w:rPr>
        <w:t xml:space="preserve">Tier 1 enterprise risk</w:t>
      </w:r>
      <w:r>
        <w:t xml:space="preserve">. Because TCV ($38.4M) exceeds $10M, a</w:t>
      </w:r>
      <w:r>
        <w:t xml:space="preserve"> </w:t>
      </w:r>
      <w:r>
        <w:rPr>
          <w:b/>
          <w:bCs/>
        </w:rPr>
        <w:t xml:space="preserve">pre-execution briefing to the Board Risk Committee is mandatory</w:t>
      </w:r>
      <w:r>
        <w:t xml:space="preserve"> </w:t>
      </w:r>
      <w:r>
        <w:t xml:space="preserve">(Playbook §2.6, §12.1). The absolute floors and red lines throughout the Playbook reflect the Board’s approved risk tolerances; deviations below those floors require Board-level approval (Playbook §12.2). Dr. Narayanan is managing the briefing calendar; a slot in the week of August 4, 2025 should be reserved to allow adjustments before the August 15 target execution. The proposals on Terms 1, 2, 5, and 7 in particular must be defensible in that governance context.</w:t>
      </w:r>
    </w:p>
    <w:bookmarkEnd w:id="27"/>
    <w:bookmarkStart w:id="28" w:name="c.-regulatory-backdrop-affects-all-terms"/>
    <w:p>
      <w:pPr>
        <w:pStyle w:val="Heading3"/>
      </w:pPr>
      <w:r>
        <w:t xml:space="preserve">C. Regulatory Backdrop (affects all terms)</w:t>
      </w:r>
    </w:p>
    <w:p>
      <w:pPr>
        <w:pStyle w:val="Compact"/>
        <w:numPr>
          <w:ilvl w:val="0"/>
          <w:numId w:val="1002"/>
        </w:numPr>
      </w:pPr>
      <w:r>
        <w:rPr>
          <w:b/>
          <w:bCs/>
        </w:rPr>
        <w:t xml:space="preserve">HIPAA / HITECH.</w:t>
      </w:r>
      <w:r>
        <w:t xml:space="preserve"> </w:t>
      </w:r>
      <w:r>
        <w:t xml:space="preserve">BAA (Exhibit F) executed June 2, 2025 governs PHI. De-identification must satisfy Safe Harbor (45 C.F.R. § 164.514(b)(2)) or Expert Determination (45 C.F.R. § 164.514(b)(1)). Meridian’s standard 24-hour breach notification (more protective than the 60-day regulatory default) applies. The agreed security framework in Exhibit E — AES-256 encryption at rest, TLS 1.2+ in transit, customer-managed encryption keys (CMKs) via AWS KMS, role-based access control (RBAC) with multi-factor authentication (MFA), and audit logs retained a minimum of seven (7) years — backstops the HIPAA Security Rule technical safeguards (45 C.F.R. § 164.312) and is not itself a contested term; it supports the PHI-handling obligations underlying Terms 2, 4, and 7.</w:t>
      </w:r>
    </w:p>
    <w:p>
      <w:pPr>
        <w:pStyle w:val="Compact"/>
        <w:numPr>
          <w:ilvl w:val="0"/>
          <w:numId w:val="1002"/>
        </w:numPr>
      </w:pPr>
      <w:r>
        <w:rPr>
          <w:b/>
          <w:bCs/>
        </w:rPr>
        <w:t xml:space="preserve">NJ AI in Healthcare Transparency Act (S.2314), effective March 1, 2025.</w:t>
      </w:r>
      <w:r>
        <w:t xml:space="preserve"> </w:t>
      </w:r>
      <w:r>
        <w:t xml:space="preserve">Applies to Meridian’s 3 NJ hospitals. Mandates independent annual audit of covered AI systems; audit reports available to NJ DOH within 15 business days of request; civil penalties up to</w:t>
      </w:r>
      <w:r>
        <w:t xml:space="preserve"> </w:t>
      </w:r>
      <w:r>
        <w:rPr>
          <w:b/>
          <w:bCs/>
        </w:rPr>
        <w:t xml:space="preserve">$50,000 per violation, each day of a continuing violation a separate violation</w:t>
      </w:r>
      <w:r>
        <w:t xml:space="preserve">; NJ DOH may order mandatory suspension of non-compliant AI systems. Penalties are assessed against the covered entity (Meridian), not the vendor — making contractual indemnification and cooperation essential. The Act</w:t>
      </w:r>
      <w:r>
        <w:t xml:space="preserve"> </w:t>
      </w:r>
      <w:r>
        <w:rPr>
          <w:b/>
          <w:bCs/>
        </w:rPr>
        <w:t xml:space="preserve">does not create a private right of action</w:t>
      </w:r>
      <w:r>
        <w:t xml:space="preserve"> </w:t>
      </w:r>
      <w:r>
        <w:t xml:space="preserve">but expressly</w:t>
      </w:r>
      <w:r>
        <w:t xml:space="preserve"> </w:t>
      </w:r>
      <w:r>
        <w:rPr>
          <w:b/>
          <w:bCs/>
        </w:rPr>
        <w:t xml:space="preserve">does not preempt existing state or federal causes of action</w:t>
      </w:r>
      <w:r>
        <w:t xml:space="preserve"> </w:t>
      </w:r>
      <w:r>
        <w:t xml:space="preserve">(medical malpractice, negligence, products liability, NJ Consumer Fraud Act); evidence of Act non-compliance could be admissible in such litigation, reinforcing the importance of the patient-safety super-cap (Term 1) and patient-harm indemnification (Term 7). The Act’s</w:t>
      </w:r>
      <w:r>
        <w:t xml:space="preserve"> </w:t>
      </w:r>
      <w:r>
        <w:rPr>
          <w:b/>
          <w:bCs/>
        </w:rPr>
        <w:t xml:space="preserve">anti-waiver provision (§7(b))</w:t>
      </w:r>
      <w:r>
        <w:t xml:space="preserve"> </w:t>
      </w:r>
      <w:r>
        <w:t xml:space="preserve">prohibits contract terms that prevent Meridian from satisfying its statutory obligations. First mandatory audit of ClinIQ™ must be completed by</w:t>
      </w:r>
      <w:r>
        <w:t xml:space="preserve"> </w:t>
      </w:r>
      <w:r>
        <w:rPr>
          <w:b/>
          <w:bCs/>
        </w:rPr>
        <w:t xml:space="preserve">January 6, 2027</w:t>
      </w:r>
      <w:r>
        <w:t xml:space="preserve"> </w:t>
      </w:r>
      <w:r>
        <w:t xml:space="preserve">(12 months after go-live); audit fieldwork should commence no later than Q4 2026.</w:t>
      </w:r>
    </w:p>
    <w:p>
      <w:pPr>
        <w:pStyle w:val="Compact"/>
        <w:numPr>
          <w:ilvl w:val="0"/>
          <w:numId w:val="1002"/>
        </w:numPr>
      </w:pPr>
      <w:r>
        <w:rPr>
          <w:b/>
          <w:bCs/>
        </w:rPr>
        <w:t xml:space="preserve">FDA clinical decision-support guidance.</w:t>
      </w:r>
      <w:r>
        <w:t xml:space="preserve"> </w:t>
      </w:r>
      <w:r>
        <w:t xml:space="preserve">21st Century Cures Act §3060 four-criteria exemption; the radiology module’s interaction with medical imaging raises questions under the first criterion warranting analysis. Where the Platform is or becomes FDA-regulated, Vendor must maintain clearances, notify Meridian within 24 hours of adverse FDA action, cooperate with inquiries, and indemnify for failures.</w:t>
      </w:r>
    </w:p>
    <w:p>
      <w:pPr>
        <w:pStyle w:val="Compact"/>
        <w:numPr>
          <w:ilvl w:val="0"/>
          <w:numId w:val="1002"/>
        </w:numPr>
      </w:pPr>
      <w:r>
        <w:rPr>
          <w:b/>
          <w:bCs/>
        </w:rPr>
        <w:t xml:space="preserve">Pennsylvania Breach of Personal Information Notification Act (73 Pa. Stat. § 2303).</w:t>
      </w:r>
      <w:r>
        <w:t xml:space="preserve"> </w:t>
      </w:r>
      <w:r>
        <w:t xml:space="preserve">Applies to personal information of individuals associated with Meridian’s six (6) Pennsylvania facilities. Exhibit D §8.3 requires Vendor compliance and cooperation with notification to affected individuals, the Pennsylvania Attorney General, and other authorities. Relevant to Terms 4 and 7.</w:t>
      </w:r>
    </w:p>
    <w:bookmarkEnd w:id="28"/>
    <w:bookmarkStart w:id="29" w:name="X7caac43b7dc6ed5dbe69720bf7f9f953470cecc"/>
    <w:p>
      <w:pPr>
        <w:pStyle w:val="Heading3"/>
      </w:pPr>
      <w:r>
        <w:t xml:space="preserve">D. Comparable-Deal Intelligence (affects Term 1)</w:t>
      </w:r>
    </w:p>
    <w:p>
      <w:pPr>
        <w:pStyle w:val="FirstParagraph"/>
      </w:pPr>
      <w:r>
        <w:t xml:space="preserve">Through market reference checks, Meridian has confirmed that Cognitive Foundry recently closed a comparable deal with another multi-hospital health system (12 hospitals) at a</w:t>
      </w:r>
      <w:r>
        <w:t xml:space="preserve"> </w:t>
      </w:r>
      <w:r>
        <w:rPr>
          <w:b/>
          <w:bCs/>
        </w:rPr>
        <w:t xml:space="preserve">general liability cap of 1.5× ACV</w:t>
      </w:r>
      <w:r>
        <w:t xml:space="preserve"> </w:t>
      </w:r>
      <w:r>
        <w:t xml:space="preserve">and a</w:t>
      </w:r>
      <w:r>
        <w:t xml:space="preserve"> </w:t>
      </w:r>
      <w:r>
        <w:rPr>
          <w:b/>
          <w:bCs/>
        </w:rPr>
        <w:t xml:space="preserve">super-cap of 3× ACV covering IP infringement and data breach</w:t>
      </w:r>
      <w:r>
        <w:t xml:space="preserve">. This directly undermines Cognitive Foundry’s stated position that 1× trailing fees is its</w:t>
      </w:r>
      <w:r>
        <w:t xml:space="preserve"> </w:t>
      </w:r>
      <w:r>
        <w:t xml:space="preserve">“</w:t>
      </w:r>
      <w:r>
        <w:t xml:space="preserve">standard</w:t>
      </w:r>
      <w:r>
        <w:t xml:space="preserve">”</w:t>
      </w:r>
      <w:r>
        <w:t xml:space="preserve"> </w:t>
      </w:r>
      <w:r>
        <w:t xml:space="preserve">cap and supports Meridian’s push for meaningful cap movement. Use this intelligence carefully at the table — anchoring on</w:t>
      </w:r>
      <w:r>
        <w:t xml:space="preserve"> </w:t>
      </w:r>
      <w:r>
        <w:t xml:space="preserve">“</w:t>
      </w:r>
      <w:r>
        <w:t xml:space="preserve">market practice for deals of this scope</w:t>
      </w:r>
      <w:r>
        <w:t xml:space="preserve">”</w:t>
      </w:r>
      <w:r>
        <w:t xml:space="preserve"> </w:t>
      </w:r>
      <w:r>
        <w:t xml:space="preserve">rather than disclosing the source — per the open question flagged by Mr. Delgado for Ms. Sutter’s tactical read.</w:t>
      </w:r>
    </w:p>
    <w:p>
      <w:r>
        <w:pict>
          <v:rect style="width:0;height:1.5pt" o:hralign="center" o:hrstd="t" o:hr="t"/>
        </w:pict>
      </w:r>
    </w:p>
    <w:bookmarkEnd w:id="29"/>
    <w:bookmarkEnd w:id="30"/>
    <w:bookmarkStart w:id="66" w:name="iii.-the-seven-compromise-proposals"/>
    <w:p>
      <w:pPr>
        <w:pStyle w:val="Heading2"/>
      </w:pPr>
      <w:r>
        <w:t xml:space="preserve">III. The Seven Compromise Proposals</w:t>
      </w:r>
    </w:p>
    <w:p>
      <w:pPr>
        <w:pStyle w:val="FirstParagraph"/>
      </w:pPr>
      <w:r>
        <w:t xml:space="preserve">Proposals are presented in Meridian’s priority order (1 = highest).</w:t>
      </w:r>
    </w:p>
    <w:p>
      <w:r>
        <w:pict>
          <v:rect style="width:0;height:1.5pt" o:hralign="center" o:hrstd="t" o:hr="t"/>
        </w:pict>
      </w:r>
    </w:p>
    <w:bookmarkStart w:id="35" w:name="X7d9720811f0b91fa13ad0655a174ae8a04d2382"/>
    <w:p>
      <w:pPr>
        <w:pStyle w:val="Heading3"/>
      </w:pPr>
      <w:r>
        <w:t xml:space="preserve">TERM 1 — Patient-Safety Liability and Super-Cap Structure</w:t>
      </w:r>
    </w:p>
    <w:p>
      <w:pPr>
        <w:pStyle w:val="FirstParagraph"/>
      </w:pPr>
      <w:r>
        <w:rPr>
          <w:b/>
          <w:bCs/>
        </w:rPr>
        <w:t xml:space="preserve">Agreement sections:</w:t>
      </w:r>
      <w:r>
        <w:t xml:space="preserve"> </w:t>
      </w:r>
      <w:r>
        <w:t xml:space="preserve">§12.1–12.4 (Limitation of Liability); §15.1 / Exhibit G (Insurance)</w:t>
      </w:r>
      <w:r>
        <w:t xml:space="preserve"> </w:t>
      </w:r>
      <w:r>
        <w:rPr>
          <w:b/>
          <w:bCs/>
        </w:rPr>
        <w:t xml:space="preserve">Meridian priority rank:</w:t>
      </w:r>
      <w:r>
        <w:t xml:space="preserve"> </w:t>
      </w:r>
      <w:r>
        <w:t xml:space="preserve">1 (highest) |</w:t>
      </w:r>
      <w:r>
        <w:t xml:space="preserve"> </w:t>
      </w:r>
      <w:r>
        <w:rPr>
          <w:b/>
          <w:bCs/>
        </w:rPr>
        <w:t xml:space="preserve">Vendor priority:</w:t>
      </w:r>
      <w:r>
        <w:t xml:space="preserve"> </w:t>
      </w:r>
      <w:r>
        <w:t xml:space="preserve">High</w:t>
      </w:r>
      <w:r>
        <w:t xml:space="preserve"> </w:t>
      </w:r>
      <w:r>
        <w:rPr>
          <w:b/>
          <w:bCs/>
        </w:rPr>
        <w:t xml:space="preserve">Related exhibits:</w:t>
      </w:r>
      <w:r>
        <w:t xml:space="preserve"> </w:t>
      </w:r>
      <w:r>
        <w:t xml:space="preserve">Exhibit B (Fee Schedule), Exhibit F (BAA), Exhibit G (Vendor Insurance Summary)</w:t>
      </w:r>
    </w:p>
    <w:bookmarkStart w:id="31" w:name="i-proposed-contract-clause-language"/>
    <w:p>
      <w:pPr>
        <w:pStyle w:val="Heading4"/>
      </w:pPr>
      <w:r>
        <w:t xml:space="preserve">(i) Proposed Contract Clause Language</w:t>
      </w:r>
    </w:p>
    <w:p>
      <w:pPr>
        <w:pStyle w:val="BlockText"/>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TRAILING TWELVE (12)-MONTH FEES PAID OR PAYABLE BY CUSTOMER UNDER THIS AGREEMENT (THE</w:t>
      </w:r>
      <w:r>
        <w:t xml:space="preserve"> </w:t>
      </w:r>
      <w:r>
        <w:t xml:space="preserve">“</w:t>
      </w:r>
      <w:r>
        <w:t xml:space="preserve">GENERAL CAP</w:t>
      </w:r>
      <w:r>
        <w:t xml:space="preserve">”</w:t>
      </w:r>
      <w:r>
        <w:t xml:space="preserve">). AS OF THE FIRST CONTRACT YEAR, THE GENERAL CAP IS FOURTEEN MILLION FOUR HUNDRED THOUSAND DOLLARS ($14,400,000).</w:t>
      </w:r>
    </w:p>
    <w:p>
      <w:pPr>
        <w:pStyle w:val="BlockText"/>
      </w:pPr>
      <w:r>
        <w:rPr>
          <w:b/>
          <w:bCs/>
        </w:rPr>
        <w:t xml:space="preserve">§12.3 Super-Cap Carve-Outs.</w:t>
      </w:r>
      <w:r>
        <w:t xml:space="preserve"> </w:t>
      </w:r>
      <w:r>
        <w:t xml:space="preserve">THE FOLLOWING CATEGORIES OF LIABILITY SHALL NOT BE SUBJECT TO THE GENERAL CAP AND SHALL INSTEAD BE SUBJECT TO A SEPARATE AGGREGATE LIABILITY CAP EQUAL TO THREE TIMES (3×) THE TRAILING TWELVE (12)-MONTH FEES PAID OR PAYABLE BY CUSTOMER (THE</w:t>
      </w:r>
      <w:r>
        <w:t xml:space="preserve"> </w:t>
      </w:r>
      <w:r>
        <w:t xml:space="preserve">“</w:t>
      </w:r>
      <w:r>
        <w:t xml:space="preserve">SUPER-CAP</w:t>
      </w:r>
      <w:r>
        <w:t xml:space="preserve">”</w:t>
      </w:r>
      <w:r>
        <w:t xml:space="preserve">; $28,800,000 AS OF THE FIRST CONTRACT YEAR), APPLICABLE SOLELY TO PATIENT-SAFETY CLAIMS AND VENDOR’S IP INDEMNIFICATION OBLIGATIONS UNDER SECTION 13.1(a):</w:t>
      </w:r>
    </w:p>
    <w:p>
      <w:pPr>
        <w:pStyle w:val="BlockText"/>
        <w:numPr>
          <w:ilvl w:val="0"/>
          <w:numId w:val="1003"/>
        </w:numPr>
      </w:pPr>
      <w:r>
        <w:rPr>
          <w:b/>
          <w:bCs/>
        </w:rPr>
        <w:t xml:space="preserve">Patient-Safety Liability</w:t>
      </w:r>
      <w:r>
        <w:t xml:space="preserve"> </w:t>
      </w:r>
      <w:r>
        <w:t xml:space="preserve">— any third-party claim, regulatory proceeding, or governmental investigation arising out of or related to bodily injury, clinical misdiagnosis, treatment error, or other patient harm attributable in whole or in part to an Output, recommendation, alert, or decision-support result generated by the Platform; and</w:t>
      </w:r>
    </w:p>
    <w:p>
      <w:pPr>
        <w:pStyle w:val="BlockText"/>
        <w:numPr>
          <w:ilvl w:val="0"/>
          <w:numId w:val="1003"/>
        </w:numPr>
      </w:pPr>
      <w:r>
        <w:rPr>
          <w:b/>
          <w:bCs/>
        </w:rPr>
        <w:t xml:space="preserve">IP Indemnification</w:t>
      </w:r>
      <w:r>
        <w:t xml:space="preserve"> </w:t>
      </w:r>
      <w:r>
        <w:t xml:space="preserve">— Vendor’s indemnification obligations under Section 13.1(a).</w:t>
      </w:r>
    </w:p>
    <w:p>
      <w:pPr>
        <w:pStyle w:val="BlockText"/>
      </w:pPr>
      <w:r>
        <w:rPr>
          <w:b/>
          <w:bCs/>
        </w:rPr>
        <w:t xml:space="preserve">§12.4 Uncapped Liabilities.</w:t>
      </w:r>
      <w:r>
        <w:t xml:space="preserve"> </w:t>
      </w:r>
      <w:r>
        <w:t xml:space="preserve">THE FOLLOWING SHALL NOT BE SUBJECT TO THE GENERAL CAP OR THE SUPER-CAP AND SHALL BE UNCAPPED:</w:t>
      </w:r>
    </w:p>
    <w:p>
      <w:pPr>
        <w:pStyle w:val="BlockText"/>
        <w:numPr>
          <w:ilvl w:val="0"/>
          <w:numId w:val="1004"/>
        </w:numPr>
      </w:pPr>
      <w:r>
        <w:t xml:space="preserve">liability arising from a breach of either Party’s obligations under the Business Associate Agreement (Exhibit F), including any unauthorized access to, use of, or disclosure of Protected Health Information (HIPAA/PHI breach);</w:t>
      </w:r>
    </w:p>
    <w:p>
      <w:pPr>
        <w:pStyle w:val="BlockText"/>
        <w:numPr>
          <w:ilvl w:val="0"/>
          <w:numId w:val="1004"/>
        </w:numPr>
      </w:pPr>
      <w:r>
        <w:t xml:space="preserve">liability arising from the willful misconduct, gross negligence, or fraud of either Party;</w:t>
      </w:r>
    </w:p>
    <w:p>
      <w:pPr>
        <w:pStyle w:val="BlockText"/>
        <w:numPr>
          <w:ilvl w:val="0"/>
          <w:numId w:val="1004"/>
        </w:numPr>
      </w:pPr>
      <w:r>
        <w:t xml:space="preserve">either Party’s breach of Article 11 (Confidentiality); and</w:t>
      </w:r>
    </w:p>
    <w:p>
      <w:pPr>
        <w:pStyle w:val="BlockText"/>
        <w:numPr>
          <w:ilvl w:val="0"/>
          <w:numId w:val="1004"/>
        </w:numPr>
      </w:pPr>
      <w:r>
        <w:t xml:space="preserve">Customer’s obligation to pay all Fees due under this Agreement.</w:t>
      </w:r>
    </w:p>
    <w:p>
      <w:pPr>
        <w:pStyle w:val="BlockText"/>
      </w:pPr>
      <w:r>
        <w:rPr>
          <w:b/>
          <w:bCs/>
        </w:rPr>
        <w:t xml:space="preserve">§15.1(c) Cyber/E&amp;O Insurance — Coverage Increase Commitment.</w:t>
      </w:r>
      <w:r>
        <w:t xml:space="preserve"> </w:t>
      </w:r>
      <w:r>
        <w:t xml:space="preserve">Vendor shall maintain Cyber Liability and Technology E&amp;O insurance of not less than $25,000,000 per occurrence and $50,000,000 in the aggregate through the date that is the earlier of (i) Vendor’s next policy renewal or (ii) March 31, 2026 (the</w:t>
      </w:r>
      <w:r>
        <w:t xml:space="preserve"> </w:t>
      </w:r>
      <w:r>
        <w:t xml:space="preserve">“</w:t>
      </w:r>
      <w:r>
        <w:t xml:space="preserve">Coverage Increase Deadline</w:t>
      </w:r>
      <w:r>
        <w:t xml:space="preserve">”</w:t>
      </w:r>
      <w:r>
        <w:t xml:space="preserve">), and shall increase such coverage to not less than $30,000,000 per occurrence and $60,000,000 in the aggregate (the</w:t>
      </w:r>
      <w:r>
        <w:t xml:space="preserve"> </w:t>
      </w:r>
      <w:r>
        <w:t xml:space="preserve">“</w:t>
      </w:r>
      <w:r>
        <w:t xml:space="preserve">Required Minimum</w:t>
      </w:r>
      <w:r>
        <w:t xml:space="preserve">”</w:t>
      </w:r>
      <w:r>
        <w:t xml:space="preserve">) on or before the Coverage Increase Deadline. Vendor shall provide written confirmation from its broker that the increase has been requested and is reasonably expected to be obtained within 60 days of the Effective Date. If Vendor has not obtained the Required Minimum by the Coverage Increase Deadline, Customer may, at its election and upon written notice: (i) obtain supplemental coverage at Vendor’s expense; (ii) withhold up to ten percent (10%) of Fees then due in escrow until the Required Minimum is obtained; or (iii) terminate this Agreement without penalty. All carriers shall be rated A- or better by A.M. Best. Vendor shall maintain tail/extended-reporting-period coverage under its Professional Liability and Cyber Liability policies for not less than three (3) years following expiration or termination.</w:t>
      </w:r>
    </w:p>
    <w:bookmarkEnd w:id="31"/>
    <w:bookmarkStart w:id="32" w:name="X564b454f2d54d5a1f277582dde4a9f4f486d2b8"/>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Vendor opening (June 6)</w:t>
            </w:r>
          </w:p>
        </w:tc>
        <w:tc>
          <w:tcPr/>
          <w:p>
            <w:pPr>
              <w:pStyle w:val="Compact"/>
              <w:jc w:val="left"/>
            </w:pPr>
            <w:r>
              <w:t xml:space="preserve">Customer opening (June 20)</w:t>
            </w:r>
          </w:p>
        </w:tc>
        <w:tc>
          <w:tcPr/>
          <w:p>
            <w:pPr>
              <w:pStyle w:val="Compact"/>
              <w:jc w:val="left"/>
            </w:pPr>
            <w:r>
              <w:t xml:space="preserve">Vendor counter (June 30)</w:t>
            </w:r>
          </w:p>
        </w:tc>
        <w:tc>
          <w:tcPr/>
          <w:p>
            <w:pPr>
              <w:pStyle w:val="Compact"/>
              <w:jc w:val="left"/>
            </w:pPr>
            <w:r>
              <w:t xml:space="preserve">Meridian red line / floor</w:t>
            </w:r>
          </w:p>
        </w:tc>
      </w:tr>
      <w:tr>
        <w:tc>
          <w:tcPr/>
          <w:p>
            <w:pPr>
              <w:pStyle w:val="Compact"/>
              <w:jc w:val="left"/>
            </w:pPr>
            <w:r>
              <w:t xml:space="preserve">General cap</w:t>
            </w:r>
          </w:p>
        </w:tc>
        <w:tc>
          <w:tcPr/>
          <w:p>
            <w:pPr>
              <w:pStyle w:val="Compact"/>
              <w:jc w:val="left"/>
            </w:pPr>
            <w:r>
              <w:t xml:space="preserve">1× trailing fees (~$9.6M)</w:t>
            </w:r>
          </w:p>
        </w:tc>
        <w:tc>
          <w:tcPr/>
          <w:p>
            <w:pPr>
              <w:pStyle w:val="Compact"/>
              <w:jc w:val="left"/>
            </w:pPr>
            <w:r>
              <w:t xml:space="preserve">2× trailing fees (~$19.2M)</w:t>
            </w:r>
          </w:p>
        </w:tc>
        <w:tc>
          <w:tcPr/>
          <w:p>
            <w:pPr>
              <w:pStyle w:val="Compact"/>
              <w:jc w:val="left"/>
            </w:pPr>
            <w:r>
              <w:t xml:space="preserve">1.5× trailing fees (~$14.4M)</w:t>
            </w:r>
          </w:p>
        </w:tc>
        <w:tc>
          <w:tcPr/>
          <w:p>
            <w:pPr>
              <w:pStyle w:val="Compact"/>
              <w:jc w:val="left"/>
            </w:pPr>
            <w:r>
              <w:t xml:space="preserve">Never below 1.5× ACV (~$14.4M)</w:t>
            </w:r>
          </w:p>
        </w:tc>
      </w:tr>
      <w:tr>
        <w:tc>
          <w:tcPr/>
          <w:p>
            <w:pPr>
              <w:pStyle w:val="Compact"/>
              <w:jc w:val="left"/>
            </w:pPr>
            <w:r>
              <w:t xml:space="preserve">Patient-safety</w:t>
            </w:r>
          </w:p>
        </w:tc>
        <w:tc>
          <w:tcPr/>
          <w:p>
            <w:pPr>
              <w:pStyle w:val="Compact"/>
              <w:jc w:val="left"/>
            </w:pPr>
            <w:r>
              <w:t xml:space="preserve">Inside general cap (not carved out)</w:t>
            </w:r>
          </w:p>
        </w:tc>
        <w:tc>
          <w:tcPr/>
          <w:p>
            <w:pPr>
              <w:pStyle w:val="Compact"/>
              <w:jc w:val="left"/>
            </w:pPr>
            <w:r>
              <w:t xml:space="preserve">Uncapped</w:t>
            </w:r>
          </w:p>
        </w:tc>
        <w:tc>
          <w:tcPr/>
          <w:p>
            <w:pPr>
              <w:pStyle w:val="Compact"/>
              <w:jc w:val="left"/>
            </w:pPr>
            <w:r>
              <w:t xml:space="preserve">Excluded from super-cap entirely</w:t>
            </w:r>
          </w:p>
        </w:tc>
        <w:tc>
          <w:tcPr/>
          <w:p>
            <w:pPr>
              <w:pStyle w:val="Compact"/>
              <w:jc w:val="left"/>
            </w:pPr>
            <w:r>
              <w:t xml:space="preserve">Never below 3× ACV (~$28.8M)</w:t>
            </w:r>
          </w:p>
        </w:tc>
      </w:tr>
      <w:tr>
        <w:tc>
          <w:tcPr/>
          <w:p>
            <w:pPr>
              <w:pStyle w:val="Compact"/>
              <w:jc w:val="left"/>
            </w:pPr>
            <w:r>
              <w:t xml:space="preserve">Other carve-outs</w:t>
            </w:r>
          </w:p>
        </w:tc>
        <w:tc>
          <w:tcPr/>
          <w:p>
            <w:pPr>
              <w:pStyle w:val="Compact"/>
              <w:jc w:val="left"/>
            </w:pPr>
            <w:r>
              <w:t xml:space="preserve">Super-cap 2× (~$19.2M): indemnification, gross negligence/willful misconduct, confidentiality</w:t>
            </w:r>
          </w:p>
        </w:tc>
        <w:tc>
          <w:tcPr/>
          <w:p>
            <w:pPr>
              <w:pStyle w:val="Compact"/>
              <w:jc w:val="left"/>
            </w:pPr>
            <w:r>
              <w:t xml:space="preserve">Uncapped: IP, willful misconduct, HIPAA, patient-harm</w:t>
            </w:r>
          </w:p>
        </w:tc>
        <w:tc>
          <w:tcPr/>
          <w:p>
            <w:pPr>
              <w:pStyle w:val="Compact"/>
              <w:jc w:val="left"/>
            </w:pPr>
            <w:r>
              <w:t xml:space="preserve">Super-cap 3× (~$28.8M): willful misconduct + IP only</w:t>
            </w:r>
          </w:p>
        </w:tc>
        <w:tc>
          <w:tcPr/>
          <w:p>
            <w:pPr>
              <w:pStyle w:val="Compact"/>
              <w:jc w:val="left"/>
            </w:pPr>
            <w:r>
              <w:t xml:space="preserve">HIPAA/PHI breach uncapped; willful misconduct uncapped</w:t>
            </w:r>
          </w:p>
        </w:tc>
      </w:tr>
    </w:tbl>
    <w:p>
      <w:pPr>
        <w:pStyle w:val="BodyText"/>
      </w:pPr>
      <w:r>
        <w:rPr>
          <w:b/>
          <w:bCs/>
        </w:rPr>
        <w:t xml:space="preserve">Recommended landing zone and why.</w:t>
      </w:r>
      <w:r>
        <w:t xml:space="preserve"> </w:t>
      </w:r>
      <w:r>
        <w:t xml:space="preserve">The proposal concedes the general cap to</w:t>
      </w:r>
      <w:r>
        <w:t xml:space="preserve"> </w:t>
      </w:r>
      <w:r>
        <w:rPr>
          <w:b/>
          <w:bCs/>
        </w:rPr>
        <w:t xml:space="preserve">1.5× ACV (~$14.4M)</w:t>
      </w:r>
      <w:r>
        <w:t xml:space="preserve"> </w:t>
      </w:r>
      <w:r>
        <w:t xml:space="preserve">— Vendor’s counter and Meridian’s absolute floor — because (a) it is the realistic landing zone confirmed by comparable-deal intelligence (Cognitive Foundry agreed to 1.5× ACV in a 12-hospital deal), and (b) conceding the general cap frees negotiating capital to secure the structurally more important super-cap and carve-outs. In exchange, the proposal secures the</w:t>
      </w:r>
      <w:r>
        <w:t xml:space="preserve"> </w:t>
      </w:r>
      <w:r>
        <w:rPr>
          <w:b/>
          <w:bCs/>
        </w:rPr>
        <w:t xml:space="preserve">non-negotiable patient-safety floor of 3× ACV (~$28.8M)</w:t>
      </w:r>
      <w:r>
        <w:t xml:space="preserve"> </w:t>
      </w:r>
      <w:r>
        <w:t xml:space="preserve">as a dedicated super-cap, keeps</w:t>
      </w:r>
      <w:r>
        <w:t xml:space="preserve"> </w:t>
      </w:r>
      <w:r>
        <w:rPr>
          <w:b/>
          <w:bCs/>
        </w:rPr>
        <w:t xml:space="preserve">HIPAA/PHI breach and willful misconduct uncapped</w:t>
      </w:r>
      <w:r>
        <w:t xml:space="preserve"> </w:t>
      </w:r>
      <w:r>
        <w:t xml:space="preserve">(Vendor’s counter excluded both from any super-cap — a non-starter), and places IP indemnity at the super-cap. This is the Playbook first-fallback super-cap (3× ACV for patient-safety) paired with the second-fallback general cap (1.5× ACV) — a cross-row pairing that requires General Counsel concurrence but is justified because the uncapped HIPAA/willful-misconduct carve-outs provide protection the Playbook’s strict row-pairing assumed would be traded away.</w:t>
      </w:r>
    </w:p>
    <w:p>
      <w:pPr>
        <w:pStyle w:val="BodyText"/>
      </w:pPr>
      <w:r>
        <w:rPr>
          <w:b/>
          <w:bCs/>
        </w:rPr>
        <w:t xml:space="preserve">Fallback ladder (in order of concession, to be deployed only with GC approval):</w:t>
      </w:r>
    </w:p>
    <w:p>
      <w:pPr>
        <w:pStyle w:val="Compact"/>
        <w:numPr>
          <w:ilvl w:val="0"/>
          <w:numId w:val="1005"/>
        </w:numPr>
      </w:pPr>
      <w:r>
        <w:rPr>
          <w:b/>
          <w:bCs/>
        </w:rPr>
        <w:t xml:space="preserve">Primary (proposed):</w:t>
      </w:r>
      <w:r>
        <w:t xml:space="preserve"> </w:t>
      </w:r>
      <w:r>
        <w:t xml:space="preserve">General cap 1.5× ACV; patient-safety super-cap 3× ACV; HIPAA/PHI + willful misconduct uncapped; IP indemnity at super-cap.</w:t>
      </w:r>
    </w:p>
    <w:p>
      <w:pPr>
        <w:pStyle w:val="Compact"/>
        <w:numPr>
          <w:ilvl w:val="0"/>
          <w:numId w:val="1005"/>
        </w:numPr>
      </w:pPr>
      <w:r>
        <w:rPr>
          <w:b/>
          <w:bCs/>
        </w:rPr>
        <w:t xml:space="preserve">If Vendor refuses uncapped HIPAA/willful misconduct:</w:t>
      </w:r>
      <w:r>
        <w:t xml:space="preserve"> </w:t>
      </w:r>
      <w:r>
        <w:t xml:space="preserve">Move HIPAA/PHI and willful misconduct into the 3× ACV super-cap alongside patient-safety (Playbook second-fallback structure: 4× ACV super-cap for all carve-outs if Vendor holds general cap at 1.5×). Patient-safety floor of 3× ACV is never breached.</w:t>
      </w:r>
    </w:p>
    <w:p>
      <w:pPr>
        <w:pStyle w:val="Compact"/>
        <w:numPr>
          <w:ilvl w:val="0"/>
          <w:numId w:val="1005"/>
        </w:numPr>
      </w:pPr>
      <w:r>
        <w:rPr>
          <w:b/>
          <w:bCs/>
        </w:rPr>
        <w:t xml:space="preserve">Absolute floor / red line:</w:t>
      </w:r>
      <w:r>
        <w:t xml:space="preserve"> </w:t>
      </w:r>
      <w:r>
        <w:t xml:space="preserve">Patient-safety liability never capped below 3× ACV (~$28.8M); general cap never below 1.5× ACV. If Vendor refuses the patient-safety floor,</w:t>
      </w:r>
      <w:r>
        <w:t xml:space="preserve"> </w:t>
      </w:r>
      <w:r>
        <w:rPr>
          <w:b/>
          <w:bCs/>
        </w:rPr>
        <w:t xml:space="preserve">escalate to Dr. Narayanan and the Board Risk Committee</w:t>
      </w:r>
      <w:r>
        <w:t xml:space="preserve"> </w:t>
      </w:r>
      <w:r>
        <w:t xml:space="preserve">(Playbook §12.2) — this is the deal’s</w:t>
      </w:r>
      <w:r>
        <w:t xml:space="preserve"> </w:t>
      </w:r>
      <w:r>
        <w:t xml:space="preserve">“</w:t>
      </w:r>
      <w:r>
        <w:t xml:space="preserve">hill.</w:t>
      </w:r>
      <w:r>
        <w:t xml:space="preserve">”</w:t>
      </w:r>
    </w:p>
    <w:p>
      <w:pPr>
        <w:pStyle w:val="FirstParagraph"/>
      </w:pPr>
      <w:r>
        <w:rPr>
          <w:b/>
          <w:bCs/>
        </w:rPr>
        <w:t xml:space="preserve">Insurance.</w:t>
      </w:r>
      <w:r>
        <w:t xml:space="preserve"> </w:t>
      </w:r>
      <w:r>
        <w:t xml:space="preserve">The $30M/$60M floor is held via a binding increase commitment by March 31, 2026 with step-in rights, rather than a pre-signing floor — accommodating Vendor’s 2026 renewal timing while preserving Meridian’s collectability backstop.</w:t>
      </w:r>
    </w:p>
    <w:bookmarkEnd w:id="32"/>
    <w:bookmarkStart w:id="33" w:name="X67329afcca1fc975715625f11a7a5dea741707c"/>
    <w:p>
      <w:pPr>
        <w:pStyle w:val="Heading4"/>
      </w:pPr>
      <w:r>
        <w:t xml:space="preserve">(iii) Acceptability Analysis for Vendor Team</w:t>
      </w:r>
    </w:p>
    <w:p>
      <w:pPr>
        <w:pStyle w:val="FirstParagraph"/>
      </w:pPr>
      <w:r>
        <w:rPr>
          <w:b/>
          <w:bCs/>
        </w:rPr>
        <w:t xml:space="preserve">To Sandra Hu (commercial flexibility / precedent concerns):</w:t>
      </w:r>
      <w:r>
        <w:t xml:space="preserve"> </w:t>
      </w:r>
      <w:r>
        <w:t xml:space="preserve">The general cap at 1.5× ACV matches Cognitive Foundry’s own recent comparable-deal precedent (1.5× ACV in a 12-hospital deal) and its June 30 counter, so it creates no new precedent exposure. The 3× ACV patient-safety super-cap likewise matches the 3× ACV super-cap Cognitive Foundry already agreed to elsewhere — Hu can accept it as consistent with established practice. Framing HIPAA/PHI breach and willful misconduct as uncapped is defensible because (a) Vendor’s own standard terms already treat willful misconduct as a super-cap category, and (b) uncapped HIPAA breach liability is consistent with the BAA regime Vendor already accepted in Exhibit F (executed June 2, 2025), where PHI breach obligations are not dollar-capped. The insurance commitment is structured around Vendor’s own stated 2026 renewal timeline — it requires no pre-signing coverage increase, only a binding commitment and step-in rights if the increase is not obtained.</w:t>
      </w:r>
    </w:p>
    <w:p>
      <w:pPr>
        <w:pStyle w:val="BodyText"/>
      </w:pPr>
      <w:r>
        <w:rPr>
          <w:b/>
          <w:bCs/>
        </w:rPr>
        <w:t xml:space="preserve">To Rafael Bowen (liability exposure / IP protection):</w:t>
      </w:r>
      <w:r>
        <w:t xml:space="preserve"> </w:t>
      </w:r>
      <w:r>
        <w:t xml:space="preserve">The structure preserves a meaningful aggregate ceiling (general cap + 3× super-cap) rather than uncapped exposure across the board — directly addressing Bowen’s core concern that uncapped AI-clinical liability is</w:t>
      </w:r>
      <w:r>
        <w:t xml:space="preserve"> </w:t>
      </w:r>
      <w:r>
        <w:t xml:space="preserve">“</w:t>
      </w:r>
      <w:r>
        <w:t xml:space="preserve">unquantifiable.</w:t>
      </w:r>
      <w:r>
        <w:t xml:space="preserve">”</w:t>
      </w:r>
      <w:r>
        <w:t xml:space="preserve"> </w:t>
      </w:r>
      <w:r>
        <w:t xml:space="preserve">Patient-safety is capped at 3× ACV (~$28.8M), not uncapped, which is the principal concession to Vendor’s insurability posture. The uncapped categories (HIPAA/PHI, willful misconduct, confidentiality) are categories where Vendor is already contractually and regulatorily accountable under the BAA and where insurance and the BAA’s own framework apply. The insurance step-in rights are triggered only on a missed deadline, giving Vendor a full renewal cycle to obtain the increase on market terms.</w:t>
      </w:r>
    </w:p>
    <w:p>
      <w:pPr>
        <w:pStyle w:val="BodyText"/>
      </w:pPr>
      <w:r>
        <w:rPr>
          <w:b/>
          <w:bCs/>
        </w:rPr>
        <w:t xml:space="preserve">Likely objection and response.</w:t>
      </w:r>
      <w:r>
        <w:t xml:space="preserve"> </w:t>
      </w:r>
      <w:r>
        <w:t xml:space="preserve">Bowen will push to keep patient-safety inside the general cap or at most at the super-cap with HIPAA excluded. Response: patient-safety is Meridian’s Tier 1 enterprise risk and a Board-mandated floor; excluding it from any super-cap is a non-starter, but capping it at 3× ACV (rather than uncapped, Meridian’s preference) is the meaningful concession that should close the gap.</w:t>
      </w:r>
    </w:p>
    <w:bookmarkEnd w:id="33"/>
    <w:bookmarkStart w:id="34" w:name="iv-regulatory-and-compliance-constraints"/>
    <w:p>
      <w:pPr>
        <w:pStyle w:val="Heading4"/>
      </w:pPr>
      <w:r>
        <w:t xml:space="preserve">(iv) Regulatory and Compliance Constraints</w:t>
      </w:r>
    </w:p>
    <w:p>
      <w:pPr>
        <w:pStyle w:val="Compact"/>
        <w:numPr>
          <w:ilvl w:val="0"/>
          <w:numId w:val="1006"/>
        </w:numPr>
      </w:pPr>
      <w:r>
        <w:rPr>
          <w:b/>
          <w:bCs/>
        </w:rPr>
        <w:t xml:space="preserve">HIPAA.</w:t>
      </w:r>
      <w:r>
        <w:t xml:space="preserve"> </w:t>
      </w:r>
      <w:r>
        <w:t xml:space="preserve">The BAA (Exhibit F) already imposes uncapped PHI-breach obligations on Vendor as a business associate; carving HIPAA/PHI breach liability out of the caps is consistent with, and does not exceed, the BAA regime. Meridian’s 24-hour breach-notification standard applies. The agreed Exhibit E security framework (AES-256 at rest, TLS 1.2+ in transit, customer-managed CMKs, RBAC + MFA, 7-year audit logs) backstops the HIPAA Security Rule (45 C.F.R. § 164.312) technical safeguards underlying the PHI-breach carve-out.</w:t>
      </w:r>
    </w:p>
    <w:p>
      <w:pPr>
        <w:pStyle w:val="Compact"/>
        <w:numPr>
          <w:ilvl w:val="0"/>
          <w:numId w:val="1006"/>
        </w:numPr>
      </w:pPr>
      <w:r>
        <w:rPr>
          <w:b/>
          <w:bCs/>
        </w:rPr>
        <w:t xml:space="preserve">NJ AI in Healthcare Transparency Act.</w:t>
      </w:r>
      <w:r>
        <w:t xml:space="preserve"> </w:t>
      </w:r>
      <w:r>
        <w:t xml:space="preserve">Civil penalties up to $50,000 per violation (per day of continuing violation) are assessed against Meridian as the covered entity. A patient-safety super-cap that is too low could leave Meridian absorbing penalty and patient-harm exposure attributable to Vendor’s Platform — the structural rationale for the 3× ACV floor. The Act’s anti-waiver provision (§7(b)) prohibits contract terms that prevent Meridian from satisfying statutory obligations, reinforcing that liability caps cannot be structured to block regulatory compliance. Critically, the Act</w:t>
      </w:r>
      <w:r>
        <w:t xml:space="preserve"> </w:t>
      </w:r>
      <w:r>
        <w:rPr>
          <w:b/>
          <w:bCs/>
        </w:rPr>
        <w:t xml:space="preserve">does not create a private right of action but expressly does not preempt existing state or federal causes of action</w:t>
      </w:r>
      <w:r>
        <w:t xml:space="preserve"> </w:t>
      </w:r>
      <w:r>
        <w:t xml:space="preserve">— including medical malpractice, negligence, products liability, and the NJ Consumer Fraud Act. Evidence of Act non-compliance could be admissible in such litigation, meaning a too-low patient-safety cap could leave Meridian exposed in malpractice actions where AI-output deficiency is at issue. This reinforces the 3× ACV floor.</w:t>
      </w:r>
    </w:p>
    <w:p>
      <w:pPr>
        <w:pStyle w:val="Compact"/>
        <w:numPr>
          <w:ilvl w:val="0"/>
          <w:numId w:val="1006"/>
        </w:numPr>
      </w:pPr>
      <w:r>
        <w:rPr>
          <w:b/>
          <w:bCs/>
        </w:rPr>
        <w:t xml:space="preserve">FDA clinical decision-support guidance.</w:t>
      </w:r>
      <w:r>
        <w:t xml:space="preserve"> </w:t>
      </w:r>
      <w:r>
        <w:t xml:space="preserve">Where the Platform is or becomes FDA-regulated, Vendor’s failure to maintain clearances or to notify Meridian of adverse FDA action creates direct liability; the super-cap structure must accommodate FDA-attributable patient-safety claims, which it does via the patient-safety carve-out.</w:t>
      </w:r>
    </w:p>
    <w:p>
      <w:pPr>
        <w:pStyle w:val="Compact"/>
        <w:numPr>
          <w:ilvl w:val="0"/>
          <w:numId w:val="1006"/>
        </w:numPr>
      </w:pPr>
      <w:r>
        <w:rPr>
          <w:b/>
          <w:bCs/>
        </w:rPr>
        <w:t xml:space="preserve">Board Risk Committee.</w:t>
      </w:r>
      <w:r>
        <w:t xml:space="preserve"> </w:t>
      </w:r>
      <w:r>
        <w:t xml:space="preserve">The patient-safety 3× ACV floor is a Board-approved absolute floor (Playbook §3.2.4); the proposal holds it. The general cap at 1.5× ACV is the Board-approved absolute floor (Playbook §3.1.4). Both are defensible in the pre-execution briefing.</w:t>
      </w:r>
    </w:p>
    <w:p>
      <w:r>
        <w:pict>
          <v:rect style="width:0;height:1.5pt" o:hralign="center" o:hrstd="t" o:hr="t"/>
        </w:pict>
      </w:r>
    </w:p>
    <w:bookmarkEnd w:id="34"/>
    <w:bookmarkEnd w:id="35"/>
    <w:bookmarkStart w:id="40" w:name="X5c00872d8171ee5aec97056ff1bc6cfbc0d1e2f"/>
    <w:p>
      <w:pPr>
        <w:pStyle w:val="Heading3"/>
      </w:pPr>
      <w:r>
        <w:t xml:space="preserve">TERM 2 — Audit Rights and Model Transparency</w:t>
      </w:r>
    </w:p>
    <w:p>
      <w:pPr>
        <w:pStyle w:val="FirstParagraph"/>
      </w:pPr>
      <w:r>
        <w:rPr>
          <w:b/>
          <w:bCs/>
        </w:rPr>
        <w:t xml:space="preserve">Agreement sections:</w:t>
      </w:r>
      <w:r>
        <w:t xml:space="preserve"> </w:t>
      </w:r>
      <w:r>
        <w:t xml:space="preserve">§10.1–10.4 (AI Model Transparency and Audit)</w:t>
      </w:r>
      <w:r>
        <w:t xml:space="preserve"> </w:t>
      </w:r>
      <w:r>
        <w:rPr>
          <w:b/>
          <w:bCs/>
        </w:rPr>
        <w:t xml:space="preserve">Meridian priority rank:</w:t>
      </w:r>
      <w:r>
        <w:t xml:space="preserve"> </w:t>
      </w:r>
      <w:r>
        <w:t xml:space="preserve">2 |</w:t>
      </w:r>
      <w:r>
        <w:t xml:space="preserve"> </w:t>
      </w:r>
      <w:r>
        <w:rPr>
          <w:b/>
          <w:bCs/>
        </w:rPr>
        <w:t xml:space="preserve">Vendor priority:</w:t>
      </w:r>
      <w:r>
        <w:t xml:space="preserve"> </w:t>
      </w:r>
      <w:r>
        <w:t xml:space="preserve">High</w:t>
      </w:r>
      <w:r>
        <w:t xml:space="preserve"> </w:t>
      </w:r>
      <w:r>
        <w:rPr>
          <w:b/>
          <w:bCs/>
        </w:rPr>
        <w:t xml:space="preserve">Related:</w:t>
      </w:r>
      <w:r>
        <w:t xml:space="preserve"> </w:t>
      </w:r>
      <w:r>
        <w:t xml:space="preserve">NJ AI Healthcare Transparency Act; Langford AI Assurance Group engagement</w:t>
      </w:r>
    </w:p>
    <w:bookmarkStart w:id="36" w:name="i-proposed-contract-clause-language-1"/>
    <w:p>
      <w:pPr>
        <w:pStyle w:val="Heading4"/>
      </w:pPr>
      <w:r>
        <w:t xml:space="preserve">(i) Proposed Contract Clause Language</w:t>
      </w:r>
    </w:p>
    <w:p>
      <w:pPr>
        <w:pStyle w:val="BlockText"/>
      </w:pPr>
      <w:r>
        <w:rPr>
          <w:b/>
          <w:bCs/>
        </w:rPr>
        <w:t xml:space="preserve">§10.1 Annual Transparency Documentation.</w:t>
      </w:r>
      <w:r>
        <w:t xml:space="preserve"> </w:t>
      </w:r>
      <w:r>
        <w:t xml:space="preserve">On or before the sixtieth (60th) day following the end of each Contract Year, and promptly (within 30 days) following any material change to the Platform, Vendor shall provide Customer with an annual transparency report and the following ongoing documentation sufficient to satisfy Customer’s obligations under the NJ AI in Healthcare Transparency Act (S.2314): (a) training data sources, provenance, demographic composition, and representativeness analysis for each module; (b) validation methodology, datasets, and performance metrics; (c) known limitations, failure modes, and population subgroups with degraded performance; and (d) bias testing results across race, ethnicity, sex, age, socioeconomic status, language, and disability status. This documentation right is affirmative and non-discretionary.</w:t>
      </w:r>
    </w:p>
    <w:p>
      <w:pPr>
        <w:pStyle w:val="BlockText"/>
      </w:pPr>
      <w:r>
        <w:rPr>
          <w:b/>
          <w:bCs/>
        </w:rPr>
        <w:t xml:space="preserve">§10.2 Independent Annual Audit — Tier 2 Baseline.</w:t>
      </w:r>
      <w:r>
        <w:t xml:space="preserve"> </w:t>
      </w:r>
      <w:r>
        <w:t xml:space="preserve">Customer shall have the right to engage the Independent Auditor to conduct one (1) independent annual audit of the Platform per Contract Year, at no less than</w:t>
      </w:r>
      <w:r>
        <w:t xml:space="preserve"> </w:t>
      </w:r>
      <w:r>
        <w:rPr>
          <w:b/>
          <w:bCs/>
        </w:rPr>
        <w:t xml:space="preserve">Tier 2 access</w:t>
      </w:r>
      <w:r>
        <w:t xml:space="preserve"> </w:t>
      </w:r>
      <w:r>
        <w:t xml:space="preserve">(model architecture documentation, training data provenance, validation results, and the ability to submit test queries in a controlled environment), exercisable by Customer without Vendor’s prior consent, subject to reasonable advance notice (not less than 20 business days) and scheduling coordination. The Independent Auditor is</w:t>
      </w:r>
      <w:r>
        <w:t xml:space="preserve"> </w:t>
      </w:r>
      <w:r>
        <w:rPr>
          <w:b/>
          <w:bCs/>
        </w:rPr>
        <w:t xml:space="preserve">Langford AI Assurance Group, LLC</w:t>
      </w:r>
      <w:r>
        <w:t xml:space="preserve"> </w:t>
      </w:r>
      <w:r>
        <w:t xml:space="preserve">(Dr. Anil Cherian, Managing Director, 101 Federal Street, Suite 1900, Boston, MA 02110), pre-approved by both Parties. A substitute auditor may be proposed by Customer subject to Vendor’s reasonable approval (not to be unreasonably withheld). The annual audit shall satisfy, at minimum, the independent annual audit requirement of the NJ AI in Healthcare Transparency Act with respect to Customer’s three (3) New Jersey Covered Facilities.</w:t>
      </w:r>
    </w:p>
    <w:p>
      <w:pPr>
        <w:pStyle w:val="BlockText"/>
      </w:pPr>
      <w:r>
        <w:rPr>
          <w:b/>
          <w:bCs/>
        </w:rPr>
        <w:t xml:space="preserve">§10.3 Tier 3 Escalation for Cause.</w:t>
      </w:r>
      <w:r>
        <w:t xml:space="preserve"> </w:t>
      </w:r>
      <w:r>
        <w:t xml:space="preserve">Notwithstanding the annual cadence, Customer may request an additional audit at</w:t>
      </w:r>
      <w:r>
        <w:t xml:space="preserve"> </w:t>
      </w:r>
      <w:r>
        <w:rPr>
          <w:b/>
          <w:bCs/>
        </w:rPr>
        <w:t xml:space="preserve">Tier 3 access</w:t>
      </w:r>
      <w:r>
        <w:t xml:space="preserve"> </w:t>
      </w:r>
      <w:r>
        <w:t xml:space="preserve">(model weights and embeddings reviewed solely within a secure computational enclave, with no data extraction, copying, or removal permitted) upon the occurrence of any of the following triggers: (a) a documented patient-safety event at any Covered Facility potentially attributable to a Platform Output; (b) a formal regulatory inquiry or investigation by the NJ Department of Health, the FDA, or other governmental authority concerning the Platform; (c) consecutive failure of a Performance Benchmark (Section 9.3) over two or more quarterly measurement periods; or (d) mutual written agreement of the Parties. Tier 3 access shall be conducted exclusively within the secure enclave; all enclave access is logged and auditable by both Parties; and upon completion all enclave data is cryptographically destroyed with written certification to both Parties.</w:t>
      </w:r>
    </w:p>
    <w:p>
      <w:pPr>
        <w:pStyle w:val="BlockText"/>
      </w:pPr>
      <w:r>
        <w:rPr>
          <w:b/>
          <w:bCs/>
        </w:rPr>
        <w:t xml:space="preserve">§10.4 Auditor Confidentiality.</w:t>
      </w:r>
      <w:r>
        <w:t xml:space="preserve"> </w:t>
      </w:r>
      <w:r>
        <w:t xml:space="preserve">The Independent Auditor shall execute a separate non-disclosure agreement with Vendor prior to any audit; access is limited to a secure environment designated by Vendor; no data extraction is permitted; all work product is destroyed within 30 days of delivery of the final audit report, with destruction certified in writing to both Parties within 5 business days. Audit reports shall be delivered to Customer’s SVP &amp; General Counsel and VP, Digital Health &amp; Technology Transactions, and to Vendor. Vendor shall provide a written response and remediation plan within 30 days of any audit report identifying material findings.</w:t>
      </w:r>
    </w:p>
    <w:p>
      <w:pPr>
        <w:pStyle w:val="BlockText"/>
      </w:pPr>
      <w:r>
        <w:rPr>
          <w:b/>
          <w:bCs/>
        </w:rPr>
        <w:t xml:space="preserve">§10.5 Regulatory Cooperation and Anti-Waiver.</w:t>
      </w:r>
      <w:r>
        <w:t xml:space="preserve"> </w:t>
      </w:r>
      <w:r>
        <w:t xml:space="preserve">Vendor shall cooperate fully with Customer in responding to any NJ Department of Health or other regulatory inquiry related to the Platform, including making qualified personnel available for interviews, producing documentation through Customer within statutory timeframes (including the 15-business-day NJ DOH production requirement), and providing technical assistance. No provision of this Agreement shall be construed to waive, limit, or condition Customer’s rights or obligations under the NJ AI in Healthcare Transparency Act or any comparable state or federal law. Vendor shall provide accurate, current descriptions of Platform functionality, limitations, and clinician-review protocols in a form suitable for patient-facing notifications, updated within 10 business days of material changes.</w:t>
      </w:r>
    </w:p>
    <w:p>
      <w:pPr>
        <w:pStyle w:val="BlockText"/>
      </w:pPr>
      <w:r>
        <w:rPr>
          <w:b/>
          <w:bCs/>
        </w:rPr>
        <w:t xml:space="preserve">§10.6 Audit Cost Allocation.</w:t>
      </w:r>
      <w:r>
        <w:t xml:space="preserve"> </w:t>
      </w:r>
      <w:r>
        <w:t xml:space="preserve">Customer shall bear the Independent Auditor’s fees and expenses for the routine annual Tier 2 audit. Vendor shall bear (a) the Independent Auditor’s fees and expenses for any Tier 3 cause-based audit triggered by a patient-safety event or regulatory inquiry (§10.3(a)–(b)) and (b) Vendor’s own incremental facilitation costs (personnel time, facility/enclave access, data preparation) for all audits. For NJ AI Act-driven audit activities specific to the three (3) New Jersey Covered Facilities, the Parties shall share the Independent Auditor’s fees equally, recognizing that the NJ Act compliance obligation is imposed on Customer as the covered entity but depends on Vendor’s cooperation and documentation. Audit reports shall be completed within 90 days of the close of the audit period and made available to the NJ DOH within 15 business days of request, consistent with the NJ Act.</w:t>
      </w:r>
    </w:p>
    <w:p>
      <w:pPr>
        <w:pStyle w:val="BlockText"/>
      </w:pPr>
      <w:r>
        <w:rPr>
          <w:b/>
          <w:bCs/>
        </w:rPr>
        <w:t xml:space="preserve">§10.7 Reserved Vendor Rights.</w:t>
      </w:r>
      <w:r>
        <w:t xml:space="preserve"> </w:t>
      </w:r>
      <w:r>
        <w:t xml:space="preserve">Nothing in this Article 10 requires Vendor to disclose, provide extractable access to, or permit removal of base model weights, proprietary source code, or training pipeline code. Tier 3 enclave access permits review without extraction. Vendor reserves all rights in its Model IP subject to the foregoing.</w:t>
      </w:r>
    </w:p>
    <w:bookmarkEnd w:id="36"/>
    <w:bookmarkStart w:id="37" w:name="X77270b1bf8f6a6f46ce436976e631c2e2c39049"/>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Vendor opening</w:t>
            </w:r>
          </w:p>
        </w:tc>
        <w:tc>
          <w:tcPr/>
          <w:p>
            <w:pPr>
              <w:pStyle w:val="Compact"/>
              <w:jc w:val="left"/>
            </w:pPr>
            <w:r>
              <w:t xml:space="preserve">Customer opening</w:t>
            </w:r>
          </w:p>
        </w:tc>
        <w:tc>
          <w:tcPr/>
          <w:p>
            <w:pPr>
              <w:pStyle w:val="Compact"/>
              <w:jc w:val="left"/>
            </w:pPr>
            <w:r>
              <w:t xml:space="preserve">Vendor counter (June 30)</w:t>
            </w:r>
          </w:p>
        </w:tc>
        <w:tc>
          <w:tcPr/>
          <w:p>
            <w:pPr>
              <w:pStyle w:val="Compact"/>
              <w:jc w:val="left"/>
            </w:pPr>
            <w:r>
              <w:t xml:space="preserve">Meridian red line</w:t>
            </w:r>
          </w:p>
        </w:tc>
      </w:tr>
      <w:tr>
        <w:tc>
          <w:tcPr/>
          <w:p>
            <w:pPr>
              <w:pStyle w:val="Compact"/>
              <w:jc w:val="left"/>
            </w:pPr>
            <w:r>
              <w:t xml:space="preserve">Audit access</w:t>
            </w:r>
          </w:p>
        </w:tc>
        <w:tc>
          <w:tcPr/>
          <w:p>
            <w:pPr>
              <w:pStyle w:val="Compact"/>
              <w:jc w:val="left"/>
            </w:pPr>
            <w:r>
              <w:t xml:space="preserve">Summary documentation only; no model internals</w:t>
            </w:r>
          </w:p>
        </w:tc>
        <w:tc>
          <w:tcPr/>
          <w:p>
            <w:pPr>
              <w:pStyle w:val="Compact"/>
              <w:jc w:val="left"/>
            </w:pPr>
            <w:r>
              <w:t xml:space="preserve">Full access to architecture, provenance, validation, weights, embeddings; Customer’s chosen auditor</w:t>
            </w:r>
          </w:p>
        </w:tc>
        <w:tc>
          <w:tcPr/>
          <w:p>
            <w:pPr>
              <w:pStyle w:val="Compact"/>
              <w:jc w:val="left"/>
            </w:pPr>
            <w:r>
              <w:t xml:space="preserve">Tier 2 for routine annual; Tier 3 (secure enclave, no extraction) for cause/regulatory; jointly approved auditor</w:t>
            </w:r>
          </w:p>
        </w:tc>
        <w:tc>
          <w:tcPr/>
          <w:p>
            <w:pPr>
              <w:pStyle w:val="Compact"/>
              <w:jc w:val="left"/>
            </w:pPr>
            <w:r>
              <w:t xml:space="preserve">Meaningful independent verification; annual minimum; Tier 3 available when triggered</w:t>
            </w:r>
          </w:p>
        </w:tc>
      </w:tr>
      <w:tr>
        <w:tc>
          <w:tcPr/>
          <w:p>
            <w:pPr>
              <w:pStyle w:val="Compact"/>
              <w:jc w:val="left"/>
            </w:pPr>
            <w:r>
              <w:t xml:space="preserve">Frequency</w:t>
            </w:r>
          </w:p>
        </w:tc>
        <w:tc>
          <w:tcPr/>
          <w:p>
            <w:pPr>
              <w:pStyle w:val="Compact"/>
              <w:jc w:val="left"/>
            </w:pPr>
            <w:r>
              <w:t xml:space="preserve">Annual summary report</w:t>
            </w:r>
          </w:p>
        </w:tc>
        <w:tc>
          <w:tcPr/>
          <w:p>
            <w:pPr>
              <w:pStyle w:val="Compact"/>
              <w:jc w:val="left"/>
            </w:pPr>
            <w:r>
              <w:t xml:space="preserve">Quarterly</w:t>
            </w:r>
          </w:p>
        </w:tc>
        <w:tc>
          <w:tcPr/>
          <w:p>
            <w:pPr>
              <w:pStyle w:val="Compact"/>
              <w:jc w:val="left"/>
            </w:pPr>
            <w:r>
              <w:t xml:space="preserve">Annual (Tier 2)</w:t>
            </w:r>
          </w:p>
        </w:tc>
        <w:tc>
          <w:tcPr/>
          <w:p>
            <w:pPr>
              <w:pStyle w:val="Compact"/>
              <w:jc w:val="left"/>
            </w:pPr>
            <w:r>
              <w:t xml:space="preserve">Annual minimum (NJ Act)</w:t>
            </w:r>
          </w:p>
        </w:tc>
      </w:tr>
      <w:tr>
        <w:tc>
          <w:tcPr/>
          <w:p>
            <w:pPr>
              <w:pStyle w:val="Compact"/>
              <w:jc w:val="left"/>
            </w:pPr>
            <w:r>
              <w:t xml:space="preserve">Auditor selection</w:t>
            </w:r>
          </w:p>
        </w:tc>
        <w:tc>
          <w:tcPr/>
          <w:p>
            <w:pPr>
              <w:pStyle w:val="Compact"/>
              <w:jc w:val="left"/>
            </w:pPr>
            <w:r>
              <w:t xml:space="preserve">Vendor selects from approved list</w:t>
            </w:r>
          </w:p>
        </w:tc>
        <w:tc>
          <w:tcPr/>
          <w:p>
            <w:pPr>
              <w:pStyle w:val="Compact"/>
              <w:jc w:val="left"/>
            </w:pPr>
            <w:r>
              <w:t xml:space="preserve">Customer selects; no Vendor approval</w:t>
            </w:r>
          </w:p>
        </w:tc>
        <w:tc>
          <w:tcPr/>
          <w:p>
            <w:pPr>
              <w:pStyle w:val="Compact"/>
              <w:jc w:val="left"/>
            </w:pPr>
            <w:r>
              <w:t xml:space="preserve">Jointly approved; Langford pre-approved</w:t>
            </w:r>
          </w:p>
        </w:tc>
        <w:tc>
          <w:tcPr/>
          <w:p>
            <w:pPr>
              <w:pStyle w:val="Compact"/>
              <w:jc w:val="left"/>
            </w:pPr>
            <w:r>
              <w:t xml:space="preserve">Independence essential; Langford acceptable</w:t>
            </w:r>
          </w:p>
        </w:tc>
      </w:tr>
      <w:tr>
        <w:tc>
          <w:tcPr/>
          <w:p>
            <w:pPr>
              <w:pStyle w:val="Compact"/>
              <w:jc w:val="left"/>
            </w:pPr>
            <w:r>
              <w:t xml:space="preserve">Model weights</w:t>
            </w:r>
          </w:p>
        </w:tc>
        <w:tc>
          <w:tcPr/>
          <w:p>
            <w:pPr>
              <w:pStyle w:val="Compact"/>
              <w:jc w:val="left"/>
            </w:pPr>
            <w:r>
              <w:t xml:space="preserve">No access</w:t>
            </w:r>
          </w:p>
        </w:tc>
        <w:tc>
          <w:tcPr/>
          <w:p>
            <w:pPr>
              <w:pStyle w:val="Compact"/>
              <w:jc w:val="left"/>
            </w:pPr>
            <w:r>
              <w:t xml:space="preserve">Full access</w:t>
            </w:r>
          </w:p>
        </w:tc>
        <w:tc>
          <w:tcPr/>
          <w:p>
            <w:pPr>
              <w:pStyle w:val="Compact"/>
              <w:jc w:val="left"/>
            </w:pPr>
            <w:r>
              <w:t xml:space="preserve">“</w:t>
            </w:r>
            <w:r>
              <w:t xml:space="preserve">Hard no</w:t>
            </w:r>
            <w:r>
              <w:t xml:space="preserve">”</w:t>
            </w:r>
            <w:r>
              <w:t xml:space="preserve"> </w:t>
            </w:r>
            <w:r>
              <w:t xml:space="preserve">on extractable access; enclave-only for cause</w:t>
            </w:r>
          </w:p>
        </w:tc>
        <w:tc>
          <w:tcPr/>
          <w:p>
            <w:pPr>
              <w:pStyle w:val="Compact"/>
              <w:jc w:val="left"/>
            </w:pPr>
            <w:r>
              <w:t xml:space="preserve">Tier 3 enclave acceptable if no extraction</w:t>
            </w:r>
          </w:p>
        </w:tc>
      </w:tr>
      <w:tr>
        <w:tc>
          <w:tcPr/>
          <w:p>
            <w:pPr>
              <w:pStyle w:val="Compact"/>
              <w:jc w:val="left"/>
            </w:pPr>
            <w:r>
              <w:t xml:space="preserve">Audit cost allocation</w:t>
            </w:r>
          </w:p>
        </w:tc>
        <w:tc>
          <w:tcPr/>
          <w:p>
            <w:pPr>
              <w:pStyle w:val="Compact"/>
              <w:jc w:val="left"/>
            </w:pPr>
            <w:r>
              <w:t xml:space="preserve">Vendor: cost-sharing sought on NJ-specific audit activities</w:t>
            </w:r>
          </w:p>
        </w:tc>
        <w:tc>
          <w:tcPr/>
          <w:p>
            <w:pPr>
              <w:pStyle w:val="Compact"/>
              <w:jc w:val="left"/>
            </w:pPr>
            <w:r>
              <w:t xml:space="preserve">Customer bears audit cost (Customer’s right)</w:t>
            </w:r>
          </w:p>
        </w:tc>
        <w:tc>
          <w:tcPr/>
          <w:p>
            <w:pPr>
              <w:pStyle w:val="Compact"/>
              <w:jc w:val="left"/>
            </w:pPr>
            <w:r>
              <w:t xml:space="preserve">(seeks cost-sharing)</w:t>
            </w:r>
          </w:p>
        </w:tc>
        <w:tc>
          <w:tcPr/>
          <w:p>
            <w:pPr>
              <w:pStyle w:val="Compact"/>
              <w:jc w:val="left"/>
            </w:pPr>
            <w:r>
              <w:t xml:space="preserve">Cause-based/regulatory audit costs on Vendor; routine on Customer</w:t>
            </w:r>
          </w:p>
        </w:tc>
      </w:tr>
    </w:tbl>
    <w:p>
      <w:pPr>
        <w:pStyle w:val="BodyText"/>
      </w:pPr>
      <w:r>
        <w:rPr>
          <w:b/>
          <w:bCs/>
        </w:rPr>
        <w:t xml:space="preserve">Recommended landing zone and why.</w:t>
      </w:r>
      <w:r>
        <w:t xml:space="preserve"> </w:t>
      </w:r>
      <w:r>
        <w:t xml:space="preserve">This proposal moves directly to the Playbook second-fallback (annual independent auditor under NDA, Tier 2 baseline, Tier 3 for cause) — the position Ms. Sutter directed the team to proceed to in order to preserve negotiating capital for Terms 1 and 3. It is also the position Sandra Hu privately acknowledged Cognitive Foundry</w:t>
      </w:r>
      <w:r>
        <w:t xml:space="preserve"> </w:t>
      </w:r>
      <w:r>
        <w:t xml:space="preserve">“</w:t>
      </w:r>
      <w:r>
        <w:t xml:space="preserve">can likely accept.</w:t>
      </w:r>
      <w:r>
        <w:t xml:space="preserve">”</w:t>
      </w:r>
      <w:r>
        <w:t xml:space="preserve"> </w:t>
      </w:r>
      <w:r>
        <w:t xml:space="preserve">The Langford tiered framework threads the CTO’s</w:t>
      </w:r>
      <w:r>
        <w:t xml:space="preserve"> </w:t>
      </w:r>
      <w:r>
        <w:t xml:space="preserve">“</w:t>
      </w:r>
      <w:r>
        <w:t xml:space="preserve">hard no</w:t>
      </w:r>
      <w:r>
        <w:t xml:space="preserve">”</w:t>
      </w:r>
      <w:r>
        <w:t xml:space="preserve"> </w:t>
      </w:r>
      <w:r>
        <w:t xml:space="preserve">on raw model weights: Tier 2 (no weights) handles routine compliance including the NJ Act; Tier 3 enclave review (no extraction) handles cause/regulatory triggers without creating model-replication risk. This is a genuine breakthrough position that should be presented as a compliance baseline (statutory mandate), not a commercial preference.</w:t>
      </w:r>
    </w:p>
    <w:p>
      <w:pPr>
        <w:pStyle w:val="BodyText"/>
      </w:pPr>
      <w:r>
        <w:rPr>
          <w:b/>
          <w:bCs/>
        </w:rPr>
        <w:t xml:space="preserve">Cost allocation.</w:t>
      </w:r>
      <w:r>
        <w:t xml:space="preserve"> </w:t>
      </w:r>
      <w:r>
        <w:t xml:space="preserve">The Contested Terms Matrix flags an open sub-issue: Vendor</w:t>
      </w:r>
      <w:r>
        <w:t xml:space="preserve"> </w:t>
      </w:r>
      <w:r>
        <w:t xml:space="preserve">“</w:t>
      </w:r>
      <w:r>
        <w:t xml:space="preserve">requests cost-sharing on NJ-specific audit activities</w:t>
      </w:r>
      <w:r>
        <w:t xml:space="preserve">”</w:t>
      </w:r>
      <w:r>
        <w:t xml:space="preserve"> </w:t>
      </w:r>
      <w:r>
        <w:t xml:space="preserve">and seeks to limit NJ audit scope to the statutory minimum, while Customer’s position is that the audit is Customer’s right (Customer bears cost). The proposed §10.6 splits the difference: Customer bears the routine annual Tier 2 audit (its own compliance right); Vendor bears cause-based Tier 3 audits triggered by patient-safety events or regulatory inquiries (events attributable to Vendor’s product) and its own facilitation costs; and NJ Act-specific audit activities for the 3 NJ facilities are shared equally (the compliance obligation is imposed on Meridian as covered entity but depends entirely on Vendor’s cooperation and documentation). Langford’s estimated costs inform this allocation: a routine annual Tier 2 comprehensive audit is approximately $180,000–$220,000; a Tier 3 cause-based audit is approximately $240,000–$280,000; semi-annual Tier 1 monitoring reports are approximately $35,000–$50,000 each (annual monitoring program ~$70,000–$100,000). The first annual comprehensive audit should commence within 90 days of the January 6, 2026 go-live, with fieldwork by Q4 2026 to meet the January 6, 2027 statutory deadline.</w:t>
      </w:r>
    </w:p>
    <w:p>
      <w:pPr>
        <w:pStyle w:val="BodyText"/>
      </w:pPr>
      <w:r>
        <w:rPr>
          <w:b/>
          <w:bCs/>
        </w:rPr>
        <w:t xml:space="preserve">Fallback ladder:</w:t>
      </w:r>
    </w:p>
    <w:p>
      <w:pPr>
        <w:pStyle w:val="Compact"/>
        <w:numPr>
          <w:ilvl w:val="0"/>
          <w:numId w:val="1007"/>
        </w:numPr>
      </w:pPr>
      <w:r>
        <w:rPr>
          <w:b/>
          <w:bCs/>
        </w:rPr>
        <w:t xml:space="preserve">Primary (proposed):</w:t>
      </w:r>
      <w:r>
        <w:t xml:space="preserve"> </w:t>
      </w:r>
      <w:r>
        <w:t xml:space="preserve">Annual Tier 2 audit by Langford; Tier 3 enclave for cause/regulatory; NJ Act compliance + anti-waiver; cost allocation per §10.6.</w:t>
      </w:r>
    </w:p>
    <w:p>
      <w:pPr>
        <w:pStyle w:val="Compact"/>
        <w:numPr>
          <w:ilvl w:val="0"/>
          <w:numId w:val="1007"/>
        </w:numPr>
      </w:pPr>
      <w:r>
        <w:rPr>
          <w:b/>
          <w:bCs/>
        </w:rPr>
        <w:t xml:space="preserve">If Vendor resists Tier 3 enclave:</w:t>
      </w:r>
      <w:r>
        <w:t xml:space="preserve"> </w:t>
      </w:r>
      <w:r>
        <w:t xml:space="preserve">Narrow Tier 3 triggers to (a) NJ DOH/FDA formal inquiry and (b) patient-safety event only; remove benchmark-failure trigger. Preserve enclave/no-extraction protocol.</w:t>
      </w:r>
    </w:p>
    <w:p>
      <w:pPr>
        <w:pStyle w:val="Compact"/>
        <w:numPr>
          <w:ilvl w:val="0"/>
          <w:numId w:val="1007"/>
        </w:numPr>
      </w:pPr>
      <w:r>
        <w:rPr>
          <w:b/>
          <w:bCs/>
        </w:rPr>
        <w:t xml:space="preserve">If Vendor resists Tier 2 architecture/provenance access:</w:t>
      </w:r>
      <w:r>
        <w:t xml:space="preserve"> </w:t>
      </w:r>
      <w:r>
        <w:t xml:space="preserve">Fall back to Tier 2</w:t>
      </w:r>
      <w:r>
        <w:t xml:space="preserve"> </w:t>
      </w:r>
      <w:r>
        <w:t xml:space="preserve">“</w:t>
      </w:r>
      <w:r>
        <w:t xml:space="preserve">summary + detail reports</w:t>
      </w:r>
      <w:r>
        <w:t xml:space="preserve">”</w:t>
      </w:r>
      <w:r>
        <w:t xml:space="preserve"> </w:t>
      </w:r>
      <w:r>
        <w:t xml:space="preserve">(architecture documentation at a summary level, full validation results and test queries, provenance summaries) — still sufficient for NJ Act compliance per Langford’s sufficiency assessment.</w:t>
      </w:r>
    </w:p>
    <w:p>
      <w:pPr>
        <w:pStyle w:val="Compact"/>
        <w:numPr>
          <w:ilvl w:val="0"/>
          <w:numId w:val="1007"/>
        </w:numPr>
      </w:pPr>
      <w:r>
        <w:rPr>
          <w:b/>
          <w:bCs/>
        </w:rPr>
        <w:t xml:space="preserve">If Vendor resists cost-sharing on NJ audits:</w:t>
      </w:r>
      <w:r>
        <w:t xml:space="preserve"> </w:t>
      </w:r>
      <w:r>
        <w:t xml:space="preserve">Fall back to Customer bearing all Independent Auditor fees (its own compliance right) but Vendor bearing its own facilitation costs and all cause-based Tier 3 costs. Do not concede Vendor’s facilitation-cost obligation.</w:t>
      </w:r>
    </w:p>
    <w:p>
      <w:pPr>
        <w:pStyle w:val="Compact"/>
        <w:numPr>
          <w:ilvl w:val="0"/>
          <w:numId w:val="1007"/>
        </w:numPr>
      </w:pPr>
      <w:r>
        <w:rPr>
          <w:b/>
          <w:bCs/>
        </w:rPr>
        <w:t xml:space="preserve">Floor / red line:</w:t>
      </w:r>
      <w:r>
        <w:t xml:space="preserve"> </w:t>
      </w:r>
      <w:r>
        <w:t xml:space="preserve">Annual independent audit at no less than Tier 2; must be independent; NJ Act compliance non-negotiable. Below this floor, escalate to Marcus Delgado + GC (Playbook §12.2).</w:t>
      </w:r>
    </w:p>
    <w:bookmarkEnd w:id="37"/>
    <w:bookmarkStart w:id="38" w:name="X9884e7df12f247388b3e2113f55cd06be59b233"/>
    <w:p>
      <w:pPr>
        <w:pStyle w:val="Heading4"/>
      </w:pPr>
      <w:r>
        <w:t xml:space="preserve">(iii) Acceptability Analysis for Vendor Team</w:t>
      </w:r>
    </w:p>
    <w:p>
      <w:pPr>
        <w:pStyle w:val="FirstParagraph"/>
      </w:pPr>
      <w:r>
        <w:rPr>
          <w:b/>
          <w:bCs/>
        </w:rPr>
        <w:t xml:space="preserve">To Sandra Hu:</w:t>
      </w:r>
      <w:r>
        <w:t xml:space="preserve"> </w:t>
      </w:r>
      <w:r>
        <w:t xml:space="preserve">Hu has already privately acknowledged that a qualified third-party audit is acceptable. The proposal delivers exactly that framework — a pre-approved, jointly acceptable auditor (Langford), defined scope, NDA, secure environment, no extraction, work-product destruction. It is framed as a regulatory compliance baseline (NJ Act), not a Meridian preference, which neutralizes the</w:t>
      </w:r>
      <w:r>
        <w:t xml:space="preserve"> </w:t>
      </w:r>
      <w:r>
        <w:t xml:space="preserve">“</w:t>
      </w:r>
      <w:r>
        <w:t xml:space="preserve">no customer has ever asked for this</w:t>
      </w:r>
      <w:r>
        <w:t xml:space="preserve">”</w:t>
      </w:r>
      <w:r>
        <w:t xml:space="preserve"> </w:t>
      </w:r>
      <w:r>
        <w:t xml:space="preserve">objection. Tier 2 access does not require disclosure of raw model weights, directly accommodating the CTO’s concern for routine audits. The cost-sharing on NJ-specific audits is a reasonable middle ground: Vendor sought cost-sharing, and the proposal shares NJ-Act-specific costs equally while keeping routine audit costs on Customer.</w:t>
      </w:r>
    </w:p>
    <w:p>
      <w:pPr>
        <w:pStyle w:val="BodyText"/>
      </w:pPr>
      <w:r>
        <w:rPr>
          <w:b/>
          <w:bCs/>
        </w:rPr>
        <w:t xml:space="preserve">To Rafael Bowen:</w:t>
      </w:r>
      <w:r>
        <w:t xml:space="preserve"> </w:t>
      </w:r>
      <w:r>
        <w:t xml:space="preserve">Bowen’s IP-protection concern is addressed at three levels: (a) Tier 2 baseline excludes weights, embeddings, and source code; (b) Tier 3 is enclave-only with no extraction, no copying, no removal, full logging, and cryptographic destruction — model IP never leaves Vendor’s controlled environment; (c) the auditor NDA, secure-environment-only access, and mandatory work-product destruction provide layered trade-secret protection. The proposal expressly reserves Vendor’s Model IP rights (§10.7). The NJ Act’s anti-waiver provision means Vendor cannot contractually block the audit right for the 3 NJ facilities in any event — framing this as a compliance baseline makes resistance commercially and legally untenable.</w:t>
      </w:r>
    </w:p>
    <w:p>
      <w:pPr>
        <w:pStyle w:val="BodyText"/>
      </w:pPr>
      <w:r>
        <w:rPr>
          <w:b/>
          <w:bCs/>
        </w:rPr>
        <w:t xml:space="preserve">Likely objection and response.</w:t>
      </w:r>
      <w:r>
        <w:t xml:space="preserve"> </w:t>
      </w:r>
      <w:r>
        <w:t xml:space="preserve">Bowen may resist Tier 3 enclave access even on a no-extraction basis. Response: Tier 3 is reserved for defined cause/regulatory triggers (not routine), the enclave protocol is specifically designed by Langford to permit technical review without replication risk, and NJ DOH enforcement actions may require deeper technical review than Tier 2 provides — Vendor would prefer a controlled enclave process it helped design to an uncontrolled regulatory subpoena.</w:t>
      </w:r>
    </w:p>
    <w:bookmarkEnd w:id="38"/>
    <w:bookmarkStart w:id="39" w:name="X8efd96b41f269817bd44c3ba6306a79c76112b5"/>
    <w:p>
      <w:pPr>
        <w:pStyle w:val="Heading4"/>
      </w:pPr>
      <w:r>
        <w:t xml:space="preserve">(iv) Regulatory and Compliance Constraints</w:t>
      </w:r>
    </w:p>
    <w:p>
      <w:pPr>
        <w:pStyle w:val="Compact"/>
        <w:numPr>
          <w:ilvl w:val="0"/>
          <w:numId w:val="1008"/>
        </w:numPr>
      </w:pPr>
      <w:r>
        <w:rPr>
          <w:b/>
          <w:bCs/>
        </w:rPr>
        <w:t xml:space="preserve">NJ AI in Healthcare Transparency Act (S.2314).</w:t>
      </w:r>
      <w:r>
        <w:t xml:space="preserve"> </w:t>
      </w:r>
      <w:r>
        <w:t xml:space="preserve">The Act mandates an independent annual audit (§5) with reports available to NJ DOH within 15 business days of request (§5(c)); audit reports must be completed within 90 days of the close of the audit period; the first audit of ClinIQ™ must be completed by January 6, 2027. The Act’s vendor-contracting requirements (§7(a)) require the Agreement to include model documentation access rights, independent audit rights, data governance terms, and regulatory cooperation — all addressed in the proposed language. The anti-waiver provision (§7(b)) makes any contract term restricting Meridian’s audit/documentation rights below compliance level unenforceable. Langford Tier 2 is assessed as sufficient to satisfy the Act’s minimum audit scope (architecture/provenance, validation, bias, incidents, data governance). The Act does not create a private right of action but does not preempt malpractice/negligence claims — robust audit rights reduce Meridian’s litigation exposure where AI-output deficiency is alleged.</w:t>
      </w:r>
    </w:p>
    <w:p>
      <w:pPr>
        <w:pStyle w:val="Compact"/>
        <w:numPr>
          <w:ilvl w:val="0"/>
          <w:numId w:val="1008"/>
        </w:numPr>
      </w:pPr>
      <w:r>
        <w:rPr>
          <w:b/>
          <w:bCs/>
        </w:rPr>
        <w:t xml:space="preserve">HIPAA.</w:t>
      </w:r>
      <w:r>
        <w:t xml:space="preserve"> </w:t>
      </w:r>
      <w:r>
        <w:t xml:space="preserve">Audit access must not compromise PHI; the secure-environment and no-extraction protocols, combined with the BAA, protect PHI during audits. De-identified/aggregated data handling during audits is governed by Exhibit D. The agreed Exhibit E security framework (encryption, access controls, audit logging) supports the data-governance element of the NJ Act audit scope.</w:t>
      </w:r>
    </w:p>
    <w:p>
      <w:pPr>
        <w:pStyle w:val="Compact"/>
        <w:numPr>
          <w:ilvl w:val="0"/>
          <w:numId w:val="1008"/>
        </w:numPr>
      </w:pPr>
      <w:r>
        <w:rPr>
          <w:b/>
          <w:bCs/>
        </w:rPr>
        <w:t xml:space="preserve">FDA.</w:t>
      </w:r>
      <w:r>
        <w:t xml:space="preserve"> </w:t>
      </w:r>
      <w:r>
        <w:t xml:space="preserve">The audit framework accommodates evolving FDA CDS requirements; the regulatory-cooperation clause (§10.5) supports FDA inquiries, and the change-of-law flexibility (Playbook §10.4) should be cross-referenced.</w:t>
      </w:r>
    </w:p>
    <w:p>
      <w:pPr>
        <w:pStyle w:val="Compact"/>
        <w:numPr>
          <w:ilvl w:val="0"/>
          <w:numId w:val="1008"/>
        </w:numPr>
      </w:pPr>
      <w:r>
        <w:rPr>
          <w:b/>
          <w:bCs/>
        </w:rPr>
        <w:t xml:space="preserve">Enterprise-wide consistency.</w:t>
      </w:r>
      <w:r>
        <w:t xml:space="preserve"> </w:t>
      </w:r>
      <w:r>
        <w:t xml:space="preserve">Whitfield Ames recommends applying Act-level audit/transparency rights across all 14 facilities (not just the 3 NJ facilities) to avoid dual-framework complexity and to position for pending DE (H.B. 412) and PA legislation; the proposed language applies enterprise-wide.</w:t>
      </w:r>
    </w:p>
    <w:p>
      <w:r>
        <w:pict>
          <v:rect style="width:0;height:1.5pt" o:hralign="center" o:hrstd="t" o:hr="t"/>
        </w:pict>
      </w:r>
    </w:p>
    <w:bookmarkEnd w:id="39"/>
    <w:bookmarkEnd w:id="40"/>
    <w:bookmarkStart w:id="45" w:name="Xfd37d6db50bf4f276476e7b92e2f27ee7ef78ff"/>
    <w:p>
      <w:pPr>
        <w:pStyle w:val="Heading3"/>
      </w:pPr>
      <w:r>
        <w:t xml:space="preserve">TERM 3 — Termination for Convenience, ETF, and Transition Assistance</w:t>
      </w:r>
    </w:p>
    <w:p>
      <w:pPr>
        <w:pStyle w:val="FirstParagraph"/>
      </w:pPr>
      <w:r>
        <w:rPr>
          <w:b/>
          <w:bCs/>
        </w:rPr>
        <w:t xml:space="preserve">Agreement sections:</w:t>
      </w:r>
      <w:r>
        <w:t xml:space="preserve"> </w:t>
      </w:r>
      <w:r>
        <w:t xml:space="preserve">§14.3–14.6 (Termination; Transition; Data Return)</w:t>
      </w:r>
      <w:r>
        <w:t xml:space="preserve"> </w:t>
      </w:r>
      <w:r>
        <w:rPr>
          <w:b/>
          <w:bCs/>
        </w:rPr>
        <w:t xml:space="preserve">Meridian priority rank:</w:t>
      </w:r>
      <w:r>
        <w:t xml:space="preserve"> </w:t>
      </w:r>
      <w:r>
        <w:t xml:space="preserve">3 |</w:t>
      </w:r>
      <w:r>
        <w:t xml:space="preserve"> </w:t>
      </w:r>
      <w:r>
        <w:rPr>
          <w:b/>
          <w:bCs/>
        </w:rPr>
        <w:t xml:space="preserve">Vendor priority:</w:t>
      </w:r>
      <w:r>
        <w:t xml:space="preserve"> </w:t>
      </w:r>
      <w:r>
        <w:t xml:space="preserve">High</w:t>
      </w:r>
      <w:r>
        <w:t xml:space="preserve"> </w:t>
      </w:r>
      <w:r>
        <w:rPr>
          <w:b/>
          <w:bCs/>
        </w:rPr>
        <w:t xml:space="preserve">Related:</w:t>
      </w:r>
      <w:r>
        <w:t xml:space="preserve"> </w:t>
      </w:r>
      <w:r>
        <w:t xml:space="preserve">Exhibit D (Data Governance)</w:t>
      </w:r>
    </w:p>
    <w:p>
      <w:pPr>
        <w:pStyle w:val="BlockText"/>
      </w:pPr>
      <w:r>
        <w:rPr>
          <w:b/>
          <w:bCs/>
        </w:rPr>
        <w:t xml:space="preserve">GC ESCALATION FLAG:</w:t>
      </w:r>
      <w:r>
        <w:t xml:space="preserve"> </w:t>
      </w:r>
      <w:r>
        <w:t xml:space="preserve">The proposed graduated ETF is a deviation from the Playbook fallback ladder, which provides</w:t>
      </w:r>
      <w:r>
        <w:t xml:space="preserve"> </w:t>
      </w:r>
      <w:r>
        <w:t xml:space="preserve">“</w:t>
      </w:r>
      <w:r>
        <w:t xml:space="preserve">no ETF under any structure.</w:t>
      </w:r>
      <w:r>
        <w:t xml:space="preserve">”</w:t>
      </w:r>
      <w:r>
        <w:t xml:space="preserve"> </w:t>
      </w:r>
      <w:r>
        <w:t xml:space="preserve">The graduated structure is endorsed by the strategic guidance of Mr. Delgado and Ms. Sutter as</w:t>
      </w:r>
      <w:r>
        <w:t xml:space="preserve"> </w:t>
      </w:r>
      <w:r>
        <w:t xml:space="preserve">“</w:t>
      </w:r>
      <w:r>
        <w:t xml:space="preserve">workable</w:t>
      </w:r>
      <w:r>
        <w:t xml:space="preserve">”</w:t>
      </w:r>
      <w:r>
        <w:t xml:space="preserve"> </w:t>
      </w:r>
      <w:r>
        <w:t xml:space="preserve">and consistent with the Sutter red line that the ETF</w:t>
      </w:r>
      <w:r>
        <w:t xml:space="preserve"> </w:t>
      </w:r>
      <w:r>
        <w:t xml:space="preserve">“</w:t>
      </w:r>
      <w:r>
        <w:t xml:space="preserve">must not make exit economically prohibitive.</w:t>
      </w:r>
      <w:r>
        <w:t xml:space="preserve">”</w:t>
      </w:r>
      <w:r>
        <w:t xml:space="preserve"> </w:t>
      </w:r>
      <w:r>
        <w:t xml:space="preserve">Acceptance requires Dr. Narayanan’s GC-level approval per Playbook §9.4 and §12.2.</w:t>
      </w:r>
    </w:p>
    <w:bookmarkStart w:id="41" w:name="i-proposed-contract-clause-language-2"/>
    <w:p>
      <w:pPr>
        <w:pStyle w:val="Heading4"/>
      </w:pPr>
      <w:r>
        <w:t xml:space="preserve">(i) Proposed Contract Clause Language</w:t>
      </w:r>
    </w:p>
    <w:p>
      <w:pPr>
        <w:pStyle w:val="BlockText"/>
      </w:pPr>
      <w:r>
        <w:rPr>
          <w:b/>
          <w:bCs/>
        </w:rPr>
        <w:t xml:space="preserve">§14.3 Termination for Convenience.</w:t>
      </w:r>
    </w:p>
    <w:p>
      <w:pPr>
        <w:pStyle w:val="BlockText"/>
        <w:numPr>
          <w:ilvl w:val="0"/>
          <w:numId w:val="1009"/>
        </w:numPr>
      </w:pPr>
      <w:r>
        <w:rPr>
          <w:b/>
          <w:bCs/>
        </w:rPr>
        <w:t xml:space="preserve">Customer Termination for Convenience.</w:t>
      </w:r>
      <w:r>
        <w:t xml:space="preserve"> </w:t>
      </w:r>
      <w:r>
        <w:t xml:space="preserve">Customer may terminate this Agreement for convenience at any time upon</w:t>
      </w:r>
      <w:r>
        <w:t xml:space="preserve"> </w:t>
      </w:r>
      <w:r>
        <w:rPr>
          <w:b/>
          <w:bCs/>
        </w:rPr>
        <w:t xml:space="preserve">one hundred fifty (150) days’</w:t>
      </w:r>
      <w:r>
        <w:t xml:space="preserve"> </w:t>
      </w:r>
      <w:r>
        <w:t xml:space="preserve">prior written notice to Vendor, subject to the graduated Early Termination Fee set forth in subsection (b).</w:t>
      </w:r>
    </w:p>
    <w:p>
      <w:pPr>
        <w:pStyle w:val="BlockText"/>
        <w:numPr>
          <w:ilvl w:val="0"/>
          <w:numId w:val="1009"/>
        </w:numPr>
      </w:pPr>
      <w:r>
        <w:rPr>
          <w:b/>
          <w:bCs/>
        </w:rPr>
        <w:t xml:space="preserve">Graduated Early Termination Fee.</w:t>
      </w:r>
      <w:r>
        <w:t xml:space="preserve"> </w:t>
      </w:r>
      <w:r>
        <w:t xml:space="preserve">In the event Customer terminates for convenience, Customer shall pay an Early Termination Fee (</w:t>
      </w:r>
      <w:r>
        <w:t xml:space="preserve">“</w:t>
      </w:r>
      <w:r>
        <w:t xml:space="preserve">ETF</w:t>
      </w:r>
      <w:r>
        <w:t xml:space="preserve">”</w:t>
      </w:r>
      <w:r>
        <w:t xml:space="preserve">) calculated as a percentage of the remaining unpaid Fees that would have been payable over the balance of the then-current Initial Term, determined by the Contract Year in which the effective date of termination occurs: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Termination effective during Contract Year</w:t>
            </w:r>
          </w:p>
        </w:tc>
        <w:tc>
          <w:tcPr/>
          <w:p>
            <w:pPr>
              <w:pStyle w:val="Compact"/>
              <w:jc w:val="left"/>
            </w:pPr>
            <w:r>
              <w:t xml:space="preserve">ETF (% of remaining Fees)</w:t>
            </w:r>
          </w:p>
        </w:tc>
      </w:tr>
      <w:tr>
        <w:tc>
          <w:tcPr/>
          <w:p>
            <w:pPr>
              <w:pStyle w:val="Compact"/>
              <w:jc w:val="left"/>
            </w:pPr>
            <w:r>
              <w:t xml:space="preserve">Year 1</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25%</w:t>
            </w:r>
          </w:p>
        </w:tc>
      </w:tr>
      <w:tr>
        <w:tc>
          <w:tcPr/>
          <w:p>
            <w:pPr>
              <w:pStyle w:val="Compact"/>
              <w:jc w:val="left"/>
            </w:pPr>
            <w:r>
              <w:t xml:space="preserve">Years 3–4</w:t>
            </w:r>
          </w:p>
        </w:tc>
        <w:tc>
          <w:tcPr/>
          <w:p>
            <w:pPr>
              <w:pStyle w:val="Compact"/>
              <w:jc w:val="left"/>
            </w:pPr>
            <w:r>
              <w:t xml:space="preserve">0% (no ETF)</w:t>
            </w:r>
          </w:p>
        </w:tc>
      </w:tr>
    </w:tbl>
    <w:p>
      <w:pPr>
        <w:pStyle w:val="BlockText"/>
      </w:pPr>
      <w:r>
        <w:t xml:space="preserve">The ETF is payable within 30 days of the effective date of termination. Customer shall also pay all Fees accrued through the effective date of termination. No ETF shall apply to termination for cause under Section 14.1, termination for Vendor material breach, or termination under the SLA performance trigger (Section 9.3(e)).</w:t>
      </w:r>
    </w:p>
    <w:p>
      <w:pPr>
        <w:pStyle w:val="Compact"/>
        <w:numPr>
          <w:ilvl w:val="0"/>
          <w:numId w:val="1010"/>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BlockText"/>
      </w:pPr>
      <w:r>
        <w:rPr>
          <w:b/>
          <w:bCs/>
        </w:rPr>
        <w:t xml:space="preserve">§14.5 Transition Assistance.</w:t>
      </w:r>
      <w:r>
        <w:t xml:space="preserve"> </w:t>
      </w:r>
      <w:r>
        <w:t xml:space="preserve">Upon expiration or termination for any reason, Vendor shall provide transition assistance for a period of up to</w:t>
      </w:r>
      <w:r>
        <w:t xml:space="preserve"> </w:t>
      </w:r>
      <w:r>
        <w:rPr>
          <w:b/>
          <w:bCs/>
        </w:rPr>
        <w:t xml:space="preserve">twelve (12) months</w:t>
      </w:r>
      <w:r>
        <w:t xml:space="preserve"> </w:t>
      </w:r>
      <w:r>
        <w:t xml:space="preserve">(the</w:t>
      </w:r>
      <w:r>
        <w:t xml:space="preserve"> </w:t>
      </w:r>
      <w:r>
        <w:t xml:space="preserve">“</w:t>
      </w:r>
      <w:r>
        <w:t xml:space="preserve">Transition Period</w:t>
      </w:r>
      <w:r>
        <w:t xml:space="preserve">”</w:t>
      </w:r>
      <w:r>
        <w:t xml:space="preserve">), including: (i) continued operation of the Platform; (ii) cooperation in migrating Customer Data and Outputs to a successor platform; (iii) export of all Customer Data in FHIR R4 and HL7 v2 interoperable formats; (iv) maintained API access for MeridianConnect, Philips PACS, and BD Pyxis integrations; (v) up to four (4) knowledge-transfer sessions; and (vi) reasonable assistance validating the successor platform’s integration. Transition services shall be provided at</w:t>
      </w:r>
      <w:r>
        <w:t xml:space="preserve"> </w:t>
      </w:r>
      <w:r>
        <w:rPr>
          <w:b/>
          <w:bCs/>
        </w:rPr>
        <w:t xml:space="preserve">Vendor’s verified direct cost plus a five percent (5%) administrative markup</w:t>
      </w:r>
      <w:r>
        <w:t xml:space="preserve"> </w:t>
      </w:r>
      <w:r>
        <w:t xml:space="preserve">(excluding overhead, profit beyond the 5% markup, and costs Vendor would incur regardless of the transition). Customer shall pay the Annual Recurring Fee (pro-rated) only for any portion of the Transition Period in which the Platform remains operational for Customer’s use.</w:t>
      </w:r>
    </w:p>
    <w:p>
      <w:pPr>
        <w:pStyle w:val="BlockText"/>
      </w:pPr>
      <w:r>
        <w:rPr>
          <w:b/>
          <w:bCs/>
        </w:rPr>
        <w:t xml:space="preserve">§14.6 Data Return and Destruction.</w:t>
      </w:r>
      <w:r>
        <w:t xml:space="preserve"> </w:t>
      </w:r>
      <w:r>
        <w:t xml:space="preserve">Within</w:t>
      </w:r>
      <w:r>
        <w:t xml:space="preserve"> </w:t>
      </w:r>
      <w:r>
        <w:rPr>
          <w:b/>
          <w:bCs/>
        </w:rPr>
        <w:t xml:space="preserve">forty-five (45) calendar days</w:t>
      </w:r>
      <w:r>
        <w:t xml:space="preserve"> </w:t>
      </w:r>
      <w:r>
        <w:t xml:space="preserve">following the effective date of termination or expiration (or the end of the Transition Period, if applicable), Vendor shall, at Customer’s written election: (a) return all Customer Data and Outputs in FHIR R4, HL7 v2, and such other interoperable formats as Customer may reasonably specify; or (b) certify in writing, executed by an authorized officer, the complete and irreversible destruction of all Customer Data (including copies, backups, and archives) in accordance with NIST SP 800-88. During any extension of the return period, all Customer Data shall remain encrypted and access-restricted. Vendor’s data-return obligations do not extend to Aggregated Data or Derivative Data that constitute Vendor Model IP, except as required by applicable law.</w:t>
      </w:r>
    </w:p>
    <w:bookmarkEnd w:id="41"/>
    <w:bookmarkStart w:id="42" w:name="X612ded793f4c8a0bc8ff4c634abc7df9aef00d5"/>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Vendor opening</w:t>
            </w:r>
          </w:p>
        </w:tc>
        <w:tc>
          <w:tcPr/>
          <w:p>
            <w:pPr>
              <w:pStyle w:val="Compact"/>
              <w:jc w:val="left"/>
            </w:pPr>
            <w:r>
              <w:t xml:space="preserve">Customer opening</w:t>
            </w:r>
          </w:p>
        </w:tc>
        <w:tc>
          <w:tcPr/>
          <w:p>
            <w:pPr>
              <w:pStyle w:val="Compact"/>
              <w:jc w:val="left"/>
            </w:pPr>
            <w:r>
              <w:t xml:space="preserve">Vendor counter (June 30)</w:t>
            </w:r>
          </w:p>
        </w:tc>
        <w:tc>
          <w:tcPr/>
          <w:p>
            <w:pPr>
              <w:pStyle w:val="Compact"/>
              <w:jc w:val="left"/>
            </w:pPr>
            <w:r>
              <w:t xml:space="preserve">Meridian red line (Sutter)</w:t>
            </w:r>
          </w:p>
        </w:tc>
      </w:tr>
      <w:tr>
        <w:tc>
          <w:tcPr/>
          <w:p>
            <w:pPr>
              <w:pStyle w:val="Compact"/>
              <w:jc w:val="left"/>
            </w:pPr>
            <w:r>
              <w:t xml:space="preserve">ETF</w:t>
            </w:r>
          </w:p>
        </w:tc>
        <w:tc>
          <w:tcPr/>
          <w:p>
            <w:pPr>
              <w:pStyle w:val="Compact"/>
              <w:jc w:val="left"/>
            </w:pPr>
            <w:r>
              <w:t xml:space="preserve">75% of remaining value (standard); no unilateral convenience termination</w:t>
            </w:r>
          </w:p>
        </w:tc>
        <w:tc>
          <w:tcPr/>
          <w:p>
            <w:pPr>
              <w:pStyle w:val="Compact"/>
              <w:jc w:val="left"/>
            </w:pPr>
            <w:r>
              <w:t xml:space="preserve">No ETF; 120-day notice</w:t>
            </w:r>
          </w:p>
        </w:tc>
        <w:tc>
          <w:tcPr/>
          <w:p>
            <w:pPr>
              <w:pStyle w:val="Compact"/>
              <w:jc w:val="left"/>
            </w:pPr>
            <w:r>
              <w:t xml:space="preserve">50% flat; graduated 50%/25%/0% reportedly available from CFO</w:t>
            </w:r>
          </w:p>
        </w:tc>
        <w:tc>
          <w:tcPr/>
          <w:p>
            <w:pPr>
              <w:pStyle w:val="Compact"/>
              <w:jc w:val="left"/>
            </w:pPr>
            <w:r>
              <w:t xml:space="preserve">ETF must not make exit economically prohibitive; zero preferred; if any ETF, graduated with rapid step-down</w:t>
            </w:r>
          </w:p>
        </w:tc>
      </w:tr>
      <w:tr>
        <w:tc>
          <w:tcPr/>
          <w:p>
            <w:pPr>
              <w:pStyle w:val="Compact"/>
              <w:jc w:val="left"/>
            </w:pPr>
            <w:r>
              <w:t xml:space="preserve">Notice</w:t>
            </w:r>
          </w:p>
        </w:tc>
        <w:tc>
          <w:tcPr/>
          <w:p>
            <w:pPr>
              <w:pStyle w:val="Compact"/>
              <w:jc w:val="left"/>
            </w:pPr>
            <w:r>
              <w:t xml:space="preserve">Mutual written agreement only</w:t>
            </w:r>
          </w:p>
        </w:tc>
        <w:tc>
          <w:tcPr/>
          <w:p>
            <w:pPr>
              <w:pStyle w:val="Compact"/>
              <w:jc w:val="left"/>
            </w:pPr>
            <w:r>
              <w:t xml:space="preserve">120 days</w:t>
            </w:r>
          </w:p>
        </w:tc>
        <w:tc>
          <w:tcPr/>
          <w:p>
            <w:pPr>
              <w:pStyle w:val="Compact"/>
              <w:jc w:val="left"/>
            </w:pPr>
            <w:r>
              <w:t xml:space="preserve">(counter on ETF)</w:t>
            </w:r>
          </w:p>
        </w:tc>
        <w:tc>
          <w:tcPr/>
          <w:p>
            <w:pPr>
              <w:pStyle w:val="Compact"/>
              <w:jc w:val="left"/>
            </w:pPr>
            <w:r>
              <w:t xml:space="preserve">120–150 days</w:t>
            </w:r>
          </w:p>
        </w:tc>
      </w:tr>
      <w:tr>
        <w:tc>
          <w:tcPr/>
          <w:p>
            <w:pPr>
              <w:pStyle w:val="Compact"/>
              <w:jc w:val="left"/>
            </w:pPr>
            <w:r>
              <w:t xml:space="preserve">Transition 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Robust transition essential</w:t>
            </w:r>
          </w:p>
        </w:tc>
      </w:tr>
      <w:tr>
        <w:tc>
          <w:tcPr/>
          <w:p>
            <w:pPr>
              <w:pStyle w:val="Compact"/>
              <w:jc w:val="left"/>
            </w:pPr>
            <w:r>
              <w:t xml:space="preserve">Transition pricing</w:t>
            </w:r>
          </w:p>
        </w:tc>
        <w:tc>
          <w:tcPr/>
          <w:p>
            <w:pPr>
              <w:pStyle w:val="Compact"/>
              <w:jc w:val="left"/>
            </w:pPr>
            <w:r>
              <w:t xml:space="preserve">Standard rates + 15% premium</w:t>
            </w:r>
          </w:p>
        </w:tc>
        <w:tc>
          <w:tcPr/>
          <w:p>
            <w:pPr>
              <w:pStyle w:val="Compact"/>
              <w:jc w:val="left"/>
            </w:pPr>
            <w:r>
              <w:t xml:space="preserve">At-cost (18 months)</w:t>
            </w:r>
          </w:p>
        </w:tc>
        <w:tc>
          <w:tcPr/>
          <w:p>
            <w:pPr>
              <w:pStyle w:val="Compact"/>
              <w:jc w:val="left"/>
            </w:pPr>
            <w:r>
              <w:t xml:space="preserve">Standard rates + 10% premium</w:t>
            </w:r>
          </w:p>
        </w:tc>
        <w:tc>
          <w:tcPr/>
          <w:p>
            <w:pPr>
              <w:pStyle w:val="Compact"/>
              <w:jc w:val="left"/>
            </w:pPr>
            <w:r>
              <w:t xml:space="preserve">At-cost or cost + 5% (Playbook fallback)</w:t>
            </w:r>
          </w:p>
        </w:tc>
      </w:tr>
      <w:tr>
        <w:tc>
          <w:tcPr/>
          <w:p>
            <w:pPr>
              <w:pStyle w:val="Compact"/>
              <w:jc w:val="left"/>
            </w:pPr>
            <w:r>
              <w:t xml:space="preserve">Data return</w:t>
            </w:r>
          </w:p>
        </w:tc>
        <w:tc>
          <w:tcPr/>
          <w:p>
            <w:pPr>
              <w:pStyle w:val="Compact"/>
              <w:jc w:val="left"/>
            </w:pPr>
            <w:r>
              <w:t xml:space="preserve">60 days</w:t>
            </w:r>
          </w:p>
        </w:tc>
        <w:tc>
          <w:tcPr/>
          <w:p>
            <w:pPr>
              <w:pStyle w:val="Compact"/>
              <w:jc w:val="left"/>
            </w:pPr>
            <w:r>
              <w:t xml:space="preserve">30 days; FHIR R4 + HL7 v2</w:t>
            </w:r>
          </w:p>
        </w:tc>
        <w:tc>
          <w:tcPr/>
          <w:p>
            <w:pPr>
              <w:pStyle w:val="Compact"/>
              <w:jc w:val="left"/>
            </w:pPr>
            <w:r>
              <w:t xml:space="preserve">60 days; FHIR R4 feasible; HL7 v2 needs scoping</w:t>
            </w:r>
          </w:p>
        </w:tc>
        <w:tc>
          <w:tcPr/>
          <w:p>
            <w:pPr>
              <w:pStyle w:val="Compact"/>
              <w:jc w:val="left"/>
            </w:pPr>
            <w:r>
              <w:t xml:space="preserve">FHIR R4 + HL7 v2 non-negotiable</w:t>
            </w:r>
          </w:p>
        </w:tc>
      </w:tr>
    </w:tbl>
    <w:p>
      <w:pPr>
        <w:pStyle w:val="BodyText"/>
      </w:pPr>
      <w:r>
        <w:rPr>
          <w:b/>
          <w:bCs/>
        </w:rPr>
        <w:t xml:space="preserve">Recommended landing zone and why.</w:t>
      </w:r>
      <w:r>
        <w:t xml:space="preserve"> </w:t>
      </w:r>
      <w:r>
        <w:t xml:space="preserve">The graduated ETF (50%/25%/0%) is the framework both Mr. Delgado and Ms. Sutter identified as workable and worth exploring. It satisfies the Sutter red line because by Year 3 it becomes no-cost termination — exit is never economically prohibitive in the back half of the term, when lock-in risk is greatest. On a $38.4M TCV, remaining value at end of Year 1 ≈ $25.65M, so a Year 1 ETF at 50% ≈ $12.83M; Year 2 at 25% ≈ $4.28M; Years 3–4 = $0. The 150-day notice (Playbook fallback) and 12-month transition at cost + 5% (Playbook fallback pricing) are paired with the ETF to form a coherent exit package. Data return at 45 days (Vendor’s stated operational minimum) with FHIR R4 + HL7 v2 bridges the 30/60-day gap while preserving the interoperability red line.</w:t>
      </w:r>
    </w:p>
    <w:p>
      <w:pPr>
        <w:pStyle w:val="BodyText"/>
      </w:pPr>
      <w:r>
        <w:rPr>
          <w:b/>
          <w:bCs/>
        </w:rPr>
        <w:t xml:space="preserve">Fallback ladder:</w:t>
      </w:r>
    </w:p>
    <w:p>
      <w:pPr>
        <w:pStyle w:val="Compact"/>
        <w:numPr>
          <w:ilvl w:val="0"/>
          <w:numId w:val="1011"/>
        </w:numPr>
      </w:pPr>
      <w:r>
        <w:rPr>
          <w:b/>
          <w:bCs/>
        </w:rPr>
        <w:t xml:space="preserve">Primary (proposed):</w:t>
      </w:r>
      <w:r>
        <w:t xml:space="preserve"> </w:t>
      </w:r>
      <w:r>
        <w:t xml:space="preserve">Graduated ETF 50%/25%/0%; 150-day notice; 12-month transition at cost + 5%; 45-day data return in FHIR R4 + HL7 v2.</w:t>
      </w:r>
      <w:r>
        <w:t xml:space="preserve"> </w:t>
      </w:r>
      <w:r>
        <w:rPr>
          <w:i/>
          <w:iCs/>
        </w:rPr>
        <w:t xml:space="preserve">(Requires GC approval — Playbook deviation.)</w:t>
      </w:r>
    </w:p>
    <w:p>
      <w:pPr>
        <w:pStyle w:val="Compact"/>
        <w:numPr>
          <w:ilvl w:val="0"/>
          <w:numId w:val="1011"/>
        </w:numPr>
      </w:pPr>
      <w:r>
        <w:rPr>
          <w:b/>
          <w:bCs/>
        </w:rPr>
        <w:t xml:space="preserve">If Vendor holds at flat 50% ETF:</w:t>
      </w:r>
      <w:r>
        <w:t xml:space="preserve"> </w:t>
      </w:r>
      <w:r>
        <w:t xml:space="preserve">Negotiate a shorter step-down (e.g., 50% Year 1, 25% Year 2, 10% Year 3, 0% Year 4) or a cap on ETF at a fixed dollar amount not exceeding the unamortized implementation fee ($4.2M), preserving the</w:t>
      </w:r>
      <w:r>
        <w:t xml:space="preserve"> </w:t>
      </w:r>
      <w:r>
        <w:t xml:space="preserve">“</w:t>
      </w:r>
      <w:r>
        <w:t xml:space="preserve">not economically prohibitive</w:t>
      </w:r>
      <w:r>
        <w:t xml:space="preserve">”</w:t>
      </w:r>
      <w:r>
        <w:t xml:space="preserve"> </w:t>
      </w:r>
      <w:r>
        <w:t xml:space="preserve">red line.</w:t>
      </w:r>
    </w:p>
    <w:p>
      <w:pPr>
        <w:pStyle w:val="Compact"/>
        <w:numPr>
          <w:ilvl w:val="0"/>
          <w:numId w:val="1011"/>
        </w:numPr>
      </w:pPr>
      <w:r>
        <w:rPr>
          <w:b/>
          <w:bCs/>
        </w:rPr>
        <w:t xml:space="preserve">If Vendor resists cost + 5% transition:</w:t>
      </w:r>
      <w:r>
        <w:t xml:space="preserve"> </w:t>
      </w:r>
      <w:r>
        <w:t xml:space="preserve">Accept 12 months at standard rates (no premium) as a fallback; hold the line on FHIR R4 + HL7 v2 and 45-day data return.</w:t>
      </w:r>
    </w:p>
    <w:p>
      <w:pPr>
        <w:pStyle w:val="Compact"/>
        <w:numPr>
          <w:ilvl w:val="0"/>
          <w:numId w:val="1011"/>
        </w:numPr>
      </w:pPr>
      <w:r>
        <w:rPr>
          <w:b/>
          <w:bCs/>
        </w:rPr>
        <w:t xml:space="preserve">If Vendor holds at 60-day data return:</w:t>
      </w:r>
      <w:r>
        <w:t xml:space="preserve"> </w:t>
      </w:r>
      <w:r>
        <w:t xml:space="preserve">Accept 60 days only if all Customer Data remains encrypted and access-restricted during the extension with written confirmation of no vendor access except to complete return (Playbook §9.3 fallback). FHIR R4 + HL7 v2 remains non-negotiable.</w:t>
      </w:r>
    </w:p>
    <w:p>
      <w:pPr>
        <w:pStyle w:val="Compact"/>
        <w:numPr>
          <w:ilvl w:val="0"/>
          <w:numId w:val="1011"/>
        </w:numPr>
      </w:pPr>
      <w:r>
        <w:rPr>
          <w:b/>
          <w:bCs/>
        </w:rPr>
        <w:t xml:space="preserve">Red line:</w:t>
      </w:r>
      <w:r>
        <w:t xml:space="preserve"> </w:t>
      </w:r>
      <w:r>
        <w:t xml:space="preserve">ETF must not make exit economically prohibitive at any point; FHIR R4 + HL7 v2 export required. Any ETF structure requires GC escalation.</w:t>
      </w:r>
    </w:p>
    <w:bookmarkEnd w:id="42"/>
    <w:bookmarkStart w:id="43" w:name="Xf40d49f3f75dc0931c568eade68778525c767b5"/>
    <w:p>
      <w:pPr>
        <w:pStyle w:val="Heading4"/>
      </w:pPr>
      <w:r>
        <w:t xml:space="preserve">(iii) Acceptability Analysis for Vendor Team</w:t>
      </w:r>
    </w:p>
    <w:p>
      <w:pPr>
        <w:pStyle w:val="FirstParagraph"/>
      </w:pPr>
      <w:r>
        <w:rPr>
          <w:b/>
          <w:bCs/>
        </w:rPr>
        <w:t xml:space="preserve">To Sandra Hu:</w:t>
      </w:r>
      <w:r>
        <w:t xml:space="preserve"> </w:t>
      </w:r>
      <w:r>
        <w:t xml:space="preserve">The graduated ETF directly addresses the CFO’s revenue-recognition concern (the stated driver of Vendor’s ETF position) while giving Cognitive Foundry meaningful recovery of its $4.2M upfront implementation investment in Years 1–2. The 150-day notice period gives Vendor adequate time to plan for revenue reduction — itself a meaningful concession that substitutes for a higher ETF. The 12-month transition at cost + 5% ensures Vendor is not out-of-pocket for transition assistance while avoiding the at-cost position Vendor rejected as below margin threshold.</w:t>
      </w:r>
    </w:p>
    <w:p>
      <w:pPr>
        <w:pStyle w:val="BodyText"/>
      </w:pPr>
      <w:r>
        <w:rPr>
          <w:b/>
          <w:bCs/>
        </w:rPr>
        <w:t xml:space="preserve">To Rafael Bowen:</w:t>
      </w:r>
      <w:r>
        <w:t xml:space="preserve"> </w:t>
      </w:r>
      <w:r>
        <w:t xml:space="preserve">Bowen’s concern is typically liability/exit-cost exposure. The graduated structure caps Vendor’s downside: it recovers 50% of remaining value in Year 1 (protecting the implementation investment), steps down rationally, and eliminates ETF entirely in Years 3–4 — aligning with the reality that Vendor’s implementation costs are amortized by then. The data-return carve-out preserving Vendor’s Aggregated Data/Derivative Data Model IP rights (§14.6) protects Vendor’s IP on exit.</w:t>
      </w:r>
    </w:p>
    <w:p>
      <w:pPr>
        <w:pStyle w:val="BodyText"/>
      </w:pPr>
      <w:r>
        <w:rPr>
          <w:b/>
          <w:bCs/>
        </w:rPr>
        <w:t xml:space="preserve">Likely objection and response.</w:t>
      </w:r>
      <w:r>
        <w:t xml:space="preserve"> </w:t>
      </w:r>
      <w:r>
        <w:t xml:space="preserve">Hu/Bowen may push for a flat 50% ETF across all years. Response: a flat 50% in Year 4 (when implementation is fully amortized and the Platform is mature) is economically punitive and inconsistent with the</w:t>
      </w:r>
      <w:r>
        <w:t xml:space="preserve"> </w:t>
      </w:r>
      <w:r>
        <w:t xml:space="preserve">“</w:t>
      </w:r>
      <w:r>
        <w:t xml:space="preserve">not prohibitive</w:t>
      </w:r>
      <w:r>
        <w:t xml:space="preserve">”</w:t>
      </w:r>
      <w:r>
        <w:t xml:space="preserve"> </w:t>
      </w:r>
      <w:r>
        <w:t xml:space="preserve">principle that both sides have acknowledged; the graduated structure is the compromise that gives Vendor real recovery early and Meridian real flexibility late.</w:t>
      </w:r>
    </w:p>
    <w:bookmarkEnd w:id="43"/>
    <w:bookmarkStart w:id="44" w:name="X69e89c9eefad22a46f9a54f9c837468552a4e10"/>
    <w:p>
      <w:pPr>
        <w:pStyle w:val="Heading4"/>
      </w:pPr>
      <w:r>
        <w:t xml:space="preserve">(iv) Regulatory and Compliance Constraints</w:t>
      </w:r>
    </w:p>
    <w:p>
      <w:pPr>
        <w:pStyle w:val="Compact"/>
        <w:numPr>
          <w:ilvl w:val="0"/>
          <w:numId w:val="1012"/>
        </w:numPr>
      </w:pPr>
      <w:r>
        <w:rPr>
          <w:b/>
          <w:bCs/>
        </w:rPr>
        <w:t xml:space="preserve">HIPAA.</w:t>
      </w:r>
      <w:r>
        <w:t xml:space="preserve"> </w:t>
      </w:r>
      <w:r>
        <w:t xml:space="preserve">Data return/destruction must comply with the BAA (Exhibit F) PHI obligations; the 45-day return with NIST SP 800-88 destruction and the legal-hold exception are consistent with the BAA. FHIR R4/HL7 v2 export supports Meridian’s ongoing clinical operations and record-retention obligations.</w:t>
      </w:r>
    </w:p>
    <w:p>
      <w:pPr>
        <w:pStyle w:val="Compact"/>
        <w:numPr>
          <w:ilvl w:val="0"/>
          <w:numId w:val="1012"/>
        </w:numPr>
      </w:pPr>
      <w:r>
        <w:rPr>
          <w:b/>
          <w:bCs/>
        </w:rPr>
        <w:t xml:space="preserve">NJ AI in Healthcare Transparency Act.</w:t>
      </w:r>
      <w:r>
        <w:t xml:space="preserve"> </w:t>
      </w:r>
      <w:r>
        <w:t xml:space="preserve">Termination/transition must preserve Meridian’s ability to maintain audit reports and transparency documentation for NJ DOH production (15-business-day requirement); the data-return obligation ensures Meridian retains the records needed for compliance. The change-of-law provision (Playbook §10.4) should be cross-referenced for regulatory-driven termination.</w:t>
      </w:r>
    </w:p>
    <w:p>
      <w:pPr>
        <w:pStyle w:val="Compact"/>
        <w:numPr>
          <w:ilvl w:val="0"/>
          <w:numId w:val="1012"/>
        </w:numPr>
      </w:pPr>
      <w:r>
        <w:rPr>
          <w:b/>
          <w:bCs/>
        </w:rPr>
        <w:t xml:space="preserve">FDA.</w:t>
      </w:r>
      <w:r>
        <w:t xml:space="preserve"> </w:t>
      </w:r>
      <w:r>
        <w:t xml:space="preserve">If the Platform is FDA-regulated at termination, transition assistance must support Meridian’s continuity of clinical decision-support to avoid patient-safety gaps; the 12-month transition period and maintained API access address this.</w:t>
      </w:r>
    </w:p>
    <w:p>
      <w:pPr>
        <w:pStyle w:val="Compact"/>
        <w:numPr>
          <w:ilvl w:val="0"/>
          <w:numId w:val="1012"/>
        </w:numPr>
      </w:pPr>
      <w:r>
        <w:rPr>
          <w:b/>
          <w:bCs/>
        </w:rPr>
        <w:t xml:space="preserve">Operational complexity.</w:t>
      </w:r>
      <w:r>
        <w:t xml:space="preserve"> </w:t>
      </w:r>
      <w:r>
        <w:t xml:space="preserve">Migration of 6,200 users across 14 hospitals with Epic/PACS/Pyxis integration is complex; the 12-month transition and FHIR R4/HL7 v2 export are the minimum needed to avoid clinical-workflow disruption. If Vendor moves on duration, 15 months is the fallback.</w:t>
      </w:r>
    </w:p>
    <w:p>
      <w:r>
        <w:pict>
          <v:rect style="width:0;height:1.5pt" o:hralign="center" o:hrstd="t" o:hr="t"/>
        </w:pict>
      </w:r>
    </w:p>
    <w:bookmarkEnd w:id="44"/>
    <w:bookmarkEnd w:id="45"/>
    <w:bookmarkStart w:id="50" w:name="X917f95a6f6c1773d8f95e0e1dfabdc778a2bc1b"/>
    <w:p>
      <w:pPr>
        <w:pStyle w:val="Heading3"/>
      </w:pPr>
      <w:r>
        <w:t xml:space="preserve">TERM 4 — Aggregated and De-Identified Data Usage Rights</w:t>
      </w:r>
    </w:p>
    <w:p>
      <w:pPr>
        <w:pStyle w:val="FirstParagraph"/>
      </w:pPr>
      <w:r>
        <w:rPr>
          <w:b/>
          <w:bCs/>
        </w:rPr>
        <w:t xml:space="preserve">Agreement sections:</w:t>
      </w:r>
      <w:r>
        <w:t xml:space="preserve"> </w:t>
      </w:r>
      <w:r>
        <w:t xml:space="preserve">§5.1–5.4 (Data Governance); Exhibit D (Data Governance); Exhibit F (BAA)</w:t>
      </w:r>
      <w:r>
        <w:t xml:space="preserve"> </w:t>
      </w:r>
      <w:r>
        <w:rPr>
          <w:b/>
          <w:bCs/>
        </w:rPr>
        <w:t xml:space="preserve">Meridian priority rank:</w:t>
      </w:r>
      <w:r>
        <w:t xml:space="preserve"> </w:t>
      </w:r>
      <w:r>
        <w:t xml:space="preserve">4 |</w:t>
      </w:r>
      <w:r>
        <w:t xml:space="preserve"> </w:t>
      </w:r>
      <w:r>
        <w:rPr>
          <w:b/>
          <w:bCs/>
        </w:rPr>
        <w:t xml:space="preserve">Vendor priority:</w:t>
      </w:r>
      <w:r>
        <w:t xml:space="preserve"> </w:t>
      </w:r>
      <w:r>
        <w:t xml:space="preserve">High (Vendor’s highest-priority commercial term)</w:t>
      </w:r>
      <w:r>
        <w:t xml:space="preserve"> </w:t>
      </w:r>
      <w:r>
        <w:rPr>
          <w:b/>
          <w:bCs/>
        </w:rPr>
        <w:t xml:space="preserve">Related:</w:t>
      </w:r>
      <w:r>
        <w:t xml:space="preserve"> </w:t>
      </w:r>
      <w:r>
        <w:t xml:space="preserve">NJ AI in Healthcare Transparency Act</w:t>
      </w:r>
    </w:p>
    <w:p>
      <w:pPr>
        <w:pStyle w:val="BlockText"/>
      </w:pPr>
      <w:r>
        <w:rPr>
          <w:b/>
          <w:bCs/>
        </w:rPr>
        <w:t xml:space="preserve">GC ESCALATION FLAG:</w:t>
      </w:r>
      <w:r>
        <w:t xml:space="preserve"> </w:t>
      </w:r>
      <w:r>
        <w:t xml:space="preserve">The proposed 45-day opt-out exceeds the Playbook 30-day red line (Playbook §6.4(c)). This is a deliberate, strategic concession: Term 4 is Meridian’s #4 priority but assessed as Cognitive Foundry’s #1 commercial term, and the Delgado/Sutter guidance directs the team to</w:t>
      </w:r>
      <w:r>
        <w:t xml:space="preserve"> </w:t>
      </w:r>
      <w:r>
        <w:t xml:space="preserve">“</w:t>
      </w:r>
      <w:r>
        <w:t xml:space="preserve">deploy calibrated flexibility here in exchange for movement on priorities #1–3.</w:t>
      </w:r>
      <w:r>
        <w:t xml:space="preserve">”</w:t>
      </w:r>
      <w:r>
        <w:t xml:space="preserve"> </w:t>
      </w:r>
      <w:r>
        <w:t xml:space="preserve">Acceptance requires Dr. Narayanan’s GC-level approval per Playbook §6.4 and §12.2.</w:t>
      </w:r>
    </w:p>
    <w:bookmarkStart w:id="46" w:name="i-proposed-contract-clause-language-3"/>
    <w:p>
      <w:pPr>
        <w:pStyle w:val="Heading4"/>
      </w:pPr>
      <w:r>
        <w:t xml:space="preserve">(i) Proposed Contract Clause Language</w:t>
      </w:r>
    </w:p>
    <w:p>
      <w:pPr>
        <w:pStyle w:val="BlockText"/>
      </w:pPr>
      <w:r>
        <w:rPr>
          <w:b/>
          <w:bCs/>
        </w:rPr>
        <w:t xml:space="preserve">§5.4 Aggregated and De-Identified Data Use.</w:t>
      </w:r>
    </w:p>
    <w:p>
      <w:pPr>
        <w:pStyle w:val="BlockText"/>
        <w:numPr>
          <w:ilvl w:val="0"/>
          <w:numId w:val="1013"/>
        </w:numPr>
      </w:pPr>
      <w:r>
        <w:rPr>
          <w:b/>
          <w:bCs/>
        </w:rPr>
        <w:t xml:space="preserve">Permitted Use.</w:t>
      </w:r>
      <w:r>
        <w:t xml:space="preserve"> </w:t>
      </w:r>
      <w:r>
        <w:t xml:space="preserve">Subject to Vendor’s compliance with the de-identification standards in Section 5.3, Vendor may use, process, and incorporate Aggregated Data (as defined in Section 1.2) for the purposes of (i) improving, training, and enhancing the Platform and Vendor’s AI/ML models, (ii) developing new products and services, and (iii) conducting internal research and benchmarking, provided that such Aggregated Data has been de-identified in compliance with 45 C.F.R. § 164.514(a)–(c) (Safe Harbor or Expert Determination) and aggregated with data from at least two (2) other unaffiliated sources such that the Meridian-specific contribution is not separately extractable.</w:t>
      </w:r>
    </w:p>
    <w:p>
      <w:pPr>
        <w:pStyle w:val="BlockText"/>
        <w:numPr>
          <w:ilvl w:val="0"/>
          <w:numId w:val="1013"/>
        </w:numPr>
      </w:pPr>
      <w:r>
        <w:rPr>
          <w:b/>
          <w:bCs/>
        </w:rPr>
        <w:t xml:space="preserve">Opt-Out Right.</w:t>
      </w:r>
      <w:r>
        <w:t xml:space="preserve"> </w:t>
      </w:r>
      <w:r>
        <w:t xml:space="preserve">Customer may elect to opt out of Vendor’s use of Aggregated Data under subsection (a) by providing written notice to Vendor. Any opt-out notice shall be effective</w:t>
      </w:r>
      <w:r>
        <w:t xml:space="preserve"> </w:t>
      </w:r>
      <w:r>
        <w:rPr>
          <w:b/>
          <w:bCs/>
        </w:rPr>
        <w:t xml:space="preserve">forty-five (45) days</w:t>
      </w:r>
      <w:r>
        <w:t xml:space="preserve"> </w:t>
      </w:r>
      <w:r>
        <w:t xml:space="preserve">following Vendor’s receipt thereof and shall apply prospectively from the effective date.</w:t>
      </w:r>
    </w:p>
    <w:p>
      <w:pPr>
        <w:pStyle w:val="BlockText"/>
        <w:numPr>
          <w:ilvl w:val="0"/>
          <w:numId w:val="1013"/>
        </w:numPr>
      </w:pPr>
      <w:r>
        <w:rPr>
          <w:b/>
          <w:bCs/>
        </w:rPr>
        <w:t xml:space="preserve">Deletion of Unincorporated Data.</w:t>
      </w:r>
      <w:r>
        <w:t xml:space="preserve"> </w:t>
      </w:r>
      <w:r>
        <w:t xml:space="preserve">Upon the effective date of an opt-out notice, Vendor shall delete all Aggregated Data derived from Customer Data that has not yet been incorporated into trained models or derivative works, and shall certify such deletion in writing, signed by an officer of Vendor, within thirty (30) days.</w:t>
      </w:r>
    </w:p>
    <w:p>
      <w:pPr>
        <w:pStyle w:val="BlockText"/>
        <w:numPr>
          <w:ilvl w:val="0"/>
          <w:numId w:val="1013"/>
        </w:numPr>
      </w:pPr>
      <w:r>
        <w:rPr>
          <w:b/>
          <w:bCs/>
        </w:rPr>
        <w:t xml:space="preserve">Treatment of Incorporated Data — Retraining Alternative.</w:t>
      </w:r>
      <w:r>
        <w:t xml:space="preserve"> </w:t>
      </w:r>
      <w:r>
        <w:t xml:space="preserve">With respect to Aggregated Data derived from Customer Data that has already been incorporated into trained models or derivative works as of the opt-out effective date, Vendor acknowledges that direct extraction and deletion is technically impracticable. In lieu of direct deletion, upon Customer’s written request following an opt-out, Vendor shall, within</w:t>
      </w:r>
      <w:r>
        <w:t xml:space="preserve"> </w:t>
      </w:r>
      <w:r>
        <w:rPr>
          <w:b/>
          <w:bCs/>
        </w:rPr>
        <w:t xml:space="preserve">one hundred eighty (180) days</w:t>
      </w:r>
      <w:r>
        <w:t xml:space="preserve">, retrain or re-derive the affected model components without the use of Customer-derived Aggregated Data, to the extent technically feasible, and shall provide Customer with a written certification describing the retraining methodology and confirming that the retrained model no longer incorporates Customer-derived Aggregated Data. Where retraining is not technically feasible for a specific component, Vendor shall document the infeasibility and propose an alternative remediation for Customer’s review.</w:t>
      </w:r>
    </w:p>
    <w:p>
      <w:pPr>
        <w:pStyle w:val="BlockText"/>
        <w:numPr>
          <w:ilvl w:val="0"/>
          <w:numId w:val="1013"/>
        </w:numPr>
      </w:pPr>
      <w:r>
        <w:rPr>
          <w:b/>
          <w:bCs/>
        </w:rPr>
        <w:t xml:space="preserve">No Sale.</w:t>
      </w:r>
      <w:r>
        <w:t xml:space="preserve"> </w:t>
      </w:r>
      <w:r>
        <w:t xml:space="preserve">Vendor shall not sell Aggregated Data to third parties. Vendor may share Aggregated Data with subprocessors solely for the purposes described in subsection (a), subject to confidentiality obligations no less protective than Article 11.</w:t>
      </w:r>
    </w:p>
    <w:p>
      <w:pPr>
        <w:pStyle w:val="BlockText"/>
        <w:numPr>
          <w:ilvl w:val="0"/>
          <w:numId w:val="1013"/>
        </w:numPr>
      </w:pPr>
      <w:r>
        <w:rPr>
          <w:b/>
          <w:bCs/>
        </w:rPr>
        <w:t xml:space="preserve">Transparency and NJ Act Documentation.</w:t>
      </w:r>
      <w:r>
        <w:t xml:space="preserve"> </w:t>
      </w:r>
      <w:r>
        <w:t xml:space="preserve">Vendor shall maintain records identifying the sources and categories of use of Customer-derived Aggregated Data and shall provide Customer with an annual summary report (by March 31 of each year) describing such use. Where Vendor uses Customer-derived data to retrain any model deployed at a New Jersey Covered Facility, Vendor shall update the training-data provenance documentation provided under Section 10.1 to reflect such retraining, consistent with Customer’s NJ AI in Healthcare Transparency Act obligations.</w:t>
      </w:r>
    </w:p>
    <w:p>
      <w:pPr>
        <w:pStyle w:val="BlockText"/>
        <w:numPr>
          <w:ilvl w:val="0"/>
          <w:numId w:val="1013"/>
        </w:numPr>
      </w:pPr>
      <w:r>
        <w:rPr>
          <w:b/>
          <w:bCs/>
        </w:rPr>
        <w:t xml:space="preserve">No Implied License.</w:t>
      </w:r>
      <w:r>
        <w:t xml:space="preserve"> </w:t>
      </w:r>
      <w:r>
        <w:t xml:space="preserve">Nothing in this Agreement grants Vendor any implied license or right to use Customer Data, Aggregated Data, or Customer Derivative Data except as expressly set forth in this Section 5.4.</w:t>
      </w:r>
    </w:p>
    <w:bookmarkEnd w:id="46"/>
    <w:bookmarkStart w:id="47" w:name="X45d54cbf4c1ee78c42a977a14784dc9397bb46a"/>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Vendor opening</w:t>
            </w:r>
          </w:p>
        </w:tc>
        <w:tc>
          <w:tcPr/>
          <w:p>
            <w:pPr>
              <w:pStyle w:val="Compact"/>
              <w:jc w:val="left"/>
            </w:pPr>
            <w:r>
              <w:t xml:space="preserve">Customer opening</w:t>
            </w:r>
          </w:p>
        </w:tc>
        <w:tc>
          <w:tcPr/>
          <w:p>
            <w:pPr>
              <w:pStyle w:val="Compact"/>
              <w:jc w:val="left"/>
            </w:pPr>
            <w:r>
              <w:t xml:space="preserve">Vendor counter (June 30)</w:t>
            </w:r>
          </w:p>
        </w:tc>
        <w:tc>
          <w:tcPr/>
          <w:p>
            <w:pPr>
              <w:pStyle w:val="Compact"/>
              <w:jc w:val="left"/>
            </w:pPr>
            <w:r>
              <w:t xml:space="preserve">Meridian red line</w:t>
            </w:r>
          </w:p>
        </w:tc>
      </w:tr>
      <w:tr>
        <w:tc>
          <w:tcPr/>
          <w:p>
            <w:pPr>
              <w:pStyle w:val="Compact"/>
              <w:jc w:val="left"/>
            </w:pPr>
            <w:r>
              <w:t xml:space="preserve">Vendor use right</w:t>
            </w:r>
          </w:p>
        </w:tc>
        <w:tc>
          <w:tcPr/>
          <w:p>
            <w:pPr>
              <w:pStyle w:val="Compact"/>
              <w:jc w:val="left"/>
            </w:pPr>
            <w:r>
              <w:t xml:space="preserve">Unrestricted use (training, benchmarking, product improvement, commercial)</w:t>
            </w:r>
          </w:p>
        </w:tc>
        <w:tc>
          <w:tcPr/>
          <w:p>
            <w:pPr>
              <w:pStyle w:val="Compact"/>
              <w:jc w:val="left"/>
            </w:pPr>
            <w:r>
              <w:t xml:space="preserve">No use without affirmative per-use-case consent</w:t>
            </w:r>
          </w:p>
        </w:tc>
        <w:tc>
          <w:tcPr/>
          <w:p>
            <w:pPr>
              <w:pStyle w:val="Compact"/>
              <w:jc w:val="left"/>
            </w:pPr>
            <w:r>
              <w:t xml:space="preserve">60-day opt-out; deletion of unincorporated data only</w:t>
            </w:r>
          </w:p>
        </w:tc>
        <w:tc>
          <w:tcPr/>
          <w:p>
            <w:pPr>
              <w:pStyle w:val="Compact"/>
              <w:jc w:val="left"/>
            </w:pPr>
            <w:r>
              <w:t xml:space="preserve">No unrestricted use</w:t>
            </w:r>
          </w:p>
        </w:tc>
      </w:tr>
      <w:tr>
        <w:tc>
          <w:tcPr/>
          <w:p>
            <w:pPr>
              <w:pStyle w:val="Compact"/>
              <w:jc w:val="left"/>
            </w:pPr>
            <w:r>
              <w:t xml:space="preserve">Opt-out window</w:t>
            </w:r>
          </w:p>
        </w:tc>
        <w:tc>
          <w:tcPr/>
          <w:p>
            <w:pPr>
              <w:pStyle w:val="Compact"/>
              <w:jc w:val="left"/>
            </w:pPr>
            <w:r>
              <w:t xml:space="preserve">None (unrestricted)</w:t>
            </w:r>
          </w:p>
        </w:tc>
        <w:tc>
          <w:tcPr/>
          <w:p>
            <w:pPr>
              <w:pStyle w:val="Compact"/>
              <w:jc w:val="left"/>
            </w:pPr>
            <w:r>
              <w:t xml:space="preserve">N/A (consent required)</w:t>
            </w:r>
          </w:p>
        </w:tc>
        <w:tc>
          <w:tcPr/>
          <w:p>
            <w:pPr>
              <w:pStyle w:val="Compact"/>
              <w:jc w:val="left"/>
            </w:pPr>
            <w:r>
              <w:t xml:space="preserve">60 days (standard contract: 90 days)</w:t>
            </w:r>
          </w:p>
        </w:tc>
        <w:tc>
          <w:tcPr/>
          <w:p>
            <w:pPr>
              <w:pStyle w:val="Compact"/>
              <w:jc w:val="left"/>
            </w:pPr>
            <w:r>
              <w:t xml:space="preserve">No opt-out exceeding 30 days</w:t>
            </w:r>
          </w:p>
        </w:tc>
      </w:tr>
      <w:tr>
        <w:tc>
          <w:tcPr/>
          <w:p>
            <w:pPr>
              <w:pStyle w:val="Compact"/>
              <w:jc w:val="left"/>
            </w:pPr>
            <w:r>
              <w:t xml:space="preserve">Deletion scope</w:t>
            </w:r>
          </w:p>
        </w:tc>
        <w:tc>
          <w:tcPr/>
          <w:p>
            <w:pPr>
              <w:pStyle w:val="Compact"/>
              <w:jc w:val="left"/>
            </w:pPr>
            <w:r>
              <w:t xml:space="preserve">N/A</w:t>
            </w:r>
          </w:p>
        </w:tc>
        <w:tc>
          <w:tcPr/>
          <w:p>
            <w:pPr>
              <w:pStyle w:val="Compact"/>
              <w:jc w:val="left"/>
            </w:pPr>
            <w:r>
              <w:t xml:space="preserve">Verified deletion incl. incorporated data</w:t>
            </w:r>
          </w:p>
        </w:tc>
        <w:tc>
          <w:tcPr/>
          <w:p>
            <w:pPr>
              <w:pStyle w:val="Compact"/>
              <w:jc w:val="left"/>
            </w:pPr>
            <w:r>
              <w:t xml:space="preserve">Prospective only; incorporated data not deleted</w:t>
            </w:r>
          </w:p>
        </w:tc>
        <w:tc>
          <w:tcPr/>
          <w:p>
            <w:pPr>
              <w:pStyle w:val="Compact"/>
              <w:jc w:val="left"/>
            </w:pPr>
            <w:r>
              <w:t xml:space="preserve">No prospective-only deletion</w:t>
            </w:r>
          </w:p>
        </w:tc>
      </w:tr>
    </w:tbl>
    <w:p>
      <w:pPr>
        <w:pStyle w:val="BodyText"/>
      </w:pPr>
      <w:r>
        <w:rPr>
          <w:b/>
          <w:bCs/>
        </w:rPr>
        <w:t xml:space="preserve">Recommended landing zone and why.</w:t>
      </w:r>
      <w:r>
        <w:t xml:space="preserve"> </w:t>
      </w:r>
      <w:r>
        <w:t xml:space="preserve">This is the term where the strategic guidance most directly shapes the landing zone. Term 4 is Meridian’s #4 priority but Cognitive Foundry’s #1 commercial term — the asymmetry that creates bargaining leverage. The proposal concedes ground deliberately: a</w:t>
      </w:r>
      <w:r>
        <w:t xml:space="preserve"> </w:t>
      </w:r>
      <w:r>
        <w:rPr>
          <w:b/>
          <w:bCs/>
        </w:rPr>
        <w:t xml:space="preserve">45-day opt-out</w:t>
      </w:r>
      <w:r>
        <w:t xml:space="preserve"> </w:t>
      </w:r>
      <w:r>
        <w:t xml:space="preserve">(between Meridian’s 30-day red line and Vendor’s 60-day counter / 90-day standard), a</w:t>
      </w:r>
      <w:r>
        <w:t xml:space="preserve"> </w:t>
      </w:r>
      <w:r>
        <w:rPr>
          <w:b/>
          <w:bCs/>
        </w:rPr>
        <w:t xml:space="preserve">permitted-use right</w:t>
      </w:r>
      <w:r>
        <w:t xml:space="preserve"> </w:t>
      </w:r>
      <w:r>
        <w:t xml:space="preserve">for model improvement (Vendor’s core need), and a</w:t>
      </w:r>
      <w:r>
        <w:t xml:space="preserve"> </w:t>
      </w:r>
      <w:r>
        <w:rPr>
          <w:b/>
          <w:bCs/>
        </w:rPr>
        <w:t xml:space="preserve">retraining alternative</w:t>
      </w:r>
      <w:r>
        <w:t xml:space="preserve"> </w:t>
      </w:r>
      <w:r>
        <w:t xml:space="preserve">for incorporated data that bridges the direct-conflict red lines on deletion. The retraining-without-Meridian-data mechanism is the Playbook’s expressly contemplated alternative where direct deletion is technically infeasible (Playbook §6.4(b):</w:t>
      </w:r>
      <w:r>
        <w:t xml:space="preserve"> </w:t>
      </w:r>
      <w:r>
        <w:t xml:space="preserve">“</w:t>
      </w:r>
      <w:r>
        <w:t xml:space="preserve">the vendor must demonstrate infeasibility and propose an alternative mechanism (e.g., retraining the model without Meridian data within a specified timeframe)</w:t>
      </w:r>
      <w:r>
        <w:t xml:space="preserve">”</w:t>
      </w:r>
      <w:r>
        <w:t xml:space="preserve">). This gives Customer a meaningful remedy (the model is re-derived without its data) while accommodating Vendor’s genuine technical constraint. The concessions here are calibrated to be deployed in exchange for movement on Terms 1–3.</w:t>
      </w:r>
    </w:p>
    <w:p>
      <w:pPr>
        <w:pStyle w:val="BodyText"/>
      </w:pPr>
      <w:r>
        <w:rPr>
          <w:b/>
          <w:bCs/>
        </w:rPr>
        <w:t xml:space="preserve">Fallback ladder:</w:t>
      </w:r>
    </w:p>
    <w:p>
      <w:pPr>
        <w:pStyle w:val="Compact"/>
        <w:numPr>
          <w:ilvl w:val="0"/>
          <w:numId w:val="1014"/>
        </w:numPr>
      </w:pPr>
      <w:r>
        <w:rPr>
          <w:b/>
          <w:bCs/>
        </w:rPr>
        <w:t xml:space="preserve">Primary (proposed):</w:t>
      </w:r>
      <w:r>
        <w:t xml:space="preserve"> </w:t>
      </w:r>
      <w:r>
        <w:t xml:space="preserve">45-day opt-out; permitted use for model improvement; verified deletion of unincorporated data + 180-day retraining alternative for incorporated data; no sale; NJ Act documentation.</w:t>
      </w:r>
      <w:r>
        <w:t xml:space="preserve"> </w:t>
      </w:r>
      <w:r>
        <w:rPr>
          <w:i/>
          <w:iCs/>
        </w:rPr>
        <w:t xml:space="preserve">(GC approval required — exceeds 30-day red line.)</w:t>
      </w:r>
    </w:p>
    <w:p>
      <w:pPr>
        <w:pStyle w:val="Compact"/>
        <w:numPr>
          <w:ilvl w:val="0"/>
          <w:numId w:val="1014"/>
        </w:numPr>
      </w:pPr>
      <w:r>
        <w:rPr>
          <w:b/>
          <w:bCs/>
        </w:rPr>
        <w:t xml:space="preserve">If seeking to extract more on Terms 1–3:</w:t>
      </w:r>
      <w:r>
        <w:t xml:space="preserve"> </w:t>
      </w:r>
      <w:r>
        <w:t xml:space="preserve">Hold at 30-day opt-out (Playbook red line) and require verified deletion including incorporated data where technically feasible, conceding only the permitted-use right for model improvement. Deploy this harder line only if Vendor has not yet moved on patient-safety/audit/termination.</w:t>
      </w:r>
    </w:p>
    <w:p>
      <w:pPr>
        <w:pStyle w:val="Compact"/>
        <w:numPr>
          <w:ilvl w:val="0"/>
          <w:numId w:val="1014"/>
        </w:numPr>
      </w:pPr>
      <w:r>
        <w:rPr>
          <w:b/>
          <w:bCs/>
        </w:rPr>
        <w:t xml:space="preserve">If Vendor holds at 60-day opt-out / prospective-only deletion:</w:t>
      </w:r>
      <w:r>
        <w:t xml:space="preserve"> </w:t>
      </w:r>
      <w:r>
        <w:t xml:space="preserve">Accept 60-day opt-out only if paired with (a) the 180-day retraining alternative for incorporated data and (b) a meaningful concession on a higher-priority term. Prospective-only deletion with no retraining alternative is a red line (Playbook §6.4(b)).</w:t>
      </w:r>
    </w:p>
    <w:p>
      <w:pPr>
        <w:pStyle w:val="Compact"/>
        <w:numPr>
          <w:ilvl w:val="0"/>
          <w:numId w:val="1014"/>
        </w:numPr>
      </w:pPr>
      <w:r>
        <w:rPr>
          <w:b/>
          <w:bCs/>
        </w:rPr>
        <w:t xml:space="preserve">Red lines (non-negotiable):</w:t>
      </w:r>
      <w:r>
        <w:t xml:space="preserve"> </w:t>
      </w:r>
      <w:r>
        <w:t xml:space="preserve">No unrestricted use; no sale of Aggregated Data; HIPAA de-identification (Safe Harbor/Expert Determination) required; aggregation with ≥2 unaffiliated sources. Purely prospective deletion with no incorporated-data remedy requires GC escalation.</w:t>
      </w:r>
    </w:p>
    <w:bookmarkEnd w:id="47"/>
    <w:bookmarkStart w:id="48" w:name="X5777c57f471291b973c6e3063a15873bedc5b0a"/>
    <w:p>
      <w:pPr>
        <w:pStyle w:val="Heading4"/>
      </w:pPr>
      <w:r>
        <w:t xml:space="preserve">(iii) Acceptability Analysis for Vendor Team</w:t>
      </w:r>
    </w:p>
    <w:p>
      <w:pPr>
        <w:pStyle w:val="FirstParagraph"/>
      </w:pPr>
      <w:r>
        <w:rPr>
          <w:b/>
          <w:bCs/>
        </w:rPr>
        <w:t xml:space="preserve">To Sandra Hu:</w:t>
      </w:r>
      <w:r>
        <w:t xml:space="preserve"> </w:t>
      </w:r>
      <w:r>
        <w:t xml:space="preserve">This is Cognitive Foundry’s highest-priority commercial term, and the proposal preserves Vendor’s core commercial interest — a meaningful, ongoing right to use de-identified, aggregated data for model improvement, which Vendor’s own standards summary describes as</w:t>
      </w:r>
      <w:r>
        <w:t xml:space="preserve"> </w:t>
      </w:r>
      <w:r>
        <w:t xml:space="preserve">“</w:t>
      </w:r>
      <w:r>
        <w:t xml:space="preserve">a critical component of its model improvement pipeline.</w:t>
      </w:r>
      <w:r>
        <w:t xml:space="preserve">”</w:t>
      </w:r>
      <w:r>
        <w:t xml:space="preserve"> </w:t>
      </w:r>
      <w:r>
        <w:t xml:space="preserve">The 45-day opt-out is closer to Vendor’s 60-day counter than to Meridian’s 30-day opening, and is well inside Vendor’s 90-day standard. The retraining alternative for incorporated data is the key concession to Vendor’s (correct) technical position that direct deletion of incorporated weights is impracticable — it gives Vendor a feasible compliance path rather than an impossible one. The no-sale provision aligns with Vendor’s own stated practice (its standards summary already disclaims sale of identifying data).</w:t>
      </w:r>
    </w:p>
    <w:p>
      <w:pPr>
        <w:pStyle w:val="BodyText"/>
      </w:pPr>
      <w:r>
        <w:rPr>
          <w:b/>
          <w:bCs/>
        </w:rPr>
        <w:t xml:space="preserve">To Rafael Bowen:</w:t>
      </w:r>
      <w:r>
        <w:t xml:space="preserve"> </w:t>
      </w:r>
      <w:r>
        <w:t xml:space="preserve">Bowen’s concern here is commercial value preservation. The proposal protects the model-improvement pipeline (Vendor’s enterprise value driver) while creating a bounded, predictable opt-out regime rather than the per-use-case consent regime (which would be operationally unworkable for Vendor at scale). The retraining alternative is triggered only on Customer’s affirmative request following an opt-out — not automatic — limiting operational disruption.</w:t>
      </w:r>
    </w:p>
    <w:p>
      <w:pPr>
        <w:pStyle w:val="BodyText"/>
      </w:pPr>
      <w:r>
        <w:rPr>
          <w:b/>
          <w:bCs/>
        </w:rPr>
        <w:t xml:space="preserve">Likely objection and response.</w:t>
      </w:r>
      <w:r>
        <w:t xml:space="preserve"> </w:t>
      </w:r>
      <w:r>
        <w:t xml:space="preserve">Hu may push for 60-day opt-out and pure prospective deletion. Response: Meridian’s 45-day offer is a substantial concession from its 30-day red line and is being made precisely because data usage is valuable to Vendor; in exchange, Meridian expects reciprocal movement on patient-safety liability, audit rights, and termination. The retraining alternative is the bridge on incorporated-data deletion — it is feasible, bounded, and triggered only on request.</w:t>
      </w:r>
    </w:p>
    <w:bookmarkEnd w:id="48"/>
    <w:bookmarkStart w:id="49" w:name="X00689d3c44630db6995c115d4cc7a0b42a99e25"/>
    <w:p>
      <w:pPr>
        <w:pStyle w:val="Heading4"/>
      </w:pPr>
      <w:r>
        <w:t xml:space="preserve">(iv) Regulatory and Compliance Constraints</w:t>
      </w:r>
    </w:p>
    <w:p>
      <w:pPr>
        <w:pStyle w:val="Compact"/>
        <w:numPr>
          <w:ilvl w:val="0"/>
          <w:numId w:val="1015"/>
        </w:numPr>
      </w:pPr>
      <w:r>
        <w:rPr>
          <w:b/>
          <w:bCs/>
        </w:rPr>
        <w:t xml:space="preserve">HIPAA.</w:t>
      </w:r>
      <w:r>
        <w:t xml:space="preserve"> </w:t>
      </w:r>
      <w:r>
        <w:t xml:space="preserve">De-identification must satisfy Safe Harbor (45 C.F.R. § 164.514(b)(2), removal of 18 identifiers) or Expert Determination (§ 164.514(b)(1)); the proposal requires both the method and Vendor’s documentation of compliance, and prohibits re-identification. The BAA (Exhibit F) governs PHI; Aggregated Data by definition excludes PHI. The agreed Exhibit E security framework (AES-256 encryption, customer-managed CMKs, RBAC + MFA, audit logging) supports the data-governance obligations.</w:t>
      </w:r>
    </w:p>
    <w:p>
      <w:pPr>
        <w:pStyle w:val="Compact"/>
        <w:numPr>
          <w:ilvl w:val="0"/>
          <w:numId w:val="1015"/>
        </w:numPr>
      </w:pPr>
      <w:r>
        <w:rPr>
          <w:b/>
          <w:bCs/>
        </w:rPr>
        <w:t xml:space="preserve">NJ AI in Healthcare Transparency Act.</w:t>
      </w:r>
      <w:r>
        <w:t xml:space="preserve"> </w:t>
      </w:r>
      <w:r>
        <w:t xml:space="preserve">The Act’s transparency requirements (§4) extend to how training data is sourced and used, including whether Vendor uses data from one covered entity to train models deployed at others. The proposal’s documentation/update obligations (§5.4(f)) ensure Meridian can maintain the training-data provenance records the Act requires and produce them to NJ DOH. Where retraining incorporates Meridian-derived data, updated transparency documentation must be provided.</w:t>
      </w:r>
    </w:p>
    <w:p>
      <w:pPr>
        <w:pStyle w:val="Compact"/>
        <w:numPr>
          <w:ilvl w:val="0"/>
          <w:numId w:val="1015"/>
        </w:numPr>
      </w:pPr>
      <w:r>
        <w:rPr>
          <w:b/>
          <w:bCs/>
        </w:rPr>
        <w:t xml:space="preserve">Pennsylvania Breach of Personal Information Notification Act (73 Pa. Stat. § 2303).</w:t>
      </w:r>
      <w:r>
        <w:t xml:space="preserve"> </w:t>
      </w:r>
      <w:r>
        <w:t xml:space="preserve">Applies to personal information of individuals associated with Meridian’s six (6) Pennsylvania facilities. Exhibit D §8.3 requires Vendor compliance and cooperation with notification to affected individuals, the Pennsylvania Attorney General, and other authorities. The de-identification and no-sale provisions in §5.4 reduce breach exposure for PA personal information; any security incident affecting PA-facility data triggers Vendor’s breach-notification and cooperation obligations.</w:t>
      </w:r>
    </w:p>
    <w:p>
      <w:pPr>
        <w:pStyle w:val="Compact"/>
        <w:numPr>
          <w:ilvl w:val="0"/>
          <w:numId w:val="1015"/>
        </w:numPr>
      </w:pPr>
      <w:r>
        <w:rPr>
          <w:b/>
          <w:bCs/>
        </w:rPr>
        <w:t xml:space="preserve">Exhibit D reconciliation.</w:t>
      </w:r>
      <w:r>
        <w:t xml:space="preserve"> </w:t>
      </w:r>
      <w:r>
        <w:t xml:space="preserve">The proposed §5.4 must be reconciled with Exhibit D (Data Governance), which currently contains bracketed Alternative A (Vendor) and Alternative B (Meridian) positions on Section 5.2. The compromise language resolves those brackets and should be reflected in Exhibit D Section 5.2 as the agreed provision. The order of precedence (BAA &gt; Exhibit D &gt; Agreement for PHI matters) is preserved.</w:t>
      </w:r>
    </w:p>
    <w:p>
      <w:pPr>
        <w:pStyle w:val="Compact"/>
        <w:numPr>
          <w:ilvl w:val="0"/>
          <w:numId w:val="1015"/>
        </w:numPr>
      </w:pPr>
      <w:r>
        <w:rPr>
          <w:b/>
          <w:bCs/>
        </w:rPr>
        <w:t xml:space="preserve">State law.</w:t>
      </w:r>
      <w:r>
        <w:t xml:space="preserve"> </w:t>
      </w:r>
      <w:r>
        <w:t xml:space="preserve">The no-sale provision aligns with CCPA/Colorado Privacy Act</w:t>
      </w:r>
      <w:r>
        <w:t xml:space="preserve"> </w:t>
      </w:r>
      <w:r>
        <w:t xml:space="preserve">“</w:t>
      </w:r>
      <w:r>
        <w:t xml:space="preserve">sale</w:t>
      </w:r>
      <w:r>
        <w:t xml:space="preserve">”</w:t>
      </w:r>
      <w:r>
        <w:t xml:space="preserve"> </w:t>
      </w:r>
      <w:r>
        <w:t xml:space="preserve">definitions referenced in Exhibit D §5.3.2.</w:t>
      </w:r>
    </w:p>
    <w:p>
      <w:r>
        <w:pict>
          <v:rect style="width:0;height:1.5pt" o:hralign="center" o:hrstd="t" o:hr="t"/>
        </w:pict>
      </w:r>
    </w:p>
    <w:bookmarkEnd w:id="49"/>
    <w:bookmarkEnd w:id="50"/>
    <w:bookmarkStart w:id="55" w:name="term-5-sla-and-ai-accuracy-benchmarks"/>
    <w:p>
      <w:pPr>
        <w:pStyle w:val="Heading3"/>
      </w:pPr>
      <w:r>
        <w:t xml:space="preserve">TERM 5 — SLA and AI Accuracy Benchmarks</w:t>
      </w:r>
    </w:p>
    <w:p>
      <w:pPr>
        <w:pStyle w:val="FirstParagraph"/>
      </w:pPr>
      <w:r>
        <w:rPr>
          <w:b/>
          <w:bCs/>
        </w:rPr>
        <w:t xml:space="preserve">Agreement sections:</w:t>
      </w:r>
      <w:r>
        <w:t xml:space="preserve"> </w:t>
      </w:r>
      <w:r>
        <w:t xml:space="preserve">§9.1–9.4 (Service Level Agreement); Exhibit C (SLA/Performance Metrics)</w:t>
      </w:r>
      <w:r>
        <w:t xml:space="preserve"> </w:t>
      </w:r>
      <w:r>
        <w:rPr>
          <w:b/>
          <w:bCs/>
        </w:rPr>
        <w:t xml:space="preserve">Meridian priority rank:</w:t>
      </w:r>
      <w:r>
        <w:t xml:space="preserve"> </w:t>
      </w:r>
      <w:r>
        <w:t xml:space="preserve">5 |</w:t>
      </w:r>
      <w:r>
        <w:t xml:space="preserve"> </w:t>
      </w:r>
      <w:r>
        <w:rPr>
          <w:b/>
          <w:bCs/>
        </w:rPr>
        <w:t xml:space="preserve">Vendor priority:</w:t>
      </w:r>
      <w:r>
        <w:t xml:space="preserve"> </w:t>
      </w:r>
      <w:r>
        <w:t xml:space="preserve">Medium</w:t>
      </w:r>
      <w:r>
        <w:t xml:space="preserve"> </w:t>
      </w:r>
      <w:r>
        <w:rPr>
          <w:b/>
          <w:bCs/>
        </w:rPr>
        <w:t xml:space="preserve">Related:</w:t>
      </w:r>
      <w:r>
        <w:t xml:space="preserve"> </w:t>
      </w:r>
      <w:r>
        <w:t xml:space="preserve">NJ AI in Healthcare Transparency Act; FDA CDS guidance; Langford audit</w:t>
      </w:r>
    </w:p>
    <w:bookmarkStart w:id="51" w:name="i-proposed-contract-clause-language-4"/>
    <w:p>
      <w:pPr>
        <w:pStyle w:val="Heading4"/>
      </w:pPr>
      <w:r>
        <w:t xml:space="preserve">(i) Proposed Contract Clause Language</w:t>
      </w:r>
    </w:p>
    <w:p>
      <w:pPr>
        <w:pStyle w:val="BlockText"/>
      </w:pPr>
      <w:r>
        <w:rPr>
          <w:b/>
          <w:bCs/>
        </w:rPr>
        <w:t xml:space="preserve">§9.3 AI Model Performance — Binding Performance Benchmarks.</w:t>
      </w:r>
    </w:p>
    <w:p>
      <w:pPr>
        <w:pStyle w:val="Compact"/>
        <w:numPr>
          <w:ilvl w:val="0"/>
          <w:numId w:val="1016"/>
        </w:numPr>
      </w:pPr>
      <w:r>
        <w:rPr>
          <w:b/>
          <w:bCs/>
        </w:rPr>
        <w:t xml:space="preserve">Performance Benchmarks.</w:t>
      </w:r>
      <w:r>
        <w:t xml:space="preserve"> </w:t>
      </w:r>
      <w:r>
        <w:t xml:space="preserve">Vendor warrants that the Platform’s clinical decision-support modules shall meet or exceed the following minimum binding Performance Benchmarks, measured quarterly using a statistically significant prospective sample of Customer’s patient encounters and a methodology agreed by the Parties and documented in Exhibit 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Triage</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Medication-Interaction Alerts</w:t>
            </w:r>
          </w:p>
        </w:tc>
        <w:tc>
          <w:tcPr/>
          <w:p>
            <w:pPr>
              <w:pStyle w:val="Compact"/>
              <w:jc w:val="left"/>
            </w:pPr>
            <w:r>
              <w:t xml:space="preserve">≥ 95%</w:t>
            </w:r>
          </w:p>
        </w:tc>
        <w:tc>
          <w:tcPr/>
          <w:p>
            <w:pPr>
              <w:pStyle w:val="Compact"/>
              <w:jc w:val="left"/>
            </w:pPr>
            <w:r>
              <w:t xml:space="preserve">≥ 90%</w:t>
            </w:r>
          </w:p>
        </w:tc>
      </w:tr>
    </w:tbl>
    <w:p>
      <w:pPr>
        <w:pStyle w:val="BlockText"/>
        <w:numPr>
          <w:ilvl w:val="0"/>
          <w:numId w:val="1017"/>
        </w:numPr>
      </w:pPr>
      <w:r>
        <w:rPr>
          <w:b/>
          <w:bCs/>
        </w:rPr>
        <w:t xml:space="preserve">Quarterly Validation.</w:t>
      </w:r>
      <w:r>
        <w:t xml:space="preserve"> </w:t>
      </w:r>
      <w:r>
        <w:t xml:space="preserve">Vendor shall conduct quarterly validation of each module against the Performance Benchmarks and deliver a written validation report within 30 days of quarter end, including sensitivity/specificity results, methodology, sample size, 95% confidence intervals, and identification of any module below its Benchmark. Validation shall be performed with independent verification by the Independent Auditor (Langford) at Tier 2 access.</w:t>
      </w:r>
    </w:p>
    <w:p>
      <w:pPr>
        <w:pStyle w:val="BlockText"/>
        <w:numPr>
          <w:ilvl w:val="0"/>
          <w:numId w:val="1017"/>
        </w:numPr>
      </w:pPr>
      <w:r>
        <w:rPr>
          <w:b/>
          <w:bCs/>
        </w:rPr>
        <w:t xml:space="preserve">Remediation Plan.</w:t>
      </w:r>
      <w:r>
        <w:t xml:space="preserve"> </w:t>
      </w:r>
      <w:r>
        <w:t xml:space="preserve">If any module fails its Benchmark in any quarter, Vendor shall deliver a written root-cause analysis and remediation plan within 15 business days of the validation report.</w:t>
      </w:r>
    </w:p>
    <w:p>
      <w:pPr>
        <w:pStyle w:val="BlockText"/>
        <w:numPr>
          <w:ilvl w:val="0"/>
          <w:numId w:val="1017"/>
        </w:numPr>
      </w:pPr>
      <w:r>
        <w:rPr>
          <w:b/>
          <w:bCs/>
        </w:rPr>
        <w:t xml:space="preserve">Escalating Service Credits.</w:t>
      </w:r>
      <w:r>
        <w:t xml:space="preserve"> </w:t>
      </w:r>
      <w:r>
        <w:t xml:space="preserve">If any module fails its Benchmark in a given quarter, Customer shall be entitled to credits against the next quarterly invoice, in addition to uptime credits under Section 9.2: (i) first quarterly miss (any module): 5% of quarterly fees ($106,875); (ii) second consecutive quarterly miss (same module): 10% ($213,750); (iii) third or subsequent consecutive quarterly miss (same module) or any quarter in which two or more modules fail: 15% ($320,625). Credits reset to 5% after any quarter in which the Benchmark is met. The aggregate of all AI-accuracy credits in any quarter shall not exceed 20% of quarterly fees.</w:t>
      </w:r>
    </w:p>
    <w:p>
      <w:pPr>
        <w:pStyle w:val="BlockText"/>
        <w:numPr>
          <w:ilvl w:val="0"/>
          <w:numId w:val="1017"/>
        </w:numPr>
      </w:pPr>
      <w:r>
        <w:rPr>
          <w:b/>
          <w:bCs/>
        </w:rPr>
        <w:t xml:space="preserve">Termination Right for Persistent Failure.</w:t>
      </w:r>
      <w:r>
        <w:t xml:space="preserve"> </w:t>
      </w:r>
      <w:r>
        <w:t xml:space="preserve">If any module fails its Benchmark for</w:t>
      </w:r>
      <w:r>
        <w:t xml:space="preserve"> </w:t>
      </w:r>
      <w:r>
        <w:rPr>
          <w:b/>
          <w:bCs/>
        </w:rPr>
        <w:t xml:space="preserve">three (3) consecutive calendar quarters</w:t>
      </w:r>
      <w:r>
        <w:t xml:space="preserve">, Customer may terminate this Agreement upon 60 days’ written notice without payment of any ETF, with full transition assistance under Section 14.5. This right is in addition to, and does not limit, Customer’s other termination rights.</w:t>
      </w:r>
    </w:p>
    <w:p>
      <w:pPr>
        <w:pStyle w:val="BlockText"/>
      </w:pPr>
      <w:r>
        <w:rPr>
          <w:b/>
          <w:bCs/>
        </w:rPr>
        <w:t xml:space="preserve">§9.2 Uptime.</w:t>
      </w:r>
      <w:r>
        <w:t xml:space="preserve"> </w:t>
      </w:r>
      <w:r>
        <w:t xml:space="preserve">Vendor shall maintain Platform Availability of not less than 99.5% per calendar month, with service credits as set forth in Exhibit D (5%/10%/15% of monthly fee tiered by availability). Uptime credits do not limit Customer’s other remedies.</w:t>
      </w:r>
    </w:p>
    <w:bookmarkEnd w:id="51"/>
    <w:bookmarkStart w:id="52" w:name="X4f55f34aff5e9852c030129ecd50f2aa58ad0b1"/>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Vendor opening</w:t>
            </w:r>
          </w:p>
        </w:tc>
        <w:tc>
          <w:tcPr/>
          <w:p>
            <w:pPr>
              <w:pStyle w:val="Compact"/>
              <w:jc w:val="left"/>
            </w:pPr>
            <w:r>
              <w:t xml:space="preserve">Customer opening</w:t>
            </w:r>
          </w:p>
        </w:tc>
        <w:tc>
          <w:tcPr/>
          <w:p>
            <w:pPr>
              <w:pStyle w:val="Compact"/>
              <w:jc w:val="left"/>
            </w:pPr>
            <w:r>
              <w:t xml:space="preserve">Vendor counter (June 30)</w:t>
            </w:r>
          </w:p>
        </w:tc>
        <w:tc>
          <w:tcPr/>
          <w:p>
            <w:pPr>
              <w:pStyle w:val="Compact"/>
              <w:jc w:val="left"/>
            </w:pPr>
            <w:r>
              <w:t xml:space="preserve">Meridian red line</w:t>
            </w:r>
          </w:p>
        </w:tc>
      </w:tr>
      <w:tr>
        <w:tc>
          <w:tcPr/>
          <w:p>
            <w:pPr>
              <w:pStyle w:val="Compact"/>
              <w:jc w:val="left"/>
            </w:pPr>
            <w:r>
              <w:t xml:space="preserve">Benchmark status</w:t>
            </w:r>
          </w:p>
        </w:tc>
        <w:tc>
          <w:tcPr/>
          <w:p>
            <w:pPr>
              <w:pStyle w:val="Compact"/>
              <w:jc w:val="left"/>
            </w:pPr>
            <w:r>
              <w:t xml:space="preserve">Informational only; commercially reasonable efforts</w:t>
            </w:r>
          </w:p>
        </w:tc>
        <w:tc>
          <w:tcPr/>
          <w:p>
            <w:pPr>
              <w:pStyle w:val="Compact"/>
              <w:jc w:val="left"/>
            </w:pPr>
            <w:r>
              <w:t xml:space="preserve">Binding</w:t>
            </w:r>
          </w:p>
        </w:tc>
        <w:tc>
          <w:tcPr/>
          <w:p>
            <w:pPr>
              <w:pStyle w:val="Compact"/>
              <w:jc w:val="left"/>
            </w:pPr>
            <w:r>
              <w:t xml:space="preserve">Informational/aspirational; quarterly reporting only</w:t>
            </w:r>
          </w:p>
        </w:tc>
        <w:tc>
          <w:tcPr/>
          <w:p>
            <w:pPr>
              <w:pStyle w:val="Compact"/>
              <w:jc w:val="left"/>
            </w:pPr>
            <w:r>
              <w:t xml:space="preserve">Must be binding (not informational)</w:t>
            </w:r>
          </w:p>
        </w:tc>
      </w:tr>
      <w:tr>
        <w:tc>
          <w:tcPr/>
          <w:p>
            <w:pPr>
              <w:pStyle w:val="Compact"/>
              <w:jc w:val="left"/>
            </w:pPr>
            <w:r>
              <w:t xml:space="preserve">Credits</w:t>
            </w:r>
          </w:p>
        </w:tc>
        <w:tc>
          <w:tcPr/>
          <w:p>
            <w:pPr>
              <w:pStyle w:val="Compact"/>
              <w:jc w:val="left"/>
            </w:pPr>
            <w:r>
              <w:t xml:space="preserve">None for accuracy; availability only (≤5%)</w:t>
            </w:r>
          </w:p>
        </w:tc>
        <w:tc>
          <w:tcPr/>
          <w:p>
            <w:pPr>
              <w:pStyle w:val="Compact"/>
              <w:jc w:val="left"/>
            </w:pPr>
            <w:r>
              <w:t xml:space="preserve">5%/10%/15% escalating</w:t>
            </w:r>
          </w:p>
        </w:tc>
        <w:tc>
          <w:tcPr/>
          <w:p>
            <w:pPr>
              <w:pStyle w:val="Compact"/>
              <w:jc w:val="left"/>
            </w:pPr>
            <w:r>
              <w:t xml:space="preserve">Nominal availability credits only</w:t>
            </w:r>
          </w:p>
        </w:tc>
        <w:tc>
          <w:tcPr/>
          <w:p>
            <w:pPr>
              <w:pStyle w:val="Compact"/>
              <w:jc w:val="left"/>
            </w:pPr>
            <w:r>
              <w:t xml:space="preserve">Credits must cover accuracy</w:t>
            </w:r>
          </w:p>
        </w:tc>
      </w:tr>
      <w:tr>
        <w:tc>
          <w:tcPr/>
          <w:p>
            <w:pPr>
              <w:pStyle w:val="Compact"/>
              <w:jc w:val="left"/>
            </w:pPr>
            <w:r>
              <w:t xml:space="preserve">Termination trigger</w:t>
            </w:r>
          </w:p>
        </w:tc>
        <w:tc>
          <w:tcPr/>
          <w:p>
            <w:pPr>
              <w:pStyle w:val="Compact"/>
              <w:jc w:val="left"/>
            </w:pPr>
            <w:r>
              <w:t xml:space="preserve">None (executive escalation)</w:t>
            </w:r>
          </w:p>
        </w:tc>
        <w:tc>
          <w:tcPr/>
          <w:p>
            <w:pPr>
              <w:pStyle w:val="Compact"/>
              <w:jc w:val="left"/>
            </w:pPr>
            <w:r>
              <w:t xml:space="preserve">2 consecutive misses</w:t>
            </w:r>
          </w:p>
        </w:tc>
        <w:tc>
          <w:tcPr/>
          <w:p>
            <w:pPr>
              <w:pStyle w:val="Compact"/>
              <w:jc w:val="left"/>
            </w:pPr>
            <w:r>
              <w:t xml:space="preserve">Resists any SLA termination</w:t>
            </w:r>
          </w:p>
        </w:tc>
        <w:tc>
          <w:tcPr/>
          <w:p>
            <w:pPr>
              <w:pStyle w:val="Compact"/>
              <w:jc w:val="left"/>
            </w:pPr>
            <w:r>
              <w:t xml:space="preserve">No further than 3 consecutive misses</w:t>
            </w:r>
          </w:p>
        </w:tc>
      </w:tr>
    </w:tbl>
    <w:p>
      <w:pPr>
        <w:pStyle w:val="BodyText"/>
      </w:pPr>
      <w:r>
        <w:rPr>
          <w:b/>
          <w:bCs/>
        </w:rPr>
        <w:t xml:space="preserve">Recommended landing zone and why.</w:t>
      </w:r>
      <w:r>
        <w:t xml:space="preserve"> </w:t>
      </w:r>
      <w:r>
        <w:t xml:space="preserve">The proposal lands at the Playbook fallback (Playbook §8.3):</w:t>
      </w:r>
      <w:r>
        <w:t xml:space="preserve"> </w:t>
      </w:r>
      <w:r>
        <w:rPr>
          <w:b/>
          <w:bCs/>
        </w:rPr>
        <w:t xml:space="preserve">binding benchmarks</w:t>
      </w:r>
      <w:r>
        <w:t xml:space="preserve"> </w:t>
      </w:r>
      <w:r>
        <w:t xml:space="preserve">(the red line — benchmarks must be binding, not informational),</w:t>
      </w:r>
      <w:r>
        <w:t xml:space="preserve"> </w:t>
      </w:r>
      <w:r>
        <w:rPr>
          <w:b/>
          <w:bCs/>
        </w:rPr>
        <w:t xml:space="preserve">escalating credits 5%/10%/15%</w:t>
      </w:r>
      <w:r>
        <w:t xml:space="preserve">, and</w:t>
      </w:r>
      <w:r>
        <w:t xml:space="preserve"> </w:t>
      </w:r>
      <w:r>
        <w:rPr>
          <w:b/>
          <w:bCs/>
        </w:rPr>
        <w:t xml:space="preserve">termination after 3 consecutive quarterly misses</w:t>
      </w:r>
      <w:r>
        <w:t xml:space="preserve"> </w:t>
      </w:r>
      <w:r>
        <w:t xml:space="preserve">(a concession from Customer’s opening of 2 misses, per the Playbook fallback and Mr. Delgado’s guidance to</w:t>
      </w:r>
      <w:r>
        <w:t xml:space="preserve"> </w:t>
      </w:r>
      <w:r>
        <w:t xml:space="preserve">“</w:t>
      </w:r>
      <w:r>
        <w:t xml:space="preserve">be prepared to accept the 3-miss termination trigger per playbook</w:t>
      </w:r>
      <w:r>
        <w:t xml:space="preserve">”</w:t>
      </w:r>
      <w:r>
        <w:t xml:space="preserve">). The aggregate quarterly cap of 20% of quarterly fees bridges the Vendor position (15%, $320,625) and Customer position (25%, $534,375). Uptime is set at 99.5% (Vendor’s counter; the credit structure is the principal concern, not the uptime threshold). The benchmarks themselves (sepsis 92%/88%, radiology 90%/85%, med-interaction 95%/90%) are clinically calibrated by Meridian’s CMO and are not subject to negotiation under this fallback — only the remedies are.</w:t>
      </w:r>
    </w:p>
    <w:p>
      <w:pPr>
        <w:pStyle w:val="BodyText"/>
      </w:pPr>
      <w:r>
        <w:rPr>
          <w:b/>
          <w:bCs/>
        </w:rPr>
        <w:t xml:space="preserve">Fallback ladder:</w:t>
      </w:r>
    </w:p>
    <w:p>
      <w:pPr>
        <w:pStyle w:val="Compact"/>
        <w:numPr>
          <w:ilvl w:val="0"/>
          <w:numId w:val="1018"/>
        </w:numPr>
      </w:pPr>
      <w:r>
        <w:rPr>
          <w:b/>
          <w:bCs/>
        </w:rPr>
        <w:t xml:space="preserve">Primary (proposed):</w:t>
      </w:r>
      <w:r>
        <w:t xml:space="preserve"> </w:t>
      </w:r>
      <w:r>
        <w:t xml:space="preserve">Binding benchmarks; 5%/10%/15% escalating credits; 20% aggregate quarterly cap; termination after 3 consecutive misses; 15-business-day remediation plan; Langford Tier 2 validation.</w:t>
      </w:r>
    </w:p>
    <w:p>
      <w:pPr>
        <w:pStyle w:val="Compact"/>
        <w:numPr>
          <w:ilvl w:val="0"/>
          <w:numId w:val="1018"/>
        </w:numPr>
      </w:pPr>
      <w:r>
        <w:rPr>
          <w:b/>
          <w:bCs/>
        </w:rPr>
        <w:t xml:space="preserve">If Vendor resists binding status:</w:t>
      </w:r>
      <w:r>
        <w:t xml:space="preserve"> </w:t>
      </w:r>
      <w:r>
        <w:t xml:space="preserve">Hold binding status as a red line (Playbook §8.4(a) —</w:t>
      </w:r>
      <w:r>
        <w:t xml:space="preserve"> </w:t>
      </w:r>
      <w:r>
        <w:t xml:space="preserve">“</w:t>
      </w:r>
      <w:r>
        <w:t xml:space="preserve">the distinction between a binding benchmark and an aspirational target is the difference between a contractual commitment and a marketing claim</w:t>
      </w:r>
      <w:r>
        <w:t xml:space="preserve">”</w:t>
      </w:r>
      <w:r>
        <w:t xml:space="preserve">). Offer to narrow the termination trigger to 3 consecutive misses on the same module (already in the proposal) and accept the 15% aggregate cap as a fallback on credits only.</w:t>
      </w:r>
    </w:p>
    <w:p>
      <w:pPr>
        <w:pStyle w:val="Compact"/>
        <w:numPr>
          <w:ilvl w:val="0"/>
          <w:numId w:val="1018"/>
        </w:numPr>
      </w:pPr>
      <w:r>
        <w:rPr>
          <w:b/>
          <w:bCs/>
        </w:rPr>
        <w:t xml:space="preserve">If Vendor resists the termination trigger:</w:t>
      </w:r>
      <w:r>
        <w:t xml:space="preserve"> </w:t>
      </w:r>
      <w:r>
        <w:t xml:space="preserve">Hold at 3 consecutive misses (Playbook §8.4(b) — no further concession authorized). Offer executive escalation as an interim step before termination (SLA Governance Committee review after 2 consecutive misses, termination after 3).</w:t>
      </w:r>
    </w:p>
    <w:p>
      <w:pPr>
        <w:pStyle w:val="Compact"/>
        <w:numPr>
          <w:ilvl w:val="0"/>
          <w:numId w:val="1018"/>
        </w:numPr>
      </w:pPr>
      <w:r>
        <w:rPr>
          <w:b/>
          <w:bCs/>
        </w:rPr>
        <w:t xml:space="preserve">Red line:</w:t>
      </w:r>
      <w:r>
        <w:t xml:space="preserve"> </w:t>
      </w:r>
      <w:r>
        <w:t xml:space="preserve">Benchmarks must be binding; termination trigger no further than 3 consecutive quarterly misses. Below this, escalate to GC.</w:t>
      </w:r>
    </w:p>
    <w:bookmarkEnd w:id="52"/>
    <w:bookmarkStart w:id="53" w:name="X77b975c4102235ed9b9c25d19af0600fade57a8"/>
    <w:p>
      <w:pPr>
        <w:pStyle w:val="Heading4"/>
      </w:pPr>
      <w:r>
        <w:t xml:space="preserve">(iii) Acceptability Analysis for Vendor Team</w:t>
      </w:r>
    </w:p>
    <w:p>
      <w:pPr>
        <w:pStyle w:val="FirstParagraph"/>
      </w:pPr>
      <w:r>
        <w:rPr>
          <w:b/>
          <w:bCs/>
        </w:rPr>
        <w:t xml:space="preserve">To Sandra Hu:</w:t>
      </w:r>
      <w:r>
        <w:t xml:space="preserve"> </w:t>
      </w:r>
      <w:r>
        <w:t xml:space="preserve">The 3-miss termination trigger (vs. Customer’s 2-miss opening) gives Vendor a full additional quarter to remediate before termination exposure — a meaningful concession. The 20% aggregate credit cap bounds Vendor’s quarterly financial exposure. The benchmarks themselves are the same targets Vendor already publishes as</w:t>
      </w:r>
      <w:r>
        <w:t xml:space="preserve"> </w:t>
      </w:r>
      <w:r>
        <w:t xml:space="preserve">“</w:t>
      </w:r>
      <w:r>
        <w:t xml:space="preserve">non-binding</w:t>
      </w:r>
      <w:r>
        <w:t xml:space="preserve">”</w:t>
      </w:r>
      <w:r>
        <w:t xml:space="preserve"> </w:t>
      </w:r>
      <w:r>
        <w:t xml:space="preserve">in its standards summary and quarterly reports — making them binding changes the remedy, not the target. Vendor’s own standards summary commits to quarterly performance reporting; the proposal adds consequences to reporting Vendor already does.</w:t>
      </w:r>
    </w:p>
    <w:p>
      <w:pPr>
        <w:pStyle w:val="BodyText"/>
      </w:pPr>
      <w:r>
        <w:rPr>
          <w:b/>
          <w:bCs/>
        </w:rPr>
        <w:t xml:space="preserve">To Rafael Bowen:</w:t>
      </w:r>
      <w:r>
        <w:t xml:space="preserve"> </w:t>
      </w:r>
      <w:r>
        <w:t xml:space="preserve">Bowen’s likely objection is that AI accuracy is</w:t>
      </w:r>
      <w:r>
        <w:t xml:space="preserve"> </w:t>
      </w:r>
      <w:r>
        <w:t xml:space="preserve">“</w:t>
      </w:r>
      <w:r>
        <w:t xml:space="preserve">inherently variable</w:t>
      </w:r>
      <w:r>
        <w:t xml:space="preserve">”</w:t>
      </w:r>
      <w:r>
        <w:t xml:space="preserve"> </w:t>
      </w:r>
      <w:r>
        <w:t xml:space="preserve">and cannot be guaranteed. Response: the benchmarks are measured quarterly on a statistically significant prospective sample with 95% confidence intervals and an agreed methodology — they account for population variability rather than ignoring it. The remediation-plan mechanism (15 business days) gives Vendor a cure path before credits escalate. The termination trigger requires three consecutive misses (a year of persistent underperformance), not a single bad quarter — a high bar that protects Vendor from transient variability while protecting Meridian from a persistently unsafe system. Patient-safety context (sepsis false negatives, missed radiology findings) makes binding benchmarks a clinical-safety imperative, not a commercial preference.</w:t>
      </w:r>
    </w:p>
    <w:p>
      <w:pPr>
        <w:pStyle w:val="BodyText"/>
      </w:pPr>
      <w:r>
        <w:rPr>
          <w:b/>
          <w:bCs/>
        </w:rPr>
        <w:t xml:space="preserve">Likely objection and response.</w:t>
      </w:r>
      <w:r>
        <w:t xml:space="preserve"> </w:t>
      </w:r>
      <w:r>
        <w:t xml:space="preserve">Hu/Bowen will push to keep metrics informational. Response: an AI system generating clinical decisions for ~2.1M annual encounters across 14 hospitals cannot have purely aspirational accuracy commitments; the Playbook red line is binding status, and the 3-miss trigger is the concession that should close the gap.</w:t>
      </w:r>
    </w:p>
    <w:bookmarkEnd w:id="53"/>
    <w:bookmarkStart w:id="54" w:name="Xa1d982657027f57109828fc449d8b7ac9673e8b"/>
    <w:p>
      <w:pPr>
        <w:pStyle w:val="Heading4"/>
      </w:pPr>
      <w:r>
        <w:t xml:space="preserve">(iv) Regulatory and Compliance Constraints</w:t>
      </w:r>
    </w:p>
    <w:p>
      <w:pPr>
        <w:pStyle w:val="Compact"/>
        <w:numPr>
          <w:ilvl w:val="0"/>
          <w:numId w:val="1019"/>
        </w:numPr>
      </w:pPr>
      <w:r>
        <w:rPr>
          <w:b/>
          <w:bCs/>
        </w:rPr>
        <w:t xml:space="preserve">HIPAA.</w:t>
      </w:r>
      <w:r>
        <w:t xml:space="preserve"> </w:t>
      </w:r>
      <w:r>
        <w:t xml:space="preserve">Quarterly validation uses a statistically significant prospective sample of Customer’s patient encounters; any patient data used in validation must be de-identified or handled in compliance with the BAA (Exhibit F) and HIPAA Privacy/Security Rules. Bias and fairness testing across demographic subgroups (race, ethnicity, sex, age, etc.) must comply with HIPAA de-identification standards (Safe Harbor or Expert Determination) so that subgroup performance analysis does not impermissibly disclose PHI. The agreed Exhibit E security framework (encryption, access controls, audit logging) governs validation data handling.</w:t>
      </w:r>
    </w:p>
    <w:p>
      <w:pPr>
        <w:pStyle w:val="Compact"/>
        <w:numPr>
          <w:ilvl w:val="0"/>
          <w:numId w:val="1019"/>
        </w:numPr>
      </w:pPr>
      <w:r>
        <w:rPr>
          <w:b/>
          <w:bCs/>
        </w:rPr>
        <w:t xml:space="preserve">NJ AI in Healthcare Transparency Act.</w:t>
      </w:r>
      <w:r>
        <w:t xml:space="preserve"> </w:t>
      </w:r>
      <w:r>
        <w:t xml:space="preserve">The Act’s annual audit (§5) requires assessment of validation results and ongoing performance metrics; the quarterly validation reports and Langford Tier 2 verification feed directly into NJ Act compliance. Bias and fairness testing across demographic subgroups (required by the Act §4(a)(4)) should be reported quarterly as informational SLA components in the Transparency Report (Section 10.1). The Act does not create a private right of action but does not preempt malpractice claims — binding benchmarks that detect performance degradation before patient harm reduce Meridian’s litigation exposure.</w:t>
      </w:r>
    </w:p>
    <w:p>
      <w:pPr>
        <w:pStyle w:val="Compact"/>
        <w:numPr>
          <w:ilvl w:val="0"/>
          <w:numId w:val="1019"/>
        </w:numPr>
      </w:pPr>
      <w:r>
        <w:rPr>
          <w:b/>
          <w:bCs/>
        </w:rPr>
        <w:t xml:space="preserve">FDA clinical decision-support guidance.</w:t>
      </w:r>
      <w:r>
        <w:t xml:space="preserve"> </w:t>
      </w:r>
      <w:r>
        <w:t xml:space="preserve">Binding accuracy benchmarks support Meridian’s clinical governance and any FDA CDS exemption analysis (the four-criteria test under 21st Century Cures Act §3060, particularly the</w:t>
      </w:r>
      <w:r>
        <w:t xml:space="preserve"> </w:t>
      </w:r>
      <w:r>
        <w:t xml:space="preserve">“</w:t>
      </w:r>
      <w:r>
        <w:t xml:space="preserve">independent review of the basis for recommendations</w:t>
      </w:r>
      <w:r>
        <w:t xml:space="preserve">”</w:t>
      </w:r>
      <w:r>
        <w:t xml:space="preserve"> </w:t>
      </w:r>
      <w:r>
        <w:t xml:space="preserve">criterion). The radiology module’s interaction with medical imaging raises the first-criterion question that Langford’s regulatory compliance verification will assess.</w:t>
      </w:r>
    </w:p>
    <w:p>
      <w:pPr>
        <w:pStyle w:val="Compact"/>
        <w:numPr>
          <w:ilvl w:val="0"/>
          <w:numId w:val="1019"/>
        </w:numPr>
      </w:pPr>
      <w:r>
        <w:rPr>
          <w:b/>
          <w:bCs/>
        </w:rPr>
        <w:t xml:space="preserve">Patient-safety linkage.</w:t>
      </w:r>
      <w:r>
        <w:t xml:space="preserve"> </w:t>
      </w:r>
      <w:r>
        <w:t xml:space="preserve">SLA accuracy is the operational complement to the Term 1 patient-safety super-cap: binding benchmarks detect performance degradation before it produces patient harm, and the termination trigger gives Meridian an exit from a persistently underperforming system. The two terms should be presented as a coherent clinical-safety package.</w:t>
      </w:r>
    </w:p>
    <w:p>
      <w:pPr>
        <w:pStyle w:val="Compact"/>
        <w:numPr>
          <w:ilvl w:val="0"/>
          <w:numId w:val="1019"/>
        </w:numPr>
      </w:pPr>
      <w:r>
        <w:rPr>
          <w:b/>
          <w:bCs/>
        </w:rPr>
        <w:t xml:space="preserve">Measurement methodology.</w:t>
      </w:r>
      <w:r>
        <w:t xml:space="preserve"> </w:t>
      </w:r>
      <w:r>
        <w:t xml:space="preserve">Validation per NIST AI 100-1 guidelines, 95% confidence intervals, prospective evaluation on actual clinical encounters (Meridian’s preference per Playbook §8.2), with Langford independent verification.</w:t>
      </w:r>
    </w:p>
    <w:p>
      <w:r>
        <w:pict>
          <v:rect style="width:0;height:1.5pt" o:hralign="center" o:hrstd="t" o:hr="t"/>
        </w:pict>
      </w:r>
    </w:p>
    <w:bookmarkEnd w:id="54"/>
    <w:bookmarkEnd w:id="55"/>
    <w:bookmarkStart w:id="60" w:name="X19450fb1bf4cf7cc42e199a2c054efa2c94df66"/>
    <w:p>
      <w:pPr>
        <w:pStyle w:val="Heading3"/>
      </w:pPr>
      <w:r>
        <w:t xml:space="preserve">TERM 6 — IP Ownership (Model Weights, Fine-Tuned Adaptations, Output Data)</w:t>
      </w:r>
    </w:p>
    <w:p>
      <w:pPr>
        <w:pStyle w:val="FirstParagraph"/>
      </w:pPr>
      <w:r>
        <w:rPr>
          <w:b/>
          <w:bCs/>
        </w:rPr>
        <w:t xml:space="preserve">Agreement sections:</w:t>
      </w:r>
      <w:r>
        <w:t xml:space="preserve"> </w:t>
      </w:r>
      <w:r>
        <w:t xml:space="preserve">§6.1–6.5 (Intellectual Property Ownership); §2.4–2.5 (Output License; Portability)</w:t>
      </w:r>
      <w:r>
        <w:t xml:space="preserve"> </w:t>
      </w:r>
      <w:r>
        <w:rPr>
          <w:b/>
          <w:bCs/>
        </w:rPr>
        <w:t xml:space="preserve">Meridian priority rank:</w:t>
      </w:r>
      <w:r>
        <w:t xml:space="preserve"> </w:t>
      </w:r>
      <w:r>
        <w:t xml:space="preserve">6 |</w:t>
      </w:r>
      <w:r>
        <w:t xml:space="preserve"> </w:t>
      </w:r>
      <w:r>
        <w:rPr>
          <w:b/>
          <w:bCs/>
        </w:rPr>
        <w:t xml:space="preserve">Vendor priority:</w:t>
      </w:r>
      <w:r>
        <w:t xml:space="preserve"> </w:t>
      </w:r>
      <w:r>
        <w:t xml:space="preserve">Medium</w:t>
      </w:r>
      <w:r>
        <w:t xml:space="preserve"> </w:t>
      </w:r>
      <w:r>
        <w:rPr>
          <w:b/>
          <w:bCs/>
        </w:rPr>
        <w:t xml:space="preserve">Related:</w:t>
      </w:r>
      <w:r>
        <w:t xml:space="preserve"> </w:t>
      </w:r>
      <w:r>
        <w:t xml:space="preserve">Langford audit framework (Term 2)</w:t>
      </w:r>
    </w:p>
    <w:bookmarkStart w:id="56" w:name="i-proposed-contract-clause-language-5"/>
    <w:p>
      <w:pPr>
        <w:pStyle w:val="Heading4"/>
      </w:pPr>
      <w:r>
        <w:t xml:space="preserve">(i) Proposed Contract Clause Language</w:t>
      </w:r>
    </w:p>
    <w:p>
      <w:pPr>
        <w:pStyle w:val="BlockText"/>
      </w:pPr>
      <w:r>
        <w:rPr>
          <w:b/>
          <w:bCs/>
        </w:rPr>
        <w:t xml:space="preserve">§6.1 Vendor IP.</w:t>
      </w:r>
      <w:r>
        <w:t xml:space="preserve"> </w:t>
      </w:r>
      <w:r>
        <w:t xml:space="preserve">Vendor retains all right, title, and interest in and to the Platform, all Model IP (including base model weights, architecture, fine-tuned adaptations, parameters, embeddings, training methodologies, and Derivative Data), all Updates, and all improvements and derivative works thereof, whether developed before, during, or after the Term. No transfer of ownership of any Vendor IP is intended or effected under this Agreement.</w:t>
      </w:r>
    </w:p>
    <w:p>
      <w:pPr>
        <w:pStyle w:val="BlockText"/>
      </w:pPr>
      <w:r>
        <w:rPr>
          <w:b/>
          <w:bCs/>
        </w:rPr>
        <w:t xml:space="preserve">§6.2 Fine-Tuned Adaptations; Customer License.</w:t>
      </w:r>
    </w:p>
    <w:p>
      <w:pPr>
        <w:pStyle w:val="BlockText"/>
        <w:numPr>
          <w:ilvl w:val="0"/>
          <w:numId w:val="1020"/>
        </w:numPr>
      </w:pPr>
      <w:r>
        <w:rPr>
          <w:b/>
          <w:bCs/>
        </w:rPr>
        <w:t xml:space="preserve">Vendor Ownership.</w:t>
      </w:r>
      <w:r>
        <w:t xml:space="preserve"> </w:t>
      </w:r>
      <w:r>
        <w:t xml:space="preserve">All fine-tuned model weights, parameters, configurations, embeddings, and Derivative Data generated through the operation of the Platform are and shall remain the sole and exclusive property of Vendor.</w:t>
      </w:r>
    </w:p>
    <w:p>
      <w:pPr>
        <w:pStyle w:val="BlockText"/>
        <w:numPr>
          <w:ilvl w:val="0"/>
          <w:numId w:val="1020"/>
        </w:numPr>
      </w:pPr>
      <w:r>
        <w:rPr>
          <w:b/>
          <w:bCs/>
        </w:rPr>
        <w:t xml:space="preserve">Irrevocable Perpetual License to Customer.</w:t>
      </w:r>
      <w:r>
        <w:t xml:space="preserve"> </w:t>
      </w:r>
      <w:r>
        <w:t xml:space="preserve">Vendor hereby grants Customer a non-exclusive,</w:t>
      </w:r>
      <w:r>
        <w:t xml:space="preserve"> </w:t>
      </w:r>
      <w:r>
        <w:rPr>
          <w:b/>
          <w:bCs/>
        </w:rPr>
        <w:t xml:space="preserve">perpetual, irrevocable, royalty-free, fully paid-up</w:t>
      </w:r>
      <w:r>
        <w:t xml:space="preserve"> </w:t>
      </w:r>
      <w:r>
        <w:t xml:space="preserve">license to use, copy, modify, and create derivative works from (i) all Outputs generated by the Platform from Customer Data, and (ii) all derivative data sets generated by the Platform from Customer Data (excluding base model weights, model architecture, and proprietary algorithms), for any internal clinical, operational, regulatory, legal, compliance, and quality-improvement purpose, including use in connection with any successor platform or clinical decision-support system. This license shall survive termination or expiration of this Agreement for any reason, including termination for cause, and may not be revoked by Vendor for any reason.</w:t>
      </w:r>
    </w:p>
    <w:p>
      <w:pPr>
        <w:pStyle w:val="BlockText"/>
        <w:numPr>
          <w:ilvl w:val="0"/>
          <w:numId w:val="1020"/>
        </w:numPr>
      </w:pPr>
      <w:r>
        <w:rPr>
          <w:b/>
          <w:bCs/>
        </w:rPr>
        <w:t xml:space="preserve">Portability.</w:t>
      </w:r>
      <w:r>
        <w:t xml:space="preserve"> </w:t>
      </w:r>
      <w:r>
        <w:t xml:space="preserve">Upon termination or expiration for any reason, Vendor shall export and deliver to Customer all Customer Data, Outputs, and derivative data sets (excluding base model weights, model architecture, and proprietary algorithms) in FHIR R4, HL7 v2, and such other machine-readable, interoperable formats as Customer may reasonably specify, sufficient to enable Customer to use such data with a successor platform. Vendor shall provide reasonable technical documentation and assistance to enable Customer to exercise its portability rights.</w:t>
      </w:r>
    </w:p>
    <w:p>
      <w:pPr>
        <w:pStyle w:val="BlockText"/>
        <w:numPr>
          <w:ilvl w:val="0"/>
          <w:numId w:val="1020"/>
        </w:numPr>
      </w:pPr>
      <w:r>
        <w:rPr>
          <w:b/>
          <w:bCs/>
        </w:rPr>
        <w:t xml:space="preserve">No Assignment.</w:t>
      </w:r>
      <w:r>
        <w:t xml:space="preserve"> </w:t>
      </w:r>
      <w:r>
        <w:t xml:space="preserve">Customer has no ownership interest in any model weights, parameters, embeddings, or model architectures, whether base or fine-tuned. Customer does not assign, and is not obligated to assign, any intellectual property rights to Vendor with respect to Customer Pre-Existing IP.</w:t>
      </w:r>
    </w:p>
    <w:p>
      <w:pPr>
        <w:pStyle w:val="BlockText"/>
      </w:pPr>
      <w:r>
        <w:rPr>
          <w:b/>
          <w:bCs/>
        </w:rPr>
        <w:t xml:space="preserve">§6.3 Output License.</w:t>
      </w:r>
      <w:r>
        <w:t xml:space="preserve"> </w:t>
      </w:r>
      <w:r>
        <w:t xml:space="preserve">Customer’s rights in Outputs are as set forth in Section 2.4 and Section 6.2(b). The Output License is perpetual, irrevocable, and royalty-free, and extends to derivative data sets generated from Customer Data.</w:t>
      </w:r>
    </w:p>
    <w:p>
      <w:pPr>
        <w:pStyle w:val="BlockText"/>
      </w:pPr>
      <w:r>
        <w:rPr>
          <w:b/>
          <w:bCs/>
        </w:rPr>
        <w:t xml:space="preserve">§6.5 Customer Pre-Existing IP.</w:t>
      </w:r>
      <w:r>
        <w:t xml:space="preserve"> </w:t>
      </w:r>
      <w:r>
        <w:t xml:space="preserve">Vendor acknowledges Customer’s ownership of its pre-existing intellectual property (clinical protocols, pathways, order sets, formularies, operational data, MeridianConnect configurations). Nothing in this Agreement grants Vendor any rights in Customer Pre-Existing IP except the limited right to access and use it as necessary to perform its obligations.</w:t>
      </w:r>
    </w:p>
    <w:bookmarkEnd w:id="56"/>
    <w:bookmarkStart w:id="57" w:name="Xd88add30a62b32638cb0cd397f2bd65a1632d38"/>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Vendor opening</w:t>
            </w:r>
          </w:p>
        </w:tc>
        <w:tc>
          <w:tcPr/>
          <w:p>
            <w:pPr>
              <w:pStyle w:val="Compact"/>
              <w:jc w:val="left"/>
            </w:pPr>
            <w:r>
              <w:t xml:space="preserve">Customer opening</w:t>
            </w:r>
          </w:p>
        </w:tc>
        <w:tc>
          <w:tcPr/>
          <w:p>
            <w:pPr>
              <w:pStyle w:val="Compact"/>
              <w:jc w:val="left"/>
            </w:pPr>
            <w:r>
              <w:t xml:space="preserve">Vendor counter (June 30)</w:t>
            </w:r>
          </w:p>
        </w:tc>
        <w:tc>
          <w:tcPr/>
          <w:p>
            <w:pPr>
              <w:pStyle w:val="Compact"/>
              <w:jc w:val="left"/>
            </w:pPr>
            <w:r>
              <w:t xml:space="preserve">Meridian red line</w:t>
            </w:r>
          </w:p>
        </w:tc>
      </w:tr>
      <w:tr>
        <w:tc>
          <w:tcPr/>
          <w:p>
            <w:pPr>
              <w:pStyle w:val="Compact"/>
              <w:jc w:val="left"/>
            </w:pPr>
            <w:r>
              <w:t xml:space="preserve">Model weights/architecture</w:t>
            </w:r>
          </w:p>
        </w:tc>
        <w:tc>
          <w:tcPr/>
          <w:p>
            <w:pPr>
              <w:pStyle w:val="Compact"/>
              <w:jc w:val="left"/>
            </w:pPr>
            <w:r>
              <w:t xml:space="preserve">Vendor owns all; output license only</w:t>
            </w:r>
          </w:p>
        </w:tc>
        <w:tc>
          <w:tcPr/>
          <w:p>
            <w:pPr>
              <w:pStyle w:val="Compact"/>
              <w:jc w:val="left"/>
            </w:pPr>
            <w:r>
              <w:t xml:space="preserve">Customer owns fine-tuned weights + derivative data</w:t>
            </w:r>
          </w:p>
        </w:tc>
        <w:tc>
          <w:tcPr/>
          <w:p>
            <w:pPr>
              <w:pStyle w:val="Compact"/>
              <w:jc w:val="left"/>
            </w:pPr>
            <w:r>
              <w:t xml:space="preserve">Vendor owns all; CTO</w:t>
            </w:r>
            <w:r>
              <w:t xml:space="preserve"> </w:t>
            </w:r>
            <w:r>
              <w:t xml:space="preserve">“</w:t>
            </w:r>
            <w:r>
              <w:t xml:space="preserve">hard no</w:t>
            </w:r>
            <w:r>
              <w:t xml:space="preserve">”</w:t>
            </w:r>
            <w:r>
              <w:t xml:space="preserve"> </w:t>
            </w:r>
            <w:r>
              <w:t xml:space="preserve">on weights access; enhanced output license</w:t>
            </w:r>
          </w:p>
        </w:tc>
        <w:tc>
          <w:tcPr/>
          <w:p>
            <w:pPr>
              <w:pStyle w:val="Compact"/>
              <w:jc w:val="left"/>
            </w:pPr>
            <w:r>
              <w:t xml:space="preserve">Must retain meaningful rights to fine-tuned adaptations; portability essential</w:t>
            </w:r>
          </w:p>
        </w:tc>
      </w:tr>
      <w:tr>
        <w:tc>
          <w:tcPr/>
          <w:p>
            <w:pPr>
              <w:pStyle w:val="Compact"/>
              <w:jc w:val="left"/>
            </w:pPr>
            <w:r>
              <w:t xml:space="preserve">Output data</w:t>
            </w:r>
          </w:p>
        </w:tc>
        <w:tc>
          <w:tcPr/>
          <w:p>
            <w:pPr>
              <w:pStyle w:val="Compact"/>
              <w:jc w:val="left"/>
            </w:pPr>
            <w:r>
              <w:t xml:space="preserve">Non-exclusive, non-transferable license</w:t>
            </w:r>
          </w:p>
        </w:tc>
        <w:tc>
          <w:tcPr/>
          <w:p>
            <w:pPr>
              <w:pStyle w:val="Compact"/>
              <w:jc w:val="left"/>
            </w:pPr>
            <w:r>
              <w:t xml:space="preserve">Full ownership of outputs</w:t>
            </w:r>
          </w:p>
        </w:tc>
        <w:tc>
          <w:tcPr/>
          <w:p>
            <w:pPr>
              <w:pStyle w:val="Compact"/>
              <w:jc w:val="left"/>
            </w:pPr>
            <w:r>
              <w:t xml:space="preserve">Perpetual, irrevocable output license; retains aggregated output use</w:t>
            </w:r>
          </w:p>
        </w:tc>
        <w:tc>
          <w:tcPr/>
          <w:p>
            <w:pPr>
              <w:pStyle w:val="Compact"/>
              <w:jc w:val="left"/>
            </w:pPr>
            <w:r>
              <w:t xml:space="preserve">Outputs from Customer data = Customer property or equivalent</w:t>
            </w:r>
          </w:p>
        </w:tc>
      </w:tr>
      <w:tr>
        <w:tc>
          <w:tcPr/>
          <w:p>
            <w:pPr>
              <w:pStyle w:val="Compact"/>
              <w:jc w:val="left"/>
            </w:pPr>
            <w:r>
              <w:t xml:space="preserve">Portability</w:t>
            </w:r>
          </w:p>
        </w:tc>
        <w:tc>
          <w:tcPr/>
          <w:p>
            <w:pPr>
              <w:pStyle w:val="Compact"/>
              <w:jc w:val="left"/>
            </w:pPr>
            <w:r>
              <w:t xml:space="preserve">None; data returned/destroyed</w:t>
            </w:r>
          </w:p>
        </w:tc>
        <w:tc>
          <w:tcPr/>
          <w:p>
            <w:pPr>
              <w:pStyle w:val="Compact"/>
              <w:jc w:val="left"/>
            </w:pPr>
            <w:r>
              <w:t xml:space="preserve">Full portability of fine-tuned weights + data</w:t>
            </w:r>
          </w:p>
        </w:tc>
        <w:tc>
          <w:tcPr/>
          <w:p>
            <w:pPr>
              <w:pStyle w:val="Compact"/>
              <w:jc w:val="left"/>
            </w:pPr>
            <w:r>
              <w:t xml:space="preserve">Data portability (Customer Data only, not weights); open to perpetual license</w:t>
            </w:r>
          </w:p>
        </w:tc>
        <w:tc>
          <w:tcPr/>
          <w:p>
            <w:pPr>
              <w:pStyle w:val="Compact"/>
              <w:jc w:val="left"/>
            </w:pPr>
            <w:r>
              <w:t xml:space="preserve">Portability essential for termination/transition</w:t>
            </w:r>
          </w:p>
        </w:tc>
      </w:tr>
    </w:tbl>
    <w:p>
      <w:pPr>
        <w:pStyle w:val="BodyText"/>
      </w:pPr>
      <w:r>
        <w:rPr>
          <w:b/>
          <w:bCs/>
        </w:rPr>
        <w:t xml:space="preserve">Recommended landing zone and why.</w:t>
      </w:r>
      <w:r>
        <w:t xml:space="preserve"> </w:t>
      </w:r>
      <w:r>
        <w:t xml:space="preserve">This proposal lands at the Playbook second/final fallback (Playbook §4.4):</w:t>
      </w:r>
      <w:r>
        <w:t xml:space="preserve"> </w:t>
      </w:r>
      <w:r>
        <w:rPr>
          <w:b/>
          <w:bCs/>
        </w:rPr>
        <w:t xml:space="preserve">Vendor ownership of all Model IP</w:t>
      </w:r>
      <w:r>
        <w:t xml:space="preserve"> </w:t>
      </w:r>
      <w:r>
        <w:t xml:space="preserve">(including fine-tuned weights), with Customer receiving an</w:t>
      </w:r>
      <w:r>
        <w:t xml:space="preserve"> </w:t>
      </w:r>
      <w:r>
        <w:rPr>
          <w:b/>
          <w:bCs/>
        </w:rPr>
        <w:t xml:space="preserve">irrevocable, perpetual, fully paid-up license</w:t>
      </w:r>
      <w:r>
        <w:t xml:space="preserve"> </w:t>
      </w:r>
      <w:r>
        <w:t xml:space="preserve">to Outputs and derivative data sets, plus</w:t>
      </w:r>
      <w:r>
        <w:t xml:space="preserve"> </w:t>
      </w:r>
      <w:r>
        <w:rPr>
          <w:b/>
          <w:bCs/>
        </w:rPr>
        <w:t xml:space="preserve">portability</w:t>
      </w:r>
      <w:r>
        <w:t xml:space="preserve"> </w:t>
      </w:r>
      <w:r>
        <w:t xml:space="preserve">of Customer Data, Outputs, and derivative data sets. Mr. Delgado’s guidance is explicit:</w:t>
      </w:r>
      <w:r>
        <w:t xml:space="preserve"> </w:t>
      </w:r>
      <w:r>
        <w:t xml:space="preserve">“</w:t>
      </w:r>
      <w:r>
        <w:t xml:space="preserve">accept the playbook fallback position if Vendor agrees to portability and the Langford audit framework is in place. Raw weight access/ownership is the CTO’s</w:t>
      </w:r>
      <w:r>
        <w:t xml:space="preserve"> </w:t>
      </w:r>
      <w:r>
        <w:t xml:space="preserve">‘</w:t>
      </w:r>
      <w:r>
        <w:t xml:space="preserve">hard no</w:t>
      </w:r>
      <w:r>
        <w:t xml:space="preserve">’</w:t>
      </w:r>
      <w:r>
        <w:t xml:space="preserve"> </w:t>
      </w:r>
      <w:r>
        <w:t xml:space="preserve">— this is not where we should spend negotiation capital, and the perpetual license with portability gives us what we functionally need.</w:t>
      </w:r>
      <w:r>
        <w:t xml:space="preserve">”</w:t>
      </w:r>
      <w:r>
        <w:t xml:space="preserve"> </w:t>
      </w:r>
      <w:r>
        <w:t xml:space="preserve">The CTO’s</w:t>
      </w:r>
      <w:r>
        <w:t xml:space="preserve"> </w:t>
      </w:r>
      <w:r>
        <w:t xml:space="preserve">“</w:t>
      </w:r>
      <w:r>
        <w:t xml:space="preserve">hard no</w:t>
      </w:r>
      <w:r>
        <w:t xml:space="preserve">”</w:t>
      </w:r>
      <w:r>
        <w:t xml:space="preserve"> </w:t>
      </w:r>
      <w:r>
        <w:t xml:space="preserve">on raw model weights (base and, per Vendor’s counter, fine-tuned) makes ownership or extractable portability of weights unattainable; the perpetual license + data portability + Langford Tier 3 enclave (Term 2) together provide Meridian’s functional needs: continuity of access to the value created from its data, an exit path, and a technical-review mechanism for the weights.</w:t>
      </w:r>
    </w:p>
    <w:p>
      <w:pPr>
        <w:pStyle w:val="BodyText"/>
      </w:pPr>
      <w:r>
        <w:rPr>
          <w:b/>
          <w:bCs/>
        </w:rPr>
        <w:t xml:space="preserve">Fallback ladder:</w:t>
      </w:r>
    </w:p>
    <w:p>
      <w:pPr>
        <w:pStyle w:val="Compact"/>
        <w:numPr>
          <w:ilvl w:val="0"/>
          <w:numId w:val="1021"/>
        </w:numPr>
      </w:pPr>
      <w:r>
        <w:rPr>
          <w:b/>
          <w:bCs/>
        </w:rPr>
        <w:t xml:space="preserve">Primary (proposed):</w:t>
      </w:r>
      <w:r>
        <w:t xml:space="preserve"> </w:t>
      </w:r>
      <w:r>
        <w:t xml:space="preserve">Vendor owns all Model IP; Customer receives irrevocable perpetual license to Outputs + derivative data sets; portability of Customer Data/Outputs/derivative data sets in interoperable formats; Langford Tier 3 enclave as the weights-review mechanism.</w:t>
      </w:r>
    </w:p>
    <w:p>
      <w:pPr>
        <w:pStyle w:val="Compact"/>
        <w:numPr>
          <w:ilvl w:val="0"/>
          <w:numId w:val="1021"/>
        </w:numPr>
      </w:pPr>
      <w:r>
        <w:rPr>
          <w:b/>
          <w:bCs/>
        </w:rPr>
        <w:t xml:space="preserve">If Vendor moves on fine-tuned weights:</w:t>
      </w:r>
      <w:r>
        <w:t xml:space="preserve"> </w:t>
      </w:r>
      <w:r>
        <w:t xml:space="preserve">Seek portability of fine-tuned model weights (the delta between base and fine-tuned) for use on alternative infrastructure — the Playbook’s preferred outcome. This is a stretch goal given the CTO hard no; pursue only if Vendor offers.</w:t>
      </w:r>
    </w:p>
    <w:p>
      <w:pPr>
        <w:pStyle w:val="Compact"/>
        <w:numPr>
          <w:ilvl w:val="0"/>
          <w:numId w:val="1021"/>
        </w:numPr>
      </w:pPr>
      <w:r>
        <w:rPr>
          <w:b/>
          <w:bCs/>
        </w:rPr>
        <w:t xml:space="preserve">If Vendor resists perpetual/irrevocable license:</w:t>
      </w:r>
      <w:r>
        <w:t xml:space="preserve"> </w:t>
      </w:r>
      <w:r>
        <w:t xml:space="preserve">Hold irrevocable + perpetual + survives termination as a red line (Playbook §4.4 —</w:t>
      </w:r>
      <w:r>
        <w:t xml:space="preserve"> </w:t>
      </w:r>
      <w:r>
        <w:t xml:space="preserve">“</w:t>
      </w:r>
      <w:r>
        <w:t xml:space="preserve">irrevocable, meaning it cannot be terminated by the vendor for any reason, including breach</w:t>
      </w:r>
      <w:r>
        <w:t xml:space="preserve">”</w:t>
      </w:r>
      <w:r>
        <w:t xml:space="preserve">). A revocable or term-limited license is unacceptable.</w:t>
      </w:r>
    </w:p>
    <w:p>
      <w:pPr>
        <w:pStyle w:val="Compact"/>
        <w:numPr>
          <w:ilvl w:val="0"/>
          <w:numId w:val="1021"/>
        </w:numPr>
      </w:pPr>
      <w:r>
        <w:rPr>
          <w:b/>
          <w:bCs/>
        </w:rPr>
        <w:t xml:space="preserve">Red line:</w:t>
      </w:r>
      <w:r>
        <w:t xml:space="preserve"> </w:t>
      </w:r>
      <w:r>
        <w:t xml:space="preserve">Must include perpetual license + portability. If Vendor refuses, escalate to GC (Playbook §4.4 —</w:t>
      </w:r>
      <w:r>
        <w:t xml:space="preserve"> </w:t>
      </w:r>
      <w:r>
        <w:t xml:space="preserve">“</w:t>
      </w:r>
      <w:r>
        <w:t xml:space="preserve">potential deal termination</w:t>
      </w:r>
      <w:r>
        <w:t xml:space="preserve">”</w:t>
      </w:r>
      <w:r>
        <w:t xml:space="preserve">).</w:t>
      </w:r>
    </w:p>
    <w:bookmarkEnd w:id="57"/>
    <w:bookmarkStart w:id="58" w:name="Xbff5ce41aca85ebf059e5e610aa22c13d520863"/>
    <w:p>
      <w:pPr>
        <w:pStyle w:val="Heading4"/>
      </w:pPr>
      <w:r>
        <w:t xml:space="preserve">(iii) Acceptability Analysis for Vendor Team</w:t>
      </w:r>
    </w:p>
    <w:p>
      <w:pPr>
        <w:pStyle w:val="FirstParagraph"/>
      </w:pPr>
      <w:r>
        <w:rPr>
          <w:b/>
          <w:bCs/>
        </w:rPr>
        <w:t xml:space="preserve">To Sandra Hu:</w:t>
      </w:r>
      <w:r>
        <w:t xml:space="preserve"> </w:t>
      </w:r>
      <w:r>
        <w:t xml:space="preserve">The proposal concedes the central IP-ownership question entirely in Vendor’s favor — Vendor owns all Model IP, including fine-tuned weights, which is Vendor’s opening position and its CTO’s hard line. This is a significant Meridian concession on a term where Meridian’s opening sought Customer ownership of fine-tuned weights. In exchange, Meridian asks only for what Vendor’s own counter already offered (perpetual, irrevocable output license) plus data portability of Customer Data and derivative data sets (excluding model weights/architecture). Hu can accept this as consistent with Vendor’s stated positions.</w:t>
      </w:r>
    </w:p>
    <w:p>
      <w:pPr>
        <w:pStyle w:val="BodyText"/>
      </w:pPr>
      <w:r>
        <w:rPr>
          <w:b/>
          <w:bCs/>
        </w:rPr>
        <w:t xml:space="preserve">To Rafael Bowen:</w:t>
      </w:r>
      <w:r>
        <w:t xml:space="preserve"> </w:t>
      </w:r>
      <w:r>
        <w:t xml:space="preserve">Bowen’s IP-protection concern is fully met: no transfer of model weights, architecture, or proprietary algorithms; no extractable access to weights (the Langford Tier 3 enclave in Term 2 is the only weights-review mechanism, and it is no-extraction). The portability obligation is limited to Customer Data, Outputs, and derivative data sets — not Model IP — and is the same data Meridian would need for any vendor transition. The irrevocable/perpetual license is to Outputs and derivative data sets (the results of processing Meridian’s own data), not to Vendor’s models.</w:t>
      </w:r>
    </w:p>
    <w:p>
      <w:pPr>
        <w:pStyle w:val="BodyText"/>
      </w:pPr>
      <w:r>
        <w:rPr>
          <w:b/>
          <w:bCs/>
        </w:rPr>
        <w:t xml:space="preserve">Likely objection and response.</w:t>
      </w:r>
      <w:r>
        <w:t xml:space="preserve"> </w:t>
      </w:r>
      <w:r>
        <w:t xml:space="preserve">Bowen may resist the</w:t>
      </w:r>
      <w:r>
        <w:t xml:space="preserve"> </w:t>
      </w:r>
      <w:r>
        <w:t xml:space="preserve">“</w:t>
      </w:r>
      <w:r>
        <w:t xml:space="preserve">irrevocable</w:t>
      </w:r>
      <w:r>
        <w:t xml:space="preserve">”</w:t>
      </w:r>
      <w:r>
        <w:t xml:space="preserve"> </w:t>
      </w:r>
      <w:r>
        <w:t xml:space="preserve">qualifier (preferring a license that terminates on breach). Response: irrevocability is the Playbook red line and is justified because Meridian’s clinical records and regulatory filings will embed Outputs indefinitely; a revocable license would create retrospective compliance risk. The license is to Outputs/derivative data, not to Vendor’s models, so irrevocability does not compromise Vendor’s IP.</w:t>
      </w:r>
    </w:p>
    <w:bookmarkEnd w:id="58"/>
    <w:bookmarkStart w:id="59" w:name="Xdc5e4d403da2bcd5a2f1b138216b34bb34f9556"/>
    <w:p>
      <w:pPr>
        <w:pStyle w:val="Heading4"/>
      </w:pPr>
      <w:r>
        <w:t xml:space="preserve">(iv) Regulatory and Compliance Constraints</w:t>
      </w:r>
    </w:p>
    <w:p>
      <w:pPr>
        <w:pStyle w:val="Compact"/>
        <w:numPr>
          <w:ilvl w:val="0"/>
          <w:numId w:val="1022"/>
        </w:numPr>
      </w:pPr>
      <w:r>
        <w:rPr>
          <w:b/>
          <w:bCs/>
        </w:rPr>
        <w:t xml:space="preserve">HIPAA.</w:t>
      </w:r>
      <w:r>
        <w:t xml:space="preserve"> </w:t>
      </w:r>
      <w:r>
        <w:t xml:space="preserve">Outputs and derivative data sets that contain PHI remain subject to the BAA; the perpetual license and portability obligations operate within the BAA’s PHI framework. De-identification standards apply to any aggregated/derivative data Vendor retains.</w:t>
      </w:r>
    </w:p>
    <w:p>
      <w:pPr>
        <w:pStyle w:val="Compact"/>
        <w:numPr>
          <w:ilvl w:val="0"/>
          <w:numId w:val="1022"/>
        </w:numPr>
      </w:pPr>
      <w:r>
        <w:rPr>
          <w:b/>
          <w:bCs/>
        </w:rPr>
        <w:t xml:space="preserve">NJ AI in Healthcare Transparency Act.</w:t>
      </w:r>
      <w:r>
        <w:t xml:space="preserve"> </w:t>
      </w:r>
      <w:r>
        <w:t xml:space="preserve">The Act does not require Meridian to own model weights, but it does require access to model documentation (§7(a)(1)) — satisfied by the Term 2 audit/transparency framework, not by IP ownership. The perpetual license to Outputs supports Meridian’s ongoing transparency and patient-notification obligations.</w:t>
      </w:r>
    </w:p>
    <w:p>
      <w:pPr>
        <w:pStyle w:val="Compact"/>
        <w:numPr>
          <w:ilvl w:val="0"/>
          <w:numId w:val="1022"/>
        </w:numPr>
      </w:pPr>
      <w:r>
        <w:rPr>
          <w:b/>
          <w:bCs/>
        </w:rPr>
        <w:t xml:space="preserve">FDA.</w:t>
      </w:r>
      <w:r>
        <w:t xml:space="preserve"> </w:t>
      </w:r>
      <w:r>
        <w:t xml:space="preserve">If the Platform is FDA-regulated, Vendor’s ownership of Model IP includes the obligation to maintain clearances (Playbook §10.3); the IP structure does not shift FDA obligations to Meridian.</w:t>
      </w:r>
    </w:p>
    <w:p>
      <w:pPr>
        <w:pStyle w:val="Compact"/>
        <w:numPr>
          <w:ilvl w:val="0"/>
          <w:numId w:val="1022"/>
        </w:numPr>
      </w:pPr>
      <w:r>
        <w:rPr>
          <w:b/>
          <w:bCs/>
        </w:rPr>
        <w:t xml:space="preserve">Portability/interoperability.</w:t>
      </w:r>
      <w:r>
        <w:t xml:space="preserve"> </w:t>
      </w:r>
      <w:r>
        <w:t xml:space="preserve">FHIR R4/HL7 v2 export of Customer Data and Outputs supports Meridian’s interoperability obligations and avoids vendor lock-in — the strategic rationale for the Playbook’s portability requirement (§4.1).</w:t>
      </w:r>
    </w:p>
    <w:p>
      <w:r>
        <w:pict>
          <v:rect style="width:0;height:1.5pt" o:hralign="center" o:hrstd="t" o:hr="t"/>
        </w:pict>
      </w:r>
    </w:p>
    <w:bookmarkEnd w:id="59"/>
    <w:bookmarkEnd w:id="60"/>
    <w:bookmarkStart w:id="65" w:name="Xbaee63f16845ca8187a2ccc3e4b9bde3ed586bf"/>
    <w:p>
      <w:pPr>
        <w:pStyle w:val="Heading3"/>
      </w:pPr>
      <w:r>
        <w:t xml:space="preserve">TERM 7 — Indemnification Scope and Defense Procedure</w:t>
      </w:r>
    </w:p>
    <w:p>
      <w:pPr>
        <w:pStyle w:val="FirstParagraph"/>
      </w:pPr>
      <w:r>
        <w:rPr>
          <w:b/>
          <w:bCs/>
        </w:rPr>
        <w:t xml:space="preserve">Agreement sections:</w:t>
      </w:r>
      <w:r>
        <w:t xml:space="preserve"> </w:t>
      </w:r>
      <w:r>
        <w:t xml:space="preserve">§13.1–13.7 (Indemnification); §15.1 (Insurance)</w:t>
      </w:r>
      <w:r>
        <w:t xml:space="preserve"> </w:t>
      </w:r>
      <w:r>
        <w:rPr>
          <w:b/>
          <w:bCs/>
        </w:rPr>
        <w:t xml:space="preserve">Meridian priority rank:</w:t>
      </w:r>
      <w:r>
        <w:t xml:space="preserve"> </w:t>
      </w:r>
      <w:r>
        <w:t xml:space="preserve">7 (lowest) |</w:t>
      </w:r>
      <w:r>
        <w:t xml:space="preserve"> </w:t>
      </w:r>
      <w:r>
        <w:rPr>
          <w:b/>
          <w:bCs/>
        </w:rPr>
        <w:t xml:space="preserve">Vendor priority:</w:t>
      </w:r>
      <w:r>
        <w:t xml:space="preserve"> </w:t>
      </w:r>
      <w:r>
        <w:t xml:space="preserve">High</w:t>
      </w:r>
      <w:r>
        <w:t xml:space="preserve"> </w:t>
      </w:r>
      <w:r>
        <w:rPr>
          <w:b/>
          <w:bCs/>
        </w:rPr>
        <w:t xml:space="preserve">Related:</w:t>
      </w:r>
      <w:r>
        <w:t xml:space="preserve"> </w:t>
      </w:r>
      <w:r>
        <w:t xml:space="preserve">Exhibit F (BAA); Article 15 / Exhibit G (Insurance); Term 1 (super-cap)</w:t>
      </w:r>
    </w:p>
    <w:bookmarkStart w:id="61" w:name="i-proposed-contract-clause-language-6"/>
    <w:p>
      <w:pPr>
        <w:pStyle w:val="Heading4"/>
      </w:pPr>
      <w:r>
        <w:t xml:space="preserve">(i) Proposed Contract Clause Language</w:t>
      </w:r>
    </w:p>
    <w:p>
      <w:pPr>
        <w:pStyle w:val="BlockText"/>
      </w:pPr>
      <w:r>
        <w:rPr>
          <w:b/>
          <w:bCs/>
        </w:rPr>
        <w:t xml:space="preserve">§13.1 Vendor Indemnification.</w:t>
      </w:r>
      <w:r>
        <w:t xml:space="preserve"> </w:t>
      </w:r>
      <w:r>
        <w:t xml:space="preserve">Vendor shall indemnify, defend, and hold harmless Customer and its Affiliates and their respective officers, directors, employees, agents, and medical staff members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suits, proceedings, demands, judgments, damages, liabilities, penalties, fines, losses, costs, and expenses (including reasonable attorneys’ and expert-witness fees) (collectively,</w:t>
      </w:r>
      <w:r>
        <w:t xml:space="preserve"> </w:t>
      </w:r>
      <w:r>
        <w:t xml:space="preserve">“</w:t>
      </w:r>
      <w:r>
        <w:t xml:space="preserve">Losses</w:t>
      </w:r>
      <w:r>
        <w:t xml:space="preserve">”</w:t>
      </w:r>
      <w:r>
        <w:t xml:space="preserve">) arising out of or related to:</w:t>
      </w:r>
    </w:p>
    <w:p>
      <w:pPr>
        <w:pStyle w:val="BlockText"/>
        <w:numPr>
          <w:ilvl w:val="0"/>
          <w:numId w:val="1023"/>
        </w:numPr>
      </w:pPr>
      <w:r>
        <w:rPr>
          <w:b/>
          <w:bCs/>
        </w:rPr>
        <w:t xml:space="preserve">IP Infringement</w:t>
      </w:r>
      <w:r>
        <w:t xml:space="preserve"> </w:t>
      </w:r>
      <w:r>
        <w:t xml:space="preserve">— any allegation that Customer’s authorized use of the Platform infringes or misappropriates any third-party patent, copyright, trademark, or trade secret;</w:t>
      </w:r>
    </w:p>
    <w:p>
      <w:pPr>
        <w:pStyle w:val="BlockText"/>
        <w:numPr>
          <w:ilvl w:val="0"/>
          <w:numId w:val="1023"/>
        </w:numPr>
      </w:pPr>
      <w:r>
        <w:rPr>
          <w:b/>
          <w:bCs/>
        </w:rPr>
        <w:t xml:space="preserve">Data Breach</w:t>
      </w:r>
      <w:r>
        <w:t xml:space="preserve"> </w:t>
      </w:r>
      <w:r>
        <w:t xml:space="preserve">— any claim, regulatory action, or proceeding arising from a Security Incident or Breach of Unsecured PHI (as defined in the BAA) attributable to Vendor, its subprocessors, or its systems, including notification, credit-monitoring, forensic-investigation, and regulatory-fine costs;</w:t>
      </w:r>
    </w:p>
    <w:p>
      <w:pPr>
        <w:pStyle w:val="BlockText"/>
        <w:numPr>
          <w:ilvl w:val="0"/>
          <w:numId w:val="1023"/>
        </w:numPr>
      </w:pPr>
      <w:r>
        <w:rPr>
          <w:b/>
          <w:bCs/>
        </w:rPr>
        <w:t xml:space="preserve">Regulatory Penalties</w:t>
      </w:r>
      <w:r>
        <w:t xml:space="preserve"> </w:t>
      </w:r>
      <w:r>
        <w:t xml:space="preserve">— any civil penalty, fine, or enforcement action by a governmental authority (including HHS OCR, the NJ Department of Health, the FDA, or any state attorney general) arising from Vendor’s acts or omissions in connection with the Platform, including non-compliance with HIPAA, HITECH, the NJ AI in Healthcare Transparency Act, or applicable FDA regulations, to the extent such penalty is attributable to Vendor’s breach of its documentation, audit-cooperation, or regulatory-cooperation obligations under this Agreement; and</w:t>
      </w:r>
    </w:p>
    <w:p>
      <w:pPr>
        <w:pStyle w:val="BlockText"/>
        <w:numPr>
          <w:ilvl w:val="0"/>
          <w:numId w:val="1023"/>
        </w:numPr>
      </w:pPr>
      <w:r>
        <w:rPr>
          <w:b/>
          <w:bCs/>
        </w:rPr>
        <w:t xml:space="preserve">Patient-Harm from AI-Output Errors</w:t>
      </w:r>
      <w:r>
        <w:t xml:space="preserve"> </w:t>
      </w:r>
      <w:r>
        <w:t xml:space="preserve">— any claim alleging bodily injury, clinical misdiagnosis, treatment error, or other patient harm caused by or materially contributed to by an Output, recommendation, alert, or decision-support result generated by the Platform that is alleged to be inaccurate, misleading, biased, delayed, or otherwise deficient, where the proximate cause of the harm is an erroneous, misleading, or defective AI-generated output.</w:t>
      </w:r>
    </w:p>
    <w:p>
      <w:pPr>
        <w:pStyle w:val="BlockText"/>
      </w:pPr>
      <w:r>
        <w:rPr>
          <w:b/>
          <w:bCs/>
        </w:rPr>
        <w:t xml:space="preserve">§13.5 Defense Control — Shared Defense for Patient-Safety Claims.</w:t>
      </w:r>
    </w:p>
    <w:p>
      <w:pPr>
        <w:pStyle w:val="BlockText"/>
        <w:numPr>
          <w:ilvl w:val="0"/>
          <w:numId w:val="1024"/>
        </w:numPr>
      </w:pPr>
      <w:r>
        <w:rPr>
          <w:b/>
          <w:bCs/>
        </w:rPr>
        <w:t xml:space="preserve">General.</w:t>
      </w:r>
      <w:r>
        <w:t xml:space="preserve"> </w:t>
      </w:r>
      <w:r>
        <w:t xml:space="preserve">For claims under Section 13.1(a), (b), and (c), the Indemnifying Party (Vendor) shall have primary control of the defense and settlement, provided that no settlement shall impose liability or admit fault on behalf of the Indemnified Party without its prior written consent (not to be unreasonably withheld).</w:t>
      </w:r>
    </w:p>
    <w:p>
      <w:pPr>
        <w:pStyle w:val="BlockText"/>
        <w:numPr>
          <w:ilvl w:val="0"/>
          <w:numId w:val="1024"/>
        </w:numPr>
      </w:pPr>
      <w:r>
        <w:rPr>
          <w:b/>
          <w:bCs/>
        </w:rPr>
        <w:t xml:space="preserve">Patient-Safety Claims — Shared Defense.</w:t>
      </w:r>
      <w:r>
        <w:t xml:space="preserve"> </w:t>
      </w:r>
      <w:r>
        <w:t xml:space="preserve">For claims under Section 13.1(d) (Patient-Harm from AI-Output Errors): (i) Vendor shall be primarily responsible for the defense and indemnification of claims directly attributable to AI-output errors; (ii) Customer shall be primarily responsible for claims arising from clinician override or independent clinical judgment; (iii) for mixed-causation claims, the Parties shall cooperate in a shared defense, each bearing its proportionate share of defense costs and indemnification obligations in good faith, with allocation determined through the dispute-resolution process in Section 16.2 if the Parties cannot agree; (iv) neither Party shall settle a patient-safety claim without the other Party’s prior written consent; and (v) Customer shall have the right to participate with counsel of its choosing at its own expense, and Vendor shall not settle any patient-safety claim in a manner that adversely affects Customer’s clinical reputation without Customer’s consent.</w:t>
      </w:r>
    </w:p>
    <w:p>
      <w:pPr>
        <w:pStyle w:val="BlockText"/>
      </w:pPr>
      <w:r>
        <w:rPr>
          <w:b/>
          <w:bCs/>
        </w:rPr>
        <w:t xml:space="preserve">§13.7 Indemnification Cap.</w:t>
      </w:r>
      <w:r>
        <w:t xml:space="preserve"> </w:t>
      </w:r>
      <w:r>
        <w:t xml:space="preserve">Vendor’s aggregate indemnification liability under this Article 13 shall be subject to the Super-Cap set forth in Section 12.3 ($28,800,000 as of the first Contract Year), except that indemnification for Regulatory Penalties under Section 13.1(c) arising from Vendor’s breach of its NJ AI in Healthcare Transparency Act obligations shall not be subject to the General Cap and shall be subject to the Super-Cap. Vendor’s indemnification obligations under Section 13.1(a) (IP) are eligible for the Super-Cap per Section 12.3(b).</w:t>
      </w:r>
    </w:p>
    <w:bookmarkEnd w:id="61"/>
    <w:bookmarkStart w:id="62" w:name="X5418807f76de1d6dc926f246c44ebca0e89a09f"/>
    <w:p>
      <w:pPr>
        <w:pStyle w:val="Heading4"/>
      </w:pPr>
      <w:r>
        <w:t xml:space="preserve">(ii) Negotiation Rationale and Fallback Ladder</w:t>
      </w:r>
    </w:p>
    <w:p>
      <w:pPr>
        <w:pStyle w:val="FirstParagraph"/>
      </w:pPr>
      <w:r>
        <w:rPr>
          <w:b/>
          <w:bCs/>
        </w:rPr>
        <w:t xml:space="preserve">Positions and red 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Vendor opening</w:t>
            </w:r>
          </w:p>
        </w:tc>
        <w:tc>
          <w:tcPr/>
          <w:p>
            <w:pPr>
              <w:pStyle w:val="Compact"/>
              <w:jc w:val="left"/>
            </w:pPr>
            <w:r>
              <w:t xml:space="preserve">Customer opening</w:t>
            </w:r>
          </w:p>
        </w:tc>
        <w:tc>
          <w:tcPr/>
          <w:p>
            <w:pPr>
              <w:pStyle w:val="Compact"/>
              <w:jc w:val="left"/>
            </w:pPr>
            <w:r>
              <w:t xml:space="preserve">Vendor counter (June 30)</w:t>
            </w:r>
          </w:p>
        </w:tc>
        <w:tc>
          <w:tcPr/>
          <w:p>
            <w:pPr>
              <w:pStyle w:val="Compact"/>
              <w:jc w:val="left"/>
            </w:pPr>
            <w:r>
              <w:t xml:space="preserve">Meridian red line</w:t>
            </w:r>
          </w:p>
        </w:tc>
      </w:tr>
      <w:tr>
        <w:tc>
          <w:tcPr/>
          <w:p>
            <w:pPr>
              <w:pStyle w:val="Compact"/>
              <w:jc w:val="left"/>
            </w:pPr>
            <w:r>
              <w:t xml:space="preserve">Indemnity scope</w:t>
            </w:r>
          </w:p>
        </w:tc>
        <w:tc>
          <w:tcPr/>
          <w:p>
            <w:pPr>
              <w:pStyle w:val="Compact"/>
              <w:jc w:val="left"/>
            </w:pPr>
            <w:r>
              <w:t xml:space="preserve">IP infringement only</w:t>
            </w:r>
          </w:p>
        </w:tc>
        <w:tc>
          <w:tcPr/>
          <w:p>
            <w:pPr>
              <w:pStyle w:val="Compact"/>
              <w:jc w:val="left"/>
            </w:pPr>
            <w:r>
              <w:t xml:space="preserve">IP + regulatory + patient harm + data breach</w:t>
            </w:r>
          </w:p>
        </w:tc>
        <w:tc>
          <w:tcPr/>
          <w:p>
            <w:pPr>
              <w:pStyle w:val="Compact"/>
              <w:jc w:val="left"/>
            </w:pPr>
            <w:r>
              <w:t xml:space="preserve">IP + data breach only (declines patient-harm, regulatory)</w:t>
            </w:r>
          </w:p>
        </w:tc>
        <w:tc>
          <w:tcPr/>
          <w:p>
            <w:pPr>
              <w:pStyle w:val="Compact"/>
              <w:jc w:val="left"/>
            </w:pPr>
            <w:r>
              <w:t xml:space="preserve">Must include patient harm + IP at minimum</w:t>
            </w:r>
          </w:p>
        </w:tc>
      </w:tr>
      <w:tr>
        <w:tc>
          <w:tcPr/>
          <w:p>
            <w:pPr>
              <w:pStyle w:val="Compact"/>
              <w:jc w:val="left"/>
            </w:pPr>
            <w:r>
              <w:t xml:space="preserve">Defense control</w:t>
            </w:r>
          </w:p>
        </w:tc>
        <w:tc>
          <w:tcPr/>
          <w:p>
            <w:pPr>
              <w:pStyle w:val="Compact"/>
              <w:jc w:val="left"/>
            </w:pPr>
            <w:r>
              <w:t xml:space="preserve">Vendor controls all</w:t>
            </w:r>
          </w:p>
        </w:tc>
        <w:tc>
          <w:tcPr/>
          <w:p>
            <w:pPr>
              <w:pStyle w:val="Compact"/>
              <w:jc w:val="left"/>
            </w:pPr>
            <w:r>
              <w:t xml:space="preserve">Customer controls patient-safety</w:t>
            </w:r>
          </w:p>
        </w:tc>
        <w:tc>
          <w:tcPr/>
          <w:p>
            <w:pPr>
              <w:pStyle w:val="Compact"/>
              <w:jc w:val="left"/>
            </w:pPr>
            <w:r>
              <w:t xml:space="preserve">Vendor controls; offers joint defense</w:t>
            </w:r>
          </w:p>
        </w:tc>
        <w:tc>
          <w:tcPr/>
          <w:p>
            <w:pPr>
              <w:pStyle w:val="Compact"/>
              <w:jc w:val="left"/>
            </w:pPr>
            <w:r>
              <w:t xml:space="preserve">Customer meaningful control over patient-safety defense</w:t>
            </w:r>
          </w:p>
        </w:tc>
      </w:tr>
      <w:tr>
        <w:tc>
          <w:tcPr/>
          <w:p>
            <w:pPr>
              <w:pStyle w:val="Compact"/>
              <w:jc w:val="left"/>
            </w:pPr>
            <w:r>
              <w:t xml:space="preserve">Cap</w:t>
            </w:r>
          </w:p>
        </w:tc>
        <w:tc>
          <w:tcPr/>
          <w:p>
            <w:pPr>
              <w:pStyle w:val="Compact"/>
              <w:jc w:val="left"/>
            </w:pPr>
            <w:r>
              <w:t xml:space="preserve">= general liability cap</w:t>
            </w:r>
          </w:p>
        </w:tc>
        <w:tc>
          <w:tcPr/>
          <w:p>
            <w:pPr>
              <w:pStyle w:val="Compact"/>
              <w:jc w:val="left"/>
            </w:pPr>
            <w:r>
              <w:t xml:space="preserve">Excluded from general cap</w:t>
            </w:r>
          </w:p>
        </w:tc>
        <w:tc>
          <w:tcPr/>
          <w:p>
            <w:pPr>
              <w:pStyle w:val="Compact"/>
              <w:jc w:val="left"/>
            </w:pPr>
            <w:r>
              <w:t xml:space="preserve">(linked to cap dispute)</w:t>
            </w:r>
          </w:p>
        </w:tc>
        <w:tc>
          <w:tcPr/>
          <w:p>
            <w:pPr>
              <w:pStyle w:val="Compact"/>
              <w:jc w:val="left"/>
            </w:pPr>
            <w:r>
              <w:t xml:space="preserve">Never less than super-cap floor</w:t>
            </w:r>
          </w:p>
        </w:tc>
      </w:tr>
    </w:tbl>
    <w:p>
      <w:pPr>
        <w:pStyle w:val="BodyText"/>
      </w:pPr>
      <w:r>
        <w:rPr>
          <w:b/>
          <w:bCs/>
        </w:rPr>
        <w:t xml:space="preserve">Recommended landing zone and why.</w:t>
      </w:r>
      <w:r>
        <w:t xml:space="preserve"> </w:t>
      </w:r>
      <w:r>
        <w:t xml:space="preserve">This is Meridian’s lowest-priority term (Playbook §2.5:</w:t>
      </w:r>
      <w:r>
        <w:t xml:space="preserve"> </w:t>
      </w:r>
      <w:r>
        <w:t xml:space="preserve">“</w:t>
      </w:r>
      <w:r>
        <w:t xml:space="preserve">the most readily tradeable</w:t>
      </w:r>
      <w:r>
        <w:t xml:space="preserve">”</w:t>
      </w:r>
      <w:r>
        <w:t xml:space="preserve">), and the Playbook trade-off guidance (§7.3) authorizes moderate flexibility on indemnification scope where Vendor offers meaningful concessions on patient-safety liability (Term 1) or audit rights (Term 2). The proposal lands at the Playbook fallback (§7.2):</w:t>
      </w:r>
      <w:r>
        <w:t xml:space="preserve"> </w:t>
      </w:r>
      <w:r>
        <w:rPr>
          <w:b/>
          <w:bCs/>
        </w:rPr>
        <w:t xml:space="preserve">shared defense with Vendor primary for AI-output claims</w:t>
      </w:r>
      <w:r>
        <w:t xml:space="preserve">. On scope, the proposal secures the Meridian red line (patient-harm + IP at minimum) plus data breach (Vendor concedes) plus regulatory penalties (supported by the NJ Act, which assesses penalties against Meridian as covered entity — making Vendor indemnification for Vendor-attributable penalties essential). The defense-control concession (from Customer-controls to shared/Vendor-primary) is the principal Meridian concession, justified by the priority ranking and the Term 1 super-cap that backstops patient-safety exposure. The proposal is designed to work as a coherent liability package with Term 1: the super-cap (Term 1) is the indemnification cap (Term 7 §13.7), and the patient-safety carve-out (Term 1) and patient-harm indemnity (Term 7) cover the same risk from cap and indemnity angles.</w:t>
      </w:r>
    </w:p>
    <w:p>
      <w:pPr>
        <w:pStyle w:val="BodyText"/>
      </w:pPr>
      <w:r>
        <w:rPr>
          <w:b/>
          <w:bCs/>
        </w:rPr>
        <w:t xml:space="preserve">Fallback ladder:</w:t>
      </w:r>
    </w:p>
    <w:p>
      <w:pPr>
        <w:pStyle w:val="Compact"/>
        <w:numPr>
          <w:ilvl w:val="0"/>
          <w:numId w:val="1025"/>
        </w:numPr>
      </w:pPr>
      <w:r>
        <w:rPr>
          <w:b/>
          <w:bCs/>
        </w:rPr>
        <w:t xml:space="preserve">Primary (proposed):</w:t>
      </w:r>
      <w:r>
        <w:t xml:space="preserve"> </w:t>
      </w:r>
      <w:r>
        <w:t xml:space="preserve">IP + data breach + regulatory penalties + patient-harm (AI-output) indemnity; shared defense, Vendor primary for AI-output claims; subject to super-cap.</w:t>
      </w:r>
    </w:p>
    <w:p>
      <w:pPr>
        <w:pStyle w:val="Compact"/>
        <w:numPr>
          <w:ilvl w:val="0"/>
          <w:numId w:val="1025"/>
        </w:numPr>
      </w:pPr>
      <w:r>
        <w:rPr>
          <w:b/>
          <w:bCs/>
        </w:rPr>
        <w:t xml:space="preserve">If Vendor resists patient-harm indemnity:</w:t>
      </w:r>
      <w:r>
        <w:t xml:space="preserve"> </w:t>
      </w:r>
      <w:r>
        <w:t xml:space="preserve">Hold patient-harm + IP as the red-line minimum (Playbook §7.4). Offer to narrow patient-harm indemnity to claims where the AI output was the proximate cause (already in the proposal) and to accept shared defense (already in the proposal). Eliminating patient-harm indemnity entirely requires GC escalation (Playbook §7.3).</w:t>
      </w:r>
    </w:p>
    <w:p>
      <w:pPr>
        <w:pStyle w:val="Compact"/>
        <w:numPr>
          <w:ilvl w:val="0"/>
          <w:numId w:val="1025"/>
        </w:numPr>
      </w:pPr>
      <w:r>
        <w:rPr>
          <w:b/>
          <w:bCs/>
        </w:rPr>
        <w:t xml:space="preserve">If Vendor resists regulatory-penalty indemnity:</w:t>
      </w:r>
      <w:r>
        <w:t xml:space="preserve"> </w:t>
      </w:r>
      <w:r>
        <w:t xml:space="preserve">Note that the NJ Act assesses penalties against Meridian (covered entity) for Vendor-attributable non-compliance; without indemnity, Meridian bears regulatory exposure for Vendor’s breach. Hold regulatory-penalty indemnity for Vendor-attributable NJ Act/HIPAA/FDA penalties, carved out of the general cap.</w:t>
      </w:r>
    </w:p>
    <w:p>
      <w:pPr>
        <w:pStyle w:val="Compact"/>
        <w:numPr>
          <w:ilvl w:val="0"/>
          <w:numId w:val="1025"/>
        </w:numPr>
      </w:pPr>
      <w:r>
        <w:rPr>
          <w:b/>
          <w:bCs/>
        </w:rPr>
        <w:t xml:space="preserve">If Vendor insists on Customer defense control for all patient-safety claims:</w:t>
      </w:r>
      <w:r>
        <w:t xml:space="preserve"> </w:t>
      </w:r>
      <w:r>
        <w:t xml:space="preserve">Accept shared defense (Vendor primary for AI-output, Customer primary for clinician-override) as the fallback; do not concede Customer-controlled defense of all patient-safety claims unless paired with a major Term 1 concession.</w:t>
      </w:r>
    </w:p>
    <w:p>
      <w:pPr>
        <w:pStyle w:val="Compact"/>
        <w:numPr>
          <w:ilvl w:val="0"/>
          <w:numId w:val="1025"/>
        </w:numPr>
      </w:pPr>
      <w:r>
        <w:rPr>
          <w:b/>
          <w:bCs/>
        </w:rPr>
        <w:t xml:space="preserve">Red line:</w:t>
      </w:r>
      <w:r>
        <w:t xml:space="preserve"> </w:t>
      </w:r>
      <w:r>
        <w:t xml:space="preserve">Must include patient harm + IP at minimum; never less than super-cap floor. Eliminating patient-harm indemnity requires GC escalation.</w:t>
      </w:r>
    </w:p>
    <w:bookmarkEnd w:id="62"/>
    <w:bookmarkStart w:id="63" w:name="Xf9619c571a6168eef91f1f4dde39294a05cd8f6"/>
    <w:p>
      <w:pPr>
        <w:pStyle w:val="Heading4"/>
      </w:pPr>
      <w:r>
        <w:t xml:space="preserve">(iii) Acceptability Analysis for Vendor Team</w:t>
      </w:r>
    </w:p>
    <w:p>
      <w:pPr>
        <w:pStyle w:val="FirstParagraph"/>
      </w:pPr>
      <w:r>
        <w:rPr>
          <w:b/>
          <w:bCs/>
        </w:rPr>
        <w:t xml:space="preserve">To Sandra Hu:</w:t>
      </w:r>
      <w:r>
        <w:t xml:space="preserve"> </w:t>
      </w:r>
      <w:r>
        <w:t xml:space="preserve">The scope expansion (adding data breach, regulatory penalties, and patient-harm) is calibrated: data breach is already conceded by Vendor; regulatory-penalty indemnity is limited to penalties attributable to Vendor’s own breach of its documentation/audit/cooperation obligations (not Meridian’s operational failures); and patient-harm indemnity is limited to claims where the AI output was the proximate cause (excluding clinician-override cases, which remain Customer’s responsibility). The shared-defense structure gives Vendor primary control of AI-output claims (Vendor’s preferred position) while preserving Customer participation and settlement-consent rights for reputation-sensitive patient-safety claims.</w:t>
      </w:r>
    </w:p>
    <w:p>
      <w:pPr>
        <w:pStyle w:val="BodyText"/>
      </w:pPr>
      <w:r>
        <w:rPr>
          <w:b/>
          <w:bCs/>
        </w:rPr>
        <w:t xml:space="preserve">To Rafael Bowen:</w:t>
      </w:r>
      <w:r>
        <w:t xml:space="preserve"> </w:t>
      </w:r>
      <w:r>
        <w:t xml:space="preserve">Bowen’s concern is open-ended liability exposure. The proposal bounds it: indemnification is subject to the Term 1 super-cap ($28.8M), not uncapped; patient-harm indemnity is proximate-cause-limited (excluding clinician-override/independent-judgment cases, which Vendor’s standards summary correctly identifies as clinical-malpractice matters outside a software vendor’s scope); and the shared-defense structure allocates clinician-override claims to Customer. The regulatory-penalty indemnity is tied to Vendor’s own contractual obligations (documentation, audit cooperation) — Vendor controls whether it breaches these. The package is coherent with Term 1’s cap structure, avoiding double-exposure.</w:t>
      </w:r>
    </w:p>
    <w:p>
      <w:pPr>
        <w:pStyle w:val="BodyText"/>
      </w:pPr>
      <w:r>
        <w:rPr>
          <w:b/>
          <w:bCs/>
        </w:rPr>
        <w:t xml:space="preserve">Likely objection and response.</w:t>
      </w:r>
      <w:r>
        <w:t xml:space="preserve"> </w:t>
      </w:r>
      <w:r>
        <w:t xml:space="preserve">Bowen will resist patient-harm and regulatory indemnity as outside a software vendor’s scope. Response: (a) patient-harm indemnity is proximate-cause-limited to AI-output errors — the category where Vendor’s product, not Meridian’s clinicians, caused the harm; (b) regulatory-penalty indemnity is limited to Vendor-attributable non-compliance, and the NJ Act’s penalty regime (assessed against Meridian) makes this indemnity essential for Meridian to accept the regulatory risk of deploying Vendor’s Platform; (c) both are capped at the super-cap, bounding exposure. The board risk committee’s Tier 1 designation means Meridian cannot accept a deal where Vendor does not stand behind its product’s clinical outputs.</w:t>
      </w:r>
    </w:p>
    <w:bookmarkEnd w:id="63"/>
    <w:bookmarkStart w:id="64" w:name="X31c0b18b1d95b4b36e266108dbd31970c3170cd"/>
    <w:p>
      <w:pPr>
        <w:pStyle w:val="Heading4"/>
      </w:pPr>
      <w:r>
        <w:t xml:space="preserve">(iv) Regulatory and Compliance Constraints</w:t>
      </w:r>
    </w:p>
    <w:p>
      <w:pPr>
        <w:pStyle w:val="Compact"/>
        <w:numPr>
          <w:ilvl w:val="0"/>
          <w:numId w:val="1026"/>
        </w:numPr>
      </w:pPr>
      <w:r>
        <w:rPr>
          <w:b/>
          <w:bCs/>
        </w:rPr>
        <w:t xml:space="preserve">NJ AI in Healthcare Transparency Act.</w:t>
      </w:r>
      <w:r>
        <w:t xml:space="preserve"> </w:t>
      </w:r>
      <w:r>
        <w:t xml:space="preserve">Penalties (up to $50,000/violation, per-day accrual) are assessed against Meridian as the covered entity, not Vendor. Where Meridian incurs penalties because Vendor failed to provide required documentation, audit access, or regulatory cooperation, Meridian’s only recourse is contractual — making the §13.1(c) regulatory-penalty indemnity essential. Whitfield Ames recommends this indemnity be carved out of the general cap (or subject to the super-cap), given the per-day accrual mechanism could produce substantial aggregate exposure. The proposal places it at the super-cap. The Act does not create a private right of action but expressly does not preempt existing state or federal causes of action (medical malpractice, negligence, products liability, NJ Consumer Fraud Act); evidence of Act non-compliance could be admissible in such litigation, reinforcing the need for the §13.1(d) patient-harm indemnity to cover AI-output-deficiency claims that may surface in malpractice actions.</w:t>
      </w:r>
    </w:p>
    <w:p>
      <w:pPr>
        <w:pStyle w:val="Compact"/>
        <w:numPr>
          <w:ilvl w:val="0"/>
          <w:numId w:val="1026"/>
        </w:numPr>
      </w:pPr>
      <w:r>
        <w:rPr>
          <w:b/>
          <w:bCs/>
        </w:rPr>
        <w:t xml:space="preserve">HIPAA.</w:t>
      </w:r>
      <w:r>
        <w:t xml:space="preserve"> </w:t>
      </w:r>
      <w:r>
        <w:t xml:space="preserve">Data-breach indemnity (§13.1(b)) complements the BAA; the BAA governs PHI obligations while the indemnity provides third-party-claim defense. Meridian’s 24-hour breach-notification standard and the BAA’s breach framework apply. The agreed Exhibit E security framework (AES-256 encryption, customer-managed CMKs, RBAC + MFA, 7-year audit logging) backstops the HIPAA Security Rule obligations underlying the data-breach indemnity.</w:t>
      </w:r>
    </w:p>
    <w:p>
      <w:pPr>
        <w:pStyle w:val="Compact"/>
        <w:numPr>
          <w:ilvl w:val="0"/>
          <w:numId w:val="1026"/>
        </w:numPr>
      </w:pPr>
      <w:r>
        <w:rPr>
          <w:b/>
          <w:bCs/>
        </w:rPr>
        <w:t xml:space="preserve">Pennsylvania Breach of Personal Information Notification Act (73 Pa. Stat. § 2303).</w:t>
      </w:r>
      <w:r>
        <w:t xml:space="preserve"> </w:t>
      </w:r>
      <w:r>
        <w:t xml:space="preserve">Applies to personal information of individuals associated with Meridian’s six (6) Pennsylvania facilities. A data breach affecting PA-facility personal information triggers Vendor’s breach-notification and cooperation obligations under Exhibit D §8.3 and the §13.1(b) data-breach indemnity; Vendor must cooperate with notification to affected individuals, the Pennsylvania Attorney General, and other authorities.</w:t>
      </w:r>
    </w:p>
    <w:p>
      <w:pPr>
        <w:pStyle w:val="Compact"/>
        <w:numPr>
          <w:ilvl w:val="0"/>
          <w:numId w:val="1026"/>
        </w:numPr>
      </w:pPr>
      <w:r>
        <w:rPr>
          <w:b/>
          <w:bCs/>
        </w:rPr>
        <w:t xml:space="preserve">FDA.</w:t>
      </w:r>
      <w:r>
        <w:t xml:space="preserve"> </w:t>
      </w:r>
      <w:r>
        <w:t xml:space="preserve">Where the Platform is FDA-regulated, Vendor’s failure to maintain clearances or to notify Meridian of adverse FDA action creates regulatory exposure; the §13.1(c) regulatory-penalty indemnity and the Playbook §10.3 FDA cooperation/indemnification provisions align.</w:t>
      </w:r>
    </w:p>
    <w:p>
      <w:pPr>
        <w:pStyle w:val="Compact"/>
        <w:numPr>
          <w:ilvl w:val="0"/>
          <w:numId w:val="1026"/>
        </w:numPr>
      </w:pPr>
      <w:r>
        <w:rPr>
          <w:b/>
          <w:bCs/>
        </w:rPr>
        <w:t xml:space="preserve">Board Risk Committee.</w:t>
      </w:r>
      <w:r>
        <w:t xml:space="preserve"> </w:t>
      </w:r>
      <w:r>
        <w:t xml:space="preserve">Although Term 7 is Meridian’s lowest priority, the Tier 1 enterprise-risk designation means indemnification terms will receive board scrutiny. The proposal’s preservation of patient-harm indemnity and regulatory-penalty indemnity is defensible in that context; eliminating patient-harm indemnity would not be.</w:t>
      </w:r>
    </w:p>
    <w:p>
      <w:pPr>
        <w:pStyle w:val="Compact"/>
        <w:numPr>
          <w:ilvl w:val="0"/>
          <w:numId w:val="1026"/>
        </w:numPr>
      </w:pPr>
      <w:r>
        <w:rPr>
          <w:b/>
          <w:bCs/>
        </w:rPr>
        <w:t xml:space="preserve">Insurance backstop.</w:t>
      </w:r>
      <w:r>
        <w:t xml:space="preserve"> </w:t>
      </w:r>
      <w:r>
        <w:t xml:space="preserve">The Term 1 insurance commitment ($30M/$60M by March 31, 2026 with step-in rights) is the collectability backstop for the indemnification obligations; the two terms must be presented together.</w:t>
      </w:r>
    </w:p>
    <w:p>
      <w:r>
        <w:pict>
          <v:rect style="width:0;height:1.5pt" o:hralign="center" o:hrstd="t" o:hr="t"/>
        </w:pict>
      </w:r>
    </w:p>
    <w:bookmarkEnd w:id="64"/>
    <w:bookmarkEnd w:id="65"/>
    <w:bookmarkEnd w:id="66"/>
    <w:bookmarkStart w:id="70" w:name="Xa85ab862423ae05214cee5ce18835c5db144f9b"/>
    <w:p>
      <w:pPr>
        <w:pStyle w:val="Heading2"/>
      </w:pPr>
      <w:r>
        <w:t xml:space="preserve">IV. Concession Sequencing and Package Strategy for July 18</w:t>
      </w:r>
    </w:p>
    <w:bookmarkStart w:id="67" w:name="a.-sequencing"/>
    <w:p>
      <w:pPr>
        <w:pStyle w:val="Heading3"/>
      </w:pPr>
      <w:r>
        <w:t xml:space="preserve">A. Sequencing</w:t>
      </w:r>
    </w:p>
    <w:p>
      <w:pPr>
        <w:pStyle w:val="FirstParagraph"/>
      </w:pPr>
      <w:r>
        <w:t xml:space="preserve">The July 18 session should be sequenced to deploy concessions strategically:</w:t>
      </w:r>
    </w:p>
    <w:p>
      <w:pPr>
        <w:numPr>
          <w:ilvl w:val="0"/>
          <w:numId w:val="1027"/>
        </w:numPr>
      </w:pPr>
      <w:r>
        <w:rPr>
          <w:b/>
          <w:bCs/>
        </w:rPr>
        <w:t xml:space="preserve">Open with Terms 1 and 2 (patient-safety liability, audit rights).</w:t>
      </w:r>
      <w:r>
        <w:t xml:space="preserve"> </w:t>
      </w:r>
      <w:r>
        <w:t xml:space="preserve">Frame audit rights as a regulatory compliance baseline (NJ Act), not a commercial preference — per Whitfield Ames’s recommendation to reframe the discussion. Use comparable-deal intelligence on the liability cap carefully (anchor on</w:t>
      </w:r>
      <w:r>
        <w:t xml:space="preserve"> </w:t>
      </w:r>
      <w:r>
        <w:t xml:space="preserve">“</w:t>
      </w:r>
      <w:r>
        <w:t xml:space="preserve">market practice,</w:t>
      </w:r>
      <w:r>
        <w:t xml:space="preserve">”</w:t>
      </w:r>
      <w:r>
        <w:t xml:space="preserve"> </w:t>
      </w:r>
      <w:r>
        <w:t xml:space="preserve">do not disclose source). Hold the patient-safety 3× ACV floor as non-negotiable.</w:t>
      </w:r>
    </w:p>
    <w:p>
      <w:pPr>
        <w:numPr>
          <w:ilvl w:val="0"/>
          <w:numId w:val="1027"/>
        </w:numPr>
      </w:pPr>
      <w:r>
        <w:rPr>
          <w:b/>
          <w:bCs/>
        </w:rPr>
        <w:t xml:space="preserve">Move to Term 3 (termination).</w:t>
      </w:r>
      <w:r>
        <w:t xml:space="preserve"> </w:t>
      </w:r>
      <w:r>
        <w:t xml:space="preserve">Present the graduated ETF as the workable framework both sides’ principals have signaled. Pair it with robust transition and data-export obligations — these terms travel together.</w:t>
      </w:r>
    </w:p>
    <w:p>
      <w:pPr>
        <w:numPr>
          <w:ilvl w:val="0"/>
          <w:numId w:val="1027"/>
        </w:numPr>
      </w:pPr>
      <w:r>
        <w:rPr>
          <w:b/>
          <w:bCs/>
        </w:rPr>
        <w:t xml:space="preserve">Deploy Term 4 (data usage) as concession currency.</w:t>
      </w:r>
      <w:r>
        <w:t xml:space="preserve"> </w:t>
      </w:r>
      <w:r>
        <w:t xml:space="preserve">Hold the opening per-use-case-consent position through the early rounds. Once Vendor has moved on Terms 1–3, offer the calibrated 45-day opt-out + retraining-alternative package in exchange for closing the remaining gaps on Terms 1–3. This is the term where Meridian has leverage (Vendor’s #1 priority) and should spend it last.</w:t>
      </w:r>
    </w:p>
    <w:p>
      <w:pPr>
        <w:numPr>
          <w:ilvl w:val="0"/>
          <w:numId w:val="1027"/>
        </w:numPr>
      </w:pPr>
      <w:r>
        <w:rPr>
          <w:b/>
          <w:bCs/>
        </w:rPr>
        <w:t xml:space="preserve">Close Terms 5, 6, 7.</w:t>
      </w:r>
      <w:r>
        <w:t xml:space="preserve"> </w:t>
      </w:r>
      <w:r>
        <w:t xml:space="preserve">Term 5 (SLA) lands at the Playbook fallback (binding benchmarks, 3-miss trigger). Term 6 (IP) lands at the Playbook final fallback (Vendor ownership + perpetual license + portability) — present as a Meridian concession. Term 7 (indemnification) lands at shared defense with the scope red lines preserved.</w:t>
      </w:r>
    </w:p>
    <w:bookmarkEnd w:id="67"/>
    <w:bookmarkStart w:id="68" w:name="b.-package-approach"/>
    <w:p>
      <w:pPr>
        <w:pStyle w:val="Heading3"/>
      </w:pPr>
      <w:r>
        <w:t xml:space="preserve">B. Package Approach</w:t>
      </w:r>
    </w:p>
    <w:p>
      <w:pPr>
        <w:pStyle w:val="FirstParagraph"/>
      </w:pPr>
      <w:r>
        <w:t xml:space="preserve">The Playbook’s critical rule (§2.5) prohibits conceding a higher-priority item for a lower-priority one without GC approval. The package approach at the table should be:</w:t>
      </w:r>
      <w:r>
        <w:t xml:space="preserve"> </w:t>
      </w:r>
      <w:r>
        <w:rPr>
          <w:b/>
          <w:bCs/>
        </w:rPr>
        <w:t xml:space="preserve">concessions flow downhill</w:t>
      </w:r>
      <w:r>
        <w:t xml:space="preserve"> </w:t>
      </w:r>
      <w:r>
        <w:t xml:space="preserve">— Meridian concedes on Term 4 (data usage, Vendor’s #1) and Term 6 (IP ownership) to secure Terms 1–3 (patient-safety, audit, termination). Concessions on Term 7 (indemnification defense control) are available only if Term 1 (patient-safety super-cap) is secured at or above the 3× ACV floor.</w:t>
      </w:r>
    </w:p>
    <w:bookmarkEnd w:id="68"/>
    <w:bookmarkStart w:id="69" w:name="Xfb9873172ccca1f60c664ed0cb63015b37d7bac"/>
    <w:p>
      <w:pPr>
        <w:pStyle w:val="Heading3"/>
      </w:pPr>
      <w:r>
        <w:t xml:space="preserve">C. Items Requiring GC Escalation Before Final Acceptance</w:t>
      </w:r>
    </w:p>
    <w:p>
      <w:pPr>
        <w:pStyle w:val="FirstParagraph"/>
      </w:pPr>
      <w:r>
        <w:t xml:space="preserve">The following proposed landing zones deviate from Playbook absolute floors/red lines and require Dr. Narayanan’s GC-level approval (and, for the patient-safety floor, Board Risk Committee concurrence) before Meridian communicates acceptance: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Deviation</w:t>
            </w:r>
          </w:p>
        </w:tc>
        <w:tc>
          <w:tcPr/>
          <w:p>
            <w:pPr>
              <w:pStyle w:val="Compact"/>
              <w:jc w:val="left"/>
            </w:pPr>
            <w:r>
              <w:t xml:space="preserve">Playbook reference</w:t>
            </w:r>
          </w:p>
        </w:tc>
        <w:tc>
          <w:tcPr/>
          <w:p>
            <w:pPr>
              <w:pStyle w:val="Compact"/>
              <w:jc w:val="left"/>
            </w:pPr>
            <w:r>
              <w:t xml:space="preserve">Escalation to</w:t>
            </w:r>
          </w:p>
        </w:tc>
      </w:tr>
      <w:tr>
        <w:tc>
          <w:tcPr/>
          <w:p>
            <w:pPr>
              <w:pStyle w:val="Compact"/>
              <w:jc w:val="left"/>
            </w:pPr>
            <w:r>
              <w:t xml:space="preserve">1</w:t>
            </w:r>
          </w:p>
        </w:tc>
        <w:tc>
          <w:tcPr/>
          <w:p>
            <w:pPr>
              <w:pStyle w:val="Compact"/>
              <w:jc w:val="left"/>
            </w:pPr>
            <w:r>
              <w:t xml:space="preserve">General cap at 1.5× ACV paired with 3× patient-safety super-cap (cross-row pairing)</w:t>
            </w:r>
          </w:p>
        </w:tc>
        <w:tc>
          <w:tcPr/>
          <w:p>
            <w:pPr>
              <w:pStyle w:val="Compact"/>
              <w:jc w:val="left"/>
            </w:pPr>
            <w:r>
              <w:t xml:space="preserve">§3.3 (coordinated package)</w:t>
            </w:r>
          </w:p>
        </w:tc>
        <w:tc>
          <w:tcPr/>
          <w:p>
            <w:pPr>
              <w:pStyle w:val="Compact"/>
              <w:jc w:val="left"/>
            </w:pPr>
            <w:r>
              <w:t xml:space="preserve">GC</w:t>
            </w:r>
          </w:p>
        </w:tc>
      </w:tr>
      <w:tr>
        <w:tc>
          <w:tcPr/>
          <w:p>
            <w:pPr>
              <w:pStyle w:val="Compact"/>
              <w:jc w:val="left"/>
            </w:pPr>
            <w:r>
              <w:t xml:space="preserve">3</w:t>
            </w:r>
          </w:p>
        </w:tc>
        <w:tc>
          <w:tcPr/>
          <w:p>
            <w:pPr>
              <w:pStyle w:val="Compact"/>
              <w:jc w:val="left"/>
            </w:pPr>
            <w:r>
              <w:t xml:space="preserve">Graduated ETF (any ETF structure)</w:t>
            </w:r>
          </w:p>
        </w:tc>
        <w:tc>
          <w:tcPr/>
          <w:p>
            <w:pPr>
              <w:pStyle w:val="Compact"/>
              <w:jc w:val="left"/>
            </w:pPr>
            <w:r>
              <w:t xml:space="preserve">§9.4 / §12.2 (no ETF under any structure)</w:t>
            </w:r>
          </w:p>
        </w:tc>
        <w:tc>
          <w:tcPr/>
          <w:p>
            <w:pPr>
              <w:pStyle w:val="Compact"/>
              <w:jc w:val="left"/>
            </w:pPr>
            <w:r>
              <w:t xml:space="preserve">GC (presumptive rejection absent GC override)</w:t>
            </w:r>
          </w:p>
        </w:tc>
      </w:tr>
      <w:tr>
        <w:tc>
          <w:tcPr/>
          <w:p>
            <w:pPr>
              <w:pStyle w:val="Compact"/>
              <w:jc w:val="left"/>
            </w:pPr>
            <w:r>
              <w:t xml:space="preserve">4</w:t>
            </w:r>
          </w:p>
        </w:tc>
        <w:tc>
          <w:tcPr/>
          <w:p>
            <w:pPr>
              <w:pStyle w:val="Compact"/>
              <w:jc w:val="left"/>
            </w:pPr>
            <w:r>
              <w:t xml:space="preserve">45-day opt-out (exceeds 30-day red line)</w:t>
            </w:r>
          </w:p>
        </w:tc>
        <w:tc>
          <w:tcPr/>
          <w:p>
            <w:pPr>
              <w:pStyle w:val="Compact"/>
              <w:jc w:val="left"/>
            </w:pPr>
            <w:r>
              <w:t xml:space="preserve">§6.4(c)</w:t>
            </w:r>
          </w:p>
        </w:tc>
        <w:tc>
          <w:tcPr/>
          <w:p>
            <w:pPr>
              <w:pStyle w:val="Compact"/>
              <w:jc w:val="left"/>
            </w:pPr>
            <w:r>
              <w:t xml:space="preserve">GC</w:t>
            </w:r>
          </w:p>
        </w:tc>
      </w:tr>
      <w:tr>
        <w:tc>
          <w:tcPr/>
          <w:p>
            <w:pPr>
              <w:pStyle w:val="Compact"/>
              <w:jc w:val="left"/>
            </w:pPr>
            <w:r>
              <w:t xml:space="preserve">7</w:t>
            </w:r>
          </w:p>
        </w:tc>
        <w:tc>
          <w:tcPr/>
          <w:p>
            <w:pPr>
              <w:pStyle w:val="Compact"/>
              <w:jc w:val="left"/>
            </w:pPr>
            <w:r>
              <w:t xml:space="preserve">Shared defense (concession from Customer-controlled)</w:t>
            </w:r>
          </w:p>
        </w:tc>
        <w:tc>
          <w:tcPr/>
          <w:p>
            <w:pPr>
              <w:pStyle w:val="Compact"/>
              <w:jc w:val="left"/>
            </w:pPr>
            <w:r>
              <w:t xml:space="preserve">§7.2 (fallback)</w:t>
            </w:r>
          </w:p>
        </w:tc>
        <w:tc>
          <w:tcPr/>
          <w:p>
            <w:pPr>
              <w:pStyle w:val="Compact"/>
              <w:jc w:val="left"/>
            </w:pPr>
            <w:r>
              <w:t xml:space="preserve">Within Playbook fallback — GC concurrence recommended</w:t>
            </w:r>
          </w:p>
        </w:tc>
      </w:tr>
    </w:tbl>
    <w:p>
      <w:pPr>
        <w:pStyle w:val="BodyText"/>
      </w:pPr>
      <w:r>
        <w:t xml:space="preserve">The patient-safety 3× ACV floor (Term 1) is held and does not require escalation; if Vendor refuses it, escalation to the Board Risk Committee is mandatory (Playbook §3.2.4, §12.2).</w:t>
      </w:r>
    </w:p>
    <w:p>
      <w:r>
        <w:pict>
          <v:rect style="width:0;height:1.5pt" o:hralign="center" o:hrstd="t" o:hr="t"/>
        </w:pict>
      </w:r>
    </w:p>
    <w:bookmarkEnd w:id="69"/>
    <w:bookmarkEnd w:id="70"/>
    <w:bookmarkStart w:id="71" w:name="v.-open-items-and-next-steps"/>
    <w:p>
      <w:pPr>
        <w:pStyle w:val="Heading2"/>
      </w:pPr>
      <w:r>
        <w:t xml:space="preserve">V. Open Items and Next Steps</w:t>
      </w:r>
    </w:p>
    <w:p>
      <w:pPr>
        <w:numPr>
          <w:ilvl w:val="0"/>
          <w:numId w:val="1028"/>
        </w:numPr>
      </w:pPr>
      <w:r>
        <w:rPr>
          <w:b/>
          <w:bCs/>
        </w:rPr>
        <w:t xml:space="preserve">Comparable-deal intelligence surfacing.</w:t>
      </w:r>
      <w:r>
        <w:t xml:space="preserve"> </w:t>
      </w:r>
      <w:r>
        <w:t xml:space="preserve">Mr. Delgado has flagged the open question of whether to reference the comparable-deal intelligence directly (</w:t>
      </w:r>
      <w:r>
        <w:t xml:space="preserve">“</w:t>
      </w:r>
      <w:r>
        <w:t xml:space="preserve">we understand you’ve agreed to 1.5× ACV in comparable deals</w:t>
      </w:r>
      <w:r>
        <w:t xml:space="preserve">”</w:t>
      </w:r>
      <w:r>
        <w:t xml:space="preserve">) or indirectly (</w:t>
      </w:r>
      <w:r>
        <w:t xml:space="preserve">“</w:t>
      </w:r>
      <w:r>
        <w:t xml:space="preserve">market practice for deals of this scope supports caps at 1.5–2× ACV</w:t>
      </w:r>
      <w:r>
        <w:t xml:space="preserve">”</w:t>
      </w:r>
      <w:r>
        <w:t xml:space="preserve">). Ms. Sutter’s tactical read is requested before the July 18 session. Recommendation: indirect anchoring in the first round; direct reference (without source disclosure) only if Vendor holds at 1× and the session stalls.</w:t>
      </w:r>
    </w:p>
    <w:p>
      <w:pPr>
        <w:numPr>
          <w:ilvl w:val="0"/>
          <w:numId w:val="1028"/>
        </w:numPr>
      </w:pPr>
      <w:r>
        <w:rPr>
          <w:b/>
          <w:bCs/>
        </w:rPr>
        <w:t xml:space="preserve">Board Risk Committee briefing.</w:t>
      </w:r>
      <w:r>
        <w:t xml:space="preserve"> </w:t>
      </w:r>
      <w:r>
        <w:t xml:space="preserve">Reserve a briefing slot the week of August 4, 2025 to present the final liability/indemnification package (Terms 1, 5, 7) and the audit/transparency framework (Term 2) before the August 15 target execution. Dr. Narayanan to manage the calendar.</w:t>
      </w:r>
    </w:p>
    <w:p>
      <w:pPr>
        <w:numPr>
          <w:ilvl w:val="0"/>
          <w:numId w:val="1028"/>
        </w:numPr>
      </w:pPr>
      <w:r>
        <w:rPr>
          <w:b/>
          <w:bCs/>
        </w:rPr>
        <w:t xml:space="preserve">Langford engagement.</w:t>
      </w:r>
      <w:r>
        <w:t xml:space="preserve"> </w:t>
      </w:r>
      <w:r>
        <w:t xml:space="preserve">Initiate Langford engagement-letter discussions in parallel with the Agreement negotiation so the audit engagement is consistent with the Term 2 contractual audit rights and the first annual audit can commence within 90 days of the January 6, 2026 go-live (Langford recommendation), with fieldwork by Q4 2026 to meet the January 6, 2027 statutory deadline.</w:t>
      </w:r>
    </w:p>
    <w:p>
      <w:pPr>
        <w:numPr>
          <w:ilvl w:val="0"/>
          <w:numId w:val="1028"/>
        </w:numPr>
      </w:pPr>
      <w:r>
        <w:rPr>
          <w:b/>
          <w:bCs/>
        </w:rPr>
        <w:t xml:space="preserve">Exhibit D reconciliation.</w:t>
      </w:r>
      <w:r>
        <w:t xml:space="preserve"> </w:t>
      </w:r>
      <w:r>
        <w:t xml:space="preserve">The Term 4 compromise language resolves the bracketed Alternative A/B in Exhibit D §5.2 and the bracketed alternatives in §6.2 (data return timeline). Exhibit D should be conformed to the agreed provisions; the order of precedence (BAA &gt; Exhibit D &gt; Agreement for PHI) is preserved.</w:t>
      </w:r>
    </w:p>
    <w:p>
      <w:pPr>
        <w:numPr>
          <w:ilvl w:val="0"/>
          <w:numId w:val="1028"/>
        </w:numPr>
      </w:pPr>
      <w:r>
        <w:rPr>
          <w:b/>
          <w:bCs/>
        </w:rPr>
        <w:t xml:space="preserve">Insurance verification.</w:t>
      </w:r>
      <w:r>
        <w:t xml:space="preserve"> </w:t>
      </w:r>
      <w:r>
        <w:t xml:space="preserve">Whitfield Ames to verify the Northfield Mutual carrier rating (A.M. Best A- or better) and policy details before execution, and to confirm the broker’s written commitment to seek the $30M/$60M increase at the 2026 renewal.</w:t>
      </w:r>
    </w:p>
    <w:p>
      <w:pPr>
        <w:numPr>
          <w:ilvl w:val="0"/>
          <w:numId w:val="1028"/>
        </w:numPr>
      </w:pPr>
      <w:r>
        <w:rPr>
          <w:b/>
          <w:bCs/>
        </w:rPr>
        <w:t xml:space="preserve">Patient-notification operationalization.</w:t>
      </w:r>
      <w:r>
        <w:t xml:space="preserve"> </w:t>
      </w:r>
      <w:r>
        <w:t xml:space="preserve">Convene the cross-functional working group (GC, Compliance, Patient Experience, Clinical Operations, Health IT) no later than August 2025 to design and test the NJ Act patient-notification workflow before the January 6, 2026 go-live.</w:t>
      </w:r>
    </w:p>
    <w:p>
      <w:r>
        <w:pict>
          <v:rect style="width:0;height:1.5pt" o:hralign="center" o:hrstd="t" o:hr="t"/>
        </w:pict>
      </w:r>
    </w:p>
    <w:p>
      <w:pPr>
        <w:pStyle w:val="FirstParagraph"/>
      </w:pPr>
      <w:r>
        <w:rPr>
          <w:i/>
          <w:iCs/>
        </w:rPr>
        <w:t xml:space="preserve">This memorandum is privileged and confidential attorney work product prepared by Whitfield Ames LLP for Meridian Health Systems, Inc. It does not constitute legal advice to any other person or entity. The analysis is based on the source documents referenced herein and the facts known as of July 14, 2025. All proposed clause language is draft compromise language for the July 18, 2025 joint negotiation session and is subject to revision based on negotiation outcomes and General Counsel review.</w:t>
      </w:r>
    </w:p>
    <w:bookmarkEnd w:id="71"/>
    <w:bookmarkEnd w:id="7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Times New Roman" w:asciiTheme="majorHAnsi" w:cstheme="majorBidi" w:eastAsiaTheme="majorEastAsia" w:hAnsi="Times New Roman" w:hAnsiTheme="majorHAnsi"/>
      <w:b/>
      <w:bCs/>
      <w:color w:val="1F3B5C"/>
      <w:sz w:val="30"/>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Times New Roman" w:asciiTheme="majorHAnsi" w:cstheme="majorBidi" w:eastAsiaTheme="majorEastAsia" w:hAnsi="Times New Roman" w:hAnsiTheme="majorHAnsi"/>
      <w:b/>
      <w:bCs/>
      <w:color w:val="2E4A6E"/>
      <w:sz w:val="26"/>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Times New Roman" w:asciiTheme="majorHAnsi" w:cstheme="majorBidi" w:eastAsiaTheme="majorEastAsia" w:hAnsi="Times New Roman" w:hAnsiTheme="majorHAnsi"/>
      <w:b/>
      <w:bCs/>
      <w:color w:val="2E4A6E"/>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Times New Roman" w:asciiTheme="majorHAnsi" w:cstheme="majorBidi"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pPr>
    <w:rPr>
      <w:rFonts w:ascii="Times New Roman" w:asciiTheme="majorHAnsi" w:cstheme="majorBidi" w:eastAsiaTheme="majorEastAsia" w:hAnsi="Times New Roman" w:hAnsiTheme="majorHAnsi"/>
      <w:b/>
      <w:color w:val="1F3B5C"/>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contextualSpacing/>
    </w:pPr>
    <w:rPr>
      <w:rFonts w:ascii="Times New Roman" w:hAnsi="Times New Roman"/>
      <w:sz w:val="22"/>
    </w:rPr>
  </w:style>
  <w:style w:styleId="ListBullet2" w:type="paragraph">
    <w:name w:val="List Bullet 2"/>
    <w:basedOn w:val="Normal"/>
    <w:uiPriority w:val="99"/>
    <w:unhideWhenUsed/>
    <w:rsid w:val="00326F90"/>
    <w:pPr>
      <w:numPr>
        <w:numId w:val="2"/>
      </w:numPr>
      <w:spacing w:after="60"/>
      <w:contextualSpacing/>
    </w:pPr>
    <w:rPr>
      <w:rFonts w:ascii="Times New Roman" w:hAnsi="Times New Roman"/>
      <w:sz w:val="22"/>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contextualSpacing/>
    </w:pPr>
    <w:rPr>
      <w:rFonts w:ascii="Times New Roman" w:hAnsi="Times New Roman"/>
      <w:sz w:val="22"/>
    </w:rPr>
  </w:style>
  <w:style w:styleId="ListNumber2" w:type="paragraph">
    <w:name w:val="List Number 2"/>
    <w:basedOn w:val="Normal"/>
    <w:uiPriority w:val="99"/>
    <w:unhideWhenUsed/>
    <w:rsid w:val="0029639D"/>
    <w:pPr>
      <w:numPr>
        <w:numId w:val="6"/>
      </w:numPr>
      <w:spacing w:after="60"/>
      <w:contextualSpacing/>
    </w:pPr>
    <w:rPr>
      <w:rFonts w:ascii="Times New Roman" w:hAnsi="Times New Roman"/>
      <w:sz w:val="22"/>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basedOn w:val="Normal"/>
    <w:pPr>
      <w:spacing w:after="120" w:before="80" w:line="264" w:lineRule="auto"/>
      <w:ind w:left="576" w:right="432"/>
      <w:pBdr>
        <w:left w:color="1F3B5C" w:space="8" w:sz="18" w:val="single"/>
      </w:pBdr>
      <w:shd w:color="auto" w:fill="F2F4F7" w:val="clear"/>
    </w:pPr>
    <w:rPr>
      <w:rFonts w:ascii="Times New Roman" w:hAnsi="Times New Roman"/>
      <w:color w:val="1A1A1A"/>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2026-06-27T01:36:20Z</dcterms:created>
  <dcterms:modified xsi:type="dcterms:W3CDTF">2026-06-27T01:36:20Z</dcterms:modified>
</cp:coreProperties>
</file>

<file path=docProps/custom.xml><?xml version="1.0" encoding="utf-8"?>
<Properties xmlns="http://schemas.openxmlformats.org/officeDocument/2006/custom-properties" xmlns:vt="http://schemas.openxmlformats.org/officeDocument/2006/docPropsVTypes"/>
</file>