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 ATTORNEY-CLIENT PRIVILEGED / ATTORNEY WORK PRODUCT</w:t>
      </w:r>
    </w:p>
    <w:bookmarkEnd w:id="20"/>
    <w:bookmarkStart w:id="49" w:name="gap-analysis-memorandum"/>
    <w:p>
      <w:pPr>
        <w:pStyle w:val="Heading1"/>
      </w:pPr>
      <w:r>
        <w:t xml:space="preserve">GAP ANALYSIS MEMORANDUM</w:t>
      </w:r>
    </w:p>
    <w:bookmarkStart w:id="21" w:name="X008aa9e680ee25a436c680bcc4cd463c86c6e43"/>
    <w:p>
      <w:pPr>
        <w:pStyle w:val="Heading2"/>
      </w:pPr>
      <w:r>
        <w:t xml:space="preserve">SEC Cybersecurity Disclosure Compliance — Incident INC-2024-0047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Audit Committee of the Board of Directors, Vantage Industrial Technologies, Inc.</w:t>
            </w:r>
          </w:p>
        </w:tc>
      </w:tr>
      <w:tr>
        <w:tc>
          <w:tcPr/>
          <w:p>
            <w:pPr>
              <w:pStyle w:val="Compact"/>
              <w:jc w:val="left"/>
            </w:pPr>
            <w:r>
              <w:rPr>
                <w:b/>
                <w:bCs/>
              </w:rPr>
              <w:t xml:space="preserve">cc:</w:t>
            </w:r>
          </w:p>
        </w:tc>
        <w:tc>
          <w:tcPr/>
          <w:p>
            <w:pPr>
              <w:pStyle w:val="Compact"/>
              <w:jc w:val="left"/>
            </w:pPr>
            <w:r>
              <w:t xml:space="preserve">Marcus Ellsworth, Chief Executive Officer; Chief Financial Officer; Lauren Hessler, Chief Technology Officer</w:t>
            </w:r>
          </w:p>
        </w:tc>
      </w:tr>
      <w:tr>
        <w:tc>
          <w:tcPr/>
          <w:p>
            <w:pPr>
              <w:pStyle w:val="Compact"/>
              <w:jc w:val="left"/>
            </w:pPr>
            <w:r>
              <w:rPr>
                <w:b/>
                <w:bCs/>
              </w:rPr>
              <w:t xml:space="preserve">From:</w:t>
            </w:r>
          </w:p>
        </w:tc>
        <w:tc>
          <w:tcPr/>
          <w:p>
            <w:pPr>
              <w:pStyle w:val="Compact"/>
              <w:jc w:val="left"/>
            </w:pPr>
            <w:r>
              <w:t xml:space="preserve">Office of the General Counsel, prepared in consultation with Hollister Marsh LLP (outside securities counsel)</w:t>
            </w:r>
          </w:p>
        </w:tc>
      </w:tr>
      <w:tr>
        <w:tc>
          <w:tcPr/>
          <w:p>
            <w:pPr>
              <w:pStyle w:val="Compact"/>
              <w:jc w:val="left"/>
            </w:pPr>
            <w:r>
              <w:rPr>
                <w:b/>
                <w:bCs/>
              </w:rPr>
              <w:t xml:space="preserve">Date:</w:t>
            </w:r>
          </w:p>
        </w:tc>
        <w:tc>
          <w:tcPr/>
          <w:p>
            <w:pPr>
              <w:pStyle w:val="Compact"/>
              <w:jc w:val="left"/>
            </w:pPr>
            <w:r>
              <w:t xml:space="preserve">December 6, 2024</w:t>
            </w:r>
          </w:p>
        </w:tc>
      </w:tr>
      <w:tr>
        <w:tc>
          <w:tcPr/>
          <w:p>
            <w:pPr>
              <w:pStyle w:val="Compact"/>
              <w:jc w:val="left"/>
            </w:pPr>
            <w:r>
              <w:rPr>
                <w:b/>
                <w:bCs/>
              </w:rPr>
              <w:t xml:space="preserve">Re:</w:t>
            </w:r>
          </w:p>
        </w:tc>
        <w:tc>
          <w:tcPr/>
          <w:p>
            <w:pPr>
              <w:pStyle w:val="Compact"/>
              <w:jc w:val="left"/>
            </w:pPr>
            <w:r>
              <w:t xml:space="preserve">SEC Compliance Gap Analysis — Cybersecurity Incident INC-2024-0047 (detected November 18, 2024)</w:t>
            </w:r>
          </w:p>
        </w:tc>
      </w:tr>
    </w:tbl>
    <w:p>
      <w:pPr>
        <w:pStyle w:val="BodyText"/>
      </w:pPr>
      <w:r>
        <w:rPr>
          <w:i/>
          <w:iCs/>
        </w:rPr>
        <w:t xml:space="preserve">This memorandum is prepared at the direction of counsel in anticipation of regulatory and litigation exposure and for the purpose of providing legal advice. It is protected by the attorney-client privilege and the attorney work product doctrine. Do not distribute outside the Office of the General Counsel, Hollister Marsh LLP, and the recipients listed above without the prior written consent of the General Counsel.</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November 18, 2024, at approximately 2:17 a.m. EST,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detected a ransomware and data-exfiltration incident (the</w:t>
      </w:r>
      <w:r>
        <w:t xml:space="preserve"> </w:t>
      </w:r>
      <w:r>
        <w:t xml:space="preserve">“</w:t>
      </w:r>
      <w:r>
        <w:t xml:space="preserve">Incident</w:t>
      </w:r>
      <w:r>
        <w:t xml:space="preserve">”</w:t>
      </w:r>
      <w:r>
        <w:t xml:space="preserve">) affecting its corporate IT environment. The Incident involved (i) the exfiltration of approximately 83 GB of data — including customer banking information (ACH routing and account numbers), procurement-contact personally identifiable information (</w:t>
      </w:r>
      <w:r>
        <w:t xml:space="preserve">“</w:t>
      </w:r>
      <w:r>
        <w:t xml:space="preserve">PII</w:t>
      </w:r>
      <w:r>
        <w:t xml:space="preserve">”</w:t>
      </w:r>
      <w:r>
        <w:t xml:space="preserve">), and contract pricing data for approximately 4,200 corporate customer records — and (ii) the encryption of 347 of the Company’s approximately 2,100 networked endpoints, including the finance, procurement, and order-management modules of the Company’s enterprise resource planning (</w:t>
      </w:r>
      <w:r>
        <w:t xml:space="preserve">“</w:t>
      </w:r>
      <w:r>
        <w:t xml:space="preserve">ERP</w:t>
      </w:r>
      <w:r>
        <w:t xml:space="preserve">”</w:t>
      </w:r>
      <w:r>
        <w:t xml:space="preserve">) system. The attack vector was a compromised virtual private network (</w:t>
      </w:r>
      <w:r>
        <w:t xml:space="preserve">“</w:t>
      </w:r>
      <w:r>
        <w:t xml:space="preserve">VPN</w:t>
      </w:r>
      <w:r>
        <w:t xml:space="preserve">”</w:t>
      </w:r>
      <w:r>
        <w:t xml:space="preserve">) credential belonging to a third-party maintenance contractor that, critically, was</w:t>
      </w:r>
      <w:r>
        <w:t xml:space="preserve"> </w:t>
      </w:r>
      <w:r>
        <w:rPr>
          <w:b/>
          <w:bCs/>
        </w:rPr>
        <w:t xml:space="preserve">not</w:t>
      </w:r>
      <w:r>
        <w:t xml:space="preserve"> </w:t>
      </w:r>
      <w:r>
        <w:t xml:space="preserve">protected by multi-factor authentication (</w:t>
      </w:r>
      <w:r>
        <w:t xml:space="preserve">“</w:t>
      </w:r>
      <w:r>
        <w:t xml:space="preserve">MFA</w:t>
      </w:r>
      <w:r>
        <w:t xml:space="preserve">”</w:t>
      </w:r>
      <w:r>
        <w:t xml:space="preserve">).</w:t>
      </w:r>
    </w:p>
    <w:p>
      <w:pPr>
        <w:pStyle w:val="BodyText"/>
      </w:pPr>
      <w:r>
        <w:t xml:space="preserve">As of the date of this memorandum —</w:t>
      </w:r>
      <w:r>
        <w:t xml:space="preserve"> </w:t>
      </w:r>
      <w:r>
        <w:rPr>
          <w:b/>
          <w:bCs/>
        </w:rPr>
        <w:t xml:space="preserve">seventeen (17) calendar days, and approximately twelve (12) business days, after discovery</w:t>
      </w:r>
      <w:r>
        <w:t xml:space="preserve"> </w:t>
      </w:r>
      <w:r>
        <w:t xml:space="preserve">— the Company has taken the following actions relevant to SEC compliance:</w:t>
      </w:r>
    </w:p>
    <w:p>
      <w:pPr>
        <w:pStyle w:val="Compact"/>
        <w:numPr>
          <w:ilvl w:val="0"/>
          <w:numId w:val="1001"/>
        </w:numPr>
      </w:pPr>
      <w:r>
        <w:rPr>
          <w:b/>
          <w:bCs/>
        </w:rPr>
        <w:t xml:space="preserve">No Form 8-K or other public disclosure</w:t>
      </w:r>
      <w:r>
        <w:t xml:space="preserve"> </w:t>
      </w:r>
      <w:r>
        <w:t xml:space="preserve">has been filed with the Securities and Exchange Commission (the</w:t>
      </w:r>
      <w:r>
        <w:t xml:space="preserve"> </w:t>
      </w:r>
      <w:r>
        <w:t xml:space="preserve">“</w:t>
      </w:r>
      <w:r>
        <w:t xml:space="preserve">SEC</w:t>
      </w:r>
      <w:r>
        <w:t xml:space="preserve">”</w:t>
      </w:r>
      <w:r>
        <w:t xml:space="preserve">);</w:t>
      </w:r>
    </w:p>
    <w:p>
      <w:pPr>
        <w:pStyle w:val="Compact"/>
        <w:numPr>
          <w:ilvl w:val="0"/>
          <w:numId w:val="1001"/>
        </w:numPr>
      </w:pPr>
      <w:r>
        <w:rPr>
          <w:b/>
          <w:bCs/>
        </w:rPr>
        <w:t xml:space="preserve">No formal materiality determination</w:t>
      </w:r>
      <w:r>
        <w:t xml:space="preserve"> </w:t>
      </w:r>
      <w:r>
        <w:t xml:space="preserve">has been conducted or documented;</w:t>
      </w:r>
    </w:p>
    <w:p>
      <w:pPr>
        <w:pStyle w:val="Compact"/>
        <w:numPr>
          <w:ilvl w:val="0"/>
          <w:numId w:val="1001"/>
        </w:numPr>
      </w:pPr>
      <w:r>
        <w:rPr>
          <w:b/>
          <w:bCs/>
        </w:rPr>
        <w:t xml:space="preserve">No customer notifications</w:t>
      </w:r>
      <w:r>
        <w:t xml:space="preserve"> </w:t>
      </w:r>
      <w:r>
        <w:t xml:space="preserve">have been issued, notwithstanding that contractual notification deadlines (48 hours) for at least three of the Company’s top-ten customers expired on or before November 20, 2024;</w:t>
      </w:r>
    </w:p>
    <w:p>
      <w:pPr>
        <w:pStyle w:val="Compact"/>
        <w:numPr>
          <w:ilvl w:val="0"/>
          <w:numId w:val="1001"/>
        </w:numPr>
      </w:pPr>
      <w:r>
        <w:rPr>
          <w:b/>
          <w:bCs/>
        </w:rPr>
        <w:t xml:space="preserve">No state attorney general or state data-protection notifications</w:t>
      </w:r>
      <w:r>
        <w:t xml:space="preserve"> </w:t>
      </w:r>
      <w:r>
        <w:t xml:space="preserve">have been filed, and</w:t>
      </w:r>
      <w:r>
        <w:t xml:space="preserve"> </w:t>
      </w:r>
      <w:r>
        <w:rPr>
          <w:b/>
          <w:bCs/>
        </w:rPr>
        <w:t xml:space="preserve">no GDPR/EU or UK supervisory-authority notifications</w:t>
      </w:r>
      <w:r>
        <w:t xml:space="preserve"> </w:t>
      </w:r>
      <w:r>
        <w:t xml:space="preserve">have been made, although affected records span at least 38 U.S. states and four foreign jurisdictions;</w:t>
      </w:r>
    </w:p>
    <w:p>
      <w:pPr>
        <w:pStyle w:val="Compact"/>
        <w:numPr>
          <w:ilvl w:val="0"/>
          <w:numId w:val="1001"/>
        </w:numPr>
      </w:pPr>
      <w:r>
        <w:t xml:space="preserve">The</w:t>
      </w:r>
      <w:r>
        <w:t xml:space="preserve"> </w:t>
      </w:r>
      <w:r>
        <w:rPr>
          <w:b/>
          <w:bCs/>
        </w:rPr>
        <w:t xml:space="preserve">Audit Committee Chair was not notified until December 3, 2024 (Day 15)</w:t>
      </w:r>
      <w:r>
        <w:t xml:space="preserve">, and no special meeting of the Audit Committee has been called (the next regularly scheduled meeting is January 22, 2025);</w:t>
      </w:r>
    </w:p>
    <w:p>
      <w:pPr>
        <w:pStyle w:val="Compact"/>
        <w:numPr>
          <w:ilvl w:val="0"/>
          <w:numId w:val="1001"/>
        </w:numPr>
      </w:pPr>
      <w:r>
        <w:t xml:space="preserve">The</w:t>
      </w:r>
      <w:r>
        <w:t xml:space="preserve"> </w:t>
      </w:r>
      <w:r>
        <w:rPr>
          <w:b/>
          <w:bCs/>
        </w:rPr>
        <w:t xml:space="preserve">Chief Financial Officer</w:t>
      </w:r>
      <w:r>
        <w:t xml:space="preserve"> </w:t>
      </w:r>
      <w:r>
        <w:t xml:space="preserve">does not appear in the incident-notification chain, and the</w:t>
      </w:r>
      <w:r>
        <w:t xml:space="preserve"> </w:t>
      </w:r>
      <w:r>
        <w:rPr>
          <w:b/>
          <w:bCs/>
        </w:rPr>
        <w:t xml:space="preserve">independent auditor (Greystone &amp; Associates LLP) has not been notified</w:t>
      </w:r>
      <w:r>
        <w:t xml:space="preserve">; and</w:t>
      </w:r>
    </w:p>
    <w:p>
      <w:pPr>
        <w:pStyle w:val="Compact"/>
        <w:numPr>
          <w:ilvl w:val="0"/>
          <w:numId w:val="1001"/>
        </w:numPr>
      </w:pPr>
      <w:r>
        <w:t xml:space="preserve">The</w:t>
      </w:r>
      <w:r>
        <w:t xml:space="preserve"> </w:t>
      </w:r>
      <w:r>
        <w:rPr>
          <w:b/>
          <w:bCs/>
        </w:rPr>
        <w:t xml:space="preserve">counterparty and financial advisor</w:t>
      </w:r>
      <w:r>
        <w:t xml:space="preserve"> </w:t>
      </w:r>
      <w:r>
        <w:t xml:space="preserve">to the Company’s pending $425 million acquisition of Kessler Precision Systems GmbH have not been notified.</w:t>
      </w:r>
    </w:p>
    <w:p>
      <w:pPr>
        <w:pStyle w:val="FirstParagraph"/>
      </w:pPr>
      <w:r>
        <w:t xml:space="preserve">This memorandum identifies</w:t>
      </w:r>
      <w:r>
        <w:t xml:space="preserve"> </w:t>
      </w:r>
      <w:r>
        <w:rPr>
          <w:b/>
          <w:bCs/>
        </w:rPr>
        <w:t xml:space="preserve">eleven (11) categories of SEC and related compliance gaps</w:t>
      </w:r>
      <w:r>
        <w:t xml:space="preserve">, the most urgent of which is the Company’s failure to conduct and document a materiality determination and to evaluate disclosure under</w:t>
      </w:r>
      <w:r>
        <w:t xml:space="preserve"> </w:t>
      </w:r>
      <w:r>
        <w:rPr>
          <w:b/>
          <w:bCs/>
        </w:rPr>
        <w:t xml:space="preserve">Item 1.05 of Form 8-K</w:t>
      </w:r>
      <w:r>
        <w:t xml:space="preserve">. The qualitative indicators of materiality are strong — including the exfiltration of customer banking data, the breach of customer contractual notification obligations that place approximately 38% of the Company’s revenue at risk, and the potential effect on a pending $425 million acquisition — and the SEC has repeatedly cautioned registrants that the materiality determination must be made</w:t>
      </w:r>
      <w:r>
        <w:t xml:space="preserve"> </w:t>
      </w:r>
      <w:r>
        <w:t xml:space="preserve">“</w:t>
      </w:r>
      <w:r>
        <w:t xml:space="preserve">without unreasonable delay</w:t>
      </w:r>
      <w:r>
        <w:t xml:space="preserve">”</w:t>
      </w:r>
      <w:r>
        <w:t xml:space="preserve"> </w:t>
      </w:r>
      <w:r>
        <w:t xml:space="preserve">and that the four-business-day disclosure clock cannot be used as a basis for delay.</w:t>
      </w:r>
      <w:r>
        <w:t xml:space="preserve"> </w:t>
      </w:r>
      <w:r>
        <w:rPr>
          <w:b/>
          <w:bCs/>
        </w:rPr>
        <w:t xml:space="preserve">The Company should conduct and document a materiality determination immediately and, if material (as the qualitative factors strongly suggest), file a Form 8-K under Item 1.05 within four business days of that determination.</w:t>
      </w:r>
    </w:p>
    <w:p>
      <w:pPr>
        <w:pStyle w:val="BodyText"/>
      </w:pPr>
      <w:r>
        <w:t xml:space="preserve">A prioritized action plan is set forth in Section VI.</w:t>
      </w:r>
    </w:p>
    <w:p>
      <w:r>
        <w:pict>
          <v:rect style="width:0;height:1.5pt" o:hralign="center" o:hrstd="t" o:hr="t"/>
        </w:pict>
      </w:r>
    </w:p>
    <w:bookmarkEnd w:id="22"/>
    <w:bookmarkStart w:id="26" w:name="ii.-factual-background-and-chronology"/>
    <w:p>
      <w:pPr>
        <w:pStyle w:val="Heading2"/>
      </w:pPr>
      <w:r>
        <w:t xml:space="preserve">II. Factual Background and Chronology</w:t>
      </w:r>
    </w:p>
    <w:bookmarkStart w:id="23" w:name="a.-the-company"/>
    <w:p>
      <w:pPr>
        <w:pStyle w:val="Heading3"/>
      </w:pPr>
      <w:r>
        <w:t xml:space="preserve">A. The Company</w:t>
      </w:r>
    </w:p>
    <w:p>
      <w:pPr>
        <w:pStyle w:val="FirstParagraph"/>
      </w:pPr>
      <w:r>
        <w:t xml:space="preserve">Vantage is a Delaware corporation headquartered in Columbus, Ohio, whose common stock is listed on The Nasdaq Stock Market under the symbol</w:t>
      </w:r>
      <w:r>
        <w:t xml:space="preserve"> </w:t>
      </w:r>
      <w:r>
        <w:t xml:space="preserve">“</w:t>
      </w:r>
      <w:r>
        <w:t xml:space="preserve">VTIQ.</w:t>
      </w:r>
      <w:r>
        <w:t xml:space="preserve">”</w:t>
      </w:r>
      <w:r>
        <w:t xml:space="preserve"> </w:t>
      </w:r>
      <w:r>
        <w:t xml:space="preserve">The Company designs, manufactures, and distributes industrial automation solutions through 14 facilities in the United States, Germany, and Mexico, with approximately 6,800 employees. Projected FY2024 revenue is approximately $1.87 billion and projected FY2024 EBITDA is approximately $310 million. The Company’s top-ten customers represent approximately 38% of total revenue (approximately $710.6 million). The Company is currently in active negotiations to acquire Kessler Precision Systems GmbH for approximately $425 million, with Canfield Cromdale Consulting &amp; Co. serving as financial advisor.</w:t>
      </w:r>
    </w:p>
    <w:bookmarkEnd w:id="23"/>
    <w:bookmarkStart w:id="24" w:name="b.-the-incident"/>
    <w:p>
      <w:pPr>
        <w:pStyle w:val="Heading3"/>
      </w:pPr>
      <w:r>
        <w:t xml:space="preserve">B. The Incident</w:t>
      </w:r>
    </w:p>
    <w:p>
      <w:pPr>
        <w:pStyle w:val="FirstParagraph"/>
      </w:pPr>
      <w:r>
        <w:t xml:space="preserve">The following chronology is drawn from the CISO’s Incident Status Report dated December 5, 2024, the Thorngate Forensic Solutions interim report dated December 1, 2024, and the General Counsel’s email to the Audit Committee Chair dated December 3,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(EST)</w:t>
            </w:r>
          </w:p>
        </w:tc>
        <w:tc>
          <w:tcPr/>
          <w:p>
            <w:pPr>
              <w:pStyle w:val="Compact"/>
              <w:jc w:val="left"/>
            </w:pPr>
            <w:r>
              <w:t xml:space="preserve">Event</w:t>
            </w:r>
          </w:p>
        </w:tc>
      </w:tr>
      <w:tr>
        <w:tc>
          <w:tcPr/>
          <w:p>
            <w:pPr>
              <w:pStyle w:val="Compact"/>
              <w:jc w:val="left"/>
            </w:pPr>
            <w:r>
              <w:t xml:space="preserve">Nov. 14–17, 2024</w:t>
            </w:r>
          </w:p>
        </w:tc>
        <w:tc>
          <w:tcPr/>
          <w:p>
            <w:pPr>
              <w:pStyle w:val="Compact"/>
              <w:jc w:val="left"/>
            </w:pPr>
            <w:r>
              <w:t xml:space="preserve">Threat actor accesses compromised third-party contractor VPN credential from an Eastern-European IP address; conducts ~3–4 days of low-volume internal reconnaissance.</w:t>
            </w:r>
          </w:p>
        </w:tc>
      </w:tr>
      <w:tr>
        <w:tc>
          <w:tcPr/>
          <w:p>
            <w:pPr>
              <w:pStyle w:val="Compact"/>
              <w:jc w:val="left"/>
            </w:pPr>
            <w:r>
              <w:t xml:space="preserve">Nov. 18, ~1:30–2:15 a.m.</w:t>
            </w:r>
          </w:p>
        </w:tc>
        <w:tc>
          <w:tcPr/>
          <w:p>
            <w:pPr>
              <w:pStyle w:val="Compact"/>
              <w:jc w:val="left"/>
            </w:pPr>
            <w:r>
              <w:rPr>
                <w:b/>
                <w:bCs/>
              </w:rPr>
              <w:t xml:space="preserve">Phase 1 — Data exfiltration:</w:t>
            </w:r>
            <w:r>
              <w:t xml:space="preserve"> </w:t>
            </w:r>
            <w:r>
              <w:t xml:space="preserve">~83 GB exfiltrated to an external IP via outbound HTTPS, including customer master records, ACH routing/account numbers, procurement-contact PII, and contract pricing for ~4,200 records. Data stored</w:t>
            </w:r>
            <w:r>
              <w:t xml:space="preserve"> </w:t>
            </w:r>
            <w:r>
              <w:rPr>
                <w:b/>
                <w:bCs/>
              </w:rPr>
              <w:t xml:space="preserve">unencrypted at rest</w:t>
            </w:r>
            <w:r>
              <w:t xml:space="preserve">.</w:t>
            </w:r>
          </w:p>
        </w:tc>
      </w:tr>
      <w:tr>
        <w:tc>
          <w:tcPr/>
          <w:p>
            <w:pPr>
              <w:pStyle w:val="Compact"/>
              <w:jc w:val="left"/>
            </w:pPr>
            <w:r>
              <w:t xml:space="preserve">Nov. 18, ~2:17 a.m.</w:t>
            </w:r>
          </w:p>
        </w:tc>
        <w:tc>
          <w:tcPr/>
          <w:p>
            <w:pPr>
              <w:pStyle w:val="Compact"/>
              <w:jc w:val="left"/>
            </w:pPr>
            <w:r>
              <w:rPr>
                <w:b/>
                <w:bCs/>
              </w:rPr>
              <w:t xml:space="preserve">Phase 2 — Ransomware:</w:t>
            </w:r>
            <w:r>
              <w:t xml:space="preserve"> </w:t>
            </w:r>
            <w:r>
              <w:t xml:space="preserve">SOC detects anomalous activity; LockStar 3.0 ransomware encrypts 347 of ~2,100 endpoints, including ERP finance, procurement, and order-management modules.</w:t>
            </w:r>
          </w:p>
        </w:tc>
      </w:tr>
      <w:tr>
        <w:tc>
          <w:tcPr/>
          <w:p>
            <w:pPr>
              <w:pStyle w:val="Compact"/>
              <w:jc w:val="left"/>
            </w:pPr>
            <w:r>
              <w:t xml:space="preserve">Nov. 18, ~4:50 a.m.</w:t>
            </w:r>
          </w:p>
        </w:tc>
        <w:tc>
          <w:tcPr/>
          <w:p>
            <w:pPr>
              <w:pStyle w:val="Compact"/>
              <w:jc w:val="left"/>
            </w:pPr>
            <w:r>
              <w:t xml:space="preserve">Ransom note discovered: 45 Bitcoin (~$2,029,500), 72-hour deadline, double-extortion threat to publish exfiltrated data. Company has not paid and does not intend to pay.</w:t>
            </w:r>
          </w:p>
        </w:tc>
      </w:tr>
      <w:tr>
        <w:tc>
          <w:tcPr/>
          <w:p>
            <w:pPr>
              <w:pStyle w:val="Compact"/>
              <w:jc w:val="left"/>
            </w:pPr>
            <w:r>
              <w:t xml:space="preserve">Nov. 18, 5:00 a.m.</w:t>
            </w:r>
          </w:p>
        </w:tc>
        <w:tc>
          <w:tcPr/>
          <w:p>
            <w:pPr>
              <w:pStyle w:val="Compact"/>
              <w:jc w:val="left"/>
            </w:pPr>
            <w:r>
              <w:t xml:space="preserve">CISO activates Incident Response Team under</w:t>
            </w:r>
            <w:r>
              <w:t xml:space="preserve"> </w:t>
            </w:r>
            <w:r>
              <w:rPr>
                <w:b/>
                <w:bCs/>
              </w:rPr>
              <w:t xml:space="preserve">Tier 3</w:t>
            </w:r>
            <w:r>
              <w:t xml:space="preserve"> </w:t>
            </w:r>
            <w:r>
              <w:t xml:space="preserve">(highest severity) per the Cybersecurity Incident Response Plan (</w:t>
            </w:r>
            <w:r>
              <w:t xml:space="preserve">“</w:t>
            </w:r>
            <w:r>
              <w:t xml:space="preserve">CIRP</w:t>
            </w:r>
            <w:r>
              <w:t xml:space="preserve">”</w:t>
            </w:r>
            <w:r>
              <w:t xml:space="preserve">).</w:t>
            </w:r>
          </w:p>
        </w:tc>
      </w:tr>
      <w:tr>
        <w:tc>
          <w:tcPr/>
          <w:p>
            <w:pPr>
              <w:pStyle w:val="Compact"/>
              <w:jc w:val="left"/>
            </w:pPr>
            <w:r>
              <w:t xml:space="preserve">Nov. 18, 11:00 a.m.</w:t>
            </w:r>
          </w:p>
        </w:tc>
        <w:tc>
          <w:tcPr/>
          <w:p>
            <w:pPr>
              <w:pStyle w:val="Compact"/>
              <w:jc w:val="left"/>
            </w:pPr>
            <w:r>
              <w:t xml:space="preserve">CTO Lauren Hessler verbally informed.</w:t>
            </w:r>
          </w:p>
        </w:tc>
      </w:tr>
      <w:tr>
        <w:tc>
          <w:tcPr/>
          <w:p>
            <w:pPr>
              <w:pStyle w:val="Compact"/>
              <w:jc w:val="left"/>
            </w:pPr>
            <w:r>
              <w:t xml:space="preserve">Nov. 19</w:t>
            </w:r>
          </w:p>
        </w:tc>
        <w:tc>
          <w:tcPr/>
          <w:p>
            <w:pPr>
              <w:pStyle w:val="Compact"/>
              <w:jc w:val="left"/>
            </w:pPr>
            <w:r>
              <w:t xml:space="preserve">Thorngate Forensic Solutions retained (60-day engagement; preliminary findings due Dec. 20, 2024). Associate General Counsel Daniel Ito learns of the Incident through informal IT communication.</w:t>
            </w:r>
            <w:r>
              <w:t xml:space="preserve"> </w:t>
            </w:r>
            <w:r>
              <w:rPr>
                <w:b/>
                <w:bCs/>
              </w:rPr>
              <w:t xml:space="preserve">General Counsel traveling internationally; not informed.</w:t>
            </w:r>
          </w:p>
        </w:tc>
      </w:tr>
      <w:tr>
        <w:tc>
          <w:tcPr/>
          <w:p>
            <w:pPr>
              <w:pStyle w:val="Compact"/>
              <w:jc w:val="left"/>
            </w:pPr>
            <w:r>
              <w:t xml:space="preserve">Nov. 20</w:t>
            </w:r>
          </w:p>
        </w:tc>
        <w:tc>
          <w:tcPr/>
          <w:p>
            <w:pPr>
              <w:pStyle w:val="Compact"/>
              <w:jc w:val="left"/>
            </w:pPr>
            <w:r>
              <w:t xml:space="preserve">General Counsel Priya Raghavan learns of the Incident upon return from travel; Hollister Marsh LLP engaged as outside securities counsel;</w:t>
            </w:r>
            <w:r>
              <w:t xml:space="preserve"> </w:t>
            </w:r>
            <w:r>
              <w:rPr>
                <w:b/>
                <w:bCs/>
              </w:rPr>
              <w:t xml:space="preserve">FBI IC3 contacted.</w:t>
            </w:r>
          </w:p>
        </w:tc>
      </w:tr>
      <w:tr>
        <w:tc>
          <w:tcPr/>
          <w:p>
            <w:pPr>
              <w:pStyle w:val="Compact"/>
              <w:jc w:val="left"/>
            </w:pPr>
            <w:r>
              <w:t xml:space="preserve">Nov. 21</w:t>
            </w:r>
          </w:p>
        </w:tc>
        <w:tc>
          <w:tcPr/>
          <w:p>
            <w:pPr>
              <w:pStyle w:val="Compact"/>
              <w:jc w:val="left"/>
            </w:pPr>
            <w:r>
              <w:rPr>
                <w:b/>
                <w:bCs/>
              </w:rPr>
              <w:t xml:space="preserve">Ridgeline Insurance Group notified (~73 hours post-discovery; policy requires notice within 72 hours).</w:t>
            </w:r>
            <w:r>
              <w:t xml:space="preserve"> </w:t>
            </w:r>
            <w:r>
              <w:t xml:space="preserve">Ridgeline reserves rights on timeliness.</w:t>
            </w:r>
          </w:p>
        </w:tc>
      </w:tr>
      <w:tr>
        <w:tc>
          <w:tcPr/>
          <w:p>
            <w:pPr>
              <w:pStyle w:val="Compact"/>
              <w:jc w:val="left"/>
            </w:pPr>
            <w:r>
              <w:t xml:space="preserve">Nov. 25</w:t>
            </w:r>
          </w:p>
        </w:tc>
        <w:tc>
          <w:tcPr/>
          <w:p>
            <w:pPr>
              <w:pStyle w:val="Compact"/>
              <w:jc w:val="left"/>
            </w:pPr>
            <w:r>
              <w:t xml:space="preserve">CEO Marcus Ellsworth briefed.</w:t>
            </w:r>
          </w:p>
        </w:tc>
      </w:tr>
      <w:tr>
        <w:tc>
          <w:tcPr/>
          <w:p>
            <w:pPr>
              <w:pStyle w:val="Compact"/>
              <w:jc w:val="left"/>
            </w:pPr>
            <w:r>
              <w:t xml:space="preserve">Dec. 1</w:t>
            </w:r>
          </w:p>
        </w:tc>
        <w:tc>
          <w:tcPr/>
          <w:p>
            <w:pPr>
              <w:pStyle w:val="Compact"/>
              <w:jc w:val="left"/>
            </w:pPr>
            <w:r>
              <w:t xml:space="preserve">Thorngate interim report confirms, with</w:t>
            </w:r>
            <w:r>
              <w:t xml:space="preserve"> </w:t>
            </w:r>
            <w:r>
              <w:t xml:space="preserve">“</w:t>
            </w:r>
            <w:r>
              <w:t xml:space="preserve">high confidence,</w:t>
            </w:r>
            <w:r>
              <w:t xml:space="preserve">”</w:t>
            </w:r>
            <w:r>
              <w:t xml:space="preserve"> </w:t>
            </w:r>
            <w:r>
              <w:t xml:space="preserve">exfiltration of customer banking data, PII, and contract pricing for ~4,200 records; confirms root cause = contractor VPN credential</w:t>
            </w:r>
            <w:r>
              <w:t xml:space="preserve"> </w:t>
            </w:r>
            <w:r>
              <w:rPr>
                <w:b/>
                <w:bCs/>
              </w:rPr>
              <w:t xml:space="preserve">not MFA-protected</w:t>
            </w:r>
            <w:r>
              <w:t xml:space="preserve">.</w:t>
            </w:r>
          </w:p>
        </w:tc>
      </w:tr>
      <w:tr>
        <w:tc>
          <w:tcPr/>
          <w:p>
            <w:pPr>
              <w:pStyle w:val="Compact"/>
              <w:jc w:val="left"/>
            </w:pPr>
            <w:r>
              <w:t xml:space="preserve">Dec. 3</w:t>
            </w:r>
          </w:p>
        </w:tc>
        <w:tc>
          <w:tcPr/>
          <w:p>
            <w:pPr>
              <w:pStyle w:val="Compact"/>
              <w:jc w:val="left"/>
            </w:pPr>
            <w:r>
              <w:rPr>
                <w:b/>
                <w:bCs/>
              </w:rPr>
              <w:t xml:space="preserve">Audit Committee Chair Dr. Helen Ostrowski notified by email (first Board-level notification, Day 15).</w:t>
            </w:r>
          </w:p>
        </w:tc>
      </w:tr>
      <w:tr>
        <w:tc>
          <w:tcPr/>
          <w:p>
            <w:pPr>
              <w:pStyle w:val="Compact"/>
              <w:jc w:val="left"/>
            </w:pPr>
            <w:r>
              <w:t xml:space="preserve">Dec. 5</w:t>
            </w:r>
          </w:p>
        </w:tc>
        <w:tc>
          <w:tcPr/>
          <w:p>
            <w:pPr>
              <w:pStyle w:val="Compact"/>
              <w:jc w:val="left"/>
            </w:pPr>
            <w:r>
              <w:t xml:space="preserve">CISO Incident Status Report prepared. As of this date: 289 of 347 endpoints restored; 58 remain (est. completion Dec. 18, 2024); estimated costs ~$4.5 million;</w:t>
            </w:r>
            <w:r>
              <w:t xml:space="preserve"> </w:t>
            </w:r>
            <w:r>
              <w:rPr>
                <w:b/>
                <w:bCs/>
              </w:rPr>
              <w:t xml:space="preserve">no Form 8-K filed; no materiality determination conducted; no customer, state, or international notifications made.</w:t>
            </w:r>
          </w:p>
        </w:tc>
      </w:tr>
    </w:tbl>
    <w:bookmarkEnd w:id="24"/>
    <w:bookmarkStart w:id="25" w:name="Xcd4380ae317d1bb27d71c881fd2389d81226c15"/>
    <w:p>
      <w:pPr>
        <w:pStyle w:val="Heading3"/>
      </w:pPr>
      <w:r>
        <w:t xml:space="preserve">C. Estimated Financial Impact (as of Dec. 5,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Incident response costs</w:t>
            </w:r>
          </w:p>
        </w:tc>
        <w:tc>
          <w:tcPr/>
          <w:p>
            <w:pPr>
              <w:pStyle w:val="Compact"/>
              <w:jc w:val="left"/>
            </w:pPr>
            <w:r>
              <w:t xml:space="preserve">$1,400,000</w:t>
            </w:r>
          </w:p>
        </w:tc>
      </w:tr>
      <w:tr>
        <w:tc>
          <w:tcPr/>
          <w:p>
            <w:pPr>
              <w:pStyle w:val="Compact"/>
              <w:jc w:val="left"/>
            </w:pPr>
            <w:r>
              <w:t xml:space="preserve">Business disruption costs</w:t>
            </w:r>
          </w:p>
        </w:tc>
        <w:tc>
          <w:tcPr/>
          <w:p>
            <w:pPr>
              <w:pStyle w:val="Compact"/>
              <w:jc w:val="left"/>
            </w:pPr>
            <w:r>
              <w:t xml:space="preserve">$2,800,000</w:t>
            </w:r>
          </w:p>
        </w:tc>
      </w:tr>
      <w:tr>
        <w:tc>
          <w:tcPr/>
          <w:p>
            <w:pPr>
              <w:pStyle w:val="Compact"/>
              <w:jc w:val="left"/>
            </w:pPr>
            <w:r>
              <w:t xml:space="preserve">Customer-notification preparation costs</w:t>
            </w:r>
          </w:p>
        </w:tc>
        <w:tc>
          <w:tcPr/>
          <w:p>
            <w:pPr>
              <w:pStyle w:val="Compact"/>
              <w:jc w:val="left"/>
            </w:pPr>
            <w:r>
              <w:t xml:space="preserve">$300,000</w:t>
            </w:r>
          </w:p>
        </w:tc>
      </w:tr>
      <w:tr>
        <w:tc>
          <w:tcPr/>
          <w:p>
            <w:pPr>
              <w:pStyle w:val="Compact"/>
              <w:jc w:val="left"/>
            </w:pPr>
            <w:r>
              <w:rPr>
                <w:b/>
                <w:bCs/>
              </w:rPr>
              <w:t xml:space="preserve">Total estimated costs</w:t>
            </w:r>
          </w:p>
        </w:tc>
        <w:tc>
          <w:tcPr/>
          <w:p>
            <w:pPr>
              <w:pStyle w:val="Compact"/>
              <w:jc w:val="left"/>
            </w:pPr>
            <w:r>
              <w:rPr>
                <w:b/>
                <w:bCs/>
              </w:rPr>
              <w:t xml:space="preserve">$4,500,000</w:t>
            </w:r>
          </w:p>
        </w:tc>
      </w:tr>
    </w:tbl>
    <w:p>
      <w:pPr>
        <w:pStyle w:val="BodyText"/>
      </w:pPr>
      <w:r>
        <w:t xml:space="preserve">The $4.5 million estimate represents approximately 1.45% of projected FY2024 EBITDA and</w:t>
      </w:r>
      <w:r>
        <w:t xml:space="preserve"> </w:t>
      </w:r>
      <w:r>
        <w:rPr>
          <w:b/>
          <w:bCs/>
        </w:rPr>
        <w:t xml:space="preserve">does not include</w:t>
      </w:r>
      <w:r>
        <w:t xml:space="preserve"> </w:t>
      </w:r>
      <w:r>
        <w:t xml:space="preserve">potential customer claims, liquidated damages, regulatory penalties, litigation costs, credit-monitoring deployment costs, or reputational impact, all of which could materially increase total exposure.</w:t>
      </w:r>
    </w:p>
    <w:p>
      <w:r>
        <w:pict>
          <v:rect style="width:0;height:1.5pt" o:hralign="center" o:hrstd="t" o:hr="t"/>
        </w:pict>
      </w:r>
    </w:p>
    <w:bookmarkEnd w:id="25"/>
    <w:bookmarkEnd w:id="26"/>
    <w:bookmarkStart w:id="27" w:name="iii.-applicable-sec-regulatory-framework"/>
    <w:p>
      <w:pPr>
        <w:pStyle w:val="Heading2"/>
      </w:pPr>
      <w:r>
        <w:t xml:space="preserve">III. Applicable SEC Regulatory Framework</w:t>
      </w:r>
    </w:p>
    <w:p>
      <w:pPr>
        <w:pStyle w:val="FirstParagraph"/>
      </w:pPr>
      <w:r>
        <w:t xml:space="preserve">The following SEC requirements are directly implicated by the Incident:</w:t>
      </w:r>
    </w:p>
    <w:p>
      <w:pPr>
        <w:numPr>
          <w:ilvl w:val="0"/>
          <w:numId w:val="1002"/>
        </w:numPr>
      </w:pPr>
      <w:r>
        <w:rPr>
          <w:b/>
          <w:bCs/>
        </w:rPr>
        <w:t xml:space="preserve">Item 1.05 of Form 8-K (Cybersecurity Incidents).</w:t>
      </w:r>
      <w:r>
        <w:t xml:space="preserve"> </w:t>
      </w:r>
      <w:r>
        <w:t xml:space="preserve">Adopted in SEC Release No. 33-11216 (effective September 5, 2023; mandatory compliance for Form 8-K disclosures beginning December 18, 2023). A registrant must disclose a cybersecurity incident within</w:t>
      </w:r>
      <w:r>
        <w:t xml:space="preserve"> </w:t>
      </w:r>
      <w:r>
        <w:rPr>
          <w:b/>
          <w:bCs/>
        </w:rPr>
        <w:t xml:space="preserve">four (4) business days after the registrant determines that the incident is material</w:t>
      </w:r>
      <w:r>
        <w:t xml:space="preserve">. The disclosure must describe the material aspects of (i) the nature, scope, and timing of the incident, and (ii) the material impact or reasonably likely material impact on the registrant. The materiality determination must be made</w:t>
      </w:r>
      <w:r>
        <w:t xml:space="preserve"> </w:t>
      </w:r>
      <w:r>
        <w:rPr>
          <w:b/>
          <w:bCs/>
        </w:rPr>
        <w:t xml:space="preserve">“</w:t>
      </w:r>
      <w:r>
        <w:rPr>
          <w:b/>
          <w:bCs/>
        </w:rPr>
        <w:t xml:space="preserve">without unreasonable delay</w:t>
      </w:r>
      <w:r>
        <w:rPr>
          <w:b/>
          <w:bCs/>
        </w:rPr>
        <w:t xml:space="preserve">”</w:t>
      </w:r>
      <w:r>
        <w:t xml:space="preserve"> </w:t>
      </w:r>
      <w:r>
        <w:t xml:space="preserve">after discovery of the incident. The four-business-day period runs from the date of the materiality</w:t>
      </w:r>
      <w:r>
        <w:t xml:space="preserve"> </w:t>
      </w:r>
      <w:r>
        <w:rPr>
          <w:i/>
          <w:iCs/>
        </w:rPr>
        <w:t xml:space="preserve">determination</w:t>
      </w:r>
      <w:r>
        <w:t xml:space="preserve">, not the date of discovery — but the SEC has expressly warned that this framework</w:t>
      </w:r>
      <w:r>
        <w:t xml:space="preserve"> </w:t>
      </w:r>
      <w:r>
        <w:t xml:space="preserve">“</w:t>
      </w:r>
      <w:r>
        <w:t xml:space="preserve">should not be read to suggest that a registrant can delay making its materiality determination.</w:t>
      </w:r>
      <w:r>
        <w:t xml:space="preserve">”</w:t>
      </w:r>
    </w:p>
    <w:p>
      <w:pPr>
        <w:numPr>
          <w:ilvl w:val="0"/>
          <w:numId w:val="1002"/>
        </w:numPr>
      </w:pPr>
      <w:r>
        <w:rPr>
          <w:b/>
          <w:bCs/>
        </w:rPr>
        <w:t xml:space="preserve">Item 106 of Regulation S-K / Item 1C of Form 10-K (Cybersecurity Risk Management, Strategy, Governance, and Incident Disclosure).</w:t>
      </w:r>
      <w:r>
        <w:t xml:space="preserve"> </w:t>
      </w:r>
      <w:r>
        <w:t xml:space="preserve">Mandatory for annual reports for fiscal years ending on or after December 15, 2023. Requires disclosure of the Company’s processes for assessing, identifying, and managing material cybersecurity risks; whether such risks have materially affected or are reasonably likely to materially affect the Company; and the Board’s and management’s roles in cybersecurity risk oversight.</w:t>
      </w:r>
    </w:p>
    <w:p>
      <w:pPr>
        <w:numPr>
          <w:ilvl w:val="0"/>
          <w:numId w:val="1002"/>
        </w:numPr>
      </w:pPr>
      <w:r>
        <w:rPr>
          <w:b/>
          <w:bCs/>
        </w:rPr>
        <w:t xml:space="preserve">Materiality Standard.</w:t>
      </w:r>
      <w:r>
        <w:t xml:space="preserve"> </w:t>
      </w:r>
      <w:r>
        <w:t xml:space="preserve">Materiality is assessed under the standard of</w:t>
      </w:r>
      <w:r>
        <w:t xml:space="preserve"> </w:t>
      </w:r>
      <w:r>
        <w:rPr>
          <w:i/>
          <w:iCs/>
        </w:rPr>
        <w:t xml:space="preserve">Basic Inc. v. Levinson</w:t>
      </w:r>
      <w:r>
        <w:t xml:space="preserve"> </w:t>
      </w:r>
      <w:r>
        <w:t xml:space="preserve">and TSC Industries, considering both quantitative and qualitative factors from the perspective of a reasonable investor and the</w:t>
      </w:r>
      <w:r>
        <w:t xml:space="preserve"> </w:t>
      </w:r>
      <w:r>
        <w:t xml:space="preserve">“</w:t>
      </w:r>
      <w:r>
        <w:t xml:space="preserve">total mix</w:t>
      </w:r>
      <w:r>
        <w:t xml:space="preserve">”</w:t>
      </w:r>
      <w:r>
        <w:t xml:space="preserve"> </w:t>
      </w:r>
      <w:r>
        <w:t xml:space="preserve">of information available to management.</w:t>
      </w:r>
    </w:p>
    <w:p>
      <w:pPr>
        <w:numPr>
          <w:ilvl w:val="0"/>
          <w:numId w:val="1002"/>
        </w:numPr>
      </w:pPr>
      <w:r>
        <w:rPr>
          <w:b/>
          <w:bCs/>
        </w:rPr>
        <w:t xml:space="preserve">Regulation FD (Selective Disclosure).</w:t>
      </w:r>
      <w:r>
        <w:t xml:space="preserve"> </w:t>
      </w:r>
      <w:r>
        <w:t xml:space="preserve">Rule 100 of Regulation FD prohibits the selective disclosure of material nonpublic information to outside parties (e.g., customers, transaction counterparties) without simultaneous (for intentional disclosures) or prompt (for non-intentional disclosures) public disclosure.</w:t>
      </w:r>
    </w:p>
    <w:p>
      <w:pPr>
        <w:numPr>
          <w:ilvl w:val="0"/>
          <w:numId w:val="1002"/>
        </w:numPr>
      </w:pPr>
      <w:r>
        <w:rPr>
          <w:b/>
          <w:bCs/>
        </w:rPr>
        <w:t xml:space="preserve">Exchange Act Section 13(a) and Rules 13a-11, 13a-13, 13a-15; Sarbanes-Oxley Sections 302 and 404.</w:t>
      </w:r>
      <w:r>
        <w:t xml:space="preserve"> </w:t>
      </w:r>
      <w:r>
        <w:t xml:space="preserve">Periodic-reporting obligations; CEO/CFO certifications; disclosure controls and procedures; and internal control over financial reporting (</w:t>
      </w:r>
      <w:r>
        <w:t xml:space="preserve">“</w:t>
      </w:r>
      <w:r>
        <w:t xml:space="preserve">ICFR</w:t>
      </w:r>
      <w:r>
        <w:t xml:space="preserve">”</w:t>
      </w:r>
      <w:r>
        <w:t xml:space="preserve">).</w:t>
      </w:r>
    </w:p>
    <w:p>
      <w:pPr>
        <w:numPr>
          <w:ilvl w:val="0"/>
          <w:numId w:val="1002"/>
        </w:numPr>
      </w:pPr>
      <w:r>
        <w:rPr>
          <w:b/>
          <w:bCs/>
        </w:rPr>
        <w:t xml:space="preserve">Item 9A (Controls and Procedures), Item 1A (Risk Factors), and Item 7 (MD&amp;A) of Form 10-K.</w:t>
      </w:r>
      <w:r>
        <w:t xml:space="preserve"> </w:t>
      </w:r>
      <w:r>
        <w:t xml:space="preserve">The Incident may require updated disclosure of disclosure-controls deficiencies, ICFR impact, risk factors, and MD&amp;A discussion.</w:t>
      </w:r>
    </w:p>
    <w:p>
      <w:pPr>
        <w:numPr>
          <w:ilvl w:val="0"/>
          <w:numId w:val="1002"/>
        </w:numPr>
      </w:pPr>
      <w:r>
        <w:rPr>
          <w:b/>
          <w:bCs/>
        </w:rPr>
        <w:t xml:space="preserve">Anti-fraud provisions (Section 10(b) / Rule 10b-5; Section 17(a) of the Securities Act).</w:t>
      </w:r>
      <w:r>
        <w:t xml:space="preserve"> </w:t>
      </w:r>
      <w:r>
        <w:t xml:space="preserve">Material misstatements or omissions, including in any registration statement filed in connection with the Kessler acquisition, create liability exposure.</w:t>
      </w:r>
    </w:p>
    <w:p>
      <w:pPr>
        <w:numPr>
          <w:ilvl w:val="0"/>
          <w:numId w:val="1002"/>
        </w:numPr>
      </w:pPr>
      <w:r>
        <w:rPr>
          <w:b/>
          <w:bCs/>
        </w:rPr>
        <w:t xml:space="preserve">Law-enforcement delay provision.</w:t>
      </w:r>
      <w:r>
        <w:t xml:space="preserve"> </w:t>
      </w:r>
      <w:r>
        <w:t xml:space="preserve">The SEC’s rules permit delayed disclosure only where the U.S. Attorney General notifies the SEC that disclosure would pose a substantial risk to national security or public safety.</w:t>
      </w:r>
      <w:r>
        <w:t xml:space="preserve"> </w:t>
      </w:r>
      <w:r>
        <w:rPr>
          <w:b/>
          <w:bCs/>
        </w:rPr>
        <w:t xml:space="preserve">No such request has been received</w:t>
      </w:r>
      <w:r>
        <w:t xml:space="preserve">, and the Company cannot unilaterally delay disclosure on law-enforcement grounds.</w:t>
      </w:r>
    </w:p>
    <w:p>
      <w:r>
        <w:pict>
          <v:rect style="width:0;height:1.5pt" o:hralign="center" o:hrstd="t" o:hr="t"/>
        </w:pict>
      </w:r>
    </w:p>
    <w:bookmarkEnd w:id="27"/>
    <w:bookmarkStart w:id="39" w:name="iv.-gap-analysis"/>
    <w:p>
      <w:pPr>
        <w:pStyle w:val="Heading2"/>
      </w:pPr>
      <w:r>
        <w:t xml:space="preserve">IV. Gap Analysis</w:t>
      </w:r>
    </w:p>
    <w:p>
      <w:pPr>
        <w:pStyle w:val="FirstParagraph"/>
      </w:pPr>
      <w:r>
        <w:t xml:space="preserve">The following table summarizes the eleven categories of gaps identified. Each is discussed in detail in the subsections that follow.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 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No materiality determination; no Form 8-K under Item 1.05</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Board / Audit Committee oversight and notification failures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CIRP deficiencies (scope, escalation, testing, classification)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Disclosure controls, ICFR, and CFO/auditor notification gaps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Customer contractual notification breaches (38% of revenue at risk)</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Regulation FD / selective-disclosure exposure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Pending Kessler acquisition — disclosure and counterparty gaps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State data-breach notification failures</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International (GDPR / UK GDPR) notification failures</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Cyber-insurance coverage risks (late notice; MFA warranty)</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Insider-trading / blackout and 10-K Item 1C consistency gaps</w:t>
            </w:r>
          </w:p>
        </w:tc>
        <w:tc>
          <w:tcPr/>
          <w:p>
            <w:pPr>
              <w:pStyle w:val="Compact"/>
              <w:jc w:val="left"/>
            </w:pPr>
            <w:r>
              <w:rPr>
                <w:b/>
                <w:bCs/>
              </w:rPr>
              <w:t xml:space="preserve">Medium–High</w:t>
            </w:r>
          </w:p>
        </w:tc>
      </w:tr>
    </w:tbl>
    <w:bookmarkStart w:id="28" w:name="Xefaa527844645cfc42f1f911705ac6b61a180c7"/>
    <w:p>
      <w:pPr>
        <w:pStyle w:val="Heading3"/>
      </w:pPr>
      <w:r>
        <w:t xml:space="preserve">Gap 1 — No Materiality Determination; No Form 8-K Under Item 1.05</w:t>
      </w:r>
      <w:r>
        <w:t xml:space="preserve"> </w:t>
      </w:r>
      <w:r>
        <w:rPr>
          <w:i/>
          <w:iCs/>
        </w:rPr>
        <w:t xml:space="preserve">(Critical)</w:t>
      </w:r>
    </w:p>
    <w:p>
      <w:pPr>
        <w:pStyle w:val="FirstParagraph"/>
      </w:pPr>
      <w:r>
        <w:rPr>
          <w:b/>
          <w:bCs/>
        </w:rPr>
        <w:t xml:space="preserve">Requirement.</w:t>
      </w:r>
      <w:r>
        <w:t xml:space="preserve"> </w:t>
      </w:r>
      <w:r>
        <w:t xml:space="preserve">Item 1.05 of Form 8-K requires disclosure within four business days after the Company determines that a cybersecurity incident is material, with the determination to be made without unreasonable delay after discovery.</w:t>
      </w:r>
    </w:p>
    <w:p>
      <w:pPr>
        <w:pStyle w:val="BodyText"/>
      </w:pPr>
      <w:r>
        <w:rPr>
          <w:b/>
          <w:bCs/>
        </w:rPr>
        <w:t xml:space="preserve">Current state.</w:t>
      </w:r>
      <w:r>
        <w:t xml:space="preserve"> </w:t>
      </w:r>
      <w:r>
        <w:t xml:space="preserve">The Incident was discovered on November 18, 2024. As of December 6, 2024 — approximately twelve business days later —</w:t>
      </w:r>
      <w:r>
        <w:t xml:space="preserve"> </w:t>
      </w:r>
      <w:r>
        <w:rPr>
          <w:b/>
          <w:bCs/>
        </w:rPr>
        <w:t xml:space="preserve">no formal materiality determination has been conducted or documented, and no Form 8-K has been filed.</w:t>
      </w:r>
      <w:r>
        <w:t xml:space="preserve"> </w:t>
      </w:r>
      <w:r>
        <w:t xml:space="preserve">The CISO’s December 5 status report expressly states that</w:t>
      </w:r>
      <w:r>
        <w:t xml:space="preserve"> </w:t>
      </w:r>
      <w:r>
        <w:t xml:space="preserve">“</w:t>
      </w:r>
      <w:r>
        <w:t xml:space="preserve">[n]o formal materiality determination has been conducted.</w:t>
      </w:r>
      <w:r>
        <w:t xml:space="preserve">”</w:t>
      </w:r>
      <w:r>
        <w:t xml:space="preserve"> </w:t>
      </w:r>
      <w:r>
        <w:t xml:space="preserve">Outside securities counsel (Hollister Marsh LLP) was engaged on November 20 to advise on disclosure obligations, but no determination has been memorialized.</w:t>
      </w:r>
    </w:p>
    <w:p>
      <w:pPr>
        <w:pStyle w:val="BodyText"/>
      </w:pPr>
      <w:r>
        <w:rPr>
          <w:b/>
          <w:bCs/>
        </w:rPr>
        <w:t xml:space="preserve">Gap.</w:t>
      </w:r>
      <w:r>
        <w:t xml:space="preserve"> </w:t>
      </w:r>
      <w:r>
        <w:t xml:space="preserve">The Company has not made, and has not documented, the materiality determination that Item 1.05 requires it to make</w:t>
      </w:r>
      <w:r>
        <w:t xml:space="preserve"> </w:t>
      </w:r>
      <w:r>
        <w:t xml:space="preserve">“</w:t>
      </w:r>
      <w:r>
        <w:t xml:space="preserve">without unreasonable delay.</w:t>
      </w:r>
      <w:r>
        <w:t xml:space="preserve">”</w:t>
      </w:r>
      <w:r>
        <w:t xml:space="preserve"> </w:t>
      </w:r>
      <w:r>
        <w:t xml:space="preserve">The elapsed time, measured against the strength of the qualitative indicators of materiality (see Section V), is difficult to defend as reasonable. The SEC has emphasized that the determination period is not a safe harbor for delay.</w:t>
      </w:r>
    </w:p>
    <w:p>
      <w:pPr>
        <w:pStyle w:val="BodyText"/>
      </w:pPr>
      <w:r>
        <w:rPr>
          <w:b/>
          <w:bCs/>
        </w:rPr>
        <w:t xml:space="preserve">Risk/exposure.</w:t>
      </w:r>
      <w:r>
        <w:t xml:space="preserve"> </w:t>
      </w:r>
      <w:r>
        <w:t xml:space="preserve">Failure to file a required Form 8-K is a violation of Exchange Act Section 13(a) and Rule 13a-11, exposing the Company to SEC enforcement (cease-and-desist, civil penalties, and, in egregious cases, officer-and-director bars) and to private securities-litigation risk under Section 10(b)/Rule 10b-5. The longer the delay, the greater the risk that the SEC views the omission as deliberate rather than a good-faith exercise of judgment. The existence of a contemporaneous CISO status report stating that no materiality determination has been conducted is a document the SEC would likely request in any inquiry.</w:t>
      </w:r>
    </w:p>
    <w:p>
      <w:pPr>
        <w:pStyle w:val="BodyText"/>
      </w:pPr>
      <w:r>
        <w:rPr>
          <w:b/>
          <w:bCs/>
        </w:rPr>
        <w:t xml:space="preserve">Recommended action.</w:t>
      </w:r>
      <w:r>
        <w:t xml:space="preserve"> </w:t>
      </w:r>
      <w:r>
        <w:t xml:space="preserve">Convene the disclosure committee (or equivalent)</w:t>
      </w:r>
      <w:r>
        <w:t xml:space="preserve"> </w:t>
      </w:r>
      <w:r>
        <w:rPr>
          <w:b/>
          <w:bCs/>
        </w:rPr>
        <w:t xml:space="preserve">immediately</w:t>
      </w:r>
      <w:r>
        <w:t xml:space="preserve">, with the General Counsel, CFO, CTO, CISO, and outside securities counsel, to (i) conduct and</w:t>
      </w:r>
      <w:r>
        <w:t xml:space="preserve"> </w:t>
      </w:r>
      <w:r>
        <w:rPr>
          <w:b/>
          <w:bCs/>
        </w:rPr>
        <w:t xml:space="preserve">document</w:t>
      </w:r>
      <w:r>
        <w:t xml:space="preserve"> </w:t>
      </w:r>
      <w:r>
        <w:t xml:space="preserve">a written materiality analysis applying both quantitative and qualitative factors; (ii) if material, prepare and file a Form 8-K under Item 1.05 within four business days of the determination; and (iii) preserve the analysis as part of the Company’s disclosure-controls record. See Section V for the substantive analysis and Section VI for the timeline.</w:t>
      </w:r>
    </w:p>
    <w:bookmarkEnd w:id="28"/>
    <w:bookmarkStart w:id="29" w:name="X65c907f6cd85ff905a200e49473d62704b14d2f"/>
    <w:p>
      <w:pPr>
        <w:pStyle w:val="Heading3"/>
      </w:pPr>
      <w:r>
        <w:t xml:space="preserve">Gap 2 — Board / Audit Committee Oversight and Notification Failures</w:t>
      </w:r>
      <w:r>
        <w:t xml:space="preserve"> </w:t>
      </w:r>
      <w:r>
        <w:rPr>
          <w:i/>
          <w:iCs/>
        </w:rPr>
        <w:t xml:space="preserve">(Critical)</w:t>
      </w:r>
    </w:p>
    <w:p>
      <w:pPr>
        <w:pStyle w:val="FirstParagraph"/>
      </w:pPr>
      <w:r>
        <w:rPr>
          <w:b/>
          <w:bCs/>
        </w:rPr>
        <w:t xml:space="preserve">Requirement.</w:t>
      </w:r>
      <w:r>
        <w:t xml:space="preserve"> </w:t>
      </w:r>
      <w:r>
        <w:t xml:space="preserve">Item 106 of Regulation S-K requires disclosure of the Board’s oversight of cybersecurity risk. The Company’s FY2023 Form 10-K (Item 1C) represents that the Audit Committee</w:t>
      </w:r>
      <w:r>
        <w:t xml:space="preserve"> </w:t>
      </w:r>
      <w:r>
        <w:t xml:space="preserve">“</w:t>
      </w:r>
      <w:r>
        <w:t xml:space="preserve">receives quarterly updates on the Company’s cybersecurity posture</w:t>
      </w:r>
      <w:r>
        <w:t xml:space="preserve">”</w:t>
      </w:r>
      <w:r>
        <w:t xml:space="preserve"> </w:t>
      </w:r>
      <w:r>
        <w:t xml:space="preserve">and that,</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w:t>
      </w:r>
      <w:r>
        <w:t xml:space="preserve">”</w:t>
      </w:r>
      <w:r>
        <w:t xml:space="preserve"> </w:t>
      </w:r>
      <w:r>
        <w:t xml:space="preserve">The Audit Committee charter requires the Committee to oversee risk management and to be informed of significant matters in a timely manner.</w:t>
      </w:r>
    </w:p>
    <w:p>
      <w:pPr>
        <w:pStyle w:val="BodyText"/>
      </w:pPr>
      <w:r>
        <w:rPr>
          <w:b/>
          <w:bCs/>
        </w:rPr>
        <w:t xml:space="preserve">Current state.</w:t>
      </w:r>
      <w:r>
        <w:t xml:space="preserve"> </w:t>
      </w:r>
      <w:r>
        <w:t xml:space="preserve">The Audit Committee Chair was first notified on</w:t>
      </w:r>
      <w:r>
        <w:t xml:space="preserve"> </w:t>
      </w:r>
      <w:r>
        <w:rPr>
          <w:b/>
          <w:bCs/>
        </w:rPr>
        <w:t xml:space="preserve">December 3, 2024 — Day 15</w:t>
      </w:r>
      <w:r>
        <w:t xml:space="preserve"> </w:t>
      </w:r>
      <w:r>
        <w:t xml:space="preserve">— by email. No special meeting of the Audit Committee has been called; the next regularly scheduled meeting is</w:t>
      </w:r>
      <w:r>
        <w:t xml:space="preserve"> </w:t>
      </w:r>
      <w:r>
        <w:rPr>
          <w:b/>
          <w:bCs/>
        </w:rPr>
        <w:t xml:space="preserve">January 22, 2025</w:t>
      </w:r>
      <w:r>
        <w:t xml:space="preserve"> </w:t>
      </w:r>
      <w:r>
        <w:t xml:space="preserve">(more than two months after discovery). The full Board has not been notified. The CIRP escalation matrix (Section 10) escalates only to the CTO and contains</w:t>
      </w:r>
      <w:r>
        <w:t xml:space="preserve"> </w:t>
      </w:r>
      <w:r>
        <w:rPr>
          <w:b/>
          <w:bCs/>
        </w:rPr>
        <w:t xml:space="preserve">no trigger, recipient, or timeframe</w:t>
      </w:r>
      <w:r>
        <w:t xml:space="preserve"> </w:t>
      </w:r>
      <w:r>
        <w:t xml:space="preserve">for notifying the General Counsel, the CEO, the CFO, the Audit Committee, or the Board.</w:t>
      </w:r>
    </w:p>
    <w:p>
      <w:pPr>
        <w:pStyle w:val="BodyText"/>
      </w:pPr>
      <w:r>
        <w:rPr>
          <w:b/>
          <w:bCs/>
        </w:rPr>
        <w:t xml:space="preserve">Gap.</w:t>
      </w:r>
      <w:r>
        <w:t xml:space="preserve"> </w:t>
      </w:r>
      <w:r>
        <w:t xml:space="preserve">(a) The Tier 3 (highest-severity) Incident — involving confirmed data exfiltration of customer banking data and encryption of core financial systems — was not escalated to the Board or Audit Committee</w:t>
      </w:r>
      <w:r>
        <w:t xml:space="preserve"> </w:t>
      </w:r>
      <w:r>
        <w:t xml:space="preserve">“</w:t>
      </w:r>
      <w:r>
        <w:t xml:space="preserve">in a timely manner</w:t>
      </w:r>
      <w:r>
        <w:t xml:space="preserve">”</w:t>
      </w:r>
      <w:r>
        <w:t xml:space="preserve"> </w:t>
      </w:r>
      <w:r>
        <w:t xml:space="preserve">as represented in the Company’s own 10-K. (b) The</w:t>
      </w:r>
      <w:r>
        <w:t xml:space="preserve"> </w:t>
      </w:r>
      <w:r>
        <w:rPr>
          <w:b/>
          <w:bCs/>
        </w:rPr>
        <w:t xml:space="preserve">Audit Committee charter (last amended March 15, 2021) contains no cybersecurity-oversight provisions whatsoever</w:t>
      </w:r>
      <w:r>
        <w:t xml:space="preserve">; its risk-management duties are limited to</w:t>
      </w:r>
      <w:r>
        <w:t xml:space="preserve"> </w:t>
      </w:r>
      <w:r>
        <w:t xml:space="preserve">“</w:t>
      </w:r>
      <w:r>
        <w:t xml:space="preserve">major financial risk exposures.</w:t>
      </w:r>
      <w:r>
        <w:t xml:space="preserve">”</w:t>
      </w:r>
      <w:r>
        <w:t xml:space="preserve"> </w:t>
      </w:r>
      <w:r>
        <w:t xml:space="preserve">The charter does not assign the Committee responsibility for cybersecurity-risk oversight, even though the 10-K represents that the Audit Committee performs that role. (c) The CIRP escalation matrix does not reach the Board, the General Counsel, or the CEO as a mandatory matter.</w:t>
      </w:r>
    </w:p>
    <w:p>
      <w:pPr>
        <w:pStyle w:val="BodyText"/>
      </w:pPr>
      <w:r>
        <w:rPr>
          <w:b/>
          <w:bCs/>
        </w:rPr>
        <w:t xml:space="preserve">Risk/exposure.</w:t>
      </w:r>
      <w:r>
        <w:t xml:space="preserve"> </w:t>
      </w:r>
      <w:r>
        <w:t xml:space="preserve">The Company’s actual governance conduct is inconsistent with its disclosed governance process, which is itself a disclosure-accuracy issue under Item 106 and could be challenged as misleading. The delayed Board notification also impaired the Board’s ability to discharge its oversight duty and to direct a timely materiality determination and disclosure decision. The absence of cybersecurity responsibilities in the charter is a structural gap that the SEC and Nasdaq may view unfavorably and that undermines the Company’s Item 1C governance representations.</w:t>
      </w:r>
    </w:p>
    <w:p>
      <w:pPr>
        <w:pStyle w:val="BodyText"/>
      </w:pPr>
      <w:r>
        <w:rPr>
          <w:b/>
          <w:bCs/>
        </w:rPr>
        <w:t xml:space="preserve">Recommended action.</w:t>
      </w:r>
      <w:r>
        <w:t xml:space="preserve"> </w:t>
      </w:r>
      <w:r>
        <w:t xml:space="preserve">(i) Notify the full Audit Committee and Board</w:t>
      </w:r>
      <w:r>
        <w:t xml:space="preserve"> </w:t>
      </w:r>
      <w:r>
        <w:rPr>
          <w:b/>
          <w:bCs/>
        </w:rPr>
        <w:t xml:space="preserve">immediately</w:t>
      </w:r>
      <w:r>
        <w:t xml:space="preserve"> </w:t>
      </w:r>
      <w:r>
        <w:t xml:space="preserve">and convene a special Audit Committee meeting (in person or by phone) within days, not weeks; (ii) amend the Audit Committee charter to add explicit cybersecurity-risk oversight responsibilities, including incident escalation, materiality-determination oversight, and reporting to the full Board; (iii) revise the CIRP escalation matrix to add mandatory, time-bound notification of the General Counsel, CEO, CFO, and Audit Committee/Board for Tier 2 and Tier 3 incidents; and (iv) reconcile the FY2024 10-K Item 1C governance disclosure with actual practice.</w:t>
      </w:r>
    </w:p>
    <w:bookmarkEnd w:id="29"/>
    <w:bookmarkStart w:id="30" w:name="Xc02670c4d9f915647e31485bc29fa5310d9356c"/>
    <w:p>
      <w:pPr>
        <w:pStyle w:val="Heading3"/>
      </w:pPr>
      <w:r>
        <w:t xml:space="preserve">Gap 3 — CIRP Deficiencies (Scope, Escalation, Testing, Classification)</w:t>
      </w:r>
      <w:r>
        <w:t xml:space="preserve"> </w:t>
      </w:r>
      <w:r>
        <w:rPr>
          <w:i/>
          <w:iCs/>
        </w:rPr>
        <w:t xml:space="preserve">(High)</w:t>
      </w:r>
    </w:p>
    <w:p>
      <w:pPr>
        <w:pStyle w:val="FirstParagraph"/>
      </w:pPr>
      <w:r>
        <w:rPr>
          <w:b/>
          <w:bCs/>
        </w:rPr>
        <w:t xml:space="preserve">Requirement.</w:t>
      </w:r>
      <w:r>
        <w:t xml:space="preserve"> </w:t>
      </w:r>
      <w:r>
        <w:t xml:space="preserve">Item 106 requires disclosure of the Company’s processes for assessing, identifying, and managing material cybersecurity risks, including incident response. The Company’s 10-K represents that the CIRP</w:t>
      </w:r>
      <w:r>
        <w:t xml:space="preserve"> </w:t>
      </w:r>
      <w:r>
        <w:t xml:space="preserve">“</w:t>
      </w:r>
      <w:r>
        <w:t xml:space="preserve">establishes the Company’s framework for responding to cybersecurity incidents in a coordinated, structured, and efficient manner.</w:t>
      </w:r>
      <w:r>
        <w:t xml:space="preserve">”</w:t>
      </w:r>
    </w:p>
    <w:p>
      <w:pPr>
        <w:pStyle w:val="BodyText"/>
      </w:pPr>
      <w:r>
        <w:rPr>
          <w:b/>
          <w:bCs/>
        </w:rPr>
        <w:t xml:space="preserve">Current state and gaps.</w:t>
      </w:r>
      <w:r>
        <w:t xml:space="preserve"> </w:t>
      </w:r>
      <w:r>
        <w:t xml:space="preserve">The CIRP (Version 1.0, effective June 15, 2022) exhibits several deficiencies revealed or confirmed by the Incident:</w:t>
      </w:r>
    </w:p>
    <w:p>
      <w:pPr>
        <w:numPr>
          <w:ilvl w:val="0"/>
          <w:numId w:val="1003"/>
        </w:numPr>
      </w:pPr>
      <w:r>
        <w:rPr>
          <w:b/>
          <w:bCs/>
        </w:rPr>
        <w:t xml:space="preserve">(a) Not updated for the SEC disclosure rules.</w:t>
      </w:r>
      <w:r>
        <w:t xml:space="preserve"> </w:t>
      </w:r>
      <w:r>
        <w:t xml:space="preserve">The CIRP was last</w:t>
      </w:r>
      <w:r>
        <w:t xml:space="preserve"> </w:t>
      </w:r>
      <w:r>
        <w:rPr>
          <w:i/>
          <w:iCs/>
        </w:rPr>
        <w:t xml:space="preserve">substantively</w:t>
      </w:r>
      <w:r>
        <w:t xml:space="preserve"> </w:t>
      </w:r>
      <w:r>
        <w:t xml:space="preserve">reviewed in June 2022; the August 14, 2023 review was</w:t>
      </w:r>
      <w:r>
        <w:t xml:space="preserve"> </w:t>
      </w:r>
      <w:r>
        <w:t xml:space="preserve">“</w:t>
      </w:r>
      <w:r>
        <w:t xml:space="preserve">administrative</w:t>
      </w:r>
      <w:r>
        <w:t xml:space="preserve">”</w:t>
      </w:r>
      <w:r>
        <w:t xml:space="preserve"> </w:t>
      </w:r>
      <w:r>
        <w:t xml:space="preserve">only (vendor contacts). The CIRP does not reference the SEC’s September 2023 cybersecurity-disclosure rules, does not incorporate a materiality-determination process, and does not address the four-business-day Form 8-K timeline. The CIRP’s own governance section (Section 1.4) requires annual review, but no substantive review has occurred in over two years.</w:t>
      </w:r>
    </w:p>
    <w:p>
      <w:pPr>
        <w:numPr>
          <w:ilvl w:val="0"/>
          <w:numId w:val="1003"/>
        </w:numPr>
      </w:pPr>
      <w:r>
        <w:rPr>
          <w:b/>
          <w:bCs/>
        </w:rPr>
        <w:t xml:space="preserve">(b) External and disclosure communications excluded from scope.</w:t>
      </w:r>
      <w:r>
        <w:t xml:space="preserve"> </w:t>
      </w:r>
      <w:r>
        <w:t xml:space="preserve">CIRP Section 9.3 expressly states that external communications —</w:t>
      </w:r>
      <w:r>
        <w:t xml:space="preserve"> </w:t>
      </w:r>
      <w:r>
        <w:t xml:space="preserve">“</w:t>
      </w:r>
      <w:r>
        <w:t xml:space="preserve">including communications to customers, regulators, media, or the public — are outside the scope of this Plan.</w:t>
      </w:r>
      <w:r>
        <w:t xml:space="preserve">”</w:t>
      </w:r>
      <w:r>
        <w:t xml:space="preserve"> </w:t>
      </w:r>
      <w:r>
        <w:t xml:space="preserve">There is</w:t>
      </w:r>
      <w:r>
        <w:t xml:space="preserve"> </w:t>
      </w:r>
      <w:r>
        <w:rPr>
          <w:b/>
          <w:bCs/>
        </w:rPr>
        <w:t xml:space="preserve">no documented process connecting incident response to the Company’s SEC disclosure, customer-notification, or regulatory-notification obligations.</w:t>
      </w:r>
      <w:r>
        <w:t xml:space="preserve"> </w:t>
      </w:r>
      <w:r>
        <w:t xml:space="preserve">This is the structural root cause of Gaps 1, 5, 8, and 9.</w:t>
      </w:r>
    </w:p>
    <w:p>
      <w:pPr>
        <w:numPr>
          <w:ilvl w:val="0"/>
          <w:numId w:val="1003"/>
        </w:numPr>
      </w:pPr>
      <w:r>
        <w:rPr>
          <w:b/>
          <w:bCs/>
        </w:rPr>
        <w:t xml:space="preserve">(c) No testing.</w:t>
      </w:r>
      <w:r>
        <w:t xml:space="preserve"> </w:t>
      </w:r>
      <w:r>
        <w:t xml:space="preserve">The CIRP acknowledges (Sections 1.4 and 4.3) that</w:t>
      </w:r>
      <w:r>
        <w:t xml:space="preserve"> </w:t>
      </w:r>
      <w:r>
        <w:rPr>
          <w:b/>
          <w:bCs/>
        </w:rPr>
        <w:t xml:space="preserve">“</w:t>
      </w:r>
      <w:r>
        <w:rPr>
          <w:b/>
          <w:bCs/>
        </w:rPr>
        <w:t xml:space="preserve">[n]o tabletop exercises or simulation-based tests of this Plan have been conducted.</w:t>
      </w:r>
      <w:r>
        <w:rPr>
          <w:b/>
          <w:bCs/>
        </w:rPr>
        <w:t xml:space="preserve">”</w:t>
      </w:r>
      <w:r>
        <w:t xml:space="preserve"> </w:t>
      </w:r>
      <w:r>
        <w:t xml:space="preserve">The Plan has never been tested since its June 2022 adoption.</w:t>
      </w:r>
    </w:p>
    <w:p>
      <w:pPr>
        <w:numPr>
          <w:ilvl w:val="0"/>
          <w:numId w:val="1003"/>
        </w:numPr>
      </w:pPr>
      <w:r>
        <w:rPr>
          <w:b/>
          <w:bCs/>
        </w:rPr>
        <w:t xml:space="preserve">(d) Severity classification is purely technical.</w:t>
      </w:r>
      <w:r>
        <w:t xml:space="preserve"> </w:t>
      </w:r>
      <w:r>
        <w:t xml:space="preserve">The CIRP’s three-tier matrix (Section 3.2) is based solely on technical criteria (endpoint count, downtime, data exfiltration). It contains</w:t>
      </w:r>
      <w:r>
        <w:t xml:space="preserve"> </w:t>
      </w:r>
      <w:r>
        <w:rPr>
          <w:b/>
          <w:bCs/>
        </w:rPr>
        <w:t xml:space="preserve">no materiality, legal, or disclosure dimension.</w:t>
      </w:r>
      <w:r>
        <w:t xml:space="preserve"> </w:t>
      </w:r>
      <w:r>
        <w:t xml:space="preserve">A Tier 3 classification triggers no legal review, no materiality assessment, and no disclosure-committee activation.</w:t>
      </w:r>
    </w:p>
    <w:p>
      <w:pPr>
        <w:numPr>
          <w:ilvl w:val="0"/>
          <w:numId w:val="1003"/>
        </w:numPr>
      </w:pPr>
      <w:r>
        <w:rPr>
          <w:b/>
          <w:bCs/>
        </w:rPr>
        <w:t xml:space="preserve">(e) CISO sole authority over classification.</w:t>
      </w:r>
      <w:r>
        <w:t xml:space="preserve"> </w:t>
      </w:r>
      <w:r>
        <w:t xml:space="preserve">The CIRP gives the CISO</w:t>
      </w:r>
      <w:r>
        <w:t xml:space="preserve"> </w:t>
      </w:r>
      <w:r>
        <w:t xml:space="preserve">“</w:t>
      </w:r>
      <w:r>
        <w:t xml:space="preserve">sole authority over incident classification, response coordination, and closure determination</w:t>
      </w:r>
      <w:r>
        <w:t xml:space="preserve">”</w:t>
      </w:r>
      <w:r>
        <w:t xml:space="preserve"> </w:t>
      </w:r>
      <w:r>
        <w:t xml:space="preserve">(Section 2.2), with no required input from legal, finance, or disclosure functions. Technical classification thus proceeds without the cross-functional input necessary to evaluate disclosure obligations.</w:t>
      </w:r>
    </w:p>
    <w:p>
      <w:pPr>
        <w:pStyle w:val="FirstParagraph"/>
      </w:pPr>
      <w:r>
        <w:rPr>
          <w:b/>
          <w:bCs/>
        </w:rPr>
        <w:t xml:space="preserve">Risk/exposure.</w:t>
      </w:r>
      <w:r>
        <w:t xml:space="preserve"> </w:t>
      </w:r>
      <w:r>
        <w:t xml:space="preserve">These deficiencies undermine the accuracy of the Company’s Item 1C representations regarding its incident-response processes and contributed directly to the delayed and incomplete notification chain. They also weaken the Company’s ability to demonstrate a reasonable, well-governed response in any SEC inquiry.</w:t>
      </w:r>
    </w:p>
    <w:p>
      <w:pPr>
        <w:pStyle w:val="BodyText"/>
      </w:pPr>
      <w:r>
        <w:rPr>
          <w:b/>
          <w:bCs/>
        </w:rPr>
        <w:t xml:space="preserve">Recommended action.</w:t>
      </w:r>
      <w:r>
        <w:t xml:space="preserve"> </w:t>
      </w:r>
      <w:r>
        <w:t xml:space="preserve">Substantially revise the CIRP to (i) integrate a materiality-determination and disclosure-escalation workflow; (ii) bring external and regulatory communications within scope or cross-reference a companion disclosure protocol; (iii) add legal, finance, and disclosure-function roles to the classification and escalation process; (iv) establish and execute a tabletop-exercise schedule (at least annually); and (v) conduct the overdue substantive annual review.</w:t>
      </w:r>
    </w:p>
    <w:bookmarkEnd w:id="30"/>
    <w:bookmarkStart w:id="31" w:name="Xf65c644dba75d410c7adc59083f556be61b516a"/>
    <w:p>
      <w:pPr>
        <w:pStyle w:val="Heading3"/>
      </w:pPr>
      <w:r>
        <w:t xml:space="preserve">Gap 4 — Disclosure Controls, ICFR, and CFO/Auditor Notification Gaps</w:t>
      </w:r>
      <w:r>
        <w:t xml:space="preserve"> </w:t>
      </w:r>
      <w:r>
        <w:rPr>
          <w:i/>
          <w:iCs/>
        </w:rPr>
        <w:t xml:space="preserve">(High)</w:t>
      </w:r>
    </w:p>
    <w:p>
      <w:pPr>
        <w:pStyle w:val="FirstParagraph"/>
      </w:pPr>
      <w:r>
        <w:rPr>
          <w:b/>
          <w:bCs/>
        </w:rPr>
        <w:t xml:space="preserve">Requirement.</w:t>
      </w:r>
      <w:r>
        <w:t xml:space="preserve"> </w:t>
      </w:r>
      <w:r>
        <w:t xml:space="preserve">Exchange Act Rules 13a-15 and Sarbanes-Oxley Sections 302 and 404 require the Company to maintain disclosure controls and procedures and ICFR, and to evaluate their effectiveness. The Audit Committee charter contemplates that the independent auditor and the Committee be informed of significant financial-reporting and internal-control matters.</w:t>
      </w:r>
    </w:p>
    <w:p>
      <w:pPr>
        <w:pStyle w:val="BodyText"/>
      </w:pPr>
      <w:r>
        <w:rPr>
          <w:b/>
          <w:bCs/>
        </w:rPr>
        <w:t xml:space="preserve">Current state.</w:t>
      </w:r>
      <w:r>
        <w:t xml:space="preserve"> </w:t>
      </w:r>
      <w:r>
        <w:t xml:space="preserve">The ERP</w:t>
      </w:r>
      <w:r>
        <w:t xml:space="preserve"> </w:t>
      </w:r>
      <w:r>
        <w:rPr>
          <w:b/>
          <w:bCs/>
        </w:rPr>
        <w:t xml:space="preserve">finance module</w:t>
      </w:r>
      <w:r>
        <w:t xml:space="preserve"> </w:t>
      </w:r>
      <w:r>
        <w:t xml:space="preserve">was encrypted and unavailable from November 18, 2024, requiring manual workaround processes for accounts payable, accounts receivable, general ledger, and financial reporting. The</w:t>
      </w:r>
      <w:r>
        <w:t xml:space="preserve"> </w:t>
      </w:r>
      <w:r>
        <w:rPr>
          <w:b/>
          <w:bCs/>
        </w:rPr>
        <w:t xml:space="preserve">Chief Financial Officer does not appear in the incident-notification chain</w:t>
      </w:r>
      <w:r>
        <w:t xml:space="preserve"> </w:t>
      </w:r>
      <w:r>
        <w:t xml:space="preserve">(the CISO status report is distributed only to the General Counsel, CTO, and Associate General Counsel). The</w:t>
      </w:r>
      <w:r>
        <w:t xml:space="preserve"> </w:t>
      </w:r>
      <w:r>
        <w:rPr>
          <w:b/>
          <w:bCs/>
        </w:rPr>
        <w:t xml:space="preserve">independent auditor, Greystone &amp; Associates LLP, has not been notified</w:t>
      </w:r>
      <w:r>
        <w:t xml:space="preserve">, although the FY2024 audit cycle is approaching (fiscal year ends December 31, 2024). No disclosure committee appears to have been convened.</w:t>
      </w:r>
    </w:p>
    <w:p>
      <w:pPr>
        <w:pStyle w:val="BodyText"/>
      </w:pPr>
      <w:r>
        <w:rPr>
          <w:b/>
          <w:bCs/>
        </w:rPr>
        <w:t xml:space="preserve">Gap.</w:t>
      </w:r>
      <w:r>
        <w:t xml:space="preserve"> </w:t>
      </w:r>
      <w:r>
        <w:t xml:space="preserve">(a) The encryption of the finance module and reliance on manual workarounds may have affected, or may be reasonably likely to affect, the Company’s ICFR and disclosure controls and procedures, yet no ICFR impact assessment has been documented. (b) The CFO — the officer who certifies the Company’s periodic reports and is centrally responsible for disclosure controls — was not included in the notification chain, impairing the Company’s ability to evaluate and certify controls. (c) The independent auditor was not informed of a matter directly relevant to ICFR and the FY2024 audit.</w:t>
      </w:r>
    </w:p>
    <w:p>
      <w:pPr>
        <w:pStyle w:val="BodyText"/>
      </w:pPr>
      <w:r>
        <w:rPr>
          <w:b/>
          <w:bCs/>
        </w:rPr>
        <w:t xml:space="preserve">Risk/exposure.</w:t>
      </w:r>
      <w:r>
        <w:t xml:space="preserve"> </w:t>
      </w:r>
      <w:r>
        <w:t xml:space="preserve">Failure to assess and disclose ICFR and disclosure-controls impacts creates Section 302/404 certification risk and potential misstatement/omission exposure in the FY2024 10-K. Late notification of the auditor may complicate audit planning and the auditor’s evaluation of ICFR. The CFO’s exclusion is a process defect that the SEC would scrutinize.</w:t>
      </w:r>
    </w:p>
    <w:p>
      <w:pPr>
        <w:pStyle w:val="BodyText"/>
      </w:pPr>
      <w:r>
        <w:rPr>
          <w:b/>
          <w:bCs/>
        </w:rPr>
        <w:t xml:space="preserve">Recommended action.</w:t>
      </w:r>
      <w:r>
        <w:t xml:space="preserve"> </w:t>
      </w:r>
      <w:r>
        <w:t xml:space="preserve">(i) Immediately add the CFO to the incident-notification and disclosure chain; (ii) conduct and document an ICFR and disclosure-controls impact assessment with the CFO and internal audit; (iii) notify Greystone &amp; Associates LLP of the Incident and its impact on financial systems; (iv) convene the disclosure committee; and (v) plan for Item 9A disclosure in the FY2024 10-K.</w:t>
      </w:r>
    </w:p>
    <w:bookmarkEnd w:id="31"/>
    <w:bookmarkStart w:id="32" w:name="Xa455b13773e82890f9577414347c53354fb11ef"/>
    <w:p>
      <w:pPr>
        <w:pStyle w:val="Heading3"/>
      </w:pPr>
      <w:r>
        <w:t xml:space="preserve">Gap 5 — Customer Contractual Notification Breaches (38% of Revenue at Risk)</w:t>
      </w:r>
      <w:r>
        <w:t xml:space="preserve"> </w:t>
      </w:r>
      <w:r>
        <w:rPr>
          <w:i/>
          <w:iCs/>
        </w:rPr>
        <w:t xml:space="preserve">(High)</w:t>
      </w:r>
    </w:p>
    <w:p>
      <w:pPr>
        <w:pStyle w:val="FirstParagraph"/>
      </w:pPr>
      <w:r>
        <w:rPr>
          <w:b/>
          <w:bCs/>
        </w:rPr>
        <w:t xml:space="preserve">Requirement.</w:t>
      </w:r>
      <w:r>
        <w:t xml:space="preserve"> </w:t>
      </w:r>
      <w:r>
        <w:t xml:space="preserve">The Company’s customer master agreements impose time-sensitive cybersecurity-incident notification obligations. Under the Company’s own contracts, these obligations are independent of, and run in parallel with, SEC and regulatory obligations.</w:t>
      </w:r>
    </w:p>
    <w:p>
      <w:pPr>
        <w:pStyle w:val="BodyText"/>
      </w:pPr>
      <w:r>
        <w:rPr>
          <w:b/>
          <w:bCs/>
        </w:rPr>
        <w:t xml:space="preserve">Current state.</w:t>
      </w:r>
      <w:r>
        <w:t xml:space="preserve"> </w:t>
      </w:r>
      <w:r>
        <w:t xml:space="preserve">The Office of the General Counsel’s December 5, 2024 contract-extract memorandum identifies three top-ten customers —</w:t>
      </w:r>
      <w:r>
        <w:t xml:space="preserve"> </w:t>
      </w:r>
      <w:r>
        <w:rPr>
          <w:b/>
          <w:bCs/>
        </w:rPr>
        <w:t xml:space="preserve">Harmon Defense Solutions, Crestfield Aerospace, and Nexagen Manufacturing</w:t>
      </w:r>
      <w:r>
        <w:t xml:space="preserve"> </w:t>
      </w:r>
      <w:r>
        <w:t xml:space="preserve">— each of which imposes a</w:t>
      </w:r>
      <w:r>
        <w:t xml:space="preserve"> </w:t>
      </w:r>
      <w:r>
        <w:rPr>
          <w:b/>
          <w:bCs/>
        </w:rPr>
        <w:t xml:space="preserve">48-hour notification deadline</w:t>
      </w:r>
      <w:r>
        <w:t xml:space="preserve"> </w:t>
      </w:r>
      <w:r>
        <w:t xml:space="preserve">from discovery. All three deadlines expired no later than</w:t>
      </w:r>
      <w:r>
        <w:t xml:space="preserve"> </w:t>
      </w:r>
      <w:r>
        <w:rPr>
          <w:b/>
          <w:bCs/>
        </w:rPr>
        <w:t xml:space="preserve">November 20, 2024</w:t>
      </w:r>
      <w:r>
        <w:t xml:space="preserve">. As of December 5, 2024,</w:t>
      </w:r>
      <w:r>
        <w:t xml:space="preserve"> </w:t>
      </w:r>
      <w:r>
        <w:rPr>
          <w:b/>
          <w:bCs/>
        </w:rPr>
        <w:t xml:space="preserve">no notifications have been sent to any of these customers.</w:t>
      </w:r>
      <w:r>
        <w:t xml:space="preserve"> </w:t>
      </w:r>
      <w:r>
        <w:t xml:space="preserve">The exfiltrated dataset includes records for these customers (and at least six of the top-ten customers overall). The top-ten customers represent approximately 38% of revenue (~$710.6 million).</w:t>
      </w:r>
    </w:p>
    <w:p>
      <w:pPr>
        <w:pStyle w:val="BodyText"/>
      </w:pPr>
      <w:r>
        <w:rPr>
          <w:b/>
          <w:bCs/>
        </w:rPr>
        <w:t xml:space="preserve">Gap.</w:t>
      </w:r>
      <w:r>
        <w:t xml:space="preserve"> </w:t>
      </w:r>
      <w:r>
        <w:t xml:space="preserve">The Company has breached the 48-hour notification obligations under at least three material customer contracts, with the following contractual consequences: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Notification Deadline</w:t>
            </w:r>
          </w:p>
        </w:tc>
        <w:tc>
          <w:tcPr/>
          <w:p>
            <w:pPr>
              <w:pStyle w:val="Compact"/>
              <w:jc w:val="left"/>
            </w:pPr>
            <w:r>
              <w:t xml:space="preserve">Liquidated Damages</w:t>
            </w:r>
          </w:p>
        </w:tc>
        <w:tc>
          <w:tcPr/>
          <w:p>
            <w:pPr>
              <w:pStyle w:val="Compact"/>
              <w:jc w:val="left"/>
            </w:pPr>
            <w:r>
              <w:t xml:space="preserve">Termination Right</w:t>
            </w:r>
          </w:p>
        </w:tc>
        <w:tc>
          <w:tcPr/>
          <w:p>
            <w:pPr>
              <w:pStyle w:val="Compact"/>
              <w:jc w:val="left"/>
            </w:pPr>
            <w:r>
              <w:t xml:space="preserve">Other Remedies</w:t>
            </w:r>
          </w:p>
        </w:tc>
      </w:tr>
      <w:tr>
        <w:tc>
          <w:tcPr/>
          <w:p>
            <w:pPr>
              <w:pStyle w:val="Compact"/>
              <w:jc w:val="left"/>
            </w:pPr>
            <w:r>
              <w:t xml:space="preserve">Harmon Defense Solutions</w:t>
            </w:r>
          </w:p>
        </w:tc>
        <w:tc>
          <w:tcPr/>
          <w:p>
            <w:pPr>
              <w:pStyle w:val="Compact"/>
              <w:jc w:val="left"/>
            </w:pPr>
            <w:r>
              <w:t xml:space="preserve">48 hours (breached)</w:t>
            </w:r>
          </w:p>
        </w:tc>
        <w:tc>
          <w:tcPr/>
          <w:p>
            <w:pPr>
              <w:pStyle w:val="Compact"/>
              <w:jc w:val="left"/>
            </w:pPr>
            <w:r>
              <w:rPr>
                <w:b/>
                <w:bCs/>
              </w:rPr>
              <w:t xml:space="preserve">$500,000 per incident</w:t>
            </w:r>
          </w:p>
        </w:tc>
        <w:tc>
          <w:tcPr/>
          <w:p>
            <w:pPr>
              <w:pStyle w:val="Compact"/>
              <w:jc w:val="left"/>
            </w:pPr>
            <w:r>
              <w:t xml:space="preserve">30 days’ notice</w:t>
            </w:r>
          </w:p>
        </w:tc>
        <w:tc>
          <w:tcPr/>
          <w:p>
            <w:pPr>
              <w:pStyle w:val="Compact"/>
              <w:jc w:val="left"/>
            </w:pPr>
            <w:r>
              <w:t xml:space="preserve">Full indemnity; 3-year survival</w:t>
            </w:r>
          </w:p>
        </w:tc>
      </w:tr>
      <w:tr>
        <w:tc>
          <w:tcPr/>
          <w:p>
            <w:pPr>
              <w:pStyle w:val="Compact"/>
              <w:jc w:val="left"/>
            </w:pPr>
            <w:r>
              <w:t xml:space="preserve">Crestfield Aerospace</w:t>
            </w:r>
          </w:p>
        </w:tc>
        <w:tc>
          <w:tcPr/>
          <w:p>
            <w:pPr>
              <w:pStyle w:val="Compact"/>
              <w:jc w:val="left"/>
            </w:pPr>
            <w:r>
              <w:t xml:space="preserve">48 hours (breached)</w:t>
            </w:r>
          </w:p>
        </w:tc>
        <w:tc>
          <w:tcPr/>
          <w:p>
            <w:pPr>
              <w:pStyle w:val="Compact"/>
              <w:jc w:val="left"/>
            </w:pPr>
            <w:r>
              <w:t xml:space="preserve">None</w:t>
            </w:r>
          </w:p>
        </w:tc>
        <w:tc>
          <w:tcPr/>
          <w:p>
            <w:pPr>
              <w:pStyle w:val="Compact"/>
              <w:jc w:val="left"/>
            </w:pPr>
            <w:r>
              <w:rPr>
                <w:b/>
                <w:bCs/>
              </w:rPr>
              <w:t xml:space="preserve">Immediate</w:t>
            </w:r>
          </w:p>
        </w:tc>
        <w:tc>
          <w:tcPr/>
          <w:p>
            <w:pPr>
              <w:pStyle w:val="Compact"/>
              <w:jc w:val="left"/>
            </w:pPr>
            <w:r>
              <w:t xml:space="preserve">Payment suspension; 12-month audit right; $10M insurance requirement</w:t>
            </w:r>
          </w:p>
        </w:tc>
      </w:tr>
      <w:tr>
        <w:tc>
          <w:tcPr/>
          <w:p>
            <w:pPr>
              <w:pStyle w:val="Compact"/>
              <w:jc w:val="left"/>
            </w:pPr>
            <w:r>
              <w:t xml:space="preserve">Nexagen Manufacturing</w:t>
            </w:r>
          </w:p>
        </w:tc>
        <w:tc>
          <w:tcPr/>
          <w:p>
            <w:pPr>
              <w:pStyle w:val="Compact"/>
              <w:jc w:val="left"/>
            </w:pPr>
            <w:r>
              <w:t xml:space="preserve">48 hours (breached)</w:t>
            </w:r>
          </w:p>
        </w:tc>
        <w:tc>
          <w:tcPr/>
          <w:p>
            <w:pPr>
              <w:pStyle w:val="Compact"/>
              <w:jc w:val="left"/>
            </w:pPr>
            <w:r>
              <w:t xml:space="preserve">None</w:t>
            </w:r>
          </w:p>
        </w:tc>
        <w:tc>
          <w:tcPr/>
          <w:p>
            <w:pPr>
              <w:pStyle w:val="Compact"/>
              <w:jc w:val="left"/>
            </w:pPr>
            <w:r>
              <w:t xml:space="preserve">15 days (immediate if security-standards failure)</w:t>
            </w:r>
          </w:p>
        </w:tc>
        <w:tc>
          <w:tcPr/>
          <w:p>
            <w:pPr>
              <w:pStyle w:val="Compact"/>
              <w:jc w:val="left"/>
            </w:pPr>
            <w:r>
              <w:t xml:space="preserve">Full indemnity;</w:t>
            </w:r>
            <w:r>
              <w:t xml:space="preserve"> </w:t>
            </w:r>
            <w:r>
              <w:rPr>
                <w:b/>
                <w:bCs/>
              </w:rPr>
              <w:t xml:space="preserve">24-month future-business exclusion</w:t>
            </w:r>
          </w:p>
        </w:tc>
      </w:tr>
    </w:tbl>
    <w:p>
      <w:pPr>
        <w:pStyle w:val="BodyText"/>
      </w:pPr>
      <w:r>
        <w:rPr>
          <w:b/>
          <w:bCs/>
        </w:rPr>
        <w:t xml:space="preserve">Risk/exposure.</w:t>
      </w:r>
      <w:r>
        <w:t xml:space="preserve"> </w:t>
      </w:r>
      <w:r>
        <w:t xml:space="preserve">The breaches expose the Company to (i) the $500,000 Harmon liquidated-damages claim; (ii) immediate or near-term termination rights that, if exercised across affected top-ten customers, could jeopardize a material portion of the ~38% of revenue concentrated in those accounts; (iii) payment suspension (Crestfield); (iv) indemnity and credit-monitoring cost obligations; and (v) exclusion from future business (Nexagen, up to 24 months). These consequences are themselves</w:t>
      </w:r>
      <w:r>
        <w:t xml:space="preserve"> </w:t>
      </w:r>
      <w:r>
        <w:rPr>
          <w:b/>
          <w:bCs/>
        </w:rPr>
        <w:t xml:space="preserve">material qualitative factors</w:t>
      </w:r>
      <w:r>
        <w:t xml:space="preserve"> </w:t>
      </w:r>
      <w:r>
        <w:t xml:space="preserve">that must be weighed in the Item 1.05 materiality determination (see Section V). The breaches also create litigation and counterparty-relationship risk independent of SEC compliance.</w:t>
      </w:r>
    </w:p>
    <w:p>
      <w:pPr>
        <w:pStyle w:val="BodyText"/>
      </w:pPr>
      <w:r>
        <w:rPr>
          <w:b/>
          <w:bCs/>
        </w:rPr>
        <w:t xml:space="preserve">Recommended action.</w:t>
      </w:r>
      <w:r>
        <w:t xml:space="preserve"> </w:t>
      </w:r>
      <w:r>
        <w:t xml:space="preserve">(i) Coordinate with the General Counsel to issue customer notifications</w:t>
      </w:r>
      <w:r>
        <w:t xml:space="preserve"> </w:t>
      </w:r>
      <w:r>
        <w:rPr>
          <w:b/>
          <w:bCs/>
        </w:rPr>
        <w:t xml:space="preserve">promptly</w:t>
      </w:r>
      <w:r>
        <w:t xml:space="preserve">, but</w:t>
      </w:r>
      <w:r>
        <w:t xml:space="preserve"> </w:t>
      </w:r>
      <w:r>
        <w:rPr>
          <w:b/>
          <w:bCs/>
        </w:rPr>
        <w:t xml:space="preserve">sequence them after or simultaneously with any required Form 8-K filing</w:t>
      </w:r>
      <w:r>
        <w:t xml:space="preserve"> </w:t>
      </w:r>
      <w:r>
        <w:t xml:space="preserve">to manage Regulation FD risk (see Gap 6); (ii) complete the ongoing review of the remaining top-twenty customer contracts for similar provisions (estimated completion December 10, 2024); (iii) develop a customer-communication and remediation strategy (including potential goodwill accommodations) to mitigate termination risk; and (iv) factor the contractual exposure into the materiality analysis.</w:t>
      </w:r>
    </w:p>
    <w:bookmarkEnd w:id="32"/>
    <w:bookmarkStart w:id="33" w:name="X633fd1571fbf0fb7e04d5c0e6fd1ab3731e4b52"/>
    <w:p>
      <w:pPr>
        <w:pStyle w:val="Heading3"/>
      </w:pPr>
      <w:r>
        <w:t xml:space="preserve">Gap 6 — Regulation FD / Selective-Disclosure Exposure</w:t>
      </w:r>
      <w:r>
        <w:t xml:space="preserve"> </w:t>
      </w:r>
      <w:r>
        <w:rPr>
          <w:i/>
          <w:iCs/>
        </w:rPr>
        <w:t xml:space="preserve">(High)</w:t>
      </w:r>
    </w:p>
    <w:p>
      <w:pPr>
        <w:pStyle w:val="FirstParagraph"/>
      </w:pPr>
      <w:r>
        <w:rPr>
          <w:b/>
          <w:bCs/>
        </w:rPr>
        <w:t xml:space="preserve">Requirement.</w:t>
      </w:r>
      <w:r>
        <w:t xml:space="preserve"> </w:t>
      </w:r>
      <w:r>
        <w:t xml:space="preserve">Regulation FD prohibits the selective disclosure of material nonpublic information to outside parties without public disclosure (simultaneously, for intentional disclosures; promptly, for non-intentional disclosures).</w:t>
      </w:r>
    </w:p>
    <w:p>
      <w:pPr>
        <w:pStyle w:val="BodyText"/>
      </w:pPr>
      <w:r>
        <w:rPr>
          <w:b/>
          <w:bCs/>
        </w:rPr>
        <w:t xml:space="preserve">Current state.</w:t>
      </w:r>
      <w:r>
        <w:t xml:space="preserve"> </w:t>
      </w:r>
      <w:r>
        <w:t xml:space="preserve">The Company is preparing to notify affected customers of the data exfiltration. The Company has also notified (or will notify) the FBI, the cyber insurer, outside counsel, and the forensic vendor. The M&amp;A counterparty and financial advisor have not yet been notified.</w:t>
      </w:r>
    </w:p>
    <w:p>
      <w:pPr>
        <w:pStyle w:val="BodyText"/>
      </w:pPr>
      <w:r>
        <w:rPr>
          <w:b/>
          <w:bCs/>
        </w:rPr>
        <w:t xml:space="preserve">Gap.</w:t>
      </w:r>
      <w:r>
        <w:t xml:space="preserve"> </w:t>
      </w:r>
      <w:r>
        <w:t xml:space="preserve">If the Incident is material,</w:t>
      </w:r>
      <w:r>
        <w:t xml:space="preserve"> </w:t>
      </w:r>
      <w:r>
        <w:rPr>
          <w:b/>
          <w:bCs/>
        </w:rPr>
        <w:t xml:space="preserve">customer notifications constitute selective disclosure of material nonpublic information</w:t>
      </w:r>
      <w:r>
        <w:t xml:space="preserve"> </w:t>
      </w:r>
      <w:r>
        <w:t xml:space="preserve">to outside parties. Notifying customers before making public disclosure would risk violating Regulation FD. The same concern applies to any notification of the Kessler transaction counterparty. (Notifications to the FBI, insurer, and counsel under privilege are generally outside Regulation FD, but customer and counterparty notifications are not.)</w:t>
      </w:r>
    </w:p>
    <w:p>
      <w:pPr>
        <w:pStyle w:val="BodyText"/>
      </w:pPr>
      <w:r>
        <w:rPr>
          <w:b/>
          <w:bCs/>
        </w:rPr>
        <w:t xml:space="preserve">Risk/exposure.</w:t>
      </w:r>
      <w:r>
        <w:t xml:space="preserve"> </w:t>
      </w:r>
      <w:r>
        <w:t xml:space="preserve">Regulation FD violations expose the Company to SEC enforcement and to the reputational and litigation consequences of selective disclosure. The risk is heightened because the Company has already delayed public disclosure for over two weeks.</w:t>
      </w:r>
    </w:p>
    <w:p>
      <w:pPr>
        <w:pStyle w:val="BodyText"/>
      </w:pPr>
      <w:r>
        <w:rPr>
          <w:b/>
          <w:bCs/>
        </w:rPr>
        <w:t xml:space="preserve">Recommended action.</w:t>
      </w:r>
      <w:r>
        <w:t xml:space="preserve"> </w:t>
      </w:r>
      <w:r>
        <w:rPr>
          <w:b/>
          <w:bCs/>
        </w:rPr>
        <w:t xml:space="preserve">Do not commence customer or counterparty notifications until the materiality determination is complete.</w:t>
      </w:r>
      <w:r>
        <w:t xml:space="preserve"> </w:t>
      </w:r>
      <w:r>
        <w:t xml:space="preserve">If the Incident is determined to be material, file the Form 8-K</w:t>
      </w:r>
      <w:r>
        <w:t xml:space="preserve"> </w:t>
      </w:r>
      <w:r>
        <w:rPr>
          <w:b/>
          <w:bCs/>
        </w:rPr>
        <w:t xml:space="preserve">before or simultaneously with</w:t>
      </w:r>
      <w:r>
        <w:t xml:space="preserve"> </w:t>
      </w:r>
      <w:r>
        <w:t xml:space="preserve">the first customer notification. If the Incident is determined not to be material, document that determination (including the basis for concluding that customer notifications do not involve material nonpublic information) before proceeding.</w:t>
      </w:r>
    </w:p>
    <w:bookmarkEnd w:id="33"/>
    <w:bookmarkStart w:id="34" w:name="X6b2c761bdefc73a93317221f2905cade89858f9"/>
    <w:p>
      <w:pPr>
        <w:pStyle w:val="Heading3"/>
      </w:pPr>
      <w:r>
        <w:t xml:space="preserve">Gap 7 — Pending Kessler Acquisition — Disclosure and Counterparty Gaps</w:t>
      </w:r>
      <w:r>
        <w:t xml:space="preserve"> </w:t>
      </w:r>
      <w:r>
        <w:rPr>
          <w:i/>
          <w:iCs/>
        </w:rPr>
        <w:t xml:space="preserve">(High)</w:t>
      </w:r>
    </w:p>
    <w:p>
      <w:pPr>
        <w:pStyle w:val="FirstParagraph"/>
      </w:pPr>
      <w:r>
        <w:rPr>
          <w:b/>
          <w:bCs/>
        </w:rPr>
        <w:t xml:space="preserve">Requirement.</w:t>
      </w:r>
      <w:r>
        <w:t xml:space="preserve"> </w:t>
      </w:r>
      <w:r>
        <w:t xml:space="preserve">Material developments affecting a pending material acquisition may require disclosure under Item 1.01, Item 2.01, or other items of Form 8-K, and material nonpublic information must be disclosed in any registration statement (with Section 10(b)/Rule 10b-5 anti-fraud liability). The acquisition agreement likely contains representations, warranties, and a material adverse change (</w:t>
      </w:r>
      <w:r>
        <w:t xml:space="preserve">“</w:t>
      </w:r>
      <w:r>
        <w:t xml:space="preserve">MAC</w:t>
      </w:r>
      <w:r>
        <w:t xml:space="preserve">”</w:t>
      </w:r>
      <w:r>
        <w:t xml:space="preserve">) clause that may be implicated.</w:t>
      </w:r>
    </w:p>
    <w:p>
      <w:pPr>
        <w:pStyle w:val="BodyText"/>
      </w:pPr>
      <w:r>
        <w:rPr>
          <w:b/>
          <w:bCs/>
        </w:rPr>
        <w:t xml:space="preserve">Current state.</w:t>
      </w:r>
      <w:r>
        <w:t xml:space="preserve"> </w:t>
      </w:r>
      <w:r>
        <w:t xml:space="preserve">The Company is in active negotiations for the $425 million acquisition of Kessler Precision Systems GmbH, with Canfield Cromdale Consulting &amp; Co. advising.</w:t>
      </w:r>
      <w:r>
        <w:t xml:space="preserve"> </w:t>
      </w:r>
      <w:r>
        <w:rPr>
          <w:b/>
          <w:bCs/>
        </w:rPr>
        <w:t xml:space="preserve">Neither the counterparty nor the financial advisor has been notified of the Incident.</w:t>
      </w:r>
      <w:r>
        <w:t xml:space="preserve"> </w:t>
      </w:r>
      <w:r>
        <w:t xml:space="preserve">The potential impact on the transaction has not been assessed.</w:t>
      </w:r>
    </w:p>
    <w:p>
      <w:pPr>
        <w:pStyle w:val="BodyText"/>
      </w:pPr>
      <w:r>
        <w:rPr>
          <w:b/>
          <w:bCs/>
        </w:rPr>
        <w:t xml:space="preserve">Gap.</w:t>
      </w:r>
      <w:r>
        <w:t xml:space="preserve"> </w:t>
      </w:r>
      <w:r>
        <w:t xml:space="preserve">(a) The Incident may affect the transaction’s representations and warranties, the accuracy of any disclosure schedules, the deal timeline, and counterparty confidence. (b) If the transaction will involve a registered securities offering (e.g., stock consideration with an S-4), the Incident is material nonpublic information that must be disclosed in the registration statement, and the Company must update the registration statement for material changes. (c) The counterparty notification, if made, raises Regulation FD considerations (see Gap 6). (d) The Incident may constitute (or contribute to) a MAC, with implications for both sides.</w:t>
      </w:r>
    </w:p>
    <w:p>
      <w:pPr>
        <w:pStyle w:val="BodyText"/>
      </w:pPr>
      <w:r>
        <w:rPr>
          <w:b/>
          <w:bCs/>
        </w:rPr>
        <w:t xml:space="preserve">Risk/exposure.</w:t>
      </w:r>
      <w:r>
        <w:t xml:space="preserve"> </w:t>
      </w:r>
      <w:r>
        <w:t xml:space="preserve">Failure to disclose material information in a registration statement creates Section 11/Section 12 liability and Rule 10b-5 exposure. Failure to assess transaction impact risks breach of the acquisition agreement, deal failure, and post-closing disputes. The $425 million transaction size is itself material relative to the Company’s scale.</w:t>
      </w:r>
    </w:p>
    <w:p>
      <w:pPr>
        <w:pStyle w:val="BodyText"/>
      </w:pPr>
      <w:r>
        <w:rPr>
          <w:b/>
          <w:bCs/>
        </w:rPr>
        <w:t xml:space="preserve">Recommended action.</w:t>
      </w:r>
      <w:r>
        <w:t xml:space="preserve"> </w:t>
      </w:r>
      <w:r>
        <w:t xml:space="preserve">(i) Coordinate with Hollister Marsh LLP and Canfield Cromdale to assess the Incident’s impact on the Kessler transaction, including MAC analysis, disclosure-schedule accuracy, and registration-statement obligations; (ii) determine whether and when to notify the counterparty, sequenced with public disclosure; and (iii) consider whether the pending transaction warrants separate Form 8-K disclosure.</w:t>
      </w:r>
    </w:p>
    <w:bookmarkEnd w:id="34"/>
    <w:bookmarkStart w:id="35" w:name="Xf4662e6f11ca14355d69bed77aef1952ca777df"/>
    <w:p>
      <w:pPr>
        <w:pStyle w:val="Heading3"/>
      </w:pPr>
      <w:r>
        <w:t xml:space="preserve">Gap 8 — State Data-Breach Notification Failures</w:t>
      </w:r>
      <w:r>
        <w:t xml:space="preserve"> </w:t>
      </w:r>
      <w:r>
        <w:rPr>
          <w:i/>
          <w:iCs/>
        </w:rPr>
        <w:t xml:space="preserve">(High)</w:t>
      </w:r>
    </w:p>
    <w:p>
      <w:pPr>
        <w:pStyle w:val="FirstParagraph"/>
      </w:pPr>
      <w:r>
        <w:rPr>
          <w:b/>
          <w:bCs/>
        </w:rPr>
        <w:t xml:space="preserve">Requirement.</w:t>
      </w:r>
      <w:r>
        <w:t xml:space="preserve"> </w:t>
      </w:r>
      <w:r>
        <w:t xml:space="preserve">All 50 U.S. states, the District of Columbia, and the territories maintain data-breach notification statutes. Most are triggered by unauthorized acquisition of or access to</w:t>
      </w:r>
      <w:r>
        <w:t xml:space="preserve"> </w:t>
      </w:r>
      <w:r>
        <w:t xml:space="preserve">“</w:t>
      </w:r>
      <w:r>
        <w:t xml:space="preserve">personal information,</w:t>
      </w:r>
      <w:r>
        <w:t xml:space="preserve">”</w:t>
      </w:r>
      <w:r>
        <w:t xml:space="preserve"> </w:t>
      </w:r>
      <w:r>
        <w:t xml:space="preserve">which commonly includes financial-account numbers combined with access credentials or identifying information, and require notification to affected individuals and, in many states, to the state attorney general (and sometimes other agencies)</w:t>
      </w:r>
      <w:r>
        <w:t xml:space="preserve"> </w:t>
      </w:r>
      <w:r>
        <w:t xml:space="preserve">“</w:t>
      </w:r>
      <w:r>
        <w:t xml:space="preserve">without unreasonable delay</w:t>
      </w:r>
      <w:r>
        <w:t xml:space="preserve">”</w:t>
      </w:r>
      <w:r>
        <w:t xml:space="preserve"> </w:t>
      </w:r>
      <w:r>
        <w:t xml:space="preserve">or within specified periods (typically 30–90 days). Several states (e.g., California, New York) require AG notification where a threshold number of residents is affected.</w:t>
      </w:r>
    </w:p>
    <w:p>
      <w:pPr>
        <w:pStyle w:val="BodyText"/>
      </w:pPr>
      <w:r>
        <w:rPr>
          <w:b/>
          <w:bCs/>
        </w:rPr>
        <w:t xml:space="preserve">Current state.</w:t>
      </w:r>
      <w:r>
        <w:t xml:space="preserve"> </w:t>
      </w:r>
      <w:r>
        <w:t xml:space="preserve">The exfiltrated data includes ACH routing and account numbers, procurement-contact PII, and contract pricing for approximately 4,200 customer records spanning</w:t>
      </w:r>
      <w:r>
        <w:t xml:space="preserve"> </w:t>
      </w:r>
      <w:r>
        <w:rPr>
          <w:b/>
          <w:bCs/>
        </w:rPr>
        <w:t xml:space="preserve">at least 38 U.S. states</w:t>
      </w:r>
      <w:r>
        <w:t xml:space="preserve">, with the banking data stored</w:t>
      </w:r>
      <w:r>
        <w:t xml:space="preserve"> </w:t>
      </w:r>
      <w:r>
        <w:rPr>
          <w:b/>
          <w:bCs/>
        </w:rPr>
        <w:t xml:space="preserve">unencrypted</w:t>
      </w:r>
      <w:r>
        <w:t xml:space="preserve">.</w:t>
      </w:r>
      <w:r>
        <w:t xml:space="preserve"> </w:t>
      </w:r>
      <w:r>
        <w:rPr>
          <w:b/>
          <w:bCs/>
        </w:rPr>
        <w:t xml:space="preserve">No state attorney general or state data-protection notifications have been filed</w:t>
      </w:r>
      <w:r>
        <w:t xml:space="preserve">, and no determination has been made regarding state notification obligations.</w:t>
      </w:r>
    </w:p>
    <w:p>
      <w:pPr>
        <w:pStyle w:val="BodyText"/>
      </w:pPr>
      <w:r>
        <w:rPr>
          <w:b/>
          <w:bCs/>
        </w:rPr>
        <w:t xml:space="preserve">Gap.</w:t>
      </w:r>
      <w:r>
        <w:t xml:space="preserve"> </w:t>
      </w:r>
      <w:r>
        <w:t xml:space="preserve">The Company has not assessed or discharged its state data-breach notification obligations notwithstanding that the exfiltrated data (unencrypted financial-account data plus PII) likely triggers notification duties in numerous states, and that the 4,200-record, 38-state scope likely exceeds multiple states’ AG-notification thresholds.</w:t>
      </w:r>
    </w:p>
    <w:p>
      <w:pPr>
        <w:pStyle w:val="BodyText"/>
      </w:pPr>
      <w:r>
        <w:rPr>
          <w:b/>
          <w:bCs/>
        </w:rPr>
        <w:t xml:space="preserve">Risk/exposure.</w:t>
      </w:r>
      <w:r>
        <w:t xml:space="preserve"> </w:t>
      </w:r>
      <w:r>
        <w:t xml:space="preserve">State statutes impose civil penalties, AG enforcement, and (in some states) private rights of action for noncompliance. The unencrypted nature of the data may trigger heightened obligations in certain states. Delay compounds exposure.</w:t>
      </w:r>
    </w:p>
    <w:p>
      <w:pPr>
        <w:pStyle w:val="BodyText"/>
      </w:pPr>
      <w:r>
        <w:rPr>
          <w:b/>
          <w:bCs/>
        </w:rPr>
        <w:t xml:space="preserve">Recommended action.</w:t>
      </w:r>
      <w:r>
        <w:t xml:space="preserve"> </w:t>
      </w:r>
      <w:r>
        <w:t xml:space="preserve">(i) Engage privacy counsel to conduct a state-by-state notification analysis based on the finalized affected-records scope (due from Thorngate by December 20, 2024); (ii) prepare multi-state notification templates and AG filings; and (iii) sequence state notifications with the SEC disclosure and customer notifications.</w:t>
      </w:r>
    </w:p>
    <w:bookmarkEnd w:id="35"/>
    <w:bookmarkStart w:id="36" w:name="Xce053b50d0fdbc0905bfd63a80d1c1741689873"/>
    <w:p>
      <w:pPr>
        <w:pStyle w:val="Heading3"/>
      </w:pPr>
      <w:r>
        <w:t xml:space="preserve">Gap 9 — International (GDPR / UK GDPR) Notification Failures</w:t>
      </w:r>
      <w:r>
        <w:t xml:space="preserve"> </w:t>
      </w:r>
      <w:r>
        <w:rPr>
          <w:i/>
          <w:iCs/>
        </w:rPr>
        <w:t xml:space="preserve">(High)</w:t>
      </w:r>
    </w:p>
    <w:p>
      <w:pPr>
        <w:pStyle w:val="FirstParagraph"/>
      </w:pPr>
      <w:r>
        <w:rPr>
          <w:b/>
          <w:bCs/>
        </w:rPr>
        <w:t xml:space="preserve">Requirement.</w:t>
      </w:r>
      <w:r>
        <w:t xml:space="preserve"> </w:t>
      </w:r>
      <w:r>
        <w:t xml:space="preserve">The EU General Data Protection Regulation (</w:t>
      </w:r>
      <w:r>
        <w:t xml:space="preserve">“</w:t>
      </w:r>
      <w:r>
        <w:t xml:space="preserve">GDPR</w:t>
      </w:r>
      <w:r>
        <w:t xml:space="preserve">”</w:t>
      </w:r>
      <w:r>
        <w:t xml:space="preserve">) requires notification to the competent supervisory authority</w:t>
      </w:r>
      <w:r>
        <w:t xml:space="preserve"> </w:t>
      </w:r>
      <w:r>
        <w:rPr>
          <w:b/>
          <w:bCs/>
        </w:rPr>
        <w:t xml:space="preserve">within 72 hours</w:t>
      </w:r>
      <w:r>
        <w:t xml:space="preserve"> </w:t>
      </w:r>
      <w:r>
        <w:t xml:space="preserve">of a controller becoming</w:t>
      </w:r>
      <w:r>
        <w:t xml:space="preserve"> </w:t>
      </w:r>
      <w:r>
        <w:t xml:space="preserve">“</w:t>
      </w:r>
      <w:r>
        <w:t xml:space="preserve">aware</w:t>
      </w:r>
      <w:r>
        <w:t xml:space="preserve">”</w:t>
      </w:r>
      <w:r>
        <w:t xml:space="preserve"> </w:t>
      </w:r>
      <w:r>
        <w:t xml:space="preserve">of a personal data breach, unless the breach is unlikely to result in a risk to the rights and freedoms of individuals (Article 33), and notification to affected data subjects</w:t>
      </w:r>
      <w:r>
        <w:t xml:space="preserve"> </w:t>
      </w:r>
      <w:r>
        <w:rPr>
          <w:b/>
          <w:bCs/>
        </w:rPr>
        <w:t xml:space="preserve">without undue delay</w:t>
      </w:r>
      <w:r>
        <w:t xml:space="preserve"> </w:t>
      </w:r>
      <w:r>
        <w:t xml:space="preserve">where the breach is likely to result in a high risk (Article 34). The UK GDPR and Data Protection Act 2018 impose equivalent obligations (notification to the ICO within 72 hours).</w:t>
      </w:r>
    </w:p>
    <w:p>
      <w:pPr>
        <w:pStyle w:val="BodyText"/>
      </w:pPr>
      <w:r>
        <w:rPr>
          <w:b/>
          <w:bCs/>
        </w:rPr>
        <w:t xml:space="preserve">Current state.</w:t>
      </w:r>
      <w:r>
        <w:t xml:space="preserve"> </w:t>
      </w:r>
      <w:r>
        <w:t xml:space="preserve">The exfiltrated data includes records for customers in</w:t>
      </w:r>
      <w:r>
        <w:t xml:space="preserve"> </w:t>
      </w:r>
      <w:r>
        <w:rPr>
          <w:b/>
          <w:bCs/>
        </w:rPr>
        <w:t xml:space="preserve">Germany, the United Kingdom, Canada, and Mexico</w:t>
      </w:r>
      <w:r>
        <w:t xml:space="preserve">, in addition to 38 U.S. states. The exfiltrated PII (procurement-contact names, emails, phone numbers) and financial data constitute personal data under the GDPR. The Company became aware of the data exfiltration no later than November 18–20, 2024.</w:t>
      </w:r>
      <w:r>
        <w:t xml:space="preserve"> </w:t>
      </w:r>
      <w:r>
        <w:rPr>
          <w:b/>
          <w:bCs/>
        </w:rPr>
        <w:t xml:space="preserve">No GDPR or UK GDPR supervisory-authority notification has been made.</w:t>
      </w:r>
      <w:r>
        <w:t xml:space="preserve"> </w:t>
      </w:r>
      <w:r>
        <w:t xml:space="preserve">The 72-hour authority-notification deadline has therefore</w:t>
      </w:r>
      <w:r>
        <w:t xml:space="preserve"> </w:t>
      </w:r>
      <w:r>
        <w:rPr>
          <w:b/>
          <w:bCs/>
        </w:rPr>
        <w:t xml:space="preserve">elapsed</w:t>
      </w:r>
      <w:r>
        <w:t xml:space="preserve">.</w:t>
      </w:r>
    </w:p>
    <w:p>
      <w:pPr>
        <w:pStyle w:val="BodyText"/>
      </w:pPr>
      <w:r>
        <w:rPr>
          <w:b/>
          <w:bCs/>
        </w:rPr>
        <w:t xml:space="preserve">Gap.</w:t>
      </w:r>
      <w:r>
        <w:t xml:space="preserve"> </w:t>
      </w:r>
      <w:r>
        <w:t xml:space="preserve">The Company has not made the Article 33 / UK-equivalent supervisory-authority notifications, and the 72-hour deadline has passed. The exfiltration of unencrypted financial and contact data likely meets the</w:t>
      </w:r>
      <w:r>
        <w:t xml:space="preserve"> </w:t>
      </w:r>
      <w:r>
        <w:t xml:space="preserve">“</w:t>
      </w:r>
      <w:r>
        <w:t xml:space="preserve">high risk</w:t>
      </w:r>
      <w:r>
        <w:t xml:space="preserve">”</w:t>
      </w:r>
      <w:r>
        <w:t xml:space="preserve"> </w:t>
      </w:r>
      <w:r>
        <w:t xml:space="preserve">threshold for Article 34 data-subject notification.</w:t>
      </w:r>
    </w:p>
    <w:p>
      <w:pPr>
        <w:pStyle w:val="BodyText"/>
      </w:pPr>
      <w:r>
        <w:rPr>
          <w:b/>
          <w:bCs/>
        </w:rPr>
        <w:t xml:space="preserve">Risk/exposure.</w:t>
      </w:r>
      <w:r>
        <w:t xml:space="preserve"> </w:t>
      </w:r>
      <w:r>
        <w:t xml:space="preserve">GDPR supervisory authorities may impose administrative fines of up to €20 million or 4% of global annual turnover, whichever is higher. Late notification is itself an aggravating factor. The Company’s cyber-insurance Endorsement No. 5 extends regulatory-defense coverage to GDPR proceedings, but coverage does not eliminate the underlying compliance obligation.</w:t>
      </w:r>
    </w:p>
    <w:p>
      <w:pPr>
        <w:pStyle w:val="BodyText"/>
      </w:pPr>
      <w:r>
        <w:rPr>
          <w:b/>
          <w:bCs/>
        </w:rPr>
        <w:t xml:space="preserve">Recommended action.</w:t>
      </w:r>
      <w:r>
        <w:t xml:space="preserve"> </w:t>
      </w:r>
      <w:r>
        <w:t xml:space="preserve">(i) Engage EU/UK privacy counsel immediately to assess Article 33/34 obligations, prepare and submit late notifications to the lead supervisory authority (likely the German DPA) and the UK ICO with explanation for the delay, and plan data-subject notifications; (ii) document the awareness date and the basis for any risk assessment; and (iii) coordinate with the state-notification workstream.</w:t>
      </w:r>
    </w:p>
    <w:bookmarkEnd w:id="36"/>
    <w:bookmarkStart w:id="37" w:name="X6cbf4f7ec2de9f7f3c4f6ac5c075f22785d9dfd"/>
    <w:p>
      <w:pPr>
        <w:pStyle w:val="Heading3"/>
      </w:pPr>
      <w:r>
        <w:t xml:space="preserve">Gap 10 — Cyber-Insurance Coverage Risks (Late Notice; MFA Warranty)</w:t>
      </w:r>
      <w:r>
        <w:t xml:space="preserve"> </w:t>
      </w:r>
      <w:r>
        <w:rPr>
          <w:i/>
          <w:iCs/>
        </w:rPr>
        <w:t xml:space="preserve">(High)</w:t>
      </w:r>
    </w:p>
    <w:p>
      <w:pPr>
        <w:pStyle w:val="FirstParagraph"/>
      </w:pPr>
      <w:r>
        <w:rPr>
          <w:b/>
          <w:bCs/>
        </w:rPr>
        <w:t xml:space="preserve">Requirement.</w:t>
      </w:r>
      <w:r>
        <w:t xml:space="preserve"> </w:t>
      </w:r>
      <w:r>
        <w:t xml:space="preserve">Policy No. CYB-2024-08871 (Ridgeline Insurance Group) requires notice of a Cyber Event</w:t>
      </w:r>
      <w:r>
        <w:t xml:space="preserve"> </w:t>
      </w:r>
      <w:r>
        <w:t xml:space="preserve">“</w:t>
      </w:r>
      <w:r>
        <w:t xml:space="preserve">as soon as practicable, but in no event later than 72 hours after Discovery.</w:t>
      </w:r>
      <w:r>
        <w:t xml:space="preserve">”</w:t>
      </w:r>
      <w:r>
        <w:t xml:space="preserve"> </w:t>
      </w:r>
      <w:r>
        <w:t xml:space="preserve">The policy’s application warranty (Section 9) represents that the Company</w:t>
      </w:r>
      <w:r>
        <w:t xml:space="preserve"> </w:t>
      </w:r>
      <w:r>
        <w:t xml:space="preserve">“</w:t>
      </w:r>
      <w:r>
        <w:t xml:space="preserve">employs multi-factor authentication for all remote access to Computer Systems.</w:t>
      </w:r>
      <w:r>
        <w:t xml:space="preserve">”</w:t>
      </w:r>
      <w:r>
        <w:t xml:space="preserve"> </w:t>
      </w:r>
      <w:r>
        <w:t xml:space="preserve">The policy excludes loss arising from the insured’s</w:t>
      </w:r>
      <w:r>
        <w:t xml:space="preserve"> </w:t>
      </w:r>
      <w:r>
        <w:t xml:space="preserve">“</w:t>
      </w:r>
      <w:r>
        <w:t xml:space="preserve">failure to maintain security controls substantially consistent with those represented in the Policy Application</w:t>
      </w:r>
      <w:r>
        <w:t xml:space="preserve">”</w:t>
      </w:r>
      <w:r>
        <w:t xml:space="preserve"> </w:t>
      </w:r>
      <w:r>
        <w:t xml:space="preserve">where the failure</w:t>
      </w:r>
      <w:r>
        <w:t xml:space="preserve"> </w:t>
      </w:r>
      <w:r>
        <w:t xml:space="preserve">“</w:t>
      </w:r>
      <w:r>
        <w:t xml:space="preserve">materially contributed to the Cyber Event</w:t>
      </w:r>
      <w:r>
        <w:t xml:space="preserve">”</w:t>
      </w:r>
      <w:r>
        <w:t xml:space="preserve"> </w:t>
      </w:r>
      <w:r>
        <w:t xml:space="preserve">(Section 6(i)).</w:t>
      </w:r>
    </w:p>
    <w:p>
      <w:pPr>
        <w:pStyle w:val="BodyText"/>
      </w:pPr>
      <w:r>
        <w:rPr>
          <w:b/>
          <w:bCs/>
        </w:rPr>
        <w:t xml:space="preserve">Current state.</w:t>
      </w:r>
      <w:r>
        <w:t xml:space="preserve"> </w:t>
      </w:r>
      <w:r>
        <w:t xml:space="preserve">Ridgeline was notified at approximately</w:t>
      </w:r>
      <w:r>
        <w:t xml:space="preserve"> </w:t>
      </w:r>
      <w:r>
        <w:rPr>
          <w:b/>
          <w:bCs/>
        </w:rPr>
        <w:t xml:space="preserve">73 hours</w:t>
      </w:r>
      <w:r>
        <w:t xml:space="preserve"> </w:t>
      </w:r>
      <w:r>
        <w:t xml:space="preserve">post-discovery — approximately one hour beyond the 72-hour contractual deadline — and has</w:t>
      </w:r>
      <w:r>
        <w:t xml:space="preserve"> </w:t>
      </w:r>
      <w:r>
        <w:rPr>
          <w:b/>
          <w:bCs/>
        </w:rPr>
        <w:t xml:space="preserve">reserved rights on timeliness</w:t>
      </w:r>
      <w:r>
        <w:t xml:space="preserve">. Thorngate’s interim report confirms that the compromised contractor VPN credential was</w:t>
      </w:r>
      <w:r>
        <w:t xml:space="preserve"> </w:t>
      </w:r>
      <w:r>
        <w:rPr>
          <w:b/>
          <w:bCs/>
        </w:rPr>
        <w:t xml:space="preserve">not MFA-protected</w:t>
      </w:r>
      <w:r>
        <w:t xml:space="preserve">, directly contradicting the application warranty that the Company employs MFA</w:t>
      </w:r>
      <w:r>
        <w:t xml:space="preserve"> </w:t>
      </w:r>
      <w:r>
        <w:t xml:space="preserve">“</w:t>
      </w:r>
      <w:r>
        <w:t xml:space="preserve">for all remote access.</w:t>
      </w:r>
      <w:r>
        <w:t xml:space="preserve">”</w:t>
      </w:r>
      <w:r>
        <w:t xml:space="preserve"> </w:t>
      </w:r>
      <w:r>
        <w:t xml:space="preserve">MFA was not enforced on third-party VPN access until November 20, 2024.</w:t>
      </w:r>
    </w:p>
    <w:p>
      <w:pPr>
        <w:pStyle w:val="BodyText"/>
      </w:pPr>
      <w:r>
        <w:rPr>
          <w:b/>
          <w:bCs/>
        </w:rPr>
        <w:t xml:space="preserve">Gap.</w:t>
      </w:r>
      <w:r>
        <w:t xml:space="preserve"> </w:t>
      </w:r>
      <w:r>
        <w:t xml:space="preserve">(a)</w:t>
      </w:r>
      <w:r>
        <w:t xml:space="preserve"> </w:t>
      </w:r>
      <w:r>
        <w:rPr>
          <w:b/>
          <w:bCs/>
        </w:rPr>
        <w:t xml:space="preserve">Late notice.</w:t>
      </w:r>
      <w:r>
        <w:t xml:space="preserve"> </w:t>
      </w:r>
      <w:r>
        <w:t xml:space="preserve">The ~one-hour delay gives Ridgeline a late-notice defense. Under the policy’s notice-prejudice framework, Ridgeline must demonstrate material prejudice to void coverage, but in jurisdictions applying strict compliance, late notice may be a condition-precedent breach. (b)</w:t>
      </w:r>
      <w:r>
        <w:t xml:space="preserve"> </w:t>
      </w:r>
      <w:r>
        <w:rPr>
          <w:b/>
          <w:bCs/>
        </w:rPr>
        <w:t xml:space="preserve">Warranty breach / minimum-security exclusion.</w:t>
      </w:r>
      <w:r>
        <w:t xml:space="preserve"> </w:t>
      </w:r>
      <w:r>
        <w:t xml:space="preserve">The absence of MFA on the compromised access pathway is a direct contradiction of the application warranty and may trigger the</w:t>
      </w:r>
      <w:r>
        <w:t xml:space="preserve"> </w:t>
      </w:r>
      <w:r>
        <w:t xml:space="preserve">“</w:t>
      </w:r>
      <w:r>
        <w:t xml:space="preserve">failure to maintain minimum security standards</w:t>
      </w:r>
      <w:r>
        <w:t xml:space="preserve">”</w:t>
      </w:r>
      <w:r>
        <w:t xml:space="preserve"> </w:t>
      </w:r>
      <w:r>
        <w:t xml:space="preserve">exclusion, potentially voiding coverage</w:t>
      </w:r>
      <w:r>
        <w:t xml:space="preserve"> </w:t>
      </w:r>
      <w:r>
        <w:rPr>
          <w:i/>
          <w:iCs/>
        </w:rPr>
        <w:t xml:space="preserve">ab initio</w:t>
      </w:r>
      <w:r>
        <w:t xml:space="preserve"> </w:t>
      </w:r>
      <w:r>
        <w:t xml:space="preserve">or excluding the loss. (c)</w:t>
      </w:r>
      <w:r>
        <w:t xml:space="preserve"> </w:t>
      </w:r>
      <w:r>
        <w:rPr>
          <w:b/>
          <w:bCs/>
        </w:rPr>
        <w:t xml:space="preserve">Consent-to-incur-costs.</w:t>
      </w:r>
      <w:r>
        <w:t xml:space="preserve"> </w:t>
      </w:r>
      <w:r>
        <w:t xml:space="preserve">The policy requires prior written consent for first-party losses exceeding $50,000 individually or $150,000 in aggregate (Section 7.2); the Company has incurred $1.4 million in incident-response costs, and it is unclear whether consent was obtained (Thorngate is on the pre-approved vendor panel, which mitigates but may not eliminate the consent requirement).</w:t>
      </w:r>
    </w:p>
    <w:p>
      <w:pPr>
        <w:pStyle w:val="BodyText"/>
      </w:pPr>
      <w:r>
        <w:rPr>
          <w:b/>
          <w:bCs/>
        </w:rPr>
        <w:t xml:space="preserve">Risk/exposure.</w:t>
      </w:r>
      <w:r>
        <w:t xml:space="preserve"> </w:t>
      </w:r>
      <w:r>
        <w:t xml:space="preserve">The Company’s estimated $2.0 million of recoverable loss above the $2.5 million self-insured retention is at risk, and the entire $15 million aggregate could be jeopardized if the warranty breach or minimum-security exclusion is applied. This insurance uncertainty is itself a material qualitative factor (it increases net unreimbursed loss exposure) and must be reflected in the materiality analysis.</w:t>
      </w:r>
    </w:p>
    <w:p>
      <w:pPr>
        <w:pStyle w:val="BodyText"/>
      </w:pPr>
      <w:r>
        <w:rPr>
          <w:b/>
          <w:bCs/>
        </w:rPr>
        <w:t xml:space="preserve">Recommended action.</w:t>
      </w:r>
      <w:r>
        <w:t xml:space="preserve"> </w:t>
      </w:r>
      <w:r>
        <w:t xml:space="preserve">(i) Coordinate with coverage counsel to respond to Ridgeline’s reservation of rights, document the notice timeline, and develop the material-prejudice defense; (ii) assess and prepare for the warranty-breach and minimum-security-exclusion exposure, including gathering evidence of the Company’s MFA posture and any representations made in the application; (iii) confirm whether consent was obtained for incurred costs and cure any consent deficiency; and (iv) reflect insurance-recovery uncertainty in the materiality determination and in any 8-K disclosure of financial impact.</w:t>
      </w:r>
    </w:p>
    <w:bookmarkEnd w:id="37"/>
    <w:bookmarkStart w:id="38" w:name="X53f2edf522ecb25e8fac09550f2d37aed3e6b19"/>
    <w:p>
      <w:pPr>
        <w:pStyle w:val="Heading3"/>
      </w:pPr>
      <w:r>
        <w:t xml:space="preserve">Gap 11 — Insider-Trading / Blackout and 10-K Item 1C Consistency Gaps</w:t>
      </w:r>
      <w:r>
        <w:t xml:space="preserve"> </w:t>
      </w:r>
      <w:r>
        <w:rPr>
          <w:i/>
          <w:iCs/>
        </w:rPr>
        <w:t xml:space="preserve">(Medium–High)</w:t>
      </w:r>
    </w:p>
    <w:p>
      <w:pPr>
        <w:pStyle w:val="FirstParagraph"/>
      </w:pPr>
      <w:r>
        <w:rPr>
          <w:b/>
          <w:bCs/>
        </w:rPr>
        <w:t xml:space="preserve">Requirement.</w:t>
      </w:r>
      <w:r>
        <w:t xml:space="preserve"> </w:t>
      </w:r>
      <w:r>
        <w:t xml:space="preserve">Persons in possession of material nonpublic information may not trade in the Company’s securities (Section 10(b)/Rule 10b-5). Item 1C of Form 10-K requires accurate disclosure of the Company’s cybersecurity risk-management, strategy, and governance, including whether cybersecurity risks have materially affected or are reasonably likely to materially affect the Company.</w:t>
      </w:r>
    </w:p>
    <w:p>
      <w:pPr>
        <w:pStyle w:val="BodyText"/>
      </w:pPr>
      <w:r>
        <w:rPr>
          <w:b/>
          <w:bCs/>
        </w:rPr>
        <w:t xml:space="preserve">Current state.</w:t>
      </w:r>
      <w:r>
        <w:t xml:space="preserve"> </w:t>
      </w:r>
      <w:r>
        <w:t xml:space="preserve">Material nonpublic information regarding the Incident is now in the possession of numerous insiders and engaged parties (CISO, CTO, General Counsel, Associate General Counsel, CEO, Audit Committee Chair, IRT members, Thorngate, and Hollister Marsh).</w:t>
      </w:r>
      <w:r>
        <w:t xml:space="preserve"> </w:t>
      </w:r>
      <w:r>
        <w:rPr>
          <w:b/>
          <w:bCs/>
        </w:rPr>
        <w:t xml:space="preserve">No trading blackout has been implemented.</w:t>
      </w:r>
      <w:r>
        <w:t xml:space="preserve"> </w:t>
      </w:r>
      <w:r>
        <w:t xml:space="preserve">Separately, the FY2023 10-K Item 1C represents that the Company</w:t>
      </w:r>
      <w:r>
        <w:t xml:space="preserve"> </w:t>
      </w:r>
      <w:r>
        <w:t xml:space="preserve">“</w:t>
      </w:r>
      <w:r>
        <w:t xml:space="preserve">has not experienced any cybersecurity incidents that have materially affected, or are reasonably likely to materially affect</w:t>
      </w:r>
      <w:r>
        <w:t xml:space="preserve">”</w:t>
      </w:r>
      <w:r>
        <w:t xml:space="preserve"> </w:t>
      </w:r>
      <w:r>
        <w:t xml:space="preserve">the Company, and describes MFA</w:t>
      </w:r>
      <w:r>
        <w:t xml:space="preserve"> </w:t>
      </w:r>
      <w:r>
        <w:t xml:space="preserve">“</w:t>
      </w:r>
      <w:r>
        <w:t xml:space="preserve">for access to critical information systems, remote access connections, and administrative accounts</w:t>
      </w:r>
      <w:r>
        <w:t xml:space="preserve">”</w:t>
      </w:r>
      <w:r>
        <w:t xml:space="preserve"> </w:t>
      </w:r>
      <w:r>
        <w:t xml:space="preserve">— a representation contradicted by the Incident’s root cause (no MFA on third-party VPN).</w:t>
      </w:r>
    </w:p>
    <w:p>
      <w:pPr>
        <w:pStyle w:val="BodyText"/>
      </w:pPr>
      <w:r>
        <w:rPr>
          <w:b/>
          <w:bCs/>
        </w:rPr>
        <w:t xml:space="preserve">Gap.</w:t>
      </w:r>
      <w:r>
        <w:t xml:space="preserve"> </w:t>
      </w:r>
      <w:r>
        <w:t xml:space="preserve">(a)</w:t>
      </w:r>
      <w:r>
        <w:t xml:space="preserve"> </w:t>
      </w:r>
      <w:r>
        <w:rPr>
          <w:b/>
          <w:bCs/>
        </w:rPr>
        <w:t xml:space="preserve">Insider trading.</w:t>
      </w:r>
      <w:r>
        <w:t xml:space="preserve"> </w:t>
      </w:r>
      <w:r>
        <w:t xml:space="preserve">Aware insiders remain free to trade on material nonpublic information, creating Rule 10b-5 liability exposure for the Company and the individuals. (b)</w:t>
      </w:r>
      <w:r>
        <w:t xml:space="preserve"> </w:t>
      </w:r>
      <w:r>
        <w:rPr>
          <w:b/>
          <w:bCs/>
        </w:rPr>
        <w:t xml:space="preserve">10-K consistency.</w:t>
      </w:r>
      <w:r>
        <w:t xml:space="preserve"> </w:t>
      </w:r>
      <w:r>
        <w:t xml:space="preserve">The FY2024 10-K Item 1C must address the Incident and reconcile the prior MFA representation with the actual control failure; the prior</w:t>
      </w:r>
      <w:r>
        <w:t xml:space="preserve"> </w:t>
      </w:r>
      <w:r>
        <w:t xml:space="preserve">“</w:t>
      </w:r>
      <w:r>
        <w:t xml:space="preserve">no material incidents</w:t>
      </w:r>
      <w:r>
        <w:t xml:space="preserve">”</w:t>
      </w:r>
      <w:r>
        <w:t xml:space="preserve"> </w:t>
      </w:r>
      <w:r>
        <w:t xml:space="preserve">representation, while accurate as of its February 2024 filing, must not be carried forward without update. (c) The FY2024 10-K will also require updated Risk Factors (Item 1A), MD&amp;A (Item 7), and Controls and Procedures (Item 9A) disclosure.</w:t>
      </w:r>
    </w:p>
    <w:p>
      <w:pPr>
        <w:pStyle w:val="BodyText"/>
      </w:pPr>
      <w:r>
        <w:rPr>
          <w:b/>
          <w:bCs/>
        </w:rPr>
        <w:t xml:space="preserve">Risk/exposure.</w:t>
      </w:r>
      <w:r>
        <w:t xml:space="preserve"> </w:t>
      </w:r>
      <w:r>
        <w:t xml:space="preserve">Insider-trading exposure is acute given the number of aware parties and the elapsed time. Inaccurate or stale Item 1C disclosure creates Section 10(b)/Rule 10b-5 and Section 13(a) exposure.</w:t>
      </w:r>
    </w:p>
    <w:p>
      <w:pPr>
        <w:pStyle w:val="BodyText"/>
      </w:pPr>
      <w:r>
        <w:rPr>
          <w:b/>
          <w:bCs/>
        </w:rPr>
        <w:t xml:space="preserve">Recommended action.</w:t>
      </w:r>
      <w:r>
        <w:t xml:space="preserve"> </w:t>
      </w:r>
      <w:r>
        <w:t xml:space="preserve">(i)</w:t>
      </w:r>
      <w:r>
        <w:t xml:space="preserve"> </w:t>
      </w:r>
      <w:r>
        <w:rPr>
          <w:b/>
          <w:bCs/>
        </w:rPr>
        <w:t xml:space="preserve">Immediately implement a trading blackout</w:t>
      </w:r>
      <w:r>
        <w:t xml:space="preserve"> </w:t>
      </w:r>
      <w:r>
        <w:t xml:space="preserve">for all directors, officers, and employees aware of the Incident, and consider whether the Company’s insider-trading policy should be formally invoked; (ii) plan FY2024 10-K disclosure updates across Items 1C, 1A, 7, and 9A, reconciling the MFA representation and addressing the Incident; and (iii) maintain the privilege log and document-retention protocols.</w:t>
      </w:r>
    </w:p>
    <w:p>
      <w:r>
        <w:pict>
          <v:rect style="width:0;height:1.5pt" o:hralign="center" o:hrstd="t" o:hr="t"/>
        </w:pict>
      </w:r>
    </w:p>
    <w:bookmarkEnd w:id="38"/>
    <w:bookmarkEnd w:id="39"/>
    <w:bookmarkStart w:id="43" w:name="v.-materiality-assessment-considerations"/>
    <w:p>
      <w:pPr>
        <w:pStyle w:val="Heading2"/>
      </w:pPr>
      <w:r>
        <w:t xml:space="preserve">V. Materiality Assessment Considerations</w:t>
      </w:r>
    </w:p>
    <w:p>
      <w:pPr>
        <w:pStyle w:val="FirstParagraph"/>
      </w:pPr>
      <w:r>
        <w:t xml:space="preserve">The materiality determination is ultimately the responsibility of management, with the advice of counsel and the oversight of the Audit Committee. This section frames the analysis the disclosure committee should perform and document.</w:t>
      </w:r>
      <w:r>
        <w:t xml:space="preserve"> </w:t>
      </w:r>
      <w:r>
        <w:rPr>
          <w:b/>
          <w:bCs/>
        </w:rPr>
        <w:t xml:space="preserve">Based on the qualitative factors below, the analysis strongly supports a conclusion that the Incident is material, and at a minimum the determination must be made and documented without further delay.</w:t>
      </w:r>
    </w:p>
    <w:bookmarkStart w:id="40" w:name="a.-quantitative-factors"/>
    <w:p>
      <w:pPr>
        <w:pStyle w:val="Heading3"/>
      </w:pPr>
      <w:r>
        <w:t xml:space="preserve">A. Quantitative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Direct incident costs (~$4.5M)</w:t>
            </w:r>
          </w:p>
        </w:tc>
        <w:tc>
          <w:tcPr/>
          <w:p>
            <w:pPr>
              <w:pStyle w:val="Compact"/>
              <w:jc w:val="left"/>
            </w:pPr>
            <w:r>
              <w:t xml:space="preserve">~1.45% of projected FY2024 EBITDA ($310M). On a pure quantitative basis, likely below a stand-alone materiality threshold, but the estimate excludes numerous probable additional costs.</w:t>
            </w:r>
          </w:p>
        </w:tc>
      </w:tr>
      <w:tr>
        <w:tc>
          <w:tcPr/>
          <w:p>
            <w:pPr>
              <w:pStyle w:val="Compact"/>
              <w:jc w:val="left"/>
            </w:pPr>
            <w:r>
              <w:t xml:space="preserve">Likely additional costs</w:t>
            </w:r>
          </w:p>
        </w:tc>
        <w:tc>
          <w:tcPr/>
          <w:p>
            <w:pPr>
              <w:pStyle w:val="Compact"/>
              <w:jc w:val="left"/>
            </w:pPr>
            <w:r>
              <w:t xml:space="preserve">Harmon liquidated damages ($500,000); credit-monitoring for ~4,200 customers; customer claims and indemnities; regulatory penalties (state and GDPR); litigation; potential insurance non-recovery (~$2.0M at risk).</w:t>
            </w:r>
          </w:p>
        </w:tc>
      </w:tr>
      <w:tr>
        <w:tc>
          <w:tcPr/>
          <w:p>
            <w:pPr>
              <w:pStyle w:val="Compact"/>
              <w:jc w:val="left"/>
            </w:pPr>
            <w:r>
              <w:t xml:space="preserve">Revenue exposure</w:t>
            </w:r>
          </w:p>
        </w:tc>
        <w:tc>
          <w:tcPr/>
          <w:p>
            <w:pPr>
              <w:pStyle w:val="Compact"/>
              <w:jc w:val="left"/>
            </w:pPr>
            <w:r>
              <w:t xml:space="preserve">Top-ten customers (~38% of revenue, ~$710.6M) are subject to termination rights; at least six of the top ten are believed affected. Even partial termination could be quantitatively material.</w:t>
            </w:r>
          </w:p>
        </w:tc>
      </w:tr>
      <w:tr>
        <w:tc>
          <w:tcPr/>
          <w:p>
            <w:pPr>
              <w:pStyle w:val="Compact"/>
              <w:jc w:val="left"/>
            </w:pPr>
            <w:r>
              <w:t xml:space="preserve">Pending acquisition</w:t>
            </w:r>
          </w:p>
        </w:tc>
        <w:tc>
          <w:tcPr/>
          <w:p>
            <w:pPr>
              <w:pStyle w:val="Compact"/>
              <w:jc w:val="left"/>
            </w:pPr>
            <w:r>
              <w:t xml:space="preserve">$425 million Kessler transaction may be delayed, re-priced, or terminated.</w:t>
            </w:r>
          </w:p>
        </w:tc>
      </w:tr>
    </w:tbl>
    <w:bookmarkEnd w:id="40"/>
    <w:bookmarkStart w:id="41" w:name="X86a25714ca052b0cf47575992f441705eeb36ba"/>
    <w:p>
      <w:pPr>
        <w:pStyle w:val="Heading3"/>
      </w:pPr>
      <w:r>
        <w:t xml:space="preserve">B. Qualitative Factors (Strongly Favoring Materiality)</w:t>
      </w:r>
    </w:p>
    <w:p>
      <w:pPr>
        <w:pStyle w:val="Compact"/>
        <w:numPr>
          <w:ilvl w:val="0"/>
          <w:numId w:val="1004"/>
        </w:numPr>
      </w:pPr>
      <w:r>
        <w:rPr>
          <w:b/>
          <w:bCs/>
        </w:rPr>
        <w:t xml:space="preserve">Nature of the data.</w:t>
      </w:r>
      <w:r>
        <w:t xml:space="preserve"> </w:t>
      </w:r>
      <w:r>
        <w:t xml:space="preserve">Customer banking information (ACH routing and account numbers) — directly usable for fraud — plus procurement-contact PII and competitively sensitive contract pricing, exfiltrated</w:t>
      </w:r>
      <w:r>
        <w:t xml:space="preserve"> </w:t>
      </w:r>
      <w:r>
        <w:rPr>
          <w:b/>
          <w:bCs/>
        </w:rPr>
        <w:t xml:space="preserve">unencrypted</w:t>
      </w:r>
      <w:r>
        <w:t xml:space="preserve">.</w:t>
      </w:r>
    </w:p>
    <w:p>
      <w:pPr>
        <w:pStyle w:val="Compact"/>
        <w:numPr>
          <w:ilvl w:val="0"/>
          <w:numId w:val="1004"/>
        </w:numPr>
      </w:pPr>
      <w:r>
        <w:rPr>
          <w:b/>
          <w:bCs/>
        </w:rPr>
        <w:t xml:space="preserve">Scope.</w:t>
      </w:r>
      <w:r>
        <w:t xml:space="preserve"> </w:t>
      </w:r>
      <w:r>
        <w:t xml:space="preserve">~4,200 customer records across at least 38 U.S. states and four foreign jurisdictions, including several of the Company’s largest accounts (defense and aerospace customers, some of which may themselves be subject to government-contractor notification or clearance implications).</w:t>
      </w:r>
    </w:p>
    <w:p>
      <w:pPr>
        <w:pStyle w:val="Compact"/>
        <w:numPr>
          <w:ilvl w:val="0"/>
          <w:numId w:val="1004"/>
        </w:numPr>
      </w:pPr>
      <w:r>
        <w:rPr>
          <w:b/>
          <w:bCs/>
        </w:rPr>
        <w:t xml:space="preserve">Double-extortion methodology.</w:t>
      </w:r>
      <w:r>
        <w:t xml:space="preserve"> </w:t>
      </w:r>
      <w:r>
        <w:t xml:space="preserve">Data exfiltration combined with ransomware — a fact pattern the SEC has specifically highlighted as warranting careful disclosure consideration.</w:t>
      </w:r>
    </w:p>
    <w:p>
      <w:pPr>
        <w:pStyle w:val="Compact"/>
        <w:numPr>
          <w:ilvl w:val="0"/>
          <w:numId w:val="1004"/>
        </w:numPr>
      </w:pPr>
      <w:r>
        <w:rPr>
          <w:b/>
          <w:bCs/>
        </w:rPr>
        <w:t xml:space="preserve">Customer-contractual breaches.</w:t>
      </w:r>
      <w:r>
        <w:t xml:space="preserve"> </w:t>
      </w:r>
      <w:r>
        <w:t xml:space="preserve">Missed 48-hour notification deadlines with material remedies (liquidated damages, immediate termination, payment suspension, future-business exclusion) directly threatening ~38% of revenue.</w:t>
      </w:r>
    </w:p>
    <w:p>
      <w:pPr>
        <w:pStyle w:val="Compact"/>
        <w:numPr>
          <w:ilvl w:val="0"/>
          <w:numId w:val="1004"/>
        </w:numPr>
      </w:pPr>
      <w:r>
        <w:rPr>
          <w:b/>
          <w:bCs/>
        </w:rPr>
        <w:t xml:space="preserve">Pending material acquisition.</w:t>
      </w:r>
      <w:r>
        <w:t xml:space="preserve"> </w:t>
      </w:r>
      <w:r>
        <w:t xml:space="preserve">Potential effect on a $425 million transaction.</w:t>
      </w:r>
    </w:p>
    <w:p>
      <w:pPr>
        <w:pStyle w:val="Compact"/>
        <w:numPr>
          <w:ilvl w:val="0"/>
          <w:numId w:val="1004"/>
        </w:numPr>
      </w:pPr>
      <w:r>
        <w:rPr>
          <w:b/>
          <w:bCs/>
        </w:rPr>
        <w:t xml:space="preserve">Control-failure contradiction.</w:t>
      </w:r>
      <w:r>
        <w:t xml:space="preserve"> </w:t>
      </w:r>
      <w:r>
        <w:t xml:space="preserve">The root cause (no MFA on third-party VPN) contradicts the Company’s own disclosed controls and its insurance-application warranty, undermining prior disclosures and creating coverage risk.</w:t>
      </w:r>
    </w:p>
    <w:p>
      <w:pPr>
        <w:pStyle w:val="Compact"/>
        <w:numPr>
          <w:ilvl w:val="0"/>
          <w:numId w:val="1004"/>
        </w:numPr>
      </w:pPr>
      <w:r>
        <w:rPr>
          <w:b/>
          <w:bCs/>
        </w:rPr>
        <w:t xml:space="preserve">Public-company status and reputation.</w:t>
      </w:r>
      <w:r>
        <w:t xml:space="preserve"> </w:t>
      </w:r>
      <w:r>
        <w:t xml:space="preserve">Vantage is a Nasdaq-listed registrant; the Incident is the type reasonably likely to affect investor and counterparty perception.</w:t>
      </w:r>
    </w:p>
    <w:p>
      <w:pPr>
        <w:pStyle w:val="Compact"/>
        <w:numPr>
          <w:ilvl w:val="0"/>
          <w:numId w:val="1004"/>
        </w:numPr>
      </w:pPr>
      <w:r>
        <w:rPr>
          <w:b/>
          <w:bCs/>
        </w:rPr>
        <w:t xml:space="preserve">Disclosure-controls/ICFR impact.</w:t>
      </w:r>
      <w:r>
        <w:t xml:space="preserve"> </w:t>
      </w:r>
      <w:r>
        <w:t xml:space="preserve">Encryption of the ERP finance module and reliance on manual workarounds implicate ICFR and disclosure controls.</w:t>
      </w:r>
    </w:p>
    <w:bookmarkEnd w:id="41"/>
    <w:bookmarkStart w:id="42" w:name="c.-preliminary-view"/>
    <w:p>
      <w:pPr>
        <w:pStyle w:val="Heading3"/>
      </w:pPr>
      <w:r>
        <w:t xml:space="preserve">C. Preliminary View</w:t>
      </w:r>
    </w:p>
    <w:p>
      <w:pPr>
        <w:pStyle w:val="FirstParagraph"/>
      </w:pPr>
      <w:r>
        <w:t xml:space="preserve">The qualitative factors — particularly the potential revenue impact from customer terminations, the pending $425 million acquisition, and the nature and scope of the exfiltrated data — are, in the aggregate, sufficient to support a materiality determination. Even if management were to conclude that the Incident is not yet material, the</w:t>
      </w:r>
      <w:r>
        <w:t xml:space="preserve"> </w:t>
      </w:r>
      <w:r>
        <w:t xml:space="preserve">“</w:t>
      </w:r>
      <w:r>
        <w:t xml:space="preserve">reasonably likely to materially affect</w:t>
      </w:r>
      <w:r>
        <w:t xml:space="preserve">”</w:t>
      </w:r>
      <w:r>
        <w:t xml:space="preserve"> </w:t>
      </w:r>
      <w:r>
        <w:t xml:space="preserve">standard (which Item 1C also addresses) is implicated, and the determination must be documented contemporaneously with the basis for the conclusion.</w:t>
      </w:r>
      <w:r>
        <w:t xml:space="preserve"> </w:t>
      </w:r>
      <w:r>
        <w:rPr>
          <w:b/>
          <w:bCs/>
        </w:rPr>
        <w:t xml:space="preserve">The Company should not defer the determination pending the December 20, 2024 Thorngate preliminary report; sufficient information has been available since at least late November to make the determination.</w:t>
      </w:r>
    </w:p>
    <w:p>
      <w:r>
        <w:pict>
          <v:rect style="width:0;height:1.5pt" o:hralign="center" o:hrstd="t" o:hr="t"/>
        </w:pict>
      </w:r>
    </w:p>
    <w:bookmarkEnd w:id="42"/>
    <w:bookmarkEnd w:id="43"/>
    <w:bookmarkStart w:id="47" w:name="vi.-recommended-action-plan"/>
    <w:p>
      <w:pPr>
        <w:pStyle w:val="Heading2"/>
      </w:pPr>
      <w:r>
        <w:t xml:space="preserve">VI. Recommended Action Plan</w:t>
      </w:r>
    </w:p>
    <w:bookmarkStart w:id="44" w:name="a.-immediate-actions-04-business-days"/>
    <w:p>
      <w:pPr>
        <w:pStyle w:val="Heading3"/>
      </w:pPr>
      <w:r>
        <w:t xml:space="preserve">A. Immediate Actions (0–4 Business Days)</w:t>
      </w:r>
    </w:p>
    <w:p>
      <w:pPr>
        <w:pStyle w:val="Compact"/>
        <w:numPr>
          <w:ilvl w:val="0"/>
          <w:numId w:val="1005"/>
        </w:numPr>
      </w:pPr>
      <w:r>
        <w:rPr>
          <w:b/>
          <w:bCs/>
        </w:rPr>
        <w:t xml:space="preserve">Convene the disclosure committee</w:t>
      </w:r>
      <w:r>
        <w:t xml:space="preserve"> </w:t>
      </w:r>
      <w:r>
        <w:t xml:space="preserve">(General Counsel, CFO, CTO, CISO, internal audit, outside securities counsel) to conduct and</w:t>
      </w:r>
      <w:r>
        <w:t xml:space="preserve"> </w:t>
      </w:r>
      <w:r>
        <w:rPr>
          <w:b/>
          <w:bCs/>
        </w:rPr>
        <w:t xml:space="preserve">document</w:t>
      </w:r>
      <w:r>
        <w:t xml:space="preserve"> </w:t>
      </w:r>
      <w:r>
        <w:t xml:space="preserve">the materiality determination.</w:t>
      </w:r>
      <w:r>
        <w:t xml:space="preserve"> </w:t>
      </w:r>
      <w:r>
        <w:rPr>
          <w:i/>
          <w:iCs/>
        </w:rPr>
        <w:t xml:space="preserve">(Gap 1)</w:t>
      </w:r>
    </w:p>
    <w:p>
      <w:pPr>
        <w:pStyle w:val="Compact"/>
        <w:numPr>
          <w:ilvl w:val="0"/>
          <w:numId w:val="1005"/>
        </w:numPr>
      </w:pPr>
      <w:r>
        <w:rPr>
          <w:b/>
          <w:bCs/>
        </w:rPr>
        <w:t xml:space="preserve">If material, prepare and file Form 8-K under Item 1.05</w:t>
      </w:r>
      <w:r>
        <w:t xml:space="preserve"> </w:t>
      </w:r>
      <w:r>
        <w:t xml:space="preserve">within four business days of the determination, describing the nature, scope, and timing of the Incident and its material/reasonably likely material impact.</w:t>
      </w:r>
      <w:r>
        <w:t xml:space="preserve"> </w:t>
      </w:r>
      <w:r>
        <w:rPr>
          <w:i/>
          <w:iCs/>
        </w:rPr>
        <w:t xml:space="preserve">(Gap 1)</w:t>
      </w:r>
    </w:p>
    <w:p>
      <w:pPr>
        <w:pStyle w:val="Compact"/>
        <w:numPr>
          <w:ilvl w:val="0"/>
          <w:numId w:val="1005"/>
        </w:numPr>
      </w:pPr>
      <w:r>
        <w:rPr>
          <w:b/>
          <w:bCs/>
        </w:rPr>
        <w:t xml:space="preserve">Implement a trading blackout</w:t>
      </w:r>
      <w:r>
        <w:t xml:space="preserve"> </w:t>
      </w:r>
      <w:r>
        <w:t xml:space="preserve">for all directors, officers, and employees aware of the Incident.</w:t>
      </w:r>
      <w:r>
        <w:t xml:space="preserve"> </w:t>
      </w:r>
      <w:r>
        <w:rPr>
          <w:i/>
          <w:iCs/>
        </w:rPr>
        <w:t xml:space="preserve">(Gap 11)</w:t>
      </w:r>
    </w:p>
    <w:p>
      <w:pPr>
        <w:pStyle w:val="Compact"/>
        <w:numPr>
          <w:ilvl w:val="0"/>
          <w:numId w:val="1005"/>
        </w:numPr>
      </w:pPr>
      <w:r>
        <w:rPr>
          <w:b/>
          <w:bCs/>
        </w:rPr>
        <w:t xml:space="preserve">Notify the full Audit Committee and Board</w:t>
      </w:r>
      <w:r>
        <w:t xml:space="preserve"> </w:t>
      </w:r>
      <w:r>
        <w:t xml:space="preserve">and convene a special Audit Committee meeting within days.</w:t>
      </w:r>
      <w:r>
        <w:t xml:space="preserve"> </w:t>
      </w:r>
      <w:r>
        <w:rPr>
          <w:i/>
          <w:iCs/>
        </w:rPr>
        <w:t xml:space="preserve">(Gap 2)</w:t>
      </w:r>
    </w:p>
    <w:p>
      <w:pPr>
        <w:pStyle w:val="Compact"/>
        <w:numPr>
          <w:ilvl w:val="0"/>
          <w:numId w:val="1005"/>
        </w:numPr>
      </w:pPr>
      <w:r>
        <w:rPr>
          <w:b/>
          <w:bCs/>
        </w:rPr>
        <w:t xml:space="preserve">Add the CFO to the notification chain</w:t>
      </w:r>
      <w:r>
        <w:t xml:space="preserve"> </w:t>
      </w:r>
      <w:r>
        <w:t xml:space="preserve">and begin the ICFR/disclosure-controls impact assessment.</w:t>
      </w:r>
      <w:r>
        <w:t xml:space="preserve"> </w:t>
      </w:r>
      <w:r>
        <w:rPr>
          <w:i/>
          <w:iCs/>
        </w:rPr>
        <w:t xml:space="preserve">(Gap 4)</w:t>
      </w:r>
    </w:p>
    <w:bookmarkEnd w:id="44"/>
    <w:bookmarkStart w:id="45" w:name="b.-near-term-actions-12-weeks"/>
    <w:p>
      <w:pPr>
        <w:pStyle w:val="Heading3"/>
      </w:pPr>
      <w:r>
        <w:t xml:space="preserve">B. Near-Term Actions (1–2 Weeks)</w:t>
      </w:r>
    </w:p>
    <w:p>
      <w:pPr>
        <w:pStyle w:val="Compact"/>
        <w:numPr>
          <w:ilvl w:val="0"/>
          <w:numId w:val="1006"/>
        </w:numPr>
      </w:pPr>
      <w:r>
        <w:rPr>
          <w:b/>
          <w:bCs/>
        </w:rPr>
        <w:t xml:space="preserve">Sequence customer notifications</w:t>
      </w:r>
      <w:r>
        <w:t xml:space="preserve"> </w:t>
      </w:r>
      <w:r>
        <w:t xml:space="preserve">after or simultaneously with any required 8-K filing; complete the top-twenty contract review (due December 10, 2024) and issue notifications.</w:t>
      </w:r>
      <w:r>
        <w:t xml:space="preserve"> </w:t>
      </w:r>
      <w:r>
        <w:rPr>
          <w:i/>
          <w:iCs/>
        </w:rPr>
        <w:t xml:space="preserve">(Gaps 5, 6)</w:t>
      </w:r>
    </w:p>
    <w:p>
      <w:pPr>
        <w:pStyle w:val="Compact"/>
        <w:numPr>
          <w:ilvl w:val="0"/>
          <w:numId w:val="1006"/>
        </w:numPr>
      </w:pPr>
      <w:r>
        <w:rPr>
          <w:b/>
          <w:bCs/>
        </w:rPr>
        <w:t xml:space="preserve">Notify the independent auditor</w:t>
      </w:r>
      <w:r>
        <w:t xml:space="preserve"> </w:t>
      </w:r>
      <w:r>
        <w:t xml:space="preserve">(Greystone &amp; Associates LLP) of the Incident and its financial-systems impact.</w:t>
      </w:r>
      <w:r>
        <w:t xml:space="preserve"> </w:t>
      </w:r>
      <w:r>
        <w:rPr>
          <w:i/>
          <w:iCs/>
        </w:rPr>
        <w:t xml:space="preserve">(Gap 4)</w:t>
      </w:r>
    </w:p>
    <w:p>
      <w:pPr>
        <w:pStyle w:val="Compact"/>
        <w:numPr>
          <w:ilvl w:val="0"/>
          <w:numId w:val="1006"/>
        </w:numPr>
      </w:pPr>
      <w:r>
        <w:rPr>
          <w:b/>
          <w:bCs/>
        </w:rPr>
        <w:t xml:space="preserve">Engage EU/UK and U.S. privacy counsel</w:t>
      </w:r>
      <w:r>
        <w:t xml:space="preserve"> </w:t>
      </w:r>
      <w:r>
        <w:t xml:space="preserve">to prepare and submit GDPR/UK and state data-breach notifications (late, with explanation).</w:t>
      </w:r>
      <w:r>
        <w:t xml:space="preserve"> </w:t>
      </w:r>
      <w:r>
        <w:rPr>
          <w:i/>
          <w:iCs/>
        </w:rPr>
        <w:t xml:space="preserve">(Gaps 8, 9)</w:t>
      </w:r>
    </w:p>
    <w:p>
      <w:pPr>
        <w:pStyle w:val="Compact"/>
        <w:numPr>
          <w:ilvl w:val="0"/>
          <w:numId w:val="1006"/>
        </w:numPr>
      </w:pPr>
      <w:r>
        <w:rPr>
          <w:b/>
          <w:bCs/>
        </w:rPr>
        <w:t xml:space="preserve">Assess the Kessler transaction impact</w:t>
      </w:r>
      <w:r>
        <w:t xml:space="preserve"> </w:t>
      </w:r>
      <w:r>
        <w:t xml:space="preserve">with Hollister Marsh and Canfield Cromdale; determine counterparty-notification timing and any separate 8-K obligation.</w:t>
      </w:r>
      <w:r>
        <w:t xml:space="preserve"> </w:t>
      </w:r>
      <w:r>
        <w:rPr>
          <w:i/>
          <w:iCs/>
        </w:rPr>
        <w:t xml:space="preserve">(Gap 7)</w:t>
      </w:r>
    </w:p>
    <w:p>
      <w:pPr>
        <w:pStyle w:val="Compact"/>
        <w:numPr>
          <w:ilvl w:val="0"/>
          <w:numId w:val="1006"/>
        </w:numPr>
      </w:pPr>
      <w:r>
        <w:rPr>
          <w:b/>
          <w:bCs/>
        </w:rPr>
        <w:t xml:space="preserve">Respond to Ridgeline’s reservation of rights</w:t>
      </w:r>
      <w:r>
        <w:t xml:space="preserve"> </w:t>
      </w:r>
      <w:r>
        <w:t xml:space="preserve">and assess the MFA-warranty / minimum-security-exclusion exposure with coverage counsel.</w:t>
      </w:r>
      <w:r>
        <w:t xml:space="preserve"> </w:t>
      </w:r>
      <w:r>
        <w:rPr>
          <w:i/>
          <w:iCs/>
        </w:rPr>
        <w:t xml:space="preserve">(Gap 10)</w:t>
      </w:r>
    </w:p>
    <w:bookmarkEnd w:id="45"/>
    <w:bookmarkStart w:id="46" w:name="c.-medium-term-actions-3060-days"/>
    <w:p>
      <w:pPr>
        <w:pStyle w:val="Heading3"/>
      </w:pPr>
      <w:r>
        <w:t xml:space="preserve">C. Medium-Term Actions (30–60 Days)</w:t>
      </w:r>
    </w:p>
    <w:p>
      <w:pPr>
        <w:pStyle w:val="Compact"/>
        <w:numPr>
          <w:ilvl w:val="0"/>
          <w:numId w:val="1007"/>
        </w:numPr>
      </w:pPr>
      <w:r>
        <w:rPr>
          <w:b/>
          <w:bCs/>
        </w:rPr>
        <w:t xml:space="preserve">Substantially revise the CIRP</w:t>
      </w:r>
      <w:r>
        <w:t xml:space="preserve"> </w:t>
      </w:r>
      <w:r>
        <w:t xml:space="preserve">to integrate materiality/disclosure workflows, bring external communications within scope, add legal/finance/disclosure roles, and establish a tabletop-exercise schedule.</w:t>
      </w:r>
      <w:r>
        <w:t xml:space="preserve"> </w:t>
      </w:r>
      <w:r>
        <w:rPr>
          <w:i/>
          <w:iCs/>
        </w:rPr>
        <w:t xml:space="preserve">(Gap 3)</w:t>
      </w:r>
    </w:p>
    <w:p>
      <w:pPr>
        <w:pStyle w:val="Compact"/>
        <w:numPr>
          <w:ilvl w:val="0"/>
          <w:numId w:val="1007"/>
        </w:numPr>
      </w:pPr>
      <w:r>
        <w:rPr>
          <w:b/>
          <w:bCs/>
        </w:rPr>
        <w:t xml:space="preserve">Amend the Audit Committee charter</w:t>
      </w:r>
      <w:r>
        <w:t xml:space="preserve"> </w:t>
      </w:r>
      <w:r>
        <w:t xml:space="preserve">to add explicit cybersecurity-oversight responsibilities and revise the CIRP escalation matrix to include mandatory Board, General Counsel, CEO, and CFO notification.</w:t>
      </w:r>
      <w:r>
        <w:t xml:space="preserve"> </w:t>
      </w:r>
      <w:r>
        <w:rPr>
          <w:i/>
          <w:iCs/>
        </w:rPr>
        <w:t xml:space="preserve">(Gaps 2, 3)</w:t>
      </w:r>
    </w:p>
    <w:p>
      <w:pPr>
        <w:pStyle w:val="Compact"/>
        <w:numPr>
          <w:ilvl w:val="0"/>
          <w:numId w:val="1007"/>
        </w:numPr>
      </w:pPr>
      <w:r>
        <w:rPr>
          <w:b/>
          <w:bCs/>
        </w:rPr>
        <w:t xml:space="preserve">Plan FY2024 10-K disclosure</w:t>
      </w:r>
      <w:r>
        <w:t xml:space="preserve"> </w:t>
      </w:r>
      <w:r>
        <w:t xml:space="preserve">across Items 1C, 1A, 7, and 9A, reconciling the MFA representation and addressing the Incident.</w:t>
      </w:r>
      <w:r>
        <w:t xml:space="preserve"> </w:t>
      </w:r>
      <w:r>
        <w:rPr>
          <w:i/>
          <w:iCs/>
        </w:rPr>
        <w:t xml:space="preserve">(Gaps 4, 11)</w:t>
      </w:r>
    </w:p>
    <w:p>
      <w:pPr>
        <w:pStyle w:val="Compact"/>
        <w:numPr>
          <w:ilvl w:val="0"/>
          <w:numId w:val="1007"/>
        </w:numPr>
      </w:pPr>
      <w:r>
        <w:rPr>
          <w:b/>
          <w:bCs/>
        </w:rPr>
        <w:t xml:space="preserve">Conduct the post-incident review</w:t>
      </w:r>
      <w:r>
        <w:t xml:space="preserve"> </w:t>
      </w:r>
      <w:r>
        <w:t xml:space="preserve">under CIRP Phase 5 and track remediation to closure.</w:t>
      </w:r>
      <w:r>
        <w:t xml:space="preserve"> </w:t>
      </w:r>
      <w:r>
        <w:rPr>
          <w:i/>
          <w:iCs/>
        </w:rPr>
        <w:t xml:space="preserve">(Gap 3)</w:t>
      </w:r>
    </w:p>
    <w:p>
      <w:r>
        <w:pict>
          <v:rect style="width:0;height:1.5pt" o:hralign="center" o:hrstd="t" o:hr="t"/>
        </w:pict>
      </w:r>
    </w:p>
    <w:bookmarkEnd w:id="46"/>
    <w:bookmarkEnd w:id="47"/>
    <w:bookmarkStart w:id="48" w:name="vii.-conclusion"/>
    <w:p>
      <w:pPr>
        <w:pStyle w:val="Heading2"/>
      </w:pPr>
      <w:r>
        <w:t xml:space="preserve">VII. Conclusion</w:t>
      </w:r>
    </w:p>
    <w:p>
      <w:pPr>
        <w:pStyle w:val="FirstParagraph"/>
      </w:pPr>
      <w:r>
        <w:t xml:space="preserve">The Incident presents serious and time-sensitive SEC compliance exposure. The most critical gap — the absence of a documented materiality determination and Form 8-K filing more than two weeks after discovery — should be closed immediately. The qualitative indicators of materiality are strong, and the SEC’s framework does not permit the determination period to be used as a basis for delay. Parallel gaps in Board oversight, incident-response governance, customer and regulatory notifications, insurance coverage, and insider-trading controls require coordinated, sequenced remediation. The action plan in Section VI is designed to address the highest-exposure items first while positioning the Company to discharge its broader disclosure and governance obligations through the FY2024 reporting cycle.</w:t>
      </w:r>
    </w:p>
    <w:p>
      <w:pPr>
        <w:pStyle w:val="BodyText"/>
      </w:pPr>
      <w:r>
        <w:t xml:space="preserve">This memorandum will be updated as the forensic investigation, materiality analysis, and notification workstreams progress. Please direct questions to the Office of the General Counsel.</w:t>
      </w:r>
    </w:p>
    <w:p>
      <w:r>
        <w:pict>
          <v:rect style="width:0;height:1.5pt" o:hralign="center" o:hrstd="t" o:hr="t"/>
        </w:pict>
      </w:r>
    </w:p>
    <w:p>
      <w:pPr>
        <w:pStyle w:val="FirstParagraph"/>
      </w:pPr>
      <w:r>
        <w:rPr>
          <w:i/>
          <w:iCs/>
        </w:rPr>
        <w:t xml:space="preserve">Prepared by the Office of the General Counsel, Vantage Industrial Technologies, Inc., in consultation with Hollister Marsh LLP. This memorandum is privileged and confidential and is intended solely for the use of the recipients identified above.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2026-06-26T23:21:33Z</dcterms:created>
  <dcterms:modified xsi:type="dcterms:W3CDTF">2026-06-26T23:21:33Z</dcterms:modified>
</cp:coreProperties>
</file>

<file path=docProps/custom.xml><?xml version="1.0" encoding="utf-8"?>
<Properties xmlns="http://schemas.openxmlformats.org/officeDocument/2006/custom-properties" xmlns:vt="http://schemas.openxmlformats.org/officeDocument/2006/docPropsVTypes"/>
</file>