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b84ba05f6dd5010804ad446815d2178d1bd5649"/>
    <w:p>
      <w:pPr>
        <w:pStyle w:val="Heading1"/>
      </w:pPr>
      <w:r>
        <w:t xml:space="preserve">PRIVILEGED &amp; CONFIDENTIAL — ATTORNEY-CLIENT PRIVILEGED / ATTORNEY WORK PRODUCT</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945"/>
        <w:gridCol w:w="6975"/>
      </w:tblGrid>
      <w:tr>
        <w:tc>
          <w:tcPr/>
          <w:p>
            <w:pPr>
              <w:pStyle w:val="Compact"/>
              <w:jc w:val="left"/>
            </w:pPr>
            <w:r>
              <w:rPr>
                <w:b/>
                <w:bCs/>
              </w:rPr>
              <w:t xml:space="preserve">To:</w:t>
            </w:r>
          </w:p>
        </w:tc>
        <w:tc>
          <w:tcPr/>
          <w:p>
            <w:pPr>
              <w:pStyle w:val="Compact"/>
              <w:jc w:val="left"/>
            </w:pPr>
            <w:r>
              <w:t xml:space="preserve">Priya Raghavan, General Counsel &amp; Corporate Secretary; Dr. Helen Ostrowski, Chair, Audit Committee</w:t>
            </w:r>
          </w:p>
        </w:tc>
      </w:tr>
      <w:tr>
        <w:tc>
          <w:tcPr/>
          <w:p>
            <w:pPr>
              <w:pStyle w:val="Compact"/>
              <w:jc w:val="left"/>
            </w:pPr>
            <w:r>
              <w:rPr>
                <w:b/>
                <w:bCs/>
              </w:rPr>
              <w:t xml:space="preserve">From:</w:t>
            </w:r>
          </w:p>
        </w:tc>
        <w:tc>
          <w:tcPr/>
          <w:p>
            <w:pPr>
              <w:pStyle w:val="Compact"/>
              <w:jc w:val="left"/>
            </w:pPr>
            <w:r>
              <w:t xml:space="preserve">Securities &amp; Disclosure Counsel (coordinating with Hollister Marsh LLP)</w:t>
            </w:r>
          </w:p>
        </w:tc>
      </w:tr>
      <w:tr>
        <w:tc>
          <w:tcPr/>
          <w:p>
            <w:pPr>
              <w:pStyle w:val="Compact"/>
              <w:jc w:val="left"/>
            </w:pPr>
            <w:r>
              <w:rPr>
                <w:b/>
                <w:bCs/>
              </w:rPr>
              <w:t xml:space="preserve">Date:</w:t>
            </w:r>
          </w:p>
        </w:tc>
        <w:tc>
          <w:tcPr/>
          <w:p>
            <w:pPr>
              <w:pStyle w:val="Compact"/>
              <w:jc w:val="left"/>
            </w:pPr>
            <w:r>
              <w:t xml:space="preserve">December 6, 2024</w:t>
            </w:r>
          </w:p>
        </w:tc>
      </w:tr>
      <w:tr>
        <w:tc>
          <w:tcPr/>
          <w:p>
            <w:pPr>
              <w:pStyle w:val="Compact"/>
              <w:jc w:val="left"/>
            </w:pPr>
            <w:r>
              <w:rPr>
                <w:b/>
                <w:bCs/>
              </w:rPr>
              <w:t xml:space="preserve">Re:</w:t>
            </w:r>
          </w:p>
        </w:tc>
        <w:tc>
          <w:tcPr/>
          <w:p>
            <w:pPr>
              <w:pStyle w:val="Compact"/>
              <w:jc w:val="left"/>
            </w:pPr>
            <w:r>
              <w:t xml:space="preserve">SEC Cybersecurity Disclosure Compliance Gap Analysis — Incident INC-2024-0047 (LockStar 3.0 Ransomware and Data Exfiltration, detected November 18, 2024)</w:t>
            </w:r>
          </w:p>
        </w:tc>
      </w:tr>
      <w:tr>
        <w:tc>
          <w:tcPr/>
          <w:p>
            <w:pPr>
              <w:pStyle w:val="Compact"/>
              <w:jc w:val="left"/>
            </w:pPr>
            <w:r>
              <w:rPr>
                <w:b/>
                <w:bCs/>
              </w:rPr>
              <w:t xml:space="preserve">Classification:</w:t>
            </w:r>
          </w:p>
        </w:tc>
        <w:tc>
          <w:tcPr/>
          <w:p>
            <w:pPr>
              <w:pStyle w:val="Compact"/>
              <w:jc w:val="left"/>
            </w:pPr>
            <w:r>
              <w:t xml:space="preserve">Privileged &amp; Confidential — Prepared at the Direction of Counsel</w:t>
            </w:r>
          </w:p>
        </w:tc>
      </w:tr>
    </w:tbl>
    <w:bookmarkStart w:id="20" w:name="i.-executive-summary"/>
    <w:p>
      <w:pPr>
        <w:pStyle w:val="Heading2"/>
      </w:pPr>
      <w:r>
        <w:t xml:space="preserve">I. Executive Summary</w:t>
      </w:r>
    </w:p>
    <w:p>
      <w:pPr>
        <w:pStyle w:val="FirstParagraph"/>
      </w:pPr>
      <w:r>
        <w:t xml:space="preserve">This memorandum identifies gaps in Vantage Industrial Technologies,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compliance with the U.S. Securities and Exchange Commission (</w:t>
      </w:r>
      <w:r>
        <w:t xml:space="preserve">“</w:t>
      </w:r>
      <w:r>
        <w:t xml:space="preserve">SEC</w:t>
      </w:r>
      <w:r>
        <w:t xml:space="preserve">”</w:t>
      </w:r>
      <w:r>
        <w:t xml:space="preserve">) cybersecurity disclosure rules in connection with the ransomware and data-exfiltration incident detected on November 18, 2024 (ServiceNow Incident INC-2024-0047). The analysis is based on a review of the Company’s FY2023 Form 10-K Item 1C disclosure, the Audit Committee Charter, the Cybersecurity Incident Response Plan (</w:t>
      </w:r>
      <w:r>
        <w:t xml:space="preserve">“</w:t>
      </w:r>
      <w:r>
        <w:t xml:space="preserve">CIRP</w:t>
      </w:r>
      <w:r>
        <w:t xml:space="preserve">”</w:t>
      </w:r>
      <w:r>
        <w:t xml:space="preserve">), the Thorngate Forensic Solutions interim report, the CISO incident status report, the General Counsel’s email to the Audit Committee Chair, the customer contract excerpts, and the cyber insurance policy summary.</w:t>
      </w:r>
    </w:p>
    <w:p>
      <w:pPr>
        <w:pStyle w:val="BodyText"/>
      </w:pPr>
      <w:r>
        <w:rPr>
          <w:b/>
          <w:bCs/>
        </w:rPr>
        <w:t xml:space="preserve">The central finding is that, as of December 5, 2024 — seventeen (17) days after discovery of a Tier 3 incident — the Company has conducted no materiality determination and filed no Form 8-K under Item 1.05, despite multiple strong indicators of materiality.</w:t>
      </w:r>
      <w:r>
        <w:t xml:space="preserve"> </w:t>
      </w:r>
      <w:r>
        <w:t xml:space="preserve">The SEC’s rules require a materiality determination to be made</w:t>
      </w:r>
      <w:r>
        <w:t xml:space="preserve"> </w:t>
      </w:r>
      <w:r>
        <w:t xml:space="preserve">“</w:t>
      </w:r>
      <w:r>
        <w:t xml:space="preserve">without unreasonable delay</w:t>
      </w:r>
      <w:r>
        <w:t xml:space="preserve">”</w:t>
      </w:r>
      <w:r>
        <w:t xml:space="preserve"> </w:t>
      </w:r>
      <w:r>
        <w:t xml:space="preserve">after discovery of a cybersecurity incident, followed by a Form 8-K within four (4) business days of that determination. No basis exists to defer disclosure (no U.S. Department of Justice national-security/public-safety delay request has been received).</w:t>
      </w:r>
    </w:p>
    <w:p>
      <w:pPr>
        <w:pStyle w:val="BodyText"/>
      </w:pPr>
      <w:r>
        <w:t xml:space="preserve">The incident exfiltrated approximately 83 GB of data — including unencrypted customer ACH banking information, procurement-contact personally identifiable information (</w:t>
      </w:r>
      <w:r>
        <w:t xml:space="preserve">“</w:t>
      </w:r>
      <w:r>
        <w:t xml:space="preserve">PII</w:t>
      </w:r>
      <w:r>
        <w:t xml:space="preserve">”</w:t>
      </w:r>
      <w:r>
        <w:t xml:space="preserve">), and contract pricing data for approximately 4,200 customer accounts (including at least six (6) of the Company’s top ten customers, which represent 38% of revenue) — encrypted 347 endpoints and the core ERP finance, procurement, and order-management modules, triggered breached 48-hour customer-notification deadlines under three major customer contracts (with liquidated-damages, termination, payment-suspension, and future-business-exclusion consequences), implicated a pending $425 million acquisition, and created state data-breach and GDPR notification obligations. These qualitative factors, separately and together, strongly support a conclusion of materiality and require an immediate, documented materiality determination.</w:t>
      </w:r>
    </w:p>
    <w:p>
      <w:pPr>
        <w:pStyle w:val="BodyText"/>
      </w:pPr>
      <w:r>
        <w:t xml:space="preserve">The memo further identifies systemic gaps in the Company’s disclosure-controls infrastructure (including a two-day divergence between insurance</w:t>
      </w:r>
      <w:r>
        <w:t xml:space="preserve"> </w:t>
      </w:r>
      <w:r>
        <w:t xml:space="preserve">“</w:t>
      </w:r>
      <w:r>
        <w:t xml:space="preserve">Discovery</w:t>
      </w:r>
      <w:r>
        <w:t xml:space="preserve">”</w:t>
      </w:r>
      <w:r>
        <w:t xml:space="preserve"> </w:t>
      </w:r>
      <w:r>
        <w:t xml:space="preserve">and disclosure awareness and the complete absence of the CFO from the notification chain), Board/Audit-Committee oversight (the Audit Committee Chair informed on Day 15 and the full Board still uninformed), the CIRP (untested, escalation matrix excluding the Board/CEO/CFO/General Counsel, an IRT activation record that does not match the plan roster, and inconsistent MFA-deployment reporting), the accuracy of the FY2023 10-K Item 1C disclosure relative to the actual control environment, the full set of breached customer-contract notification obligations (with the contract review still incomplete), unaddressed state and EU/UK GDPR notification obligations, and cyber-insurance coverage (late notice, a potentially false MFA warranty, a claims-made policy expiring December 31, 2024, and a potential hostile-nation-state exclusion). Each gap is enumerated below with citation to the supporting source document. Recommended remediation actions are set forth in Section VIII.</w:t>
      </w:r>
    </w:p>
    <w:bookmarkEnd w:id="20"/>
    <w:bookmarkStart w:id="21" w:name="ii.-source-documents-reviewed"/>
    <w:p>
      <w:pPr>
        <w:pStyle w:val="Heading2"/>
      </w:pPr>
      <w:r>
        <w:t xml:space="preserve">II. Source Documents Reviewed</w:t>
      </w:r>
    </w:p>
    <w:p>
      <w:pPr>
        <w:pStyle w:val="Compact"/>
        <w:numPr>
          <w:ilvl w:val="0"/>
          <w:numId w:val="1001"/>
        </w:numPr>
      </w:pPr>
      <w:r>
        <w:rPr>
          <w:b/>
          <w:bCs/>
        </w:rPr>
        <w:t xml:space="preserve">FY2023 Form 10-K, Part I, Item 1C (Cybersecurity)</w:t>
      </w:r>
      <w:r>
        <w:t xml:space="preserve"> </w:t>
      </w:r>
      <w:r>
        <w:t xml:space="preserve">— filed February 28, 2024 (</w:t>
      </w:r>
      <w:r>
        <w:t xml:space="preserve">“</w:t>
      </w:r>
      <w:r>
        <w:t xml:space="preserve">10-K Item 1C</w:t>
      </w:r>
      <w:r>
        <w:t xml:space="preserve">”</w:t>
      </w:r>
      <w:r>
        <w:t xml:space="preserve">).</w:t>
      </w:r>
    </w:p>
    <w:p>
      <w:pPr>
        <w:pStyle w:val="Compact"/>
        <w:numPr>
          <w:ilvl w:val="0"/>
          <w:numId w:val="1001"/>
        </w:numPr>
      </w:pPr>
      <w:r>
        <w:rPr>
          <w:b/>
          <w:bCs/>
        </w:rPr>
        <w:t xml:space="preserve">Charter of the Audit Committee</w:t>
      </w:r>
      <w:r>
        <w:t xml:space="preserve"> </w:t>
      </w:r>
      <w:r>
        <w:t xml:space="preserve">— last amended and restated March 15, 2021 (</w:t>
      </w:r>
      <w:r>
        <w:t xml:space="preserve">“</w:t>
      </w:r>
      <w:r>
        <w:t xml:space="preserve">Audit Committee Charter</w:t>
      </w:r>
      <w:r>
        <w:t xml:space="preserve">”</w:t>
      </w:r>
      <w:r>
        <w:t xml:space="preserve">).</w:t>
      </w:r>
    </w:p>
    <w:p>
      <w:pPr>
        <w:pStyle w:val="Compact"/>
        <w:numPr>
          <w:ilvl w:val="0"/>
          <w:numId w:val="1001"/>
        </w:numPr>
      </w:pPr>
      <w:r>
        <w:rPr>
          <w:b/>
          <w:bCs/>
        </w:rPr>
        <w:t xml:space="preserve">Cybersecurity Incident Response Plan, Version 1.0</w:t>
      </w:r>
      <w:r>
        <w:t xml:space="preserve"> </w:t>
      </w:r>
      <w:r>
        <w:t xml:space="preserve">— effective June 15, 2022; administrative update August 14, 2023 (</w:t>
      </w:r>
      <w:r>
        <w:t xml:space="preserve">“</w:t>
      </w:r>
      <w:r>
        <w:t xml:space="preserve">CIRP</w:t>
      </w:r>
      <w:r>
        <w:t xml:space="preserve">”</w:t>
      </w:r>
      <w:r>
        <w:t xml:space="preserve">).</w:t>
      </w:r>
    </w:p>
    <w:p>
      <w:pPr>
        <w:pStyle w:val="Compact"/>
        <w:numPr>
          <w:ilvl w:val="0"/>
          <w:numId w:val="1001"/>
        </w:numPr>
      </w:pPr>
      <w:r>
        <w:rPr>
          <w:b/>
          <w:bCs/>
        </w:rPr>
        <w:t xml:space="preserve">Thorngate Forensic Solutions, Inc., Interim Status Report (TFS-2024-IR-0847)</w:t>
      </w:r>
      <w:r>
        <w:t xml:space="preserve"> </w:t>
      </w:r>
      <w:r>
        <w:t xml:space="preserve">— dated December 1, 2024 (</w:t>
      </w:r>
      <w:r>
        <w:t xml:space="preserve">“</w:t>
      </w:r>
      <w:r>
        <w:t xml:space="preserve">Thorngate Interim Report</w:t>
      </w:r>
      <w:r>
        <w:t xml:space="preserve">”</w:t>
      </w:r>
      <w:r>
        <w:t xml:space="preserve">).</w:t>
      </w:r>
    </w:p>
    <w:p>
      <w:pPr>
        <w:pStyle w:val="Compact"/>
        <w:numPr>
          <w:ilvl w:val="0"/>
          <w:numId w:val="1001"/>
        </w:numPr>
      </w:pPr>
      <w:r>
        <w:rPr>
          <w:b/>
          <w:bCs/>
        </w:rPr>
        <w:t xml:space="preserve">Cybersecurity Incident Status Report, INC-2024-0047</w:t>
      </w:r>
      <w:r>
        <w:t xml:space="preserve"> </w:t>
      </w:r>
      <w:r>
        <w:t xml:space="preserve">— prepared by Derek Fong, CISO, dated December 5, 2024 (</w:t>
      </w:r>
      <w:r>
        <w:t xml:space="preserve">“</w:t>
      </w:r>
      <w:r>
        <w:t xml:space="preserve">Status Report</w:t>
      </w:r>
      <w:r>
        <w:t xml:space="preserve">”</w:t>
      </w:r>
      <w:r>
        <w:t xml:space="preserve">).</w:t>
      </w:r>
    </w:p>
    <w:p>
      <w:pPr>
        <w:pStyle w:val="Compact"/>
        <w:numPr>
          <w:ilvl w:val="0"/>
          <w:numId w:val="1001"/>
        </w:numPr>
      </w:pPr>
      <w:r>
        <w:rPr>
          <w:b/>
          <w:bCs/>
        </w:rPr>
        <w:t xml:space="preserve">Email from Priya Raghavan (General Counsel) to Dr. Helen Ostrowski (Audit Committee Chair)</w:t>
      </w:r>
      <w:r>
        <w:t xml:space="preserve"> </w:t>
      </w:r>
      <w:r>
        <w:t xml:space="preserve">— dated December 3, 2024 (</w:t>
      </w:r>
      <w:r>
        <w:t xml:space="preserve">“</w:t>
      </w:r>
      <w:r>
        <w:t xml:space="preserve">GC Email</w:t>
      </w:r>
      <w:r>
        <w:t xml:space="preserve">”</w:t>
      </w:r>
      <w:r>
        <w:t xml:space="preserve">).</w:t>
      </w:r>
    </w:p>
    <w:p>
      <w:pPr>
        <w:pStyle w:val="Compact"/>
        <w:numPr>
          <w:ilvl w:val="0"/>
          <w:numId w:val="1001"/>
        </w:numPr>
      </w:pPr>
      <w:r>
        <w:rPr>
          <w:b/>
          <w:bCs/>
        </w:rPr>
        <w:t xml:space="preserve">Extracted Cybersecurity and Data Protection Provisions — Customer Master Agreements</w:t>
      </w:r>
      <w:r>
        <w:t xml:space="preserve"> </w:t>
      </w:r>
      <w:r>
        <w:t xml:space="preserve">— prepared by Office of the General Counsel, December 5, 2024 (</w:t>
      </w:r>
      <w:r>
        <w:t xml:space="preserve">“</w:t>
      </w:r>
      <w:r>
        <w:t xml:space="preserve">Customer Contract Excerpts</w:t>
      </w:r>
      <w:r>
        <w:t xml:space="preserve">”</w:t>
      </w:r>
      <w:r>
        <w:t xml:space="preserve">).</w:t>
      </w:r>
    </w:p>
    <w:p>
      <w:pPr>
        <w:pStyle w:val="Compact"/>
        <w:numPr>
          <w:ilvl w:val="0"/>
          <w:numId w:val="1001"/>
        </w:numPr>
      </w:pPr>
      <w:r>
        <w:rPr>
          <w:b/>
          <w:bCs/>
        </w:rPr>
        <w:t xml:space="preserve">Cyber Liability Insurance Policy Summary of Material Terms, Policy No. CYB-2024-08871</w:t>
      </w:r>
      <w:r>
        <w:t xml:space="preserve"> </w:t>
      </w:r>
      <w:r>
        <w:t xml:space="preserve">— Ridgeline Insurance Group, prepared March 2024 (</w:t>
      </w:r>
      <w:r>
        <w:t xml:space="preserve">“</w:t>
      </w:r>
      <w:r>
        <w:t xml:space="preserve">Policy Summary</w:t>
      </w:r>
      <w:r>
        <w:t xml:space="preserve">”</w:t>
      </w:r>
      <w:r>
        <w:t xml:space="preserve">).</w:t>
      </w:r>
    </w:p>
    <w:bookmarkEnd w:id="21"/>
    <w:bookmarkStart w:id="22" w:name="iii.-factual-background"/>
    <w:p>
      <w:pPr>
        <w:pStyle w:val="Heading2"/>
      </w:pPr>
      <w:r>
        <w:t xml:space="preserve">III. Factual Background</w:t>
      </w:r>
    </w:p>
    <w:p>
      <w:pPr>
        <w:pStyle w:val="FirstParagraph"/>
      </w:pPr>
      <w:r>
        <w:rPr>
          <w:b/>
          <w:bCs/>
        </w:rPr>
        <w:t xml:space="preserve">The Company.</w:t>
      </w:r>
      <w:r>
        <w:t xml:space="preserve"> </w:t>
      </w:r>
      <w:r>
        <w:t xml:space="preserve">Vantage is a Delaware corporation (NASDAQ: VTIQ; CIK 0001847293; Commission File No. 001-39847), an accelerated filer headquartered in Columbus, Ohio, with 14 manufacturing facilities in the United States, Germany, and Mexico, and approximately 6,800 employees. Projected FY2024 revenue is approximately $1.87 billion; projected FY2024 EBITDA is approximately $310 million. The Company’s top ten customers represent approximately 38% of revenue (approximately $710.6 million). (10-K Item 1C; Status Report §4; Customer Contract Excerpts.)</w:t>
      </w:r>
    </w:p>
    <w:p>
      <w:pPr>
        <w:pStyle w:val="BodyText"/>
      </w:pPr>
      <w:r>
        <w:rPr>
          <w:b/>
          <w:bCs/>
        </w:rPr>
        <w:t xml:space="preserve">The Incident.</w:t>
      </w:r>
      <w:r>
        <w:t xml:space="preserve"> </w:t>
      </w:r>
      <w:r>
        <w:t xml:space="preserve">On November 18, 2024, at approximately 2:17 a.m. EST, the Security Operations Center (</w:t>
      </w:r>
      <w:r>
        <w:t xml:space="preserve">“</w:t>
      </w:r>
      <w:r>
        <w:t xml:space="preserve">SOC</w:t>
      </w:r>
      <w:r>
        <w:t xml:space="preserve">”</w:t>
      </w:r>
      <w:r>
        <w:t xml:space="preserve">) detected anomalous network activity originating from a compromised VPN credential belonging to a third-party maintenance contractor. The threat actor had conducted reconnaissance for approximately three to four days (November 14–17) from an Eastern-European IP address, then exfiltrated approximately 83 GB of data between approximately 1:30 a.m. and 2:15 a.m. EST, and deployed LockStar 3.0 ransomware across 347 of approximately 2,100 networked endpoints by approximately 4:45 a.m. EST. The ERP finance, procurement, and order-management modules were encrypted. A ransom demand of 45 Bitcoin (approximately $2,029,500) was made; the Company has not paid and does not intend to pay. OT/SCADA manufacturing systems were not affected (air-gap held). (Status Report §§1–3; Thorngate Interim Report §§3–4.)</w:t>
      </w:r>
    </w:p>
    <w:p>
      <w:pPr>
        <w:pStyle w:val="BodyText"/>
      </w:pPr>
      <w:r>
        <w:rPr>
          <w:b/>
          <w:bCs/>
        </w:rPr>
        <w:t xml:space="preserve">Exfiltrated Data.</w:t>
      </w:r>
      <w:r>
        <w:t xml:space="preserve"> </w:t>
      </w:r>
      <w:r>
        <w:t xml:space="preserve">Thorngate reports with</w:t>
      </w:r>
      <w:r>
        <w:t xml:space="preserve"> </w:t>
      </w:r>
      <w:r>
        <w:t xml:space="preserve">“</w:t>
      </w:r>
      <w:r>
        <w:t xml:space="preserve">high confidence</w:t>
      </w:r>
      <w:r>
        <w:t xml:space="preserve">”</w:t>
      </w:r>
      <w:r>
        <w:t xml:space="preserve"> </w:t>
      </w:r>
      <w:r>
        <w:t xml:space="preserve">that the exfiltrated data includes customer master records for approximately 4,200 corporate accounts, procurement-contact PII, contract pricing data, and customer banking information (ACH routing numbers and account numbers) — the latter stored</w:t>
      </w:r>
      <w:r>
        <w:t xml:space="preserve"> </w:t>
      </w:r>
      <w:r>
        <w:rPr>
          <w:b/>
          <w:bCs/>
        </w:rPr>
        <w:t xml:space="preserve">unencrypted (plaintext) at rest</w:t>
      </w:r>
      <w:r>
        <w:t xml:space="preserve"> </w:t>
      </w:r>
      <w:r>
        <w:t xml:space="preserve">in the ERP accounts-receivable module. Affected customers include Harmon Defense Solutions, Crestfield Aerospace, and Nexagen Manufacturing, among at least six (6) of the top ten customers. Affected records span at least 38 U.S. states and Germany, Mexico, Canada, and the United Kingdom. (Thorngate Interim Report §4; Status Report §3; Customer Contract Excerpts.)</w:t>
      </w:r>
    </w:p>
    <w:p>
      <w:pPr>
        <w:pStyle w:val="BodyText"/>
      </w:pPr>
      <w:r>
        <w:rPr>
          <w:b/>
          <w:bCs/>
        </w:rPr>
        <w:t xml:space="preserve">Root Cause.</w:t>
      </w:r>
      <w:r>
        <w:t xml:space="preserve"> </w:t>
      </w:r>
      <w:r>
        <w:t xml:space="preserve">Thorngate’s preliminary root-cause finding is that the compromised third-party contractor VPN credential was</w:t>
      </w:r>
      <w:r>
        <w:t xml:space="preserve"> </w:t>
      </w:r>
      <w:r>
        <w:rPr>
          <w:b/>
          <w:bCs/>
        </w:rPr>
        <w:t xml:space="preserve">not protected by multi-factor authentication (</w:t>
      </w:r>
      <w:r>
        <w:rPr>
          <w:b/>
          <w:bCs/>
        </w:rPr>
        <w:t xml:space="preserve">“</w:t>
      </w:r>
      <w:r>
        <w:rPr>
          <w:b/>
          <w:bCs/>
        </w:rPr>
        <w:t xml:space="preserve">MFA</w:t>
      </w:r>
      <w:r>
        <w:rPr>
          <w:b/>
          <w:bCs/>
        </w:rPr>
        <w:t xml:space="preserve">”</w:t>
      </w:r>
      <w:r>
        <w:rPr>
          <w:b/>
          <w:bCs/>
        </w:rPr>
        <w:t xml:space="preserve">)</w:t>
      </w:r>
      <w:r>
        <w:t xml:space="preserve">. MFA was not universally required for third-party contractor VPN access prior to November 20, 2024. (Thorngate Interim Report §§3.1, 6.2; Status Report §3.)</w:t>
      </w:r>
    </w:p>
    <w:p>
      <w:pPr>
        <w:pStyle w:val="BodyText"/>
      </w:pPr>
      <w:r>
        <w:rPr>
          <w:b/>
          <w:bCs/>
        </w:rPr>
        <w:t xml:space="preserve">Key Timeline.</w:t>
      </w:r>
    </w:p>
    <w:tbl>
      <w:tblPr>
        <w:tblStyle w:val="Table"/>
        <w:tblW w:type="pct" w:w="5000"/>
        <w:jc w:val="left"/>
        <w:tblLayout w:type="fixed"/>
        <w:tblLook w:firstRow="1" w:lastRow="0" w:firstColumn="0" w:lastColumn="0" w:noHBand="0" w:noVBand="0" w:val="0020"/>
      </w:tblPr>
      <w:tblGrid>
        <w:gridCol w:w="1169"/>
        <w:gridCol w:w="675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Nov. 18, ~2:17 a.m.</w:t>
            </w:r>
          </w:p>
        </w:tc>
        <w:tc>
          <w:tcPr/>
          <w:p>
            <w:pPr>
              <w:pStyle w:val="Compact"/>
              <w:jc w:val="left"/>
            </w:pPr>
            <w:r>
              <w:t xml:space="preserve">SOC detection of anomalous activity.</w:t>
            </w:r>
          </w:p>
        </w:tc>
      </w:tr>
      <w:tr>
        <w:tc>
          <w:tcPr/>
          <w:p>
            <w:pPr>
              <w:pStyle w:val="Compact"/>
              <w:jc w:val="left"/>
            </w:pPr>
            <w:r>
              <w:t xml:space="preserve">Nov. 18, ~5:00 a.m.</w:t>
            </w:r>
          </w:p>
        </w:tc>
        <w:tc>
          <w:tcPr/>
          <w:p>
            <w:pPr>
              <w:pStyle w:val="Compact"/>
              <w:jc w:val="left"/>
            </w:pPr>
            <w:r>
              <w:t xml:space="preserve">IRT activated under Tier 3 classification (~2 h 43 m after detection).</w:t>
            </w:r>
          </w:p>
        </w:tc>
      </w:tr>
      <w:tr>
        <w:tc>
          <w:tcPr/>
          <w:p>
            <w:pPr>
              <w:pStyle w:val="Compact"/>
              <w:jc w:val="left"/>
            </w:pPr>
            <w:r>
              <w:t xml:space="preserve">Nov. 18, ~11:00 a.m.</w:t>
            </w:r>
          </w:p>
        </w:tc>
        <w:tc>
          <w:tcPr/>
          <w:p>
            <w:pPr>
              <w:pStyle w:val="Compact"/>
              <w:jc w:val="left"/>
            </w:pPr>
            <w:r>
              <w:t xml:space="preserve">CTO Lauren Hessler verbally informed.</w:t>
            </w:r>
          </w:p>
        </w:tc>
      </w:tr>
      <w:tr>
        <w:tc>
          <w:tcPr/>
          <w:p>
            <w:pPr>
              <w:pStyle w:val="Compact"/>
              <w:jc w:val="left"/>
            </w:pPr>
            <w:r>
              <w:t xml:space="preserve">Nov. 19</w:t>
            </w:r>
          </w:p>
        </w:tc>
        <w:tc>
          <w:tcPr/>
          <w:p>
            <w:pPr>
              <w:pStyle w:val="Compact"/>
              <w:jc w:val="left"/>
            </w:pPr>
            <w:r>
              <w:t xml:space="preserve">Thorngate retained; Associate GC Daniel Ito learns via informal IT communication; GC traveling internationally, not informed.</w:t>
            </w:r>
          </w:p>
        </w:tc>
      </w:tr>
      <w:tr>
        <w:tc>
          <w:tcPr/>
          <w:p>
            <w:pPr>
              <w:pStyle w:val="Compact"/>
              <w:jc w:val="left"/>
            </w:pPr>
            <w:r>
              <w:t xml:space="preserve">Nov. 20</w:t>
            </w:r>
          </w:p>
        </w:tc>
        <w:tc>
          <w:tcPr/>
          <w:p>
            <w:pPr>
              <w:pStyle w:val="Compact"/>
              <w:jc w:val="left"/>
            </w:pPr>
            <w:r>
              <w:t xml:space="preserve">GC Priya Raghavan learns upon return; Hollister Marsh LLP engaged; FBI IC3 contacted.</w:t>
            </w:r>
          </w:p>
        </w:tc>
      </w:tr>
      <w:tr>
        <w:tc>
          <w:tcPr/>
          <w:p>
            <w:pPr>
              <w:pStyle w:val="Compact"/>
              <w:jc w:val="left"/>
            </w:pPr>
            <w:r>
              <w:t xml:space="preserve">Nov. 21</w:t>
            </w:r>
          </w:p>
        </w:tc>
        <w:tc>
          <w:tcPr/>
          <w:p>
            <w:pPr>
              <w:pStyle w:val="Compact"/>
              <w:jc w:val="left"/>
            </w:pPr>
            <w:r>
              <w:t xml:space="preserve">Ridgeline Insurance Group notified (~73 hours post-discovery; policy requires 72 hours).</w:t>
            </w:r>
          </w:p>
        </w:tc>
      </w:tr>
      <w:tr>
        <w:tc>
          <w:tcPr/>
          <w:p>
            <w:pPr>
              <w:pStyle w:val="Compact"/>
              <w:jc w:val="left"/>
            </w:pPr>
            <w:r>
              <w:t xml:space="preserve">Nov. 25</w:t>
            </w:r>
          </w:p>
        </w:tc>
        <w:tc>
          <w:tcPr/>
          <w:p>
            <w:pPr>
              <w:pStyle w:val="Compact"/>
              <w:jc w:val="left"/>
            </w:pPr>
            <w:r>
              <w:t xml:space="preserve">CEO Marcus Ellsworth briefed (Day 7).</w:t>
            </w:r>
          </w:p>
        </w:tc>
      </w:tr>
      <w:tr>
        <w:tc>
          <w:tcPr/>
          <w:p>
            <w:pPr>
              <w:pStyle w:val="Compact"/>
              <w:jc w:val="left"/>
            </w:pPr>
            <w:r>
              <w:t xml:space="preserve">Dec. 1</w:t>
            </w:r>
          </w:p>
        </w:tc>
        <w:tc>
          <w:tcPr/>
          <w:p>
            <w:pPr>
              <w:pStyle w:val="Compact"/>
              <w:jc w:val="left"/>
            </w:pPr>
            <w:r>
              <w:t xml:space="preserve">Thorngate Interim Report delivered (distributed to CISO and CTO only).</w:t>
            </w:r>
          </w:p>
        </w:tc>
      </w:tr>
      <w:tr>
        <w:tc>
          <w:tcPr/>
          <w:p>
            <w:pPr>
              <w:pStyle w:val="Compact"/>
              <w:jc w:val="left"/>
            </w:pPr>
            <w:r>
              <w:t xml:space="preserve">Dec. 3</w:t>
            </w:r>
          </w:p>
        </w:tc>
        <w:tc>
          <w:tcPr/>
          <w:p>
            <w:pPr>
              <w:pStyle w:val="Compact"/>
              <w:jc w:val="left"/>
            </w:pPr>
            <w:r>
              <w:t xml:space="preserve">Audit Committee Chair first notified by GC email (Day 15).</w:t>
            </w:r>
          </w:p>
        </w:tc>
      </w:tr>
      <w:tr>
        <w:tc>
          <w:tcPr/>
          <w:p>
            <w:pPr>
              <w:pStyle w:val="Compact"/>
              <w:jc w:val="left"/>
            </w:pPr>
            <w:r>
              <w:t xml:space="preserve">Dec. 5</w:t>
            </w:r>
          </w:p>
        </w:tc>
        <w:tc>
          <w:tcPr/>
          <w:p>
            <w:pPr>
              <w:pStyle w:val="Compact"/>
              <w:jc w:val="left"/>
            </w:pPr>
            <w:r>
              <w:t xml:space="preserve">Status Report prepared;</w:t>
            </w:r>
            <w:r>
              <w:t xml:space="preserve"> </w:t>
            </w:r>
            <w:r>
              <w:rPr>
                <w:b/>
                <w:bCs/>
              </w:rPr>
              <w:t xml:space="preserve">no Form 8-K filed; no materiality determination conducted.</w:t>
            </w:r>
          </w:p>
        </w:tc>
      </w:tr>
      <w:tr>
        <w:tc>
          <w:tcPr/>
          <w:p>
            <w:pPr>
              <w:pStyle w:val="Compact"/>
              <w:jc w:val="left"/>
            </w:pPr>
            <w:r>
              <w:t xml:space="preserve">Jan. 22, 2025</w:t>
            </w:r>
          </w:p>
        </w:tc>
        <w:tc>
          <w:tcPr/>
          <w:p>
            <w:pPr>
              <w:pStyle w:val="Compact"/>
              <w:jc w:val="left"/>
            </w:pPr>
            <w:r>
              <w:t xml:space="preserve">Next regularly scheduled Audit Committee meeting.</w:t>
            </w:r>
          </w:p>
        </w:tc>
      </w:tr>
    </w:tbl>
    <w:p>
      <w:pPr>
        <w:pStyle w:val="BodyText"/>
      </w:pPr>
      <w:r>
        <w:rPr>
          <w:b/>
          <w:bCs/>
        </w:rPr>
        <w:t xml:space="preserve">Financial Impact.</w:t>
      </w:r>
      <w:r>
        <w:t xml:space="preserve"> </w:t>
      </w:r>
      <w:r>
        <w:t xml:space="preserve">Approximately $4.5 million estimated costs ($1.4M incident response; $2.8M business disruption; $0.3M customer-notification preparation), or approximately 1.45% of projected EBITDA. Cyber policy: $15M aggregate limit, $2.5M self-insured retention (</w:t>
      </w:r>
      <w:r>
        <w:t xml:space="preserve">“</w:t>
      </w:r>
      <w:r>
        <w:t xml:space="preserve">SIR</w:t>
      </w:r>
      <w:r>
        <w:t xml:space="preserve">”</w:t>
      </w:r>
      <w:r>
        <w:t xml:space="preserve">); approximately $2.0M potentially recoverable above the SIR, subject to a late-notice reservation of rights. (Status Report §4; Policy Summary.)</w:t>
      </w:r>
    </w:p>
    <w:bookmarkEnd w:id="22"/>
    <w:bookmarkStart w:id="23" w:name="iv.-applicable-sec-regulatory-framework"/>
    <w:p>
      <w:pPr>
        <w:pStyle w:val="Heading2"/>
      </w:pPr>
      <w:r>
        <w:t xml:space="preserve">IV. Applicable SEC Regulatory Framework</w:t>
      </w:r>
    </w:p>
    <w:p>
      <w:pPr>
        <w:pStyle w:val="Compact"/>
        <w:numPr>
          <w:ilvl w:val="0"/>
          <w:numId w:val="1002"/>
        </w:numPr>
      </w:pPr>
      <w:r>
        <w:rPr>
          <w:b/>
          <w:bCs/>
        </w:rPr>
        <w:t xml:space="preserve">Item 1.05 of Form 8-K</w:t>
      </w:r>
      <w:r>
        <w:t xml:space="preserve"> </w:t>
      </w:r>
      <w:r>
        <w:t xml:space="preserve">(17 C.F.R. § 249.1105), effective December 18, 2023 for accelerated filers: requires disclosure of a cybersecurity incident that the registrant determines to be material, filed within</w:t>
      </w:r>
      <w:r>
        <w:t xml:space="preserve"> </w:t>
      </w:r>
      <w:r>
        <w:rPr>
          <w:b/>
          <w:bCs/>
        </w:rPr>
        <w:t xml:space="preserve">four (4) business days</w:t>
      </w:r>
      <w:r>
        <w:t xml:space="preserve"> </w:t>
      </w:r>
      <w:r>
        <w:t xml:space="preserve">after the materiality determination. The materiality determination must be made</w:t>
      </w:r>
      <w:r>
        <w:t xml:space="preserve"> </w:t>
      </w:r>
      <w:r>
        <w:rPr>
          <w:b/>
          <w:bCs/>
        </w:rPr>
        <w:t xml:space="preserve">“</w:t>
      </w:r>
      <w:r>
        <w:rPr>
          <w:b/>
          <w:bCs/>
        </w:rPr>
        <w:t xml:space="preserve">without unreasonable delay</w:t>
      </w:r>
      <w:r>
        <w:rPr>
          <w:b/>
          <w:bCs/>
        </w:rPr>
        <w:t xml:space="preserve">”</w:t>
      </w:r>
      <w:r>
        <w:t xml:space="preserve"> </w:t>
      </w:r>
      <w:r>
        <w:t xml:space="preserve">after discovery of the incident. The disclosure must describe the nature, scope, and timing of the incident and its material impact (or reasonably likely material impact) on the registrant. A delay is permitted only upon a written request by the U.S. Attorney General (DOJ) for national security or public safety (up to 60 days, extendable).</w:t>
      </w:r>
    </w:p>
    <w:p>
      <w:pPr>
        <w:pStyle w:val="Compact"/>
        <w:numPr>
          <w:ilvl w:val="0"/>
          <w:numId w:val="1002"/>
        </w:numPr>
      </w:pPr>
      <w:r>
        <w:rPr>
          <w:b/>
          <w:bCs/>
        </w:rPr>
        <w:t xml:space="preserve">Item 106 of Regulation S-K</w:t>
      </w:r>
      <w:r>
        <w:t xml:space="preserve"> </w:t>
      </w:r>
      <w:r>
        <w:t xml:space="preserve">(17 C.F.R. § 229.106), effective for annual reports for fiscal years ending on or after December 15, 2023: requires disclosure of (a) the registrant’s processes for assessing, identifying, and managing material risks from cybersecurity threats; (b) whether and how such risks have materially affected, or are reasonably likely to materially affect, the registrant’s business; (c) the board of directors’ oversight of cybersecurity risks; and (d) management’s role in assessing and managing such risks.</w:t>
      </w:r>
    </w:p>
    <w:p>
      <w:pPr>
        <w:pStyle w:val="Compact"/>
        <w:numPr>
          <w:ilvl w:val="0"/>
          <w:numId w:val="1002"/>
        </w:numPr>
      </w:pPr>
      <w:r>
        <w:rPr>
          <w:b/>
          <w:bCs/>
        </w:rPr>
        <w:t xml:space="preserve">Item 105 of Regulation S-K</w:t>
      </w:r>
      <w:r>
        <w:t xml:space="preserve"> </w:t>
      </w:r>
      <w:r>
        <w:t xml:space="preserve">(Risk Factors) and</w:t>
      </w:r>
      <w:r>
        <w:t xml:space="preserve"> </w:t>
      </w:r>
      <w:r>
        <w:rPr>
          <w:b/>
          <w:bCs/>
        </w:rPr>
        <w:t xml:space="preserve">Item 1A of Form 10-K</w:t>
      </w:r>
      <w:r>
        <w:t xml:space="preserve">: require disclosure of material risk factors, including realized cybersecurity risks.</w:t>
      </w:r>
    </w:p>
    <w:p>
      <w:pPr>
        <w:pStyle w:val="Compact"/>
        <w:numPr>
          <w:ilvl w:val="0"/>
          <w:numId w:val="1002"/>
        </w:numPr>
      </w:pPr>
      <w:r>
        <w:rPr>
          <w:b/>
          <w:bCs/>
        </w:rPr>
        <w:t xml:space="preserve">Item 303 of Regulation S-K</w:t>
      </w:r>
      <w:r>
        <w:t xml:space="preserve"> </w:t>
      </w:r>
      <w:r>
        <w:t xml:space="preserve">(MD&amp;A): requires disclosure of known material trends, events, and uncertainties affecting financial condition and results of operations.</w:t>
      </w:r>
    </w:p>
    <w:p>
      <w:pPr>
        <w:pStyle w:val="Compact"/>
        <w:numPr>
          <w:ilvl w:val="0"/>
          <w:numId w:val="1002"/>
        </w:numPr>
      </w:pPr>
      <w:r>
        <w:rPr>
          <w:b/>
          <w:bCs/>
        </w:rPr>
        <w:t xml:space="preserve">Item 307 of Regulation S-K</w:t>
      </w:r>
      <w:r>
        <w:t xml:space="preserve"> </w:t>
      </w:r>
      <w:r>
        <w:t xml:space="preserve">and</w:t>
      </w:r>
      <w:r>
        <w:t xml:space="preserve"> </w:t>
      </w:r>
      <w:r>
        <w:rPr>
          <w:b/>
          <w:bCs/>
        </w:rPr>
        <w:t xml:space="preserve">Item 9A of Form 10-K</w:t>
      </w:r>
      <w:r>
        <w:t xml:space="preserve">: require disclosure of conclusions on the effectiveness of disclosure controls and procedures and internal control over financial reporting (</w:t>
      </w:r>
      <w:r>
        <w:t xml:space="preserve">“</w:t>
      </w:r>
      <w:r>
        <w:t xml:space="preserve">ICFR</w:t>
      </w:r>
      <w:r>
        <w:t xml:space="preserve">”</w:t>
      </w:r>
      <w:r>
        <w:t xml:space="preserve">), and any material changes in ICFR.</w:t>
      </w:r>
    </w:p>
    <w:p>
      <w:pPr>
        <w:pStyle w:val="Compact"/>
        <w:numPr>
          <w:ilvl w:val="0"/>
          <w:numId w:val="1002"/>
        </w:numPr>
      </w:pPr>
      <w:r>
        <w:rPr>
          <w:b/>
          <w:bCs/>
        </w:rPr>
        <w:t xml:space="preserve">Sarbanes-Oxley Sections 302 and 906</w:t>
      </w:r>
      <w:r>
        <w:t xml:space="preserve">: CEO and CFO certifications of periodic reports, including responsibility for and evaluation of disclosure controls and ICFR.</w:t>
      </w:r>
    </w:p>
    <w:p>
      <w:pPr>
        <w:pStyle w:val="Compact"/>
        <w:numPr>
          <w:ilvl w:val="0"/>
          <w:numId w:val="1002"/>
        </w:numPr>
      </w:pPr>
      <w:r>
        <w:rPr>
          <w:b/>
          <w:bCs/>
        </w:rPr>
        <w:t xml:space="preserve">Regulation FD</w:t>
      </w:r>
      <w:r>
        <w:t xml:space="preserve"> </w:t>
      </w:r>
      <w:r>
        <w:t xml:space="preserve">(17 C.F.R. § 243.100): prohibits selective disclosure of material nonpublic information to certain outside parties.</w:t>
      </w:r>
    </w:p>
    <w:bookmarkEnd w:id="23"/>
    <w:bookmarkStart w:id="36" w:name="v.-gap-analysis"/>
    <w:p>
      <w:pPr>
        <w:pStyle w:val="Heading2"/>
      </w:pPr>
      <w:r>
        <w:t xml:space="preserve">V. Gap Analysis</w:t>
      </w:r>
    </w:p>
    <w:p>
      <w:pPr>
        <w:pStyle w:val="FirstParagraph"/>
      </w:pPr>
      <w:r>
        <w:t xml:space="preserve">The following gaps are organized by category. Each is a distinct compliance or control deficiency supported by the record.</w:t>
      </w:r>
    </w:p>
    <w:bookmarkStart w:id="24" w:name="a.-form-8-k-item-1.05-disclosure-gaps"/>
    <w:p>
      <w:pPr>
        <w:pStyle w:val="Heading3"/>
      </w:pPr>
      <w:r>
        <w:t xml:space="preserve">A. Form 8-K / Item 1.05 Disclosure Gaps</w:t>
      </w:r>
    </w:p>
    <w:p>
      <w:pPr>
        <w:pStyle w:val="FirstParagraph"/>
      </w:pPr>
      <w:r>
        <w:rPr>
          <w:b/>
          <w:bCs/>
        </w:rPr>
        <w:t xml:space="preserve">A-1. No materiality determination has been conducted.</w:t>
      </w:r>
      <w:r>
        <w:t xml:space="preserve"> </w:t>
      </w:r>
      <w:r>
        <w:t xml:space="preserve">As of the December 5, 2024 Status Report (Day 17),</w:t>
      </w:r>
      <w:r>
        <w:t xml:space="preserve"> </w:t>
      </w:r>
      <w:r>
        <w:t xml:space="preserve">“</w:t>
      </w:r>
      <w:r>
        <w:t xml:space="preserve">No formal materiality determination has been conducted</w:t>
      </w:r>
      <w:r>
        <w:t xml:space="preserve">”</w:t>
      </w:r>
      <w:r>
        <w:t xml:space="preserve"> </w:t>
      </w:r>
      <w:r>
        <w:t xml:space="preserve">(Status Report §5.4; §7, item 5). Item 1.05 requires the materiality determination to be made</w:t>
      </w:r>
      <w:r>
        <w:t xml:space="preserve"> </w:t>
      </w:r>
      <w:r>
        <w:t xml:space="preserve">“</w:t>
      </w:r>
      <w:r>
        <w:t xml:space="preserve">without unreasonable delay</w:t>
      </w:r>
      <w:r>
        <w:t xml:space="preserve">”</w:t>
      </w:r>
      <w:r>
        <w:t xml:space="preserve"> </w:t>
      </w:r>
      <w:r>
        <w:t xml:space="preserve">after discovery. Seventeen days elapsed with no determination, despite the incident being classified Tier 3 (the highest severity) on November 18. This is the threshold compliance failure.</w:t>
      </w:r>
    </w:p>
    <w:p>
      <w:pPr>
        <w:pStyle w:val="BodyText"/>
      </w:pPr>
      <w:r>
        <w:rPr>
          <w:b/>
          <w:bCs/>
        </w:rPr>
        <w:t xml:space="preserve">A-2. No Form 8-K has been filed.</w:t>
      </w:r>
      <w:r>
        <w:t xml:space="preserve"> </w:t>
      </w:r>
      <w:r>
        <w:t xml:space="preserve">“</w:t>
      </w:r>
      <w:r>
        <w:t xml:space="preserve">No Form 8-K or other public disclosure has been filed with the Securities and Exchange Commission regarding this incident</w:t>
      </w:r>
      <w:r>
        <w:t xml:space="preserve">”</w:t>
      </w:r>
      <w:r>
        <w:t xml:space="preserve"> </w:t>
      </w:r>
      <w:r>
        <w:t xml:space="preserve">(Status Report §5.4). If the incident is determined material, a Form 8-K under Item 1.05 must be filed within four (4) business days of that determination. The failure to make the determination (Gap A-1) is blocking the filing obligation.</w:t>
      </w:r>
    </w:p>
    <w:p>
      <w:pPr>
        <w:pStyle w:val="BodyText"/>
      </w:pPr>
      <w:r>
        <w:rPr>
          <w:b/>
          <w:bCs/>
        </w:rPr>
        <w:t xml:space="preserve">A-3. No basis exists to defer disclosure under the DOJ national-security/public-safety exception.</w:t>
      </w:r>
      <w:r>
        <w:t xml:space="preserve"> </w:t>
      </w:r>
      <w:r>
        <w:t xml:space="preserve">The FBI IC3 was contacted on November 20, 2024, but</w:t>
      </w:r>
      <w:r>
        <w:t xml:space="preserve"> </w:t>
      </w:r>
      <w:r>
        <w:t xml:space="preserve">“</w:t>
      </w:r>
      <w:r>
        <w:t xml:space="preserve">no request has been made by law enforcement to delay any public disclosure related to this incident</w:t>
      </w:r>
      <w:r>
        <w:t xml:space="preserve">”</w:t>
      </w:r>
      <w:r>
        <w:t xml:space="preserve"> </w:t>
      </w:r>
      <w:r>
        <w:t xml:space="preserve">(Status Report §5.1; §1). Accordingly, no Item 1.05 delay is available, and the disclosure clock cannot be tolled.</w:t>
      </w:r>
    </w:p>
    <w:p>
      <w:pPr>
        <w:pStyle w:val="BodyText"/>
      </w:pPr>
      <w:r>
        <w:rPr>
          <w:b/>
          <w:bCs/>
        </w:rPr>
        <w:t xml:space="preserve">A-4. The required Item 1.05 disclosure content has not been prepared.</w:t>
      </w:r>
      <w:r>
        <w:t xml:space="preserve"> </w:t>
      </w:r>
      <w:r>
        <w:t xml:space="preserve">Item 1.05 requires disclosure of the nature, scope, and timing of the incident and its material impact (or reasonably likely material impact) on the Company. No such disclosure has been drafted, and outside counsel’s assessment of disclosure obligations remains ongoing (Status Report §7, item 5; GC Email, proposed next step 3).</w:t>
      </w:r>
    </w:p>
    <w:p>
      <w:pPr>
        <w:pStyle w:val="BodyText"/>
      </w:pPr>
      <w:r>
        <w:rPr>
          <w:b/>
          <w:bCs/>
        </w:rPr>
        <w:t xml:space="preserve">A-5. Strong materiality indicators require an immediate, documented determination.</w:t>
      </w:r>
      <w:r>
        <w:t xml:space="preserve"> </w:t>
      </w:r>
      <w:r>
        <w:t xml:space="preserve">Multiple qualitative factors — any one of which may be material — are present and must be weighed under</w:t>
      </w:r>
      <w:r>
        <w:t xml:space="preserve"> </w:t>
      </w:r>
      <w:r>
        <w:rPr>
          <w:i/>
          <w:iCs/>
        </w:rPr>
        <w:t xml:space="preserve">Basic v. Levinson</w:t>
      </w:r>
      <w:r>
        <w:t xml:space="preserve"> </w:t>
      </w:r>
      <w:r>
        <w:t xml:space="preserve">/</w:t>
      </w:r>
      <w:r>
        <w:t xml:space="preserve"> </w:t>
      </w:r>
      <w:r>
        <w:rPr>
          <w:i/>
          <w:iCs/>
        </w:rPr>
        <w:t xml:space="preserve">TSC Industries</w:t>
      </w:r>
      <w:r>
        <w:t xml:space="preserve"> </w:t>
      </w:r>
      <w:r>
        <w:t xml:space="preserve">and the SEC’s adopting-release guidance:</w:t>
      </w:r>
    </w:p>
    <w:p>
      <w:pPr>
        <w:pStyle w:val="Compact"/>
        <w:numPr>
          <w:ilvl w:val="0"/>
          <w:numId w:val="1003"/>
        </w:numPr>
      </w:pPr>
      <w:r>
        <w:t xml:space="preserve">Exfiltration of unencrypted customer ACH banking information, procurement-contact PII, and contract pricing data for approximately 4,200 customer accounts (Thorngate Interim Report §4).</w:t>
      </w:r>
    </w:p>
    <w:p>
      <w:pPr>
        <w:pStyle w:val="Compact"/>
        <w:numPr>
          <w:ilvl w:val="0"/>
          <w:numId w:val="1003"/>
        </w:numPr>
      </w:pPr>
      <w:r>
        <w:t xml:space="preserve">Affected customers include at least six (6) of the top ten customers, representing 38% of revenue (Status Report §5.3; Customer Contract Excerpts).</w:t>
      </w:r>
    </w:p>
    <w:p>
      <w:pPr>
        <w:pStyle w:val="Compact"/>
        <w:numPr>
          <w:ilvl w:val="0"/>
          <w:numId w:val="1003"/>
        </w:numPr>
      </w:pPr>
      <w:r>
        <w:t xml:space="preserve">Encryption of the core ERP finance, procurement, and order-management modules, with manual workarounds in place since November 18 (Status Report §3; Thorngate Interim Report §6.4).</w:t>
      </w:r>
    </w:p>
    <w:p>
      <w:pPr>
        <w:pStyle w:val="Compact"/>
        <w:numPr>
          <w:ilvl w:val="0"/>
          <w:numId w:val="1003"/>
        </w:numPr>
      </w:pPr>
      <w:r>
        <w:t xml:space="preserve">Breached 48-hour customer-notification deadlines under three major contracts, with liquidated-damages, termination, payment-suspension, and future-business-exclusion consequences (Customer Contract Excerpts; see Section V.F).</w:t>
      </w:r>
    </w:p>
    <w:p>
      <w:pPr>
        <w:pStyle w:val="Compact"/>
        <w:numPr>
          <w:ilvl w:val="0"/>
          <w:numId w:val="1003"/>
        </w:numPr>
      </w:pPr>
      <w:r>
        <w:t xml:space="preserve">Potential impact on the pending $425 million Kessler Precision Systems GmbH acquisition (Status Report §5.9; §7, item 6; see Section V.H).</w:t>
      </w:r>
    </w:p>
    <w:p>
      <w:pPr>
        <w:pStyle w:val="Compact"/>
        <w:numPr>
          <w:ilvl w:val="0"/>
          <w:numId w:val="1003"/>
        </w:numPr>
      </w:pPr>
      <w:r>
        <w:t xml:space="preserve">State data-breach and GDPR notification obligations triggered by PII and financial-account exfiltration across at least 38 U.S. states and four foreign jurisdictions (Thorngate Interim Report §4.5; see Section V.I).</w:t>
      </w:r>
    </w:p>
    <w:p>
      <w:pPr>
        <w:pStyle w:val="Compact"/>
        <w:numPr>
          <w:ilvl w:val="0"/>
          <w:numId w:val="1003"/>
        </w:numPr>
      </w:pPr>
      <w:r>
        <w:t xml:space="preserve">Defense and aerospace customer data exfiltrated, with potential national-security and federal-contracting implications (Thorngate Interim Report §4.3; Customer Contract Excerpts).</w:t>
      </w:r>
    </w:p>
    <w:p>
      <w:pPr>
        <w:pStyle w:val="FirstParagraph"/>
      </w:pPr>
      <w:r>
        <w:t xml:space="preserve">The quantitative impact (~$4.5M; ~1.45% of EBITDA) may not alone be material, but the SEC’s adopting release emphasizes that qualitative factors (harm to customers, reputational harm, litigation and regulatory risk, operational effects) frequently drive materiality. The Company must document its analysis of these factors.</w:t>
      </w:r>
    </w:p>
    <w:p>
      <w:pPr>
        <w:pStyle w:val="BodyText"/>
      </w:pPr>
      <w:r>
        <w:rPr>
          <w:b/>
          <w:bCs/>
        </w:rPr>
        <w:t xml:space="preserve">A-6. The dark-web publication threat remains active, heightening disclosure urgency.</w:t>
      </w:r>
      <w:r>
        <w:t xml:space="preserve"> </w:t>
      </w:r>
      <w:r>
        <w:t xml:space="preserve">The LockStar 3.0 ransom note threatened</w:t>
      </w:r>
      <w:r>
        <w:t xml:space="preserve"> </w:t>
      </w:r>
      <w:r>
        <w:t xml:space="preserve">“</w:t>
      </w:r>
      <w:r>
        <w:t xml:space="preserve">publication of the exfiltrated data on a dark web leak site if the ransom was not paid</w:t>
      </w:r>
      <w:r>
        <w:t xml:space="preserve">”</w:t>
      </w:r>
      <w:r>
        <w:t xml:space="preserve"> </w:t>
      </w:r>
      <w:r>
        <w:t xml:space="preserve">(Thorngate Interim Report §5.3). The Company has not paid and does not intend to pay the ransom (Status Report §1), so the publication threat is live. Thorngate</w:t>
      </w:r>
      <w:r>
        <w:t xml:space="preserve"> </w:t>
      </w:r>
      <w:r>
        <w:t xml:space="preserve">“</w:t>
      </w:r>
      <w:r>
        <w:t xml:space="preserve">cannot yet confirm whether the threat actor has disseminated, sold, or otherwise exploited the exfiltrated data,</w:t>
      </w:r>
      <w:r>
        <w:t xml:space="preserve">”</w:t>
      </w:r>
      <w:r>
        <w:t xml:space="preserve"> </w:t>
      </w:r>
      <w:r>
        <w:t xml:space="preserve">and dark-web monitoring of LockStar 3.0-affiliated leak sites and underground marketplaces</w:t>
      </w:r>
      <w:r>
        <w:t xml:space="preserve"> </w:t>
      </w:r>
      <w:r>
        <w:t xml:space="preserve">“</w:t>
      </w:r>
      <w:r>
        <w:t xml:space="preserve">is ongoing</w:t>
      </w:r>
      <w:r>
        <w:t xml:space="preserve">”</w:t>
      </w:r>
      <w:r>
        <w:t xml:space="preserve"> </w:t>
      </w:r>
      <w:r>
        <w:t xml:space="preserve">and inconclusive (Thorngate Interim Report §4.6; §7.1, item 2). The prospect of public disclosure of customer banking and pricing data is an active reputational and customer-harm risk that bears directly on materiality and on the timing of any Item 1.05 disclosure.</w:t>
      </w:r>
    </w:p>
    <w:bookmarkEnd w:id="24"/>
    <w:bookmarkStart w:id="25" w:name="X2cefde527da3151cf57b71b07845c0027dffbd1"/>
    <w:p>
      <w:pPr>
        <w:pStyle w:val="Heading3"/>
      </w:pPr>
      <w:r>
        <w:t xml:space="preserve">B. Materiality-Determination Process Gaps</w:t>
      </w:r>
    </w:p>
    <w:p>
      <w:pPr>
        <w:pStyle w:val="FirstParagraph"/>
      </w:pPr>
      <w:r>
        <w:rPr>
          <w:b/>
          <w:bCs/>
        </w:rPr>
        <w:t xml:space="preserve">B-1. No documented materiality-determination process exists.</w:t>
      </w:r>
      <w:r>
        <w:t xml:space="preserve"> </w:t>
      </w:r>
      <w:r>
        <w:t xml:space="preserve">Neither the CIRP nor the governance disclosures describe a process, ownership, or timeline for making an Item 1.05 materiality determination. The 10-K Item 1C states only that</w:t>
      </w:r>
      <w:r>
        <w:t xml:space="preserve"> </w:t>
      </w:r>
      <w:r>
        <w:t xml:space="preserve">“</w:t>
      </w:r>
      <w:r>
        <w:t xml:space="preserve">Management consults with the General Counsel on cybersecurity-related legal and regulatory developments that may affect the Company’s operations or disclosure obligations</w:t>
      </w:r>
      <w:r>
        <w:t xml:space="preserve">”</w:t>
      </w:r>
      <w:r>
        <w:t xml:space="preserve"> </w:t>
      </w:r>
      <w:r>
        <w:t xml:space="preserve">(10-K Item 1C, Governance), but no procedure, decision-maker, or escalation trigger is specified.</w:t>
      </w:r>
    </w:p>
    <w:p>
      <w:pPr>
        <w:pStyle w:val="BodyText"/>
      </w:pPr>
      <w:r>
        <w:rPr>
          <w:b/>
          <w:bCs/>
        </w:rPr>
        <w:t xml:space="preserve">B-2. Delayed and informal escalation to the General Counsel.</w:t>
      </w:r>
      <w:r>
        <w:t xml:space="preserve"> </w:t>
      </w:r>
      <w:r>
        <w:t xml:space="preserve">The General Counsel — whom the 10-K identifies as the officer who</w:t>
      </w:r>
      <w:r>
        <w:t xml:space="preserve"> </w:t>
      </w:r>
      <w:r>
        <w:t xml:space="preserve">“</w:t>
      </w:r>
      <w:r>
        <w:t xml:space="preserve">provides legal guidance on cybersecurity matters … including … disclosure considerations</w:t>
      </w:r>
      <w:r>
        <w:t xml:space="preserve">”</w:t>
      </w:r>
      <w:r>
        <w:t xml:space="preserve"> </w:t>
      </w:r>
      <w:r>
        <w:t xml:space="preserve">— was not informed until November 20 (Day 2), because she was traveling internationally. The Associate General Counsel learned of the incident on November 19 only</w:t>
      </w:r>
      <w:r>
        <w:t xml:space="preserve"> </w:t>
      </w:r>
      <w:r>
        <w:t xml:space="preserve">“</w:t>
      </w:r>
      <w:r>
        <w:t xml:space="preserve">through informal communication from an IT colleague</w:t>
      </w:r>
      <w:r>
        <w:t xml:space="preserve">”</w:t>
      </w:r>
      <w:r>
        <w:t xml:space="preserve"> </w:t>
      </w:r>
      <w:r>
        <w:t xml:space="preserve">(Status Report §2, Nov. 19). The CIRP escalation matrix does not require notification of the General Counsel (see Gap C-2). This delayed the engagement of disclosure counsel (Hollister Marsh LLP was engaged November 20) and the commencement of any materiality analysis.</w:t>
      </w:r>
    </w:p>
    <w:p>
      <w:pPr>
        <w:pStyle w:val="BodyText"/>
      </w:pPr>
      <w:r>
        <w:rPr>
          <w:b/>
          <w:bCs/>
        </w:rPr>
        <w:t xml:space="preserve">B-3. No disclosure committee appears to have been activated.</w:t>
      </w:r>
      <w:r>
        <w:t xml:space="preserve"> </w:t>
      </w:r>
      <w:r>
        <w:t xml:space="preserve">The Audit Committee Charter requires the Committee to review</w:t>
      </w:r>
      <w:r>
        <w:t xml:space="preserve"> </w:t>
      </w:r>
      <w:r>
        <w:t xml:space="preserve">“</w:t>
      </w:r>
      <w:r>
        <w:t xml:space="preserve">the adequacy and effectiveness of the Company’s disclosure controls and procedures</w:t>
      </w:r>
      <w:r>
        <w:t xml:space="preserve">”</w:t>
      </w:r>
      <w:r>
        <w:t xml:space="preserve"> </w:t>
      </w:r>
      <w:r>
        <w:t xml:space="preserve">(Charter V.A.6), but the record reflects no activation of a disclosure committee, no convening of the certifying officers (CEO/CFO), and no documented disclosure-controls evaluation in connection with the incident.</w:t>
      </w:r>
    </w:p>
    <w:p>
      <w:pPr>
        <w:pStyle w:val="BodyText"/>
      </w:pPr>
      <w:r>
        <w:rPr>
          <w:b/>
          <w:bCs/>
        </w:rPr>
        <w:t xml:space="preserve">B-4. The forensic findings most relevant to materiality were not promptly routed to disclosure decision-makers.</w:t>
      </w:r>
      <w:r>
        <w:t xml:space="preserve"> </w:t>
      </w:r>
      <w:r>
        <w:t xml:space="preserve">The Thorngate Interim Report (December 1) — which confirmed with</w:t>
      </w:r>
      <w:r>
        <w:t xml:space="preserve"> </w:t>
      </w:r>
      <w:r>
        <w:t xml:space="preserve">“</w:t>
      </w:r>
      <w:r>
        <w:t xml:space="preserve">high confidence</w:t>
      </w:r>
      <w:r>
        <w:t xml:space="preserve">”</w:t>
      </w:r>
      <w:r>
        <w:t xml:space="preserve"> </w:t>
      </w:r>
      <w:r>
        <w:t xml:space="preserve">the exfiltration of customer banking data — was distributed only to the CISO (Derek Fong) and the CTO (Lauren Hessler) (Thorngate Interim Report, Distribution). The General Counsel, CEO, and Audit Committee did not receive it directly; the Audit Committee Chair received the GC’s summary email on December 3 (GC Email). Materiality-relevant facts thus sat with technical leadership for two days before reaching disclosure decision-makers.</w:t>
      </w:r>
    </w:p>
    <w:p>
      <w:pPr>
        <w:pStyle w:val="BodyText"/>
      </w:pPr>
      <w:r>
        <w:rPr>
          <w:b/>
          <w:bCs/>
        </w:rPr>
        <w:t xml:space="preserve">B-5. The materiality determination cannot be deferred pending completion of the forensic investigation.</w:t>
      </w:r>
      <w:r>
        <w:t xml:space="preserve"> </w:t>
      </w:r>
      <w:r>
        <w:t xml:space="preserve">Thorngate’s full preliminary findings report is due December 20, 2024, and a final report is due within 60 days of the preliminary report (approximately January 17, 2025) (Status Report §6; Thorngate Interim Report §2.1). Item 1.05 requires the materiality determination to be made</w:t>
      </w:r>
      <w:r>
        <w:t xml:space="preserve"> </w:t>
      </w:r>
      <w:r>
        <w:t xml:space="preserve">“</w:t>
      </w:r>
      <w:r>
        <w:t xml:space="preserve">without unreasonable delay</w:t>
      </w:r>
      <w:r>
        <w:t xml:space="preserve">”</w:t>
      </w:r>
      <w:r>
        <w:t xml:space="preserve"> </w:t>
      </w:r>
      <w:r>
        <w:t xml:space="preserve">after discovery based on the information then available; the Company cannot wait for the conclusion of the 60-day forensic engagement to make its determination. Any implicit deferral pending the December 20 or January 17 reports would itself be a violation of the</w:t>
      </w:r>
      <w:r>
        <w:t xml:space="preserve"> </w:t>
      </w:r>
      <w:r>
        <w:t xml:space="preserve">“</w:t>
      </w:r>
      <w:r>
        <w:t xml:space="preserve">without unreasonable delay</w:t>
      </w:r>
      <w:r>
        <w:t xml:space="preserve">”</w:t>
      </w:r>
      <w:r>
        <w:t xml:space="preserve"> </w:t>
      </w:r>
      <w:r>
        <w:t xml:space="preserve">standard.</w:t>
      </w:r>
    </w:p>
    <w:p>
      <w:pPr>
        <w:pStyle w:val="BodyText"/>
      </w:pPr>
      <w:r>
        <w:rPr>
          <w:b/>
          <w:bCs/>
        </w:rPr>
        <w:t xml:space="preserve">B-6. Insurance</w:t>
      </w:r>
      <w:r>
        <w:rPr>
          <w:b/>
          <w:bCs/>
        </w:rPr>
        <w:t xml:space="preserve"> </w:t>
      </w:r>
      <w:r>
        <w:rPr>
          <w:b/>
          <w:bCs/>
        </w:rPr>
        <w:t xml:space="preserve">“</w:t>
      </w:r>
      <w:r>
        <w:rPr>
          <w:b/>
          <w:bCs/>
        </w:rPr>
        <w:t xml:space="preserve">Discovery</w:t>
      </w:r>
      <w:r>
        <w:rPr>
          <w:b/>
          <w:bCs/>
        </w:rPr>
        <w:t xml:space="preserve">”</w:t>
      </w:r>
      <w:r>
        <w:rPr>
          <w:b/>
          <w:bCs/>
        </w:rPr>
        <w:t xml:space="preserve"> </w:t>
      </w:r>
      <w:r>
        <w:rPr>
          <w:b/>
          <w:bCs/>
        </w:rPr>
        <w:t xml:space="preserve">and disclosure awareness diverged by two days.</w:t>
      </w:r>
      <w:r>
        <w:t xml:space="preserve"> </w:t>
      </w:r>
      <w:r>
        <w:t xml:space="preserve">The Ridgeline policy defines</w:t>
      </w:r>
      <w:r>
        <w:t xml:space="preserve"> </w:t>
      </w:r>
      <w:r>
        <w:t xml:space="preserve">“</w:t>
      </w:r>
      <w:r>
        <w:t xml:space="preserve">Discovery</w:t>
      </w:r>
      <w:r>
        <w:t xml:space="preserve">”</w:t>
      </w:r>
      <w:r>
        <w:t xml:space="preserve"> </w:t>
      </w:r>
      <w:r>
        <w:t xml:space="preserve">as occurring when any qualifying officer (CISO, CIO, CTO, General Counsel, CFO, or any VP-level or above officer) first becomes aware of facts indicating a Cyber Event, and provides that</w:t>
      </w:r>
      <w:r>
        <w:t xml:space="preserve"> </w:t>
      </w:r>
      <w:r>
        <w:t xml:space="preserve">“</w:t>
      </w:r>
      <w:r>
        <w:t xml:space="preserve">Discovery by any one such individual constitutes Discovery by the Named Insured for all purposes under the Policy, including the commencement of all applicable notice periods</w:t>
      </w:r>
      <w:r>
        <w:t xml:space="preserve">”</w:t>
      </w:r>
      <w:r>
        <w:t xml:space="preserve"> </w:t>
      </w:r>
      <w:r>
        <w:t xml:space="preserve">(Policy Summary §2; §5.1). The CISO became aware at approximately 2:17 a.m. EST on November 18, so insurance</w:t>
      </w:r>
      <w:r>
        <w:t xml:space="preserve"> </w:t>
      </w:r>
      <w:r>
        <w:t xml:space="preserve">“</w:t>
      </w:r>
      <w:r>
        <w:t xml:space="preserve">Discovery</w:t>
      </w:r>
      <w:r>
        <w:t xml:space="preserve">”</w:t>
      </w:r>
      <w:r>
        <w:t xml:space="preserve"> </w:t>
      </w:r>
      <w:r>
        <w:t xml:space="preserve">— and the 72-hour notice clock — began on November 18, not November 20 when the General Counsel returned from travel. The CISO’s awareness thus triggered the insurance clock while the disclosure decision-makers (General Counsel, CEO, Audit Committee) remained uninformed for two to fifteen days. This divergence is the core disclosure-controls failure: the Company</w:t>
      </w:r>
      <w:r>
        <w:t xml:space="preserve"> </w:t>
      </w:r>
      <w:r>
        <w:t xml:space="preserve">“</w:t>
      </w:r>
      <w:r>
        <w:t xml:space="preserve">knew</w:t>
      </w:r>
      <w:r>
        <w:t xml:space="preserve">”</w:t>
      </w:r>
      <w:r>
        <w:t xml:space="preserve"> </w:t>
      </w:r>
      <w:r>
        <w:t xml:space="preserve">of the incident for insurance purposes on Day 0 but did not engage its disclosure apparatus until Day 2.</w:t>
      </w:r>
    </w:p>
    <w:bookmarkEnd w:id="25"/>
    <w:bookmarkStart w:id="26" w:name="X259708aaa5607d986b4df42d14f4dcd8bb556b8"/>
    <w:p>
      <w:pPr>
        <w:pStyle w:val="Heading3"/>
      </w:pPr>
      <w:r>
        <w:t xml:space="preserve">C. Board and Audit Committee Oversight Gaps</w:t>
      </w:r>
    </w:p>
    <w:p>
      <w:pPr>
        <w:pStyle w:val="FirstParagraph"/>
      </w:pPr>
      <w:r>
        <w:rPr>
          <w:b/>
          <w:bCs/>
        </w:rPr>
        <w:t xml:space="preserve">C-1. The Audit Committee Chair was not notified until Day 15.</w:t>
      </w:r>
      <w:r>
        <w:t xml:space="preserve"> </w:t>
      </w:r>
      <w:r>
        <w:t xml:space="preserve">The first Board-level communication was the GC’s email to Dr. Ostrowski on December 3, 2024 — fifteen (15) days after detection (Status Report §5.5; GC Email). The 10-K Item 1C represents that</w:t>
      </w:r>
      <w:r>
        <w:t xml:space="preserve"> </w:t>
      </w:r>
      <w:r>
        <w:t xml:space="preserve">“</w:t>
      </w:r>
      <w:r>
        <w:t xml:space="preserve">In the event of a significant cybersecurity incident, the Company’s processes provide for escalation to the Board of Directors and, as appropriate, the Audit Committee, to ensure that the Board is informed in a timely manner</w:t>
      </w:r>
      <w:r>
        <w:t xml:space="preserve">”</w:t>
      </w:r>
      <w:r>
        <w:t xml:space="preserve"> </w:t>
      </w:r>
      <w:r>
        <w:t xml:space="preserve">(10-K Item 1C, Governance). A 15-day delay for a Tier 3 incident affecting core ERP and customer banking data is inconsistent with the</w:t>
      </w:r>
      <w:r>
        <w:t xml:space="preserve"> </w:t>
      </w:r>
      <w:r>
        <w:t xml:space="preserve">“</w:t>
      </w:r>
      <w:r>
        <w:t xml:space="preserve">timely manner</w:t>
      </w:r>
      <w:r>
        <w:t xml:space="preserve">”</w:t>
      </w:r>
      <w:r>
        <w:t xml:space="preserve"> </w:t>
      </w:r>
      <w:r>
        <w:t xml:space="preserve">standard the Company disclosed.</w:t>
      </w:r>
    </w:p>
    <w:p>
      <w:pPr>
        <w:pStyle w:val="BodyText"/>
      </w:pPr>
      <w:r>
        <w:rPr>
          <w:b/>
          <w:bCs/>
        </w:rPr>
        <w:t xml:space="preserve">C-2. The CIRP escalation matrix does not include the Board, Audit Committee, CEO, or General Counsel as mandatory escalation.</w:t>
      </w:r>
      <w:r>
        <w:t xml:space="preserve"> </w:t>
      </w:r>
      <w:r>
        <w:t xml:space="preserve">The CIRP Section 10.1 escalation matrix escalates only</w:t>
      </w:r>
      <w:r>
        <w:t xml:space="preserve"> </w:t>
      </w:r>
      <w:r>
        <w:rPr>
          <w:b/>
          <w:bCs/>
        </w:rPr>
        <w:t xml:space="preserve">CISO → CTO</w:t>
      </w:r>
      <w:r>
        <w:t xml:space="preserve"> </w:t>
      </w:r>
      <w:r>
        <w:t xml:space="preserve">for Tier 2 and Tier 3 incidents (CIRP §10.1). The CEO, General Counsel, and Board/Audit Committee are relegated to</w:t>
      </w:r>
      <w:r>
        <w:t xml:space="preserve"> </w:t>
      </w:r>
      <w:r>
        <w:rPr>
          <w:b/>
          <w:bCs/>
        </w:rPr>
        <w:t xml:space="preserve">Appendix B —</w:t>
      </w:r>
      <w:r>
        <w:rPr>
          <w:b/>
          <w:bCs/>
        </w:rPr>
        <w:t xml:space="preserve"> </w:t>
      </w:r>
      <w:r>
        <w:rPr>
          <w:b/>
          <w:bCs/>
        </w:rPr>
        <w:t xml:space="preserve">“</w:t>
      </w:r>
      <w:r>
        <w:rPr>
          <w:b/>
          <w:bCs/>
        </w:rPr>
        <w:t xml:space="preserve">Notification Matrix (Optional Contacts)</w:t>
      </w:r>
      <w:r>
        <w:rPr>
          <w:b/>
          <w:bCs/>
        </w:rPr>
        <w:t xml:space="preserve">”</w:t>
      </w:r>
      <w:r>
        <w:t xml:space="preserve"> </w:t>
      </w:r>
      <w:r>
        <w:t xml:space="preserve">— i.e., discretionary, not mandatory (CIRP Appendix B). The General Counsel is listed as an optional contact to be informed</w:t>
      </w:r>
      <w:r>
        <w:t xml:space="preserve"> </w:t>
      </w:r>
      <w:r>
        <w:t xml:space="preserve">“</w:t>
      </w:r>
      <w:r>
        <w:t xml:space="preserve">at the discretion of the Incident Commander</w:t>
      </w:r>
      <w:r>
        <w:t xml:space="preserve">”</w:t>
      </w:r>
      <w:r>
        <w:t xml:space="preserve"> </w:t>
      </w:r>
      <w:r>
        <w:t xml:space="preserve">(CIRP Appendix B). This directly contradicts the 10-K’s representation that escalation to the Board is part of the Company’s processes, and it is the structural cause of Gaps B-2 and C-1.</w:t>
      </w:r>
    </w:p>
    <w:p>
      <w:pPr>
        <w:pStyle w:val="BodyText"/>
      </w:pPr>
      <w:r>
        <w:rPr>
          <w:b/>
          <w:bCs/>
        </w:rPr>
        <w:t xml:space="preserve">C-3. The CEO was not briefed until Day 7.</w:t>
      </w:r>
      <w:r>
        <w:t xml:space="preserve"> </w:t>
      </w:r>
      <w:r>
        <w:t xml:space="preserve">CEO Marcus Ellsworth — a certifying officer under Sarbanes-Oxley Sections 302 and 906 and central to disclosure decisions — was briefed on November 25, seven (7) days after detection (Status Report §2, Nov. 25). The CEO is listed as an</w:t>
      </w:r>
      <w:r>
        <w:t xml:space="preserve"> </w:t>
      </w:r>
      <w:r>
        <w:t xml:space="preserve">“</w:t>
      </w:r>
      <w:r>
        <w:t xml:space="preserve">optional contact</w:t>
      </w:r>
      <w:r>
        <w:t xml:space="preserve">”</w:t>
      </w:r>
      <w:r>
        <w:t xml:space="preserve"> </w:t>
      </w:r>
      <w:r>
        <w:t xml:space="preserve">in CIRP Appendix B, to be notified</w:t>
      </w:r>
      <w:r>
        <w:t xml:space="preserve"> </w:t>
      </w:r>
      <w:r>
        <w:t xml:space="preserve">“</w:t>
      </w:r>
      <w:r>
        <w:t xml:space="preserve">at the discretion of the CTO.</w:t>
      </w:r>
      <w:r>
        <w:t xml:space="preserve">”</w:t>
      </w:r>
    </w:p>
    <w:p>
      <w:pPr>
        <w:pStyle w:val="BodyText"/>
      </w:pPr>
      <w:r>
        <w:rPr>
          <w:b/>
          <w:bCs/>
        </w:rPr>
        <w:t xml:space="preserve">C-4. No special Audit Committee meeting has been called.</w:t>
      </w:r>
      <w:r>
        <w:t xml:space="preserve"> </w:t>
      </w:r>
      <w:r>
        <w:t xml:space="preserve">The next regularly scheduled Audit Committee meeting is January 22, 2025 — more than two (2) months after detection (Status Report §5.5). The GC’s email defers the decision to the Chair, suggesting the matter be discussed</w:t>
      </w:r>
      <w:r>
        <w:t xml:space="preserve"> </w:t>
      </w:r>
      <w:r>
        <w:t xml:space="preserve">“</w:t>
      </w:r>
      <w:r>
        <w:t xml:space="preserve">at the next scheduled Audit Committee meeting on January 22, 2025, or sooner if you believe a special session is warranted</w:t>
      </w:r>
      <w:r>
        <w:t xml:space="preserve">”</w:t>
      </w:r>
      <w:r>
        <w:t xml:space="preserve"> </w:t>
      </w:r>
      <w:r>
        <w:t xml:space="preserve">(GC Email). For a potentially material incident, a special meeting should be convened promptly to discharge the Committee’s oversight and disclosure-controls responsibilities.</w:t>
      </w:r>
    </w:p>
    <w:p>
      <w:pPr>
        <w:pStyle w:val="BodyText"/>
      </w:pPr>
      <w:r>
        <w:rPr>
          <w:b/>
          <w:bCs/>
        </w:rPr>
        <w:t xml:space="preserve">C-5. The Audit Committee Charter does not address cybersecurity oversight.</w:t>
      </w:r>
      <w:r>
        <w:t xml:space="preserve"> </w:t>
      </w:r>
      <w:r>
        <w:t xml:space="preserve">The Charter, last amended and restated</w:t>
      </w:r>
      <w:r>
        <w:t xml:space="preserve"> </w:t>
      </w:r>
      <w:r>
        <w:rPr>
          <w:b/>
          <w:bCs/>
        </w:rPr>
        <w:t xml:space="preserve">March 15, 2021</w:t>
      </w:r>
      <w:r>
        <w:t xml:space="preserve">, contains no cybersecurity-oversight provisions. Its risk-management section (V.D) addresses</w:t>
      </w:r>
      <w:r>
        <w:t xml:space="preserve"> </w:t>
      </w:r>
      <w:r>
        <w:t xml:space="preserve">“</w:t>
      </w:r>
      <w:r>
        <w:t xml:space="preserve">major financial risk exposures</w:t>
      </w:r>
      <w:r>
        <w:t xml:space="preserve">”</w:t>
      </w:r>
      <w:r>
        <w:t xml:space="preserve"> </w:t>
      </w:r>
      <w:r>
        <w:t xml:space="preserve">and financial-reporting risk, not cybersecurity (Charter V.D.1). The 10-K Item 1C, by contrast, represents that</w:t>
      </w:r>
      <w:r>
        <w:t xml:space="preserve"> </w:t>
      </w:r>
      <w:r>
        <w:t xml:space="preserve">“</w:t>
      </w:r>
      <w:r>
        <w:t xml:space="preserve">the Board …, acting primarily through its Audit Committee …, oversees the Company’s cybersecurity risk management program</w:t>
      </w:r>
      <w:r>
        <w:t xml:space="preserve">”</w:t>
      </w:r>
      <w:r>
        <w:t xml:space="preserve"> </w:t>
      </w:r>
      <w:r>
        <w:t xml:space="preserve">and</w:t>
      </w:r>
      <w:r>
        <w:t xml:space="preserve"> </w:t>
      </w:r>
      <w:r>
        <w:t xml:space="preserve">“</w:t>
      </w:r>
      <w:r>
        <w:t xml:space="preserve">receives quarterly updates</w:t>
      </w:r>
      <w:r>
        <w:t xml:space="preserve">”</w:t>
      </w:r>
      <w:r>
        <w:t xml:space="preserve"> </w:t>
      </w:r>
      <w:r>
        <w:t xml:space="preserve">(10-K Item 1C, Governance). The governing charter does not reflect the disclosed oversight responsibility — a gap between disclosure and the actual governance document.</w:t>
      </w:r>
    </w:p>
    <w:p>
      <w:pPr>
        <w:pStyle w:val="BodyText"/>
      </w:pPr>
      <w:r>
        <w:rPr>
          <w:b/>
          <w:bCs/>
        </w:rPr>
        <w:t xml:space="preserve">C-6. The Charter has not been updated since the SEC cybersecurity rules were adopted.</w:t>
      </w:r>
      <w:r>
        <w:t xml:space="preserve"> </w:t>
      </w:r>
      <w:r>
        <w:t xml:space="preserve">The Charter’s amendment history reflects only September 20, 2018 and March 15, 2021 amendments (Charter VII). The SEC’s cybersecurity disclosure rules were adopted in July 2023 and effective September 5, 2023 (Item 106) and December 18, 2023 (Item 1.05). The Charter has not been amended to incorporate cybersecurity-oversight responsibilities, quarterly cybersecurity-reporting expectations, or incident-escalation procedures.</w:t>
      </w:r>
    </w:p>
    <w:p>
      <w:pPr>
        <w:pStyle w:val="BodyText"/>
      </w:pPr>
      <w:r>
        <w:rPr>
          <w:b/>
          <w:bCs/>
        </w:rPr>
        <w:t xml:space="preserve">C-7. The full Board of Directors has not been informed of the incident.</w:t>
      </w:r>
      <w:r>
        <w:t xml:space="preserve"> </w:t>
      </w:r>
      <w:r>
        <w:t xml:space="preserve">The 10-K Item 1C represents that</w:t>
      </w:r>
      <w:r>
        <w:t xml:space="preserve"> </w:t>
      </w:r>
      <w:r>
        <w:t xml:space="preserve">“</w:t>
      </w:r>
      <w:r>
        <w:t xml:space="preserve">The Audit Committee regularly reports to the full Board on its activities, findings, and recommendations</w:t>
      </w:r>
      <w:r>
        <w:t xml:space="preserve">”</w:t>
      </w:r>
      <w:r>
        <w:t xml:space="preserve"> </w:t>
      </w:r>
      <w:r>
        <w:t xml:space="preserve">and that the Board,</w:t>
      </w:r>
      <w:r>
        <w:t xml:space="preserve"> </w:t>
      </w:r>
      <w:r>
        <w:t xml:space="preserve">“</w:t>
      </w:r>
      <w:r>
        <w:t xml:space="preserve">acting primarily through its Audit Committee, oversees the Company’s cybersecurity risk management program</w:t>
      </w:r>
      <w:r>
        <w:t xml:space="preserve">”</w:t>
      </w:r>
      <w:r>
        <w:t xml:space="preserve"> </w:t>
      </w:r>
      <w:r>
        <w:t xml:space="preserve">(10-K Item 1C, Governance). Because no Audit Committee meeting has occurred (the next is January 22, 2025) and only the Audit Committee Chair received a single email on December 3 (Status Report §5.5; GC Email), the full Board has not been informed of a potentially material incident more than two weeks after discovery. This is inconsistent with the disclosed oversight structure and with the Board’s ultimate responsibility for cybersecurity-risk oversight.</w:t>
      </w:r>
    </w:p>
    <w:bookmarkEnd w:id="26"/>
    <w:bookmarkStart w:id="27" w:name="d.-cirp-incident-response-plan-gaps"/>
    <w:p>
      <w:pPr>
        <w:pStyle w:val="Heading3"/>
      </w:pPr>
      <w:r>
        <w:t xml:space="preserve">D. CIRP / Incident-Response Plan Gaps</w:t>
      </w:r>
    </w:p>
    <w:p>
      <w:pPr>
        <w:pStyle w:val="FirstParagraph"/>
      </w:pPr>
      <w:r>
        <w:rPr>
          <w:b/>
          <w:bCs/>
        </w:rPr>
        <w:t xml:space="preserve">D-1. The CIRP has never been tested.</w:t>
      </w:r>
      <w:r>
        <w:t xml:space="preserve"> </w:t>
      </w:r>
      <w:r>
        <w:t xml:space="preserve">The CIRP expressly states:</w:t>
      </w:r>
      <w:r>
        <w:t xml:space="preserve"> </w:t>
      </w:r>
      <w:r>
        <w:t xml:space="preserve">“</w:t>
      </w:r>
      <w:r>
        <w:t xml:space="preserve">No tabletop exercises or simulation-based tests of this Plan have been conducted</w:t>
      </w:r>
      <w:r>
        <w:t xml:space="preserve">”</w:t>
      </w:r>
      <w:r>
        <w:t xml:space="preserve"> </w:t>
      </w:r>
      <w:r>
        <w:t xml:space="preserve">and</w:t>
      </w:r>
      <w:r>
        <w:t xml:space="preserve"> </w:t>
      </w:r>
      <w:r>
        <w:t xml:space="preserve">“</w:t>
      </w:r>
      <w:r>
        <w:t xml:space="preserve">As of the date of this Plan, no tabletop exercises have been scheduled</w:t>
      </w:r>
      <w:r>
        <w:t xml:space="preserve">”</w:t>
      </w:r>
      <w:r>
        <w:t xml:space="preserve"> </w:t>
      </w:r>
      <w:r>
        <w:t xml:space="preserve">(CIRP §1.4; §4.3). The 10-K Item 1C represents that the CIRP</w:t>
      </w:r>
      <w:r>
        <w:t xml:space="preserve"> </w:t>
      </w:r>
      <w:r>
        <w:t xml:space="preserve">“</w:t>
      </w:r>
      <w:r>
        <w:t xml:space="preserve">establishes the Company’s framework for responding to cybersecurity incidents in a coordinated, structured, and efficient manner</w:t>
      </w:r>
      <w:r>
        <w:t xml:space="preserve">”</w:t>
      </w:r>
      <w:r>
        <w:t xml:space="preserve"> </w:t>
      </w:r>
      <w:r>
        <w:t xml:space="preserve">(10-K Item 1C). An untested plan undermines the reliability of that representation and the Item 106 description of the Company’s risk-management processes.</w:t>
      </w:r>
    </w:p>
    <w:p>
      <w:pPr>
        <w:pStyle w:val="BodyText"/>
      </w:pPr>
      <w:r>
        <w:rPr>
          <w:b/>
          <w:bCs/>
        </w:rPr>
        <w:t xml:space="preserve">D-2. The CIRP’s</w:t>
      </w:r>
      <w:r>
        <w:rPr>
          <w:b/>
          <w:bCs/>
        </w:rPr>
        <w:t xml:space="preserve"> </w:t>
      </w:r>
      <w:r>
        <w:rPr>
          <w:b/>
          <w:bCs/>
        </w:rPr>
        <w:t xml:space="preserve">“</w:t>
      </w:r>
      <w:r>
        <w:rPr>
          <w:b/>
          <w:bCs/>
        </w:rPr>
        <w:t xml:space="preserve">most recently reviewed</w:t>
      </w:r>
      <w:r>
        <w:rPr>
          <w:b/>
          <w:bCs/>
        </w:rPr>
        <w:t xml:space="preserve">”</w:t>
      </w:r>
      <w:r>
        <w:rPr>
          <w:b/>
          <w:bCs/>
        </w:rPr>
        <w:t xml:space="preserve"> </w:t>
      </w:r>
      <w:r>
        <w:rPr>
          <w:b/>
          <w:bCs/>
        </w:rPr>
        <w:t xml:space="preserve">date is misleading.</w:t>
      </w:r>
      <w:r>
        <w:t xml:space="preserve"> </w:t>
      </w:r>
      <w:r>
        <w:t xml:space="preserve">The 10-K Item 1C states the CIRP</w:t>
      </w:r>
      <w:r>
        <w:t xml:space="preserve"> </w:t>
      </w:r>
      <w:r>
        <w:t xml:space="preserve">“</w:t>
      </w:r>
      <w:r>
        <w:t xml:space="preserve">was most recently reviewed in August 2023</w:t>
      </w:r>
      <w:r>
        <w:t xml:space="preserve">”</w:t>
      </w:r>
      <w:r>
        <w:t xml:space="preserve"> </w:t>
      </w:r>
      <w:r>
        <w:t xml:space="preserve">(10-K Item 1C). The CIRP itself discloses that the August 14, 2023 review was</w:t>
      </w:r>
      <w:r>
        <w:t xml:space="preserve"> </w:t>
      </w:r>
      <w:r>
        <w:rPr>
          <w:b/>
          <w:bCs/>
        </w:rPr>
        <w:t xml:space="preserve">administrative only</w:t>
      </w:r>
      <w:r>
        <w:t xml:space="preserve"> </w:t>
      </w:r>
      <w:r>
        <w:t xml:space="preserve">—</w:t>
      </w:r>
      <w:r>
        <w:t xml:space="preserve"> </w:t>
      </w:r>
      <w:r>
        <w:t xml:space="preserve">“</w:t>
      </w:r>
      <w:r>
        <w:t xml:space="preserve">vendor contact information updated; no substantive changes</w:t>
      </w:r>
      <w:r>
        <w:t xml:space="preserve">”</w:t>
      </w:r>
      <w:r>
        <w:t xml:space="preserve"> </w:t>
      </w:r>
      <w:r>
        <w:t xml:space="preserve">— and that</w:t>
      </w:r>
      <w:r>
        <w:t xml:space="preserve"> </w:t>
      </w:r>
      <w:r>
        <w:t xml:space="preserve">“</w:t>
      </w:r>
      <w:r>
        <w:t xml:space="preserve">No changes were made to the Plan’s procedures, governance structure, classification framework, or communication protocols</w:t>
      </w:r>
      <w:r>
        <w:t xml:space="preserve">”</w:t>
      </w:r>
      <w:r>
        <w:t xml:space="preserve"> </w:t>
      </w:r>
      <w:r>
        <w:t xml:space="preserve">(CIRP §1.4; Version History). The last substantive review was June 2022, over two (2) years before the incident. The 10-K characterization is accurate but misleading by omission.</w:t>
      </w:r>
    </w:p>
    <w:p>
      <w:pPr>
        <w:pStyle w:val="BodyText"/>
      </w:pPr>
      <w:r>
        <w:rPr>
          <w:b/>
          <w:bCs/>
        </w:rPr>
        <w:t xml:space="preserve">D-3. The CIRP excludes OT/SCADA from its scope.</w:t>
      </w:r>
      <w:r>
        <w:t xml:space="preserve"> </w:t>
      </w:r>
      <w:r>
        <w:t xml:space="preserve">The CIRP scope (Section 1.2) states that</w:t>
      </w:r>
      <w:r>
        <w:t xml:space="preserve"> </w:t>
      </w:r>
      <w:r>
        <w:t xml:space="preserve">“</w:t>
      </w:r>
      <w:r>
        <w:t xml:space="preserve">Operational Technology (OT) and SCADA systems are governed by separate operational safety procedures and are outside the scope of this Plan</w:t>
      </w:r>
      <w:r>
        <w:t xml:space="preserve">”</w:t>
      </w:r>
      <w:r>
        <w:t xml:space="preserve"> </w:t>
      </w:r>
      <w:r>
        <w:t xml:space="preserve">(CIRP §1.2). While the air-gap held in this incident, the incident-response framework does not address OT/SCADA incidents, a gap in the Item 106 risk-management-process description given the Company’s disclosed reliance on networked manufacturing systems.</w:t>
      </w:r>
    </w:p>
    <w:p>
      <w:pPr>
        <w:pStyle w:val="BodyText"/>
      </w:pPr>
      <w:r>
        <w:rPr>
          <w:b/>
          <w:bCs/>
        </w:rPr>
        <w:t xml:space="preserve">D-4. The CIRP does not address SEC disclosure or materiality determination.</w:t>
      </w:r>
      <w:r>
        <w:t xml:space="preserve"> </w:t>
      </w:r>
      <w:r>
        <w:t xml:space="preserve">CIRP Section 9.3 states that</w:t>
      </w:r>
      <w:r>
        <w:t xml:space="preserve"> </w:t>
      </w:r>
      <w:r>
        <w:t xml:space="preserve">“</w:t>
      </w:r>
      <w:r>
        <w:t xml:space="preserve">External communications regarding cybersecurity incidents — including communications to customers, regulators, media, or the public — are outside the scope of this Plan</w:t>
      </w:r>
      <w:r>
        <w:t xml:space="preserve">”</w:t>
      </w:r>
      <w:r>
        <w:t xml:space="preserve"> </w:t>
      </w:r>
      <w:r>
        <w:t xml:space="preserve">(CIRP §9.3). The CIRP contains no process for SEC disclosure determination, materiality assessment, coordination with disclosure counsel, or Form 8-K filing — a direct gap given the Item 1.05 obligations that post-date the CIRP’s June 2022 substantive content.</w:t>
      </w:r>
    </w:p>
    <w:p>
      <w:pPr>
        <w:pStyle w:val="BodyText"/>
      </w:pPr>
      <w:r>
        <w:rPr>
          <w:b/>
          <w:bCs/>
        </w:rPr>
        <w:t xml:space="preserve">D-5. The CIRP severity classification is purely technical, not business- or materiality-oriented.</w:t>
      </w:r>
      <w:r>
        <w:t xml:space="preserve"> </w:t>
      </w:r>
      <w:r>
        <w:t xml:space="preserve">CIRP Section 3.2 provides that severity</w:t>
      </w:r>
      <w:r>
        <w:t xml:space="preserve"> </w:t>
      </w:r>
      <w:r>
        <w:t xml:space="preserve">“</w:t>
      </w:r>
      <w:r>
        <w:t xml:space="preserve">is determined by the Incident Commander based solely on the technical criteria</w:t>
      </w:r>
      <w:r>
        <w:t xml:space="preserve">”</w:t>
      </w:r>
      <w:r>
        <w:t xml:space="preserve"> </w:t>
      </w:r>
      <w:r>
        <w:t xml:space="preserve">of endpoint count, downtime, and attack vector (CIRP §3.2). The classification does not consider business impact, customer-data compromise, regulatory/disclosure implications, or materiality. A purely technical matrix is insufficient to trigger disclosure processes, and it contributed to the absence of a materiality determination (Gap A-1).</w:t>
      </w:r>
    </w:p>
    <w:p>
      <w:pPr>
        <w:pStyle w:val="BodyText"/>
      </w:pPr>
      <w:r>
        <w:rPr>
          <w:b/>
          <w:bCs/>
        </w:rPr>
        <w:t xml:space="preserve">D-6. The IRT composition excludes Legal, Communications, and Finance.</w:t>
      </w:r>
      <w:r>
        <w:t xml:space="preserve"> </w:t>
      </w:r>
      <w:r>
        <w:t xml:space="preserve">The standing IRT (CIRP §2.3) includes Information Security, Information Technology, Facilities, and Human Resources — but</w:t>
      </w:r>
      <w:r>
        <w:t xml:space="preserve"> </w:t>
      </w:r>
      <w:r>
        <w:rPr>
          <w:b/>
          <w:bCs/>
        </w:rPr>
        <w:t xml:space="preserve">not</w:t>
      </w:r>
      <w:r>
        <w:t xml:space="preserve"> </w:t>
      </w:r>
      <w:r>
        <w:t xml:space="preserve">the General Counsel/Legal, Corporate Communications, or Finance/CFO. For an incident with disclosure, customer-notification, and financial-reporting implications, the absence of these functions from the standing IRT is a structural gap; Legal appears only as an</w:t>
      </w:r>
      <w:r>
        <w:t xml:space="preserve"> </w:t>
      </w:r>
      <w:r>
        <w:t xml:space="preserve">“</w:t>
      </w:r>
      <w:r>
        <w:t xml:space="preserve">optional contact.</w:t>
      </w:r>
      <w:r>
        <w:t xml:space="preserve">”</w:t>
      </w:r>
    </w:p>
    <w:p>
      <w:pPr>
        <w:pStyle w:val="BodyText"/>
      </w:pPr>
      <w:r>
        <w:rPr>
          <w:b/>
          <w:bCs/>
        </w:rPr>
        <w:t xml:space="preserve">D-7. IRT activation was delayed relative to the CIRP’s own Tier 3 standard.</w:t>
      </w:r>
      <w:r>
        <w:t xml:space="preserve"> </w:t>
      </w:r>
      <w:r>
        <w:t xml:space="preserve">The CIRP requires Tier 3 incidents to be addressed by responding</w:t>
      </w:r>
      <w:r>
        <w:t xml:space="preserve"> </w:t>
      </w:r>
      <w:r>
        <w:t xml:space="preserve">“</w:t>
      </w:r>
      <w:r>
        <w:t xml:space="preserve">immediately upon detection</w:t>
      </w:r>
      <w:r>
        <w:t xml:space="preserve">”</w:t>
      </w:r>
      <w:r>
        <w:t xml:space="preserve"> </w:t>
      </w:r>
      <w:r>
        <w:t xml:space="preserve">(CIRP §3.2). The IRT was activated at 5:00 a.m. EST, approximately</w:t>
      </w:r>
      <w:r>
        <w:t xml:space="preserve"> </w:t>
      </w:r>
      <w:r>
        <w:rPr>
          <w:b/>
          <w:bCs/>
        </w:rPr>
        <w:t xml:space="preserve">two hours and forty-three minutes</w:t>
      </w:r>
      <w:r>
        <w:t xml:space="preserve"> </w:t>
      </w:r>
      <w:r>
        <w:t xml:space="preserve">after the 2:17 a.m. SOC detection (Thorngate Interim Report §3.4; Status Report §2). This is a deviation from the plan’s stated response timeframe.</w:t>
      </w:r>
    </w:p>
    <w:p>
      <w:pPr>
        <w:pStyle w:val="BodyText"/>
      </w:pPr>
      <w:r>
        <w:rPr>
          <w:b/>
          <w:bCs/>
        </w:rPr>
        <w:t xml:space="preserve">D-8. The CIRP’s emergency-expenditure authority is modest relative to actual Tier 3 costs.</w:t>
      </w:r>
      <w:r>
        <w:t xml:space="preserve"> </w:t>
      </w:r>
      <w:r>
        <w:t xml:space="preserve">The Incident Commander may authorize emergency IT expenditures up to</w:t>
      </w:r>
      <w:r>
        <w:t xml:space="preserve"> </w:t>
      </w:r>
      <w:r>
        <w:rPr>
          <w:b/>
          <w:bCs/>
        </w:rPr>
        <w:t xml:space="preserve">$250,000 per incident</w:t>
      </w:r>
      <w:r>
        <w:t xml:space="preserve"> </w:t>
      </w:r>
      <w:r>
        <w:t xml:space="preserve">without additional approval (CIRP §2.2(e)). Incident-response costs to date are approximately $1.4 million (Status Report §4). The expenditure authority is undersized for a Tier 3 event and may have slowed vendor engagement or required ad-hoc approvals not contemplated by the plan.</w:t>
      </w:r>
    </w:p>
    <w:p>
      <w:pPr>
        <w:pStyle w:val="BodyText"/>
      </w:pPr>
      <w:r>
        <w:rPr>
          <w:b/>
          <w:bCs/>
        </w:rPr>
        <w:t xml:space="preserve">D-9. The IRT activation record does not match the CIRP roster.</w:t>
      </w:r>
      <w:r>
        <w:t xml:space="preserve"> </w:t>
      </w:r>
      <w:r>
        <w:t xml:space="preserve">The Status Report’s Incident Response Team Activation Record (Appendix A) lists five (5) activated roles — Incident Commander, IT Infrastructure Lead,</w:t>
      </w:r>
      <w:r>
        <w:t xml:space="preserve"> </w:t>
      </w:r>
      <w:r>
        <w:rPr>
          <w:b/>
          <w:bCs/>
        </w:rPr>
        <w:t xml:space="preserve">“</w:t>
      </w:r>
      <w:r>
        <w:rPr>
          <w:b/>
          <w:bCs/>
        </w:rPr>
        <w:t xml:space="preserve">IT Security Lead,</w:t>
      </w:r>
      <w:r>
        <w:rPr>
          <w:b/>
          <w:bCs/>
        </w:rPr>
        <w:t xml:space="preserve">”</w:t>
      </w:r>
      <w:r>
        <w:t xml:space="preserve"> </w:t>
      </w:r>
      <w:r>
        <w:t xml:space="preserve">Facilities Representative, and HR Representative — and states that IRT composition is</w:t>
      </w:r>
      <w:r>
        <w:t xml:space="preserve"> </w:t>
      </w:r>
      <w:r>
        <w:t xml:space="preserve">“</w:t>
      </w:r>
      <w:r>
        <w:t xml:space="preserve">per CIRP Section 3.2 (Incident Response Team Roster)</w:t>
      </w:r>
      <w:r>
        <w:t xml:space="preserve">”</w:t>
      </w:r>
      <w:r>
        <w:t xml:space="preserve"> </w:t>
      </w:r>
      <w:r>
        <w:t xml:space="preserve">(Status Report, Appendix A). The CIRP’s actual IRT roster is in</w:t>
      </w:r>
      <w:r>
        <w:t xml:space="preserve"> </w:t>
      </w:r>
      <w:r>
        <w:rPr>
          <w:b/>
          <w:bCs/>
        </w:rPr>
        <w:t xml:space="preserve">Section 2.3</w:t>
      </w:r>
      <w:r>
        <w:t xml:space="preserve"> </w:t>
      </w:r>
      <w:r>
        <w:t xml:space="preserve">(not Section 3.2, which is the Severity Classification Matrix) and lists</w:t>
      </w:r>
      <w:r>
        <w:t xml:space="preserve"> </w:t>
      </w:r>
      <w:r>
        <w:rPr>
          <w:b/>
          <w:bCs/>
        </w:rPr>
        <w:t xml:space="preserve">six (6)</w:t>
      </w:r>
      <w:r>
        <w:t xml:space="preserve"> </w:t>
      </w:r>
      <w:r>
        <w:t xml:space="preserve">standing roles, including separate</w:t>
      </w:r>
      <w:r>
        <w:t xml:space="preserve"> </w:t>
      </w:r>
      <w:r>
        <w:rPr>
          <w:b/>
          <w:bCs/>
        </w:rPr>
        <w:t xml:space="preserve">Network Security Analyst</w:t>
      </w:r>
      <w:r>
        <w:t xml:space="preserve"> </w:t>
      </w:r>
      <w:r>
        <w:t xml:space="preserve">and</w:t>
      </w:r>
      <w:r>
        <w:t xml:space="preserve"> </w:t>
      </w:r>
      <w:r>
        <w:rPr>
          <w:b/>
          <w:bCs/>
        </w:rPr>
        <w:t xml:space="preserve">Endpoint Security Analyst</w:t>
      </w:r>
      <w:r>
        <w:t xml:space="preserve"> </w:t>
      </w:r>
      <w:r>
        <w:t xml:space="preserve">positions (CIRP §2.3). The activation record thus (a) mis-cites the governing CIRP section and (b) does not reflect the two distinct security-analyst roles designated in the plan. This documentation discrepancy undermines the reliability of the incident record and the Company’s ability to demonstrate that the plan was followed.</w:t>
      </w:r>
    </w:p>
    <w:p>
      <w:pPr>
        <w:pStyle w:val="BodyText"/>
      </w:pPr>
      <w:r>
        <w:rPr>
          <w:b/>
          <w:bCs/>
        </w:rPr>
        <w:t xml:space="preserve">D-10. Inconsistent MFA-deployment reporting between the forensic and status reports.</w:t>
      </w:r>
      <w:r>
        <w:t xml:space="preserve"> </w:t>
      </w:r>
      <w:r>
        <w:t xml:space="preserve">The Thorngate Interim Report (December 1) states that</w:t>
      </w:r>
      <w:r>
        <w:t xml:space="preserve"> </w:t>
      </w:r>
      <w:r>
        <w:t xml:space="preserve">“</w:t>
      </w:r>
      <w:r>
        <w:t xml:space="preserve">Multi-factor authentication (MFA) has been enforced on all VPN connections as of November 20, 2024</w:t>
      </w:r>
      <w:r>
        <w:t xml:space="preserve">”</w:t>
      </w:r>
      <w:r>
        <w:t xml:space="preserve"> </w:t>
      </w:r>
      <w:r>
        <w:t xml:space="preserve">(Thorngate Interim Report §6.2). The CISO’s Status Report (December 5) states that</w:t>
      </w:r>
      <w:r>
        <w:t xml:space="preserve"> </w:t>
      </w:r>
      <w:r>
        <w:t xml:space="preserve">“</w:t>
      </w:r>
      <w:r>
        <w:t xml:space="preserve">The IT Security team is implementing mandatory multi-factor authentication (MFA) for all VPN connections … An estimated completion date for MFA deployment has not yet been established</w:t>
      </w:r>
      <w:r>
        <w:t xml:space="preserve">”</w:t>
      </w:r>
      <w:r>
        <w:t xml:space="preserve"> </w:t>
      </w:r>
      <w:r>
        <w:t xml:space="preserve">(Status Report §6). The two contemporaneous reports conflict on whether MFA has been fully deployed, creating uncertainty about the actual state of the remediation and about the accuracy of any FY2024 10-K disclosure describing the MFA control. The inconsistency must be reconciled before any public disclosure of remediation status.</w:t>
      </w:r>
    </w:p>
    <w:bookmarkEnd w:id="27"/>
    <w:bookmarkStart w:id="28" w:name="Xdacdc14fbd708ae86f3aa9f51823cf8bd686717"/>
    <w:p>
      <w:pPr>
        <w:pStyle w:val="Heading3"/>
      </w:pPr>
      <w:r>
        <w:t xml:space="preserve">E. Disclosure Controls and Internal Control Over Financial Reporting (ICFR) Gaps</w:t>
      </w:r>
    </w:p>
    <w:p>
      <w:pPr>
        <w:pStyle w:val="FirstParagraph"/>
      </w:pPr>
      <w:r>
        <w:rPr>
          <w:b/>
          <w:bCs/>
        </w:rPr>
        <w:t xml:space="preserve">E-1. The ERP finance, procurement, and order-management modules were encrypted — ICFR impact.</w:t>
      </w:r>
      <w:r>
        <w:t xml:space="preserve"> </w:t>
      </w:r>
      <w:r>
        <w:t xml:space="preserve">The core financial-transaction systems (accounts payable/receivable, general ledger, financial reporting, purchase orders, customer order fulfillment) were rendered unavailable and have run on manual workarounds since November 18 (Status Report §3; Thorngate Interim Report §6.4). Thorngate notes the ERP modules are</w:t>
      </w:r>
      <w:r>
        <w:t xml:space="preserve"> </w:t>
      </w:r>
      <w:r>
        <w:t xml:space="preserve">“</w:t>
      </w:r>
      <w:r>
        <w:t xml:space="preserve">partially operational,</w:t>
      </w:r>
      <w:r>
        <w:t xml:space="preserve">”</w:t>
      </w:r>
      <w:r>
        <w:t xml:space="preserve"> </w:t>
      </w:r>
      <w:r>
        <w:t xml:space="preserve">data-integrity validation is ongoing, and</w:t>
      </w:r>
      <w:r>
        <w:t xml:space="preserve"> </w:t>
      </w:r>
      <w:r>
        <w:t xml:space="preserve">“</w:t>
      </w:r>
      <w:r>
        <w:t xml:space="preserve">certain ERP functions may produce results that require manual verification</w:t>
      </w:r>
      <w:r>
        <w:t xml:space="preserve">”</w:t>
      </w:r>
      <w:r>
        <w:t xml:space="preserve"> </w:t>
      </w:r>
      <w:r>
        <w:t xml:space="preserve">(Thorngate Interim Report §6.4). This directly implicates ICFR under Sarbanes-Oxley Section 404 and must be assessed for disclosure under Item 9A and the Section 302/906 certifications.</w:t>
      </w:r>
    </w:p>
    <w:p>
      <w:pPr>
        <w:pStyle w:val="BodyText"/>
      </w:pPr>
      <w:r>
        <w:rPr>
          <w:b/>
          <w:bCs/>
        </w:rPr>
        <w:t xml:space="preserve">E-2. The independent auditor has not been notified.</w:t>
      </w:r>
      <w:r>
        <w:t xml:space="preserve"> </w:t>
      </w:r>
      <w:r>
        <w:t xml:space="preserve">Greystone &amp; Associates LLP</w:t>
      </w:r>
      <w:r>
        <w:t xml:space="preserve"> </w:t>
      </w:r>
      <w:r>
        <w:t xml:space="preserve">“</w:t>
      </w:r>
      <w:r>
        <w:t xml:space="preserve">has not been notified of the incident. The FY2024 audit cycle has not yet commenced</w:t>
      </w:r>
      <w:r>
        <w:t xml:space="preserve">”</w:t>
      </w:r>
      <w:r>
        <w:t xml:space="preserve"> </w:t>
      </w:r>
      <w:r>
        <w:t xml:space="preserve">(Status Report §5.8). Given the impact on the ERP finance module and ICFR, the auditor must be informed promptly; the CIRP Appendix C notes Greystone contact is</w:t>
      </w:r>
      <w:r>
        <w:t xml:space="preserve"> </w:t>
      </w:r>
      <w:r>
        <w:t xml:space="preserve">“</w:t>
      </w:r>
      <w:r>
        <w:t xml:space="preserve">generally initiated by the Company’s finance or accounting department,</w:t>
      </w:r>
      <w:r>
        <w:t xml:space="preserve">”</w:t>
      </w:r>
      <w:r>
        <w:t xml:space="preserve"> </w:t>
      </w:r>
      <w:r>
        <w:t xml:space="preserve">but no notification has occurred.</w:t>
      </w:r>
    </w:p>
    <w:p>
      <w:pPr>
        <w:pStyle w:val="BodyText"/>
      </w:pPr>
      <w:r>
        <w:rPr>
          <w:b/>
          <w:bCs/>
        </w:rPr>
        <w:t xml:space="preserve">E-3. The CFO is absent from the entire notification chain.</w:t>
      </w:r>
      <w:r>
        <w:t xml:space="preserve"> </w:t>
      </w:r>
      <w:r>
        <w:t xml:space="preserve">The Chief Financial Officer — a certifying officer under Sarbanes-Oxley Sections 302 and 906 and central to financial reporting and disclosure — is not mentioned anywhere in the incident timeline, the CIRP escalation matrix, or the CIRP Appendix B optional-contacts list (CIRP §10.1; Appendix B; Status Report §2). The Ridgeline policy</w:t>
      </w:r>
      <w:r>
        <w:t xml:space="preserve"> </w:t>
      </w:r>
      <w:r>
        <w:t xml:space="preserve">“</w:t>
      </w:r>
      <w:r>
        <w:t xml:space="preserve">Discovery</w:t>
      </w:r>
      <w:r>
        <w:t xml:space="preserve">”</w:t>
      </w:r>
      <w:r>
        <w:t xml:space="preserve"> </w:t>
      </w:r>
      <w:r>
        <w:t xml:space="preserve">definition includes the CFO as a qualifying officer (Policy Summary §2), but the Company’s own incident-response process does not route to the CFO. This is a disclosure-controls deficiency: the certifying officers were not promptly and reliably informed.</w:t>
      </w:r>
    </w:p>
    <w:p>
      <w:pPr>
        <w:pStyle w:val="BodyText"/>
      </w:pPr>
      <w:r>
        <w:rPr>
          <w:b/>
          <w:bCs/>
        </w:rPr>
        <w:t xml:space="preserve">E-4. Disclosure controls and procedures effectiveness is in question.</w:t>
      </w:r>
      <w:r>
        <w:t xml:space="preserve"> </w:t>
      </w:r>
      <w:r>
        <w:t xml:space="preserve">The delays in informing the General Counsel (Day 2), the CEO (Day 7), and the Audit Committee (Day 15), and the complete absence of the CFO from the chain, raise questions about whether disclosure controls and procedures are effective, as required to be evaluated and disclosed under Item 307 and Item 9A. The Audit Committee Charter requires the Committee to review disclosure-controls effectiveness (Charter V.A.6); the Committee was not positioned to do so until Day 15.</w:t>
      </w:r>
    </w:p>
    <w:p>
      <w:pPr>
        <w:pStyle w:val="BodyText"/>
      </w:pPr>
      <w:r>
        <w:rPr>
          <w:b/>
          <w:bCs/>
        </w:rPr>
        <w:t xml:space="preserve">E-5. Manual workarounds for core financial systems create ICFR and reporting-risk exposure.</w:t>
      </w:r>
      <w:r>
        <w:t xml:space="preserve"> </w:t>
      </w:r>
      <w:r>
        <w:t xml:space="preserve">Manual workaround processes for finance, procurement, and order management have been in place since November 18 and are expected to continue until approximately December 18 (Status Report §3, §6). The period of manual processing spans the Company’s fiscal year-end (December 31, 2024) and creates risk of recording errors, control overrides, and incomplete documentation that must be evaluated for ICFR and MD&amp;A disclosure.</w:t>
      </w:r>
    </w:p>
    <w:bookmarkEnd w:id="28"/>
    <w:bookmarkStart w:id="29" w:name="Xf9534c5affe5742a545febd96b1f2442915fc43"/>
    <w:p>
      <w:pPr>
        <w:pStyle w:val="Heading3"/>
      </w:pPr>
      <w:r>
        <w:t xml:space="preserve">F. Customer-Contract Notification Gaps (Materiality Implications)</w:t>
      </w:r>
    </w:p>
    <w:p>
      <w:pPr>
        <w:pStyle w:val="FirstParagraph"/>
      </w:pPr>
      <w:r>
        <w:rPr>
          <w:b/>
          <w:bCs/>
        </w:rPr>
        <w:t xml:space="preserve">F-1. All three top-customer 48-hour notification deadlines were breached.</w:t>
      </w:r>
      <w:r>
        <w:t xml:space="preserve"> </w:t>
      </w:r>
      <w:r>
        <w:t xml:space="preserve">The Harmon MSA (§9.4), the Crestfield GTCP (§12.2), and the Nexagen VISA (§7.8) each require written notification within</w:t>
      </w:r>
      <w:r>
        <w:t xml:space="preserve"> </w:t>
      </w:r>
      <w:r>
        <w:rPr>
          <w:b/>
          <w:bCs/>
        </w:rPr>
        <w:t xml:space="preserve">48 hours</w:t>
      </w:r>
      <w:r>
        <w:t xml:space="preserve"> </w:t>
      </w:r>
      <w:r>
        <w:t xml:space="preserve">of discovery of a security incident affecting customer data. The 48-hour deadline expired no later than November 20, 2024.</w:t>
      </w:r>
      <w:r>
        <w:t xml:space="preserve"> </w:t>
      </w:r>
      <w:r>
        <w:t xml:space="preserve">“</w:t>
      </w:r>
      <w:r>
        <w:t xml:space="preserve">As of December 5, 2024, no notifications have been sent to Harmon Defense Solutions, Crestfield Aerospace, or Nexagen Manufacturing under any of the above provisions</w:t>
      </w:r>
      <w:r>
        <w:t xml:space="preserve">”</w:t>
      </w:r>
      <w:r>
        <w:t xml:space="preserve"> </w:t>
      </w:r>
      <w:r>
        <w:t xml:space="preserve">(Customer Contract Excerpts, Preparer’s Note). These breaches are themselves materiality-relevant facts (potential termination, damages, payment suspension) and bear on the Item 1.05 analysis.</w:t>
      </w:r>
    </w:p>
    <w:p>
      <w:pPr>
        <w:pStyle w:val="BodyText"/>
      </w:pPr>
      <w:r>
        <w:rPr>
          <w:b/>
          <w:bCs/>
        </w:rPr>
        <w:t xml:space="preserve">F-2. Harmon Defense Solutions — liquidated damages and termination exposure.</w:t>
      </w:r>
      <w:r>
        <w:t xml:space="preserve"> </w:t>
      </w:r>
      <w:r>
        <w:t xml:space="preserve">Under Harmon MSA §9.5(a), failure to provide the 48-hour notification triggers liquidated damages of</w:t>
      </w:r>
      <w:r>
        <w:t xml:space="preserve"> </w:t>
      </w:r>
      <w:r>
        <w:rPr>
          <w:b/>
          <w:bCs/>
        </w:rPr>
        <w:t xml:space="preserve">$500,000 per Security Incident</w:t>
      </w:r>
      <w:r>
        <w:t xml:space="preserve">. Harmon may also terminate the agreement on 30 days’ notice upon a Security Incident that materially compromises Harmon Data or upon notification non-compliance (§9.5(b)), and Vantage must indemnify Harmon for losses including regulatory-investigation, notification, and credit-monitoring costs (§9.5(c)). The obligations survive termination for three (3) years (§9.5(d)).</w:t>
      </w:r>
    </w:p>
    <w:p>
      <w:pPr>
        <w:pStyle w:val="BodyText"/>
      </w:pPr>
      <w:r>
        <w:rPr>
          <w:b/>
          <w:bCs/>
        </w:rPr>
        <w:t xml:space="preserve">F-3. Crestfield Aerospace — immediate termination, payment suspension, audit, and insurance requirements.</w:t>
      </w:r>
      <w:r>
        <w:t xml:space="preserve"> </w:t>
      </w:r>
      <w:r>
        <w:t xml:space="preserve">Under Crestfield GTCP §12.3, Crestfield may terminate immediately and/or suspend all payments pending forensic investigation upon a material Cybersecurity Event or notification non-compliance (§12.3(a)); Vantage must indemnify Crestfield including credit-monitoring costs (§12.3(b)); Crestfield gains a 12-month audit right at Vantage’s expense (§12.3(c)); and Vantage must maintain</w:t>
      </w:r>
      <w:r>
        <w:t xml:space="preserve"> </w:t>
      </w:r>
      <w:r>
        <w:rPr>
          <w:b/>
          <w:bCs/>
        </w:rPr>
        <w:t xml:space="preserve">$10 million</w:t>
      </w:r>
      <w:r>
        <w:t xml:space="preserve"> </w:t>
      </w:r>
      <w:r>
        <w:t xml:space="preserve">cybersecurity insurance per occurrence (§12.3(d)).</w:t>
      </w:r>
    </w:p>
    <w:p>
      <w:pPr>
        <w:pStyle w:val="BodyText"/>
      </w:pPr>
      <w:r>
        <w:rPr>
          <w:b/>
          <w:bCs/>
        </w:rPr>
        <w:t xml:space="preserve">F-4. Nexagen Manufacturing — termination and future-business exclusion.</w:t>
      </w:r>
      <w:r>
        <w:t xml:space="preserve"> </w:t>
      </w:r>
      <w:r>
        <w:t xml:space="preserve">Under Nexagen VISA §7.9, Nexagen may terminate on 15 days’ notice (or immediately if attributable to a security-standards failure) (§7.9(a)); Vantage must indemnify including regulatory-compliance and credit-monitoring costs (§7.9(b)); and Nexagen may exclude Vantage from future bid opportunities for up to</w:t>
      </w:r>
      <w:r>
        <w:t xml:space="preserve"> </w:t>
      </w:r>
      <w:r>
        <w:rPr>
          <w:b/>
          <w:bCs/>
        </w:rPr>
        <w:t xml:space="preserve">24 months</w:t>
      </w:r>
      <w:r>
        <w:t xml:space="preserve"> </w:t>
      </w:r>
      <w:r>
        <w:t xml:space="preserve">(§7.9(c)).</w:t>
      </w:r>
    </w:p>
    <w:p>
      <w:pPr>
        <w:pStyle w:val="BodyText"/>
      </w:pPr>
      <w:r>
        <w:rPr>
          <w:b/>
          <w:bCs/>
        </w:rPr>
        <w:t xml:space="preserve">F-5. No target date for customer notification has been established.</w:t>
      </w:r>
      <w:r>
        <w:t xml:space="preserve"> </w:t>
      </w:r>
      <w:r>
        <w:t xml:space="preserve">“</w:t>
      </w:r>
      <w:r>
        <w:t xml:space="preserve">Customer notification timing and scope have not been finalized … No target date for customer notification has been established</w:t>
      </w:r>
      <w:r>
        <w:t xml:space="preserve">”</w:t>
      </w:r>
      <w:r>
        <w:t xml:space="preserve"> </w:t>
      </w:r>
      <w:r>
        <w:t xml:space="preserve">(Status Report §5.3; §7, item 3). The delay compounds the contractual breaches and the regulatory-notification exposure.</w:t>
      </w:r>
    </w:p>
    <w:p>
      <w:pPr>
        <w:pStyle w:val="BodyText"/>
      </w:pPr>
      <w:r>
        <w:rPr>
          <w:b/>
          <w:bCs/>
        </w:rPr>
        <w:t xml:space="preserve">F-6. Crestfield’s independent-forensic-investigator and report-sharing obligations are unaddressed.</w:t>
      </w:r>
      <w:r>
        <w:t xml:space="preserve"> </w:t>
      </w:r>
      <w:r>
        <w:t xml:space="preserve">Crestfield GTCP §12.2(c) requires Vantage, at its expense, to engage a qualified independent third-party forensic investigator</w:t>
      </w:r>
      <w:r>
        <w:t xml:space="preserve"> </w:t>
      </w:r>
      <w:r>
        <w:t xml:space="preserve">“</w:t>
      </w:r>
      <w:r>
        <w:t xml:space="preserve">reasonably acceptable to Crestfield</w:t>
      </w:r>
      <w:r>
        <w:t xml:space="preserve">”</w:t>
      </w:r>
      <w:r>
        <w:t xml:space="preserve"> </w:t>
      </w:r>
      <w:r>
        <w:t xml:space="preserve">and to provide Crestfield with the investigator’s findings within 30 days of the investigation’s conclusion. Thorngate was retained by Vantage (not Crestfield-approved) and no report has been shared with Crestfield (Status Report §5.3; Customer Contract Excerpts).</w:t>
      </w:r>
    </w:p>
    <w:p>
      <w:pPr>
        <w:pStyle w:val="BodyText"/>
      </w:pPr>
      <w:r>
        <w:rPr>
          <w:b/>
          <w:bCs/>
        </w:rPr>
        <w:t xml:space="preserve">F-7. Material customer concentration amplifies the impact.</w:t>
      </w:r>
      <w:r>
        <w:t xml:space="preserve"> </w:t>
      </w:r>
      <w:r>
        <w:t xml:space="preserve">The three named customers are among the top ten, which collectively represent approximately 38% of revenue (approximately $710.6 million), and at least six (6) of the top ten are believed affected (Status Report §5.3; Customer Contract Excerpts). Contractual termination, payment-suspension, and future-business-exclusion rights against a concentrated customer base are materiality-relevant.</w:t>
      </w:r>
    </w:p>
    <w:p>
      <w:pPr>
        <w:pStyle w:val="BodyText"/>
      </w:pPr>
      <w:r>
        <w:rPr>
          <w:b/>
          <w:bCs/>
        </w:rPr>
        <w:t xml:space="preserve">F-8. Harmon’s 72-hour ongoing-update obligation is breached.</w:t>
      </w:r>
      <w:r>
        <w:t xml:space="preserve"> </w:t>
      </w:r>
      <w:r>
        <w:t xml:space="preserve">Harmon MSA §9.4(c) requires Vantage to</w:t>
      </w:r>
      <w:r>
        <w:t xml:space="preserve"> </w:t>
      </w:r>
      <w:r>
        <w:t xml:space="preserve">“</w:t>
      </w:r>
      <w:r>
        <w:t xml:space="preserve">provide updated written reports every seventy-two (72) hours following the initial notification until the Security Incident has been fully remediated and Harmon Data has been secured</w:t>
      </w:r>
      <w:r>
        <w:t xml:space="preserve">”</w:t>
      </w:r>
      <w:r>
        <w:t xml:space="preserve"> </w:t>
      </w:r>
      <w:r>
        <w:t xml:space="preserve">(Customer Contract Excerpts). Because no initial notification was sent (F-1), the 72-hour update cycle has never commenced, and the obligation is in continuing breach.</w:t>
      </w:r>
    </w:p>
    <w:p>
      <w:pPr>
        <w:pStyle w:val="BodyText"/>
      </w:pPr>
      <w:r>
        <w:rPr>
          <w:b/>
          <w:bCs/>
        </w:rPr>
        <w:t xml:space="preserve">F-9. Harmon’s investigation-cooperation and access obligation is unaddressed.</w:t>
      </w:r>
      <w:r>
        <w:t xml:space="preserve"> </w:t>
      </w:r>
      <w:r>
        <w:t xml:space="preserve">Harmon MSA §9.4(d) requires Vantage to</w:t>
      </w:r>
      <w:r>
        <w:t xml:space="preserve"> </w:t>
      </w:r>
      <w:r>
        <w:t xml:space="preserve">“</w:t>
      </w:r>
      <w:r>
        <w:t xml:space="preserve">cooperate fully with any investigation conducted by Harmon or its designated agents, including providing access to relevant logs, forensic reports, and affected systems within the timeframes reasonably requested by Harmon</w:t>
      </w:r>
      <w:r>
        <w:t xml:space="preserve">”</w:t>
      </w:r>
      <w:r>
        <w:t xml:space="preserve"> </w:t>
      </w:r>
      <w:r>
        <w:t xml:space="preserve">(Customer Contract Excerpts). No cooperation or access has been provided because Harmon has not been notified; non-compliance is itself a termination trigger under §9.5(b).</w:t>
      </w:r>
    </w:p>
    <w:p>
      <w:pPr>
        <w:pStyle w:val="BodyText"/>
      </w:pPr>
      <w:r>
        <w:rPr>
          <w:b/>
          <w:bCs/>
        </w:rPr>
        <w:t xml:space="preserve">F-10. Crestfield’s notification must include law-enforcement details.</w:t>
      </w:r>
      <w:r>
        <w:t xml:space="preserve"> </w:t>
      </w:r>
      <w:r>
        <w:t xml:space="preserve">Crestfield GTCP §12.2(b)(vi) requires the notification to state</w:t>
      </w:r>
      <w:r>
        <w:t xml:space="preserve"> </w:t>
      </w:r>
      <w:r>
        <w:t xml:space="preserve">“</w:t>
      </w:r>
      <w:r>
        <w:t xml:space="preserve">whether law enforcement has been notified and, if so, the identity of the agency and contact information for the investigating officer</w:t>
      </w:r>
      <w:r>
        <w:t xml:space="preserve">”</w:t>
      </w:r>
      <w:r>
        <w:t xml:space="preserve"> </w:t>
      </w:r>
      <w:r>
        <w:t xml:space="preserve">(Customer Contract Excerpts). The Company contacted FBI IC3 on November 20 (Status Report §5.1), but no notification to Crestfield has been made, so this content requirement is unmet.</w:t>
      </w:r>
    </w:p>
    <w:p>
      <w:pPr>
        <w:pStyle w:val="BodyText"/>
      </w:pPr>
      <w:r>
        <w:rPr>
          <w:b/>
          <w:bCs/>
        </w:rPr>
        <w:t xml:space="preserve">F-11. Nexagen requires dual-channel (email and telephone) notification.</w:t>
      </w:r>
      <w:r>
        <w:t xml:space="preserve"> </w:t>
      </w:r>
      <w:r>
        <w:t xml:space="preserve">Nexagen VISA §7.8(b) requires that notice</w:t>
      </w:r>
      <w:r>
        <w:t xml:space="preserve"> </w:t>
      </w:r>
      <w:r>
        <w:t xml:space="preserve">“</w:t>
      </w:r>
      <w:r>
        <w:t xml:space="preserve">shall be provided via both email and telephone to the contacts listed in Schedule A</w:t>
      </w:r>
      <w:r>
        <w:t xml:space="preserve">”</w:t>
      </w:r>
      <w:r>
        <w:t xml:space="preserve"> </w:t>
      </w:r>
      <w:r>
        <w:t xml:space="preserve">(Customer Contract Excerpts). No notification has been sent by either channel, so the specific dual-channel method requirement is unmet.</w:t>
      </w:r>
    </w:p>
    <w:p>
      <w:pPr>
        <w:pStyle w:val="BodyText"/>
      </w:pPr>
      <w:r>
        <w:rPr>
          <w:b/>
          <w:bCs/>
        </w:rPr>
        <w:t xml:space="preserve">F-12. Nexagen’s preliminary-report deadline (5 business days) is breached.</w:t>
      </w:r>
      <w:r>
        <w:t xml:space="preserve"> </w:t>
      </w:r>
      <w:r>
        <w:t xml:space="preserve">Nexagen VISA §7.8(c) requires Vantage to</w:t>
      </w:r>
      <w:r>
        <w:t xml:space="preserve"> </w:t>
      </w:r>
      <w:r>
        <w:t xml:space="preserve">“</w:t>
      </w:r>
      <w:r>
        <w:t xml:space="preserve">provide a preliminary written incident report within five (5) business days of the initial notification,</w:t>
      </w:r>
      <w:r>
        <w:t xml:space="preserve">”</w:t>
      </w:r>
      <w:r>
        <w:t xml:space="preserve"> </w:t>
      </w:r>
      <w:r>
        <w:t xml:space="preserve">identifying the categories and volume of Nexagen Data affected, systems involved, containment measures, and law-enforcement contacts (Customer Contract Excerpts). The five-business-day window from the November 18 discovery has long since elapsed with no report.</w:t>
      </w:r>
    </w:p>
    <w:p>
      <w:pPr>
        <w:pStyle w:val="BodyText"/>
      </w:pPr>
      <w:r>
        <w:rPr>
          <w:b/>
          <w:bCs/>
        </w:rPr>
        <w:t xml:space="preserve">F-13. Nexagen’s final-report deadline (60 days) is at risk.</w:t>
      </w:r>
      <w:r>
        <w:t xml:space="preserve"> </w:t>
      </w:r>
      <w:r>
        <w:t xml:space="preserve">Nexagen VISA §7.8(d) requires</w:t>
      </w:r>
      <w:r>
        <w:t xml:space="preserve"> </w:t>
      </w:r>
      <w:r>
        <w:t xml:space="preserve">“</w:t>
      </w:r>
      <w:r>
        <w:t xml:space="preserve">a final written report … within sixty (60) days of the initial notification,</w:t>
      </w:r>
      <w:r>
        <w:t xml:space="preserve">”</w:t>
      </w:r>
      <w:r>
        <w:t xml:space="preserve"> </w:t>
      </w:r>
      <w:r>
        <w:t xml:space="preserve">including forensic-investigation results, root cause analysis, a comprehensive description of all Nexagen Data affected, and a detailed remediation plan (Customer Contract Excerpts). The 60-day window runs from approximately November 18, 2024 (i.e., on or about January 17, 2025); given that Thorngate’s final report is due approximately January 17, 2025 (Status Report §6), meeting the Nexagen final-report deadline is at risk and requires active management.</w:t>
      </w:r>
    </w:p>
    <w:p>
      <w:pPr>
        <w:pStyle w:val="BodyText"/>
      </w:pPr>
      <w:r>
        <w:rPr>
          <w:b/>
          <w:bCs/>
        </w:rPr>
        <w:t xml:space="preserve">F-14. Potential breach of Crestfield’s $10 million insurance covenant if the policy is voided.</w:t>
      </w:r>
      <w:r>
        <w:t xml:space="preserve"> </w:t>
      </w:r>
      <w:r>
        <w:t xml:space="preserve">Crestfield GTCP §12.3(d) requires Vantage to</w:t>
      </w:r>
      <w:r>
        <w:t xml:space="preserve"> </w:t>
      </w:r>
      <w:r>
        <w:t xml:space="preserve">“</w:t>
      </w:r>
      <w:r>
        <w:t xml:space="preserve">maintain cybersecurity liability insurance with minimum coverage of Ten Million Dollars ($10,000,000) per occurrence throughout the term</w:t>
      </w:r>
      <w:r>
        <w:t xml:space="preserve">”</w:t>
      </w:r>
      <w:r>
        <w:t xml:space="preserve"> </w:t>
      </w:r>
      <w:r>
        <w:t xml:space="preserve">and to</w:t>
      </w:r>
      <w:r>
        <w:t xml:space="preserve"> </w:t>
      </w:r>
      <w:r>
        <w:t xml:space="preserve">“</w:t>
      </w:r>
      <w:r>
        <w:t xml:space="preserve">notify Crestfield of any material reduction in coverage within ten (10) business days</w:t>
      </w:r>
      <w:r>
        <w:t xml:space="preserve">”</w:t>
      </w:r>
      <w:r>
        <w:t xml:space="preserve"> </w:t>
      </w:r>
      <w:r>
        <w:t xml:space="preserve">(Customer Contract Excerpts). The Ridgeline policy carries a $15 million per-occurrence/aggregate limit, which facially satisfies the $10 million requirement; however, if the policy is voided ab initio or materially reduced as a result of the false MFA warranty (Gap G-2), the late-notice reservation of rights (Gap G-1), or the security-standards exclusion (Gap G-3), Vantage may simultaneously breach the Crestfield insurance covenant and incur a separate 10-business-day obligation to notify Crestfield of the coverage reduction.</w:t>
      </w:r>
    </w:p>
    <w:p>
      <w:pPr>
        <w:pStyle w:val="BodyText"/>
      </w:pPr>
      <w:r>
        <w:rPr>
          <w:b/>
          <w:bCs/>
        </w:rPr>
        <w:t xml:space="preserve">F-15. The customer-contract review is incomplete; the full scope of breached notification obligations is unknown.</w:t>
      </w:r>
      <w:r>
        <w:t xml:space="preserve"> </w:t>
      </w:r>
      <w:r>
        <w:t xml:space="preserve">The Customer Contract Excerpts were</w:t>
      </w:r>
      <w:r>
        <w:t xml:space="preserve"> </w:t>
      </w:r>
      <w:r>
        <w:t xml:space="preserve">“</w:t>
      </w:r>
      <w:r>
        <w:t xml:space="preserve">identified from a review of Vantage’s top twenty customer contracts,</w:t>
      </w:r>
      <w:r>
        <w:t xml:space="preserve">”</w:t>
      </w:r>
      <w:r>
        <w:t xml:space="preserve"> </w:t>
      </w:r>
      <w:r>
        <w:t xml:space="preserve">but</w:t>
      </w:r>
      <w:r>
        <w:t xml:space="preserve"> </w:t>
      </w:r>
      <w:r>
        <w:t xml:space="preserve">“</w:t>
      </w:r>
      <w:r>
        <w:t xml:space="preserve">[a]dditional customer agreements are under review for similar cybersecurity notification and incident response provisions,</w:t>
      </w:r>
      <w:r>
        <w:t xml:space="preserve">”</w:t>
      </w:r>
      <w:r>
        <w:t xml:space="preserve"> </w:t>
      </w:r>
      <w:r>
        <w:t xml:space="preserve">with</w:t>
      </w:r>
      <w:r>
        <w:t xml:space="preserve"> </w:t>
      </w:r>
      <w:r>
        <w:t xml:space="preserve">“</w:t>
      </w:r>
      <w:r>
        <w:t xml:space="preserve">[r]esults of the full contract review … expected by December 10, 2024</w:t>
      </w:r>
      <w:r>
        <w:t xml:space="preserve">”</w:t>
      </w:r>
      <w:r>
        <w:t xml:space="preserve"> </w:t>
      </w:r>
      <w:r>
        <w:t xml:space="preserve">(Customer Contract Excerpts, Preparer’s Note). As of December 5, only three (3) of the top twenty contracts have been reviewed, so the Company does not yet know the full universe of customer-notification deadlines it has breached. Additional 48-hour (or shorter) notification obligations and remedies may apply to other affected customers, expanding the materiality exposure.</w:t>
      </w:r>
    </w:p>
    <w:bookmarkEnd w:id="29"/>
    <w:bookmarkStart w:id="30" w:name="X6d1d090cb858c927e7e6a3b7225496fa960de20"/>
    <w:p>
      <w:pPr>
        <w:pStyle w:val="Heading3"/>
      </w:pPr>
      <w:r>
        <w:t xml:space="preserve">G. Cyber-Insurance Coverage Gaps (Financial-Exposure / Materiality Implications)</w:t>
      </w:r>
    </w:p>
    <w:p>
      <w:pPr>
        <w:pStyle w:val="FirstParagraph"/>
      </w:pPr>
      <w:r>
        <w:rPr>
          <w:b/>
          <w:bCs/>
        </w:rPr>
        <w:t xml:space="preserve">G-1. Late notice to the insurer (73 hours vs. 72 hours).</w:t>
      </w:r>
      <w:r>
        <w:t xml:space="preserve"> </w:t>
      </w:r>
      <w:r>
        <w:t xml:space="preserve">Ridgeline was notified on November 21, approximately</w:t>
      </w:r>
      <w:r>
        <w:t xml:space="preserve"> </w:t>
      </w:r>
      <w:r>
        <w:rPr>
          <w:b/>
          <w:bCs/>
        </w:rPr>
        <w:t xml:space="preserve">73 hours</w:t>
      </w:r>
      <w:r>
        <w:t xml:space="preserve"> </w:t>
      </w:r>
      <w:r>
        <w:t xml:space="preserve">after discovery; the policy requires notice within</w:t>
      </w:r>
      <w:r>
        <w:t xml:space="preserve"> </w:t>
      </w:r>
      <w:r>
        <w:rPr>
          <w:b/>
          <w:bCs/>
        </w:rPr>
        <w:t xml:space="preserve">72 hours</w:t>
      </w:r>
      <w:r>
        <w:t xml:space="preserve"> </w:t>
      </w:r>
      <w:r>
        <w:t xml:space="preserve">of Discovery (Policy Summary §5.1; Status Report §5.2). Ridgeline</w:t>
      </w:r>
      <w:r>
        <w:t xml:space="preserve"> </w:t>
      </w:r>
      <w:r>
        <w:t xml:space="preserve">“</w:t>
      </w:r>
      <w:r>
        <w:t xml:space="preserve">has reserved rights regarding the timeliness of notice but has not denied coverage</w:t>
      </w:r>
      <w:r>
        <w:t xml:space="preserve">”</w:t>
      </w:r>
      <w:r>
        <w:t xml:space="preserve"> </w:t>
      </w:r>
      <w:r>
        <w:t xml:space="preserve">(Status Report §5.2). The approximately $2.0 million of expected recovery above the $2.5M SIR is at risk.</w:t>
      </w:r>
    </w:p>
    <w:p>
      <w:pPr>
        <w:pStyle w:val="BodyText"/>
      </w:pPr>
      <w:r>
        <w:rPr>
          <w:b/>
          <w:bCs/>
        </w:rPr>
        <w:t xml:space="preserve">G-2. The policy-application MFA warranty appears to have been false — potential coverage void.</w:t>
      </w:r>
      <w:r>
        <w:t xml:space="preserve"> </w:t>
      </w:r>
      <w:r>
        <w:t xml:space="preserve">The October 15, 2023 policy application warranted that Vantage</w:t>
      </w:r>
      <w:r>
        <w:t xml:space="preserve"> </w:t>
      </w:r>
      <w:r>
        <w:t xml:space="preserve">“</w:t>
      </w:r>
      <w:r>
        <w:t xml:space="preserve">employs multi-factor authentication for all remote access to Computer Systems</w:t>
      </w:r>
      <w:r>
        <w:t xml:space="preserve">”</w:t>
      </w:r>
      <w:r>
        <w:t xml:space="preserve"> </w:t>
      </w:r>
      <w:r>
        <w:t xml:space="preserve">(Policy Summary §9). Thorngate found that the compromised third-party contractor VPN credential was</w:t>
      </w:r>
      <w:r>
        <w:t xml:space="preserve"> </w:t>
      </w:r>
      <w:r>
        <w:rPr>
          <w:b/>
          <w:bCs/>
        </w:rPr>
        <w:t xml:space="preserve">not</w:t>
      </w:r>
      <w:r>
        <w:t xml:space="preserve"> </w:t>
      </w:r>
      <w:r>
        <w:t xml:space="preserve">MFA-protected, and MFA was not universally required for third-party VPN access until November 20, 2024 (Thorngate Interim Report §§3.1, 6.2). The Policy Summary states that</w:t>
      </w:r>
      <w:r>
        <w:t xml:space="preserve"> </w:t>
      </w:r>
      <w:r>
        <w:t xml:space="preserve">“</w:t>
      </w:r>
      <w:r>
        <w:t xml:space="preserve">Material misrepresentations in the Policy Application may void coverage ab initio</w:t>
      </w:r>
      <w:r>
        <w:t xml:space="preserve">”</w:t>
      </w:r>
      <w:r>
        <w:t xml:space="preserve"> </w:t>
      </w:r>
      <w:r>
        <w:t xml:space="preserve">(§9). Because the MFA failure was both a warranty breach and the root cause of the incident, this is a material coverage risk that could void the $15 million policy.</w:t>
      </w:r>
    </w:p>
    <w:p>
      <w:pPr>
        <w:pStyle w:val="BodyText"/>
      </w:pPr>
      <w:r>
        <w:rPr>
          <w:b/>
          <w:bCs/>
        </w:rPr>
        <w:t xml:space="preserve">G-3. The</w:t>
      </w:r>
      <w:r>
        <w:rPr>
          <w:b/>
          <w:bCs/>
        </w:rPr>
        <w:t xml:space="preserve"> </w:t>
      </w:r>
      <w:r>
        <w:rPr>
          <w:b/>
          <w:bCs/>
        </w:rPr>
        <w:t xml:space="preserve">“</w:t>
      </w:r>
      <w:r>
        <w:rPr>
          <w:b/>
          <w:bCs/>
        </w:rPr>
        <w:t xml:space="preserve">failure to maintain minimum security standards</w:t>
      </w:r>
      <w:r>
        <w:rPr>
          <w:b/>
          <w:bCs/>
        </w:rPr>
        <w:t xml:space="preserve">”</w:t>
      </w:r>
      <w:r>
        <w:rPr>
          <w:b/>
          <w:bCs/>
        </w:rPr>
        <w:t xml:space="preserve"> </w:t>
      </w:r>
      <w:r>
        <w:rPr>
          <w:b/>
          <w:bCs/>
        </w:rPr>
        <w:t xml:space="preserve">exclusion may apply.</w:t>
      </w:r>
      <w:r>
        <w:t xml:space="preserve"> </w:t>
      </w:r>
      <w:r>
        <w:t xml:space="preserve">Policy Section 6(i) excludes loss arising from the Named Insured’s failure to maintain security controls</w:t>
      </w:r>
      <w:r>
        <w:t xml:space="preserve"> </w:t>
      </w:r>
      <w:r>
        <w:t xml:space="preserve">“</w:t>
      </w:r>
      <w:r>
        <w:t xml:space="preserve">substantially consistent with those represented in the Policy Application,</w:t>
      </w:r>
      <w:r>
        <w:t xml:space="preserve">”</w:t>
      </w:r>
      <w:r>
        <w:t xml:space="preserve"> </w:t>
      </w:r>
      <w:r>
        <w:t xml:space="preserve">where the failure</w:t>
      </w:r>
      <w:r>
        <w:t xml:space="preserve"> </w:t>
      </w:r>
      <w:r>
        <w:t xml:space="preserve">“</w:t>
      </w:r>
      <w:r>
        <w:t xml:space="preserve">materially contributed to the Cyber Event</w:t>
      </w:r>
      <w:r>
        <w:t xml:space="preserve">”</w:t>
      </w:r>
      <w:r>
        <w:t xml:space="preserve"> </w:t>
      </w:r>
      <w:r>
        <w:t xml:space="preserve">(Policy Summary §6(i)). The MFA failure directly ties the application warranty to this exclusion, reinforcing the coverage risk.</w:t>
      </w:r>
    </w:p>
    <w:p>
      <w:pPr>
        <w:pStyle w:val="BodyText"/>
      </w:pPr>
      <w:r>
        <w:rPr>
          <w:b/>
          <w:bCs/>
        </w:rPr>
        <w:t xml:space="preserve">G-4. The contractual-liability exclusion may bar customer-contract exposures.</w:t>
      </w:r>
      <w:r>
        <w:t xml:space="preserve"> </w:t>
      </w:r>
      <w:r>
        <w:t xml:space="preserve">Policy Section 6(g) excludes loss</w:t>
      </w:r>
      <w:r>
        <w:t xml:space="preserve"> </w:t>
      </w:r>
      <w:r>
        <w:t xml:space="preserve">“</w:t>
      </w:r>
      <w:r>
        <w:t xml:space="preserve">arising from breach of contract, unless the Named Insured would have been liable in the absence of such contract,</w:t>
      </w:r>
      <w:r>
        <w:t xml:space="preserve">”</w:t>
      </w:r>
      <w:r>
        <w:t xml:space="preserve"> </w:t>
      </w:r>
      <w:r>
        <w:t xml:space="preserve">and notes that</w:t>
      </w:r>
      <w:r>
        <w:t xml:space="preserve"> </w:t>
      </w:r>
      <w:r>
        <w:t xml:space="preserve">“</w:t>
      </w:r>
      <w:r>
        <w:t xml:space="preserve">Liability arising solely from breach of contractual notification or indemnification clauses — where no independent tort liability exists — may be excluded</w:t>
      </w:r>
      <w:r>
        <w:t xml:space="preserve">”</w:t>
      </w:r>
      <w:r>
        <w:t xml:space="preserve"> </w:t>
      </w:r>
      <w:r>
        <w:t xml:space="preserve">(Policy Summary §6(g)). The Harmon liquidated damages, Crestfield payment-suspension/audit, and Nexagen future-business-exclusion exposures may fall within this exclusion, reducing recoverable amounts.</w:t>
      </w:r>
    </w:p>
    <w:p>
      <w:pPr>
        <w:pStyle w:val="BodyText"/>
      </w:pPr>
      <w:r>
        <w:rPr>
          <w:b/>
          <w:bCs/>
        </w:rPr>
        <w:t xml:space="preserve">G-5. Consent-to-incur-costs requirements must be verified.</w:t>
      </w:r>
      <w:r>
        <w:t xml:space="preserve"> </w:t>
      </w:r>
      <w:r>
        <w:t xml:space="preserve">Policy Section 7.2 requires prior written consent for first-party losses exceeding $50,000 individually or $150,000 in aggregate (with emergency costs to be notified within 48 hours) (Policy Summary §7.2). Approximately $4.5 million in costs has been incurred; the record does not confirm that consent was obtained or that emergency-cost notice was given within 48 hours. Thorngate is on the Pre-Approved Vendor Panel (Policy Summary §7.2, §8), which is favorable, but the consent question for other costs remains open.</w:t>
      </w:r>
    </w:p>
    <w:p>
      <w:pPr>
        <w:pStyle w:val="BodyText"/>
      </w:pPr>
      <w:r>
        <w:rPr>
          <w:b/>
          <w:bCs/>
        </w:rPr>
        <w:t xml:space="preserve">G-6. Unencrypted ACH data at rest affects coverage and breach-notification analysis.</w:t>
      </w:r>
      <w:r>
        <w:t xml:space="preserve"> </w:t>
      </w:r>
      <w:r>
        <w:t xml:space="preserve">Thorngate confirmed that ACH routing and account numbers were stored</w:t>
      </w:r>
      <w:r>
        <w:t xml:space="preserve"> </w:t>
      </w:r>
      <w:r>
        <w:rPr>
          <w:b/>
          <w:bCs/>
        </w:rPr>
        <w:t xml:space="preserve">unencrypted (plaintext)</w:t>
      </w:r>
      <w:r>
        <w:t xml:space="preserve"> </w:t>
      </w:r>
      <w:r>
        <w:t xml:space="preserve">at rest (Thorngate Interim Report §4.4). This elevates the severity of the data compromise, bears on state breach-notification safe-harbor analysis (many state statutes treat encrypted data as exempt), and may implicate the policy’s security-standards representations.</w:t>
      </w:r>
    </w:p>
    <w:p>
      <w:pPr>
        <w:pStyle w:val="BodyText"/>
      </w:pPr>
      <w:r>
        <w:rPr>
          <w:b/>
          <w:bCs/>
        </w:rPr>
        <w:t xml:space="preserve">G-7. The claims-made policy expires December 31, 2024, creating a coverage gap for later-arising claims.</w:t>
      </w:r>
      <w:r>
        <w:t xml:space="preserve"> </w:t>
      </w:r>
      <w:r>
        <w:t xml:space="preserve">The Ridgeline policy is a</w:t>
      </w:r>
      <w:r>
        <w:t xml:space="preserve"> </w:t>
      </w:r>
      <w:r>
        <w:t xml:space="preserve">“</w:t>
      </w:r>
      <w:r>
        <w:t xml:space="preserve">Claims-Made and Reported Cyber Liability Insurance Policy</w:t>
      </w:r>
      <w:r>
        <w:t xml:space="preserve">”</w:t>
      </w:r>
      <w:r>
        <w:t xml:space="preserve"> </w:t>
      </w:r>
      <w:r>
        <w:t xml:space="preserve">with a Policy Period of</w:t>
      </w:r>
      <w:r>
        <w:t xml:space="preserve"> </w:t>
      </w:r>
      <w:r>
        <w:t xml:space="preserve">“</w:t>
      </w:r>
      <w:r>
        <w:t xml:space="preserve">January 1, 2024 through December 31, 2024</w:t>
      </w:r>
      <w:r>
        <w:t xml:space="preserve">”</w:t>
      </w:r>
      <w:r>
        <w:t xml:space="preserve"> </w:t>
      </w:r>
      <w:r>
        <w:t xml:space="preserve">(Policy Summary §1). Under claims-made coverage, a Claim must be</w:t>
      </w:r>
      <w:r>
        <w:t xml:space="preserve"> </w:t>
      </w:r>
      <w:r>
        <w:t xml:space="preserve">“</w:t>
      </w:r>
      <w:r>
        <w:t xml:space="preserve">first made against the Named Insured and reported to the Insurer during the Policy Period or any applicable Extended Reporting Period</w:t>
      </w:r>
      <w:r>
        <w:t xml:space="preserve">”</w:t>
      </w:r>
      <w:r>
        <w:t xml:space="preserve"> </w:t>
      </w:r>
      <w:r>
        <w:t xml:space="preserve">(Policy Summary §5.2). The Policy Summary references</w:t>
      </w:r>
      <w:r>
        <w:t xml:space="preserve"> </w:t>
      </w:r>
      <w:r>
        <w:t xml:space="preserve">“</w:t>
      </w:r>
      <w:r>
        <w:t xml:space="preserve">any applicable Extended Reporting Period</w:t>
      </w:r>
      <w:r>
        <w:t xml:space="preserve">”</w:t>
      </w:r>
      <w:r>
        <w:t xml:space="preserve"> </w:t>
      </w:r>
      <w:r>
        <w:t xml:space="preserve">but does not confirm that any tail/ERP coverage was purchased. Customer lawsuits, regulatory proceedings, and state/GDPR enforcement actions arising in 2025 — after the policy period expires — may not be covered unless an extended reporting period exists. Given that the incident was discovered only six weeks before the policy’s expiration and that customer and regulatory claims typically materialize over months, this is a material coverage-exposure gap that must be confirmed immediately.</w:t>
      </w:r>
    </w:p>
    <w:p>
      <w:pPr>
        <w:pStyle w:val="BodyText"/>
      </w:pPr>
      <w:r>
        <w:rPr>
          <w:b/>
          <w:bCs/>
        </w:rPr>
        <w:t xml:space="preserve">G-8. The war/terrorism and hostile-nation-state exclusion may bar coverage if the attack is attributed to a state-sponsored actor.</w:t>
      </w:r>
      <w:r>
        <w:t xml:space="preserve"> </w:t>
      </w:r>
      <w:r>
        <w:t xml:space="preserve">Policy Section 6(c) excludes</w:t>
      </w:r>
      <w:r>
        <w:t xml:space="preserve"> </w:t>
      </w:r>
      <w:r>
        <w:t xml:space="preserve">“</w:t>
      </w:r>
      <w:r>
        <w:t xml:space="preserve">Loss arising from acts of war (declared or undeclared), military action, or terrorism,</w:t>
      </w:r>
      <w:r>
        <w:t xml:space="preserve">”</w:t>
      </w:r>
      <w:r>
        <w:t xml:space="preserve"> </w:t>
      </w:r>
      <w:r>
        <w:t xml:space="preserve">and provides that</w:t>
      </w:r>
      <w:r>
        <w:t xml:space="preserve"> </w:t>
      </w:r>
      <w:r>
        <w:t xml:space="preserve">“</w:t>
      </w:r>
      <w:r>
        <w:t xml:space="preserve">State-sponsored cyberattacks are excluded under the hostile nation-state cyber operations sub-exclusion</w:t>
      </w:r>
      <w:r>
        <w:t xml:space="preserve">”</w:t>
      </w:r>
      <w:r>
        <w:t xml:space="preserve"> </w:t>
      </w:r>
      <w:r>
        <w:t xml:space="preserve">(Policy Summary §6(c)). Thorngate’s investigation shows the threat actor logged in from an IP address</w:t>
      </w:r>
      <w:r>
        <w:t xml:space="preserve"> </w:t>
      </w:r>
      <w:r>
        <w:t xml:space="preserve">“</w:t>
      </w:r>
      <w:r>
        <w:t xml:space="preserve">geolocated to Eastern Europe</w:t>
      </w:r>
      <w:r>
        <w:t xml:space="preserve">”</w:t>
      </w:r>
      <w:r>
        <w:t xml:space="preserve"> </w:t>
      </w:r>
      <w:r>
        <w:t xml:space="preserve">(Thorngate Interim Report §3.1), and</w:t>
      </w:r>
      <w:r>
        <w:t xml:space="preserve"> </w:t>
      </w:r>
      <w:r>
        <w:t xml:space="preserve">“</w:t>
      </w:r>
      <w:r>
        <w:t xml:space="preserve">full attribution analysis</w:t>
      </w:r>
      <w:r>
        <w:t xml:space="preserve">”</w:t>
      </w:r>
      <w:r>
        <w:t xml:space="preserve"> </w:t>
      </w:r>
      <w:r>
        <w:t xml:space="preserve">identifying the threat-actor group</w:t>
      </w:r>
      <w:r>
        <w:t xml:space="preserve"> </w:t>
      </w:r>
      <w:r>
        <w:t xml:space="preserve">“</w:t>
      </w:r>
      <w:r>
        <w:t xml:space="preserve">remains an active area of investigation</w:t>
      </w:r>
      <w:r>
        <w:t xml:space="preserve">”</w:t>
      </w:r>
      <w:r>
        <w:t xml:space="preserve"> </w:t>
      </w:r>
      <w:r>
        <w:t xml:space="preserve">to be addressed in the December 20, 2024 report (Thorngate Interim Report §7.1, item 3). If attribution ultimately points to a nation-state or state-sponsored group, the hostile-nation-state sub-exclusion could bar coverage under the $15 million policy. The Company should monitor the attribution analysis closely and coordinate with coverage counsel.</w:t>
      </w:r>
    </w:p>
    <w:bookmarkEnd w:id="30"/>
    <w:bookmarkStart w:id="31" w:name="h.-pending-acquisition-disclosure-gaps"/>
    <w:p>
      <w:pPr>
        <w:pStyle w:val="Heading3"/>
      </w:pPr>
      <w:r>
        <w:t xml:space="preserve">H. Pending Acquisition Disclosure Gaps</w:t>
      </w:r>
    </w:p>
    <w:p>
      <w:pPr>
        <w:pStyle w:val="FirstParagraph"/>
      </w:pPr>
      <w:r>
        <w:rPr>
          <w:b/>
          <w:bCs/>
        </w:rPr>
        <w:t xml:space="preserve">H-1. The Kessler transaction counterparty and financial advisor have not been notified.</w:t>
      </w:r>
      <w:r>
        <w:t xml:space="preserve"> </w:t>
      </w:r>
      <w:r>
        <w:t xml:space="preserve">Vantage is in active negotiations for the</w:t>
      </w:r>
      <w:r>
        <w:t xml:space="preserve"> </w:t>
      </w:r>
      <w:r>
        <w:rPr>
          <w:b/>
          <w:bCs/>
        </w:rPr>
        <w:t xml:space="preserve">$425 million</w:t>
      </w:r>
      <w:r>
        <w:t xml:space="preserve"> </w:t>
      </w:r>
      <w:r>
        <w:t xml:space="preserve">acquisition of Kessler Precision Systems GmbH, with Canfield Cromdale Consulting &amp; Co. advising.</w:t>
      </w:r>
      <w:r>
        <w:t xml:space="preserve"> </w:t>
      </w:r>
      <w:r>
        <w:t xml:space="preserve">“</w:t>
      </w:r>
      <w:r>
        <w:t xml:space="preserve">Neither Kessler Precision Systems GmbH nor Canfield Cromdale Consulting &amp; Co. has been notified of the cybersecurity incident</w:t>
      </w:r>
      <w:r>
        <w:t xml:space="preserve">”</w:t>
      </w:r>
      <w:r>
        <w:t xml:space="preserve"> </w:t>
      </w:r>
      <w:r>
        <w:t xml:space="preserve">(Status Report §5.9). The GC separately flagged potential effects on</w:t>
      </w:r>
      <w:r>
        <w:t xml:space="preserve"> </w:t>
      </w:r>
      <w:r>
        <w:t xml:space="preserve">“</w:t>
      </w:r>
      <w:r>
        <w:t xml:space="preserve">representations and warranties, counterparty confidence, and deal timeline</w:t>
      </w:r>
      <w:r>
        <w:t xml:space="preserve">”</w:t>
      </w:r>
      <w:r>
        <w:t xml:space="preserve"> </w:t>
      </w:r>
      <w:r>
        <w:t xml:space="preserve">(GC Email, Kessler Acquisition Context).</w:t>
      </w:r>
    </w:p>
    <w:p>
      <w:pPr>
        <w:pStyle w:val="BodyText"/>
      </w:pPr>
      <w:r>
        <w:rPr>
          <w:b/>
          <w:bCs/>
        </w:rPr>
        <w:t xml:space="preserve">H-2. No assessment of the incident’s impact on the pending acquisition has been performed.</w:t>
      </w:r>
      <w:r>
        <w:t xml:space="preserve"> </w:t>
      </w:r>
      <w:r>
        <w:t xml:space="preserve">“</w:t>
      </w:r>
      <w:r>
        <w:t xml:space="preserve">The potential impact of this cybersecurity incident on the pending acquisition … has not been evaluated</w:t>
      </w:r>
      <w:r>
        <w:t xml:space="preserve">”</w:t>
      </w:r>
      <w:r>
        <w:t xml:space="preserve"> </w:t>
      </w:r>
      <w:r>
        <w:t xml:space="preserve">(Status Report §7, item 6). For a material pending transaction, the failure to assess — and, if material, to disclose — the incident’s impact is a gap. Any disclosure made in connection with the transaction (e.g., a deal-signing Form 8-K, proxy/S-4, or rep-and-warranty certifications) may need to address the incident.</w:t>
      </w:r>
    </w:p>
    <w:bookmarkEnd w:id="31"/>
    <w:bookmarkStart w:id="32" w:name="X20e650170ec09a53fbe1376c042917b0f82168a"/>
    <w:p>
      <w:pPr>
        <w:pStyle w:val="Heading3"/>
      </w:pPr>
      <w:r>
        <w:t xml:space="preserve">I. State and International Regulatory-Notification Gaps</w:t>
      </w:r>
    </w:p>
    <w:p>
      <w:pPr>
        <w:pStyle w:val="FirstParagraph"/>
      </w:pPr>
      <w:r>
        <w:rPr>
          <w:b/>
          <w:bCs/>
        </w:rPr>
        <w:t xml:space="preserve">I-1. No state attorney general or data-protection authority notifications have been filed.</w:t>
      </w:r>
      <w:r>
        <w:t xml:space="preserve"> </w:t>
      </w:r>
      <w:r>
        <w:t xml:space="preserve">“</w:t>
      </w:r>
      <w:r>
        <w:t xml:space="preserve">No notifications have been filed with any state attorney general or state data protection authority regarding the incident</w:t>
      </w:r>
      <w:r>
        <w:t xml:space="preserve">”</w:t>
      </w:r>
      <w:r>
        <w:t xml:space="preserve"> </w:t>
      </w:r>
      <w:r>
        <w:t xml:space="preserve">(Status Report §5.4). The exfiltration of PII (procurement contacts) and financial-account information (ACH routing/account numbers) for approximately 4,200 customers across at least 38 U.S. states (Thorngate Interim Report §4.5) likely triggers multiple state data-breach notification statutes (including Ohio, the Company’s principal place of business).</w:t>
      </w:r>
    </w:p>
    <w:p>
      <w:pPr>
        <w:pStyle w:val="BodyText"/>
      </w:pPr>
      <w:r>
        <w:rPr>
          <w:b/>
          <w:bCs/>
        </w:rPr>
        <w:t xml:space="preserve">I-2. No determination of state breach-notification obligations has been made.</w:t>
      </w:r>
      <w:r>
        <w:t xml:space="preserve"> </w:t>
      </w:r>
      <w:r>
        <w:t xml:space="preserve">“</w:t>
      </w:r>
      <w:r>
        <w:t xml:space="preserve">No determinations have been made regarding notification obligations under applicable state data breach notification statutes</w:t>
      </w:r>
      <w:r>
        <w:t xml:space="preserve">”</w:t>
      </w:r>
      <w:r>
        <w:t xml:space="preserve"> </w:t>
      </w:r>
      <w:r>
        <w:t xml:space="preserve">(Status Report §7, item 7). The absence of even a determination is a compliance gap independent of the filing gap (I-1).</w:t>
      </w:r>
    </w:p>
    <w:p>
      <w:pPr>
        <w:pStyle w:val="BodyText"/>
      </w:pPr>
      <w:r>
        <w:rPr>
          <w:b/>
          <w:bCs/>
        </w:rPr>
        <w:t xml:space="preserve">I-3. EU GDPR and UK GDPR notification obligations are triggered and unaddressed.</w:t>
      </w:r>
      <w:r>
        <w:t xml:space="preserve"> </w:t>
      </w:r>
      <w:r>
        <w:t xml:space="preserve">Affected records include customers in Germany and the United Kingdom (Thorngate Interim Report §4.5). The exfiltration of procurement-contact PII constitutes a personal-data breach under EU GDPR Article 33 (applicable to the German customer records) and under the UK GDPR / Data Protection Act 2018 (applicable to the UK customer records), each requiring notification to the competent supervisory authority (the German federal/state authority and the UK Information Commissioner’s Office, respectively) within</w:t>
      </w:r>
      <w:r>
        <w:t xml:space="preserve"> </w:t>
      </w:r>
      <w:r>
        <w:rPr>
          <w:b/>
          <w:bCs/>
        </w:rPr>
        <w:t xml:space="preserve">72 hours</w:t>
      </w:r>
      <w:r>
        <w:t xml:space="preserve"> </w:t>
      </w:r>
      <w:r>
        <w:t xml:space="preserve">of becoming aware — a deadline that has long since passed. No EU or UK GDPR notification has been made or determined. (The policy’s Endorsement No. 5 broadens regulatory coverage to</w:t>
      </w:r>
      <w:r>
        <w:t xml:space="preserve"> </w:t>
      </w:r>
      <w:r>
        <w:t xml:space="preserve">“</w:t>
      </w:r>
      <w:r>
        <w:t xml:space="preserve">GDPR supervisory authorities and EU member state data protection authorities,</w:t>
      </w:r>
      <w:r>
        <w:t xml:space="preserve">”</w:t>
      </w:r>
      <w:r>
        <w:t xml:space="preserve"> </w:t>
      </w:r>
      <w:r>
        <w:t xml:space="preserve">but coverage does not discharge the notification obligation.) Canada and Mexico also maintain data-protection regimes with breach-notification or breach-recordkeeping obligations that should be assessed for the affected Canadian and Mexican customer records (Thorngate Interim Report §4.5).</w:t>
      </w:r>
    </w:p>
    <w:p>
      <w:pPr>
        <w:pStyle w:val="BodyText"/>
      </w:pPr>
      <w:r>
        <w:rPr>
          <w:b/>
          <w:bCs/>
        </w:rPr>
        <w:t xml:space="preserve">I-4. Defense and aerospace customer data raise additional federal-contracting and national-security considerations.</w:t>
      </w:r>
      <w:r>
        <w:t xml:space="preserve"> </w:t>
      </w:r>
      <w:r>
        <w:t xml:space="preserve">The exfiltrated data includes records of Harmon Defense Solutions and Crestfield Aerospace (Thorngate Interim Report §4.3; Customer Contract Excerpts). Defense and aerospace customer data may implicate federal contracting cybersecurity requirements (e.g., DFARS clause 252.204-7012, CMMC, and ITAR/export-control considerations) and bears on the Item 1.05 DOJ national-security delay analysis. These potential obligations should be investigated; the record confirms the defense/aerospace data exposure but does not confirm which federal regimes apply.</w:t>
      </w:r>
    </w:p>
    <w:bookmarkEnd w:id="32"/>
    <w:bookmarkStart w:id="33" w:name="X22071e1f53c241be65906ff3e49fad4dabf5174"/>
    <w:p>
      <w:pPr>
        <w:pStyle w:val="Heading3"/>
      </w:pPr>
      <w:r>
        <w:t xml:space="preserve">J. Disclosure-Accuracy Gaps (10-K Item 1C vs. Actual Control Environment)</w:t>
      </w:r>
    </w:p>
    <w:p>
      <w:pPr>
        <w:pStyle w:val="FirstParagraph"/>
      </w:pPr>
      <w:r>
        <w:rPr>
          <w:b/>
          <w:bCs/>
        </w:rPr>
        <w:t xml:space="preserve">J-1. The 10-K represents MFA for remote access as an implemented control, but it was not enforced for third-party VPN.</w:t>
      </w:r>
      <w:r>
        <w:t xml:space="preserve"> </w:t>
      </w:r>
      <w:r>
        <w:t xml:space="preserve">The 10-K Item 1C states the Company</w:t>
      </w:r>
      <w:r>
        <w:t xml:space="preserve"> </w:t>
      </w:r>
      <w:r>
        <w:t xml:space="preserve">“</w:t>
      </w:r>
      <w:r>
        <w:t xml:space="preserve">has implemented access management controls, including role-based access controls, privileged access management, and multi-factor authentication for access to critical information systems, remote access connections, and administrative accounts</w:t>
      </w:r>
      <w:r>
        <w:t xml:space="preserve">”</w:t>
      </w:r>
      <w:r>
        <w:t xml:space="preserve"> </w:t>
      </w:r>
      <w:r>
        <w:t xml:space="preserve">(10-K Item 1C). The CIRP Section 4.1(d) likewise states</w:t>
      </w:r>
      <w:r>
        <w:t xml:space="preserve"> </w:t>
      </w:r>
      <w:r>
        <w:t xml:space="preserve">“</w:t>
      </w:r>
      <w:r>
        <w:t xml:space="preserve">Multi-factor authentication (MFA) is required for all VPN connections</w:t>
      </w:r>
      <w:r>
        <w:t xml:space="preserve">”</w:t>
      </w:r>
      <w:r>
        <w:t xml:space="preserve"> </w:t>
      </w:r>
      <w:r>
        <w:t xml:space="preserve">(CIRP §4.1(d)). Thorngate found the compromised third-party contractor VPN credential was</w:t>
      </w:r>
      <w:r>
        <w:t xml:space="preserve"> </w:t>
      </w:r>
      <w:r>
        <w:rPr>
          <w:b/>
          <w:bCs/>
        </w:rPr>
        <w:t xml:space="preserve">not</w:t>
      </w:r>
      <w:r>
        <w:t xml:space="preserve"> </w:t>
      </w:r>
      <w:r>
        <w:t xml:space="preserve">MFA-protected, and MFA was enforced on all VPN connections only as of November 20, 2024 — after the incident (Thorngate Interim Report §§3.1, 6.2). The disclosed control was not in fact operating as represented for third-party remote access. This is both a disclosure-accuracy issue and the root cause of the incident.</w:t>
      </w:r>
    </w:p>
    <w:p>
      <w:pPr>
        <w:pStyle w:val="BodyText"/>
      </w:pPr>
      <w:r>
        <w:rPr>
          <w:b/>
          <w:bCs/>
        </w:rPr>
        <w:t xml:space="preserve">J-2. The 10-K’s CIRP</w:t>
      </w:r>
      <w:r>
        <w:rPr>
          <w:b/>
          <w:bCs/>
        </w:rPr>
        <w:t xml:space="preserve"> </w:t>
      </w:r>
      <w:r>
        <w:rPr>
          <w:b/>
          <w:bCs/>
        </w:rPr>
        <w:t xml:space="preserve">“</w:t>
      </w:r>
      <w:r>
        <w:rPr>
          <w:b/>
          <w:bCs/>
        </w:rPr>
        <w:t xml:space="preserve">most recently reviewed in August 2023</w:t>
      </w:r>
      <w:r>
        <w:rPr>
          <w:b/>
          <w:bCs/>
        </w:rPr>
        <w:t xml:space="preserve">”</w:t>
      </w:r>
      <w:r>
        <w:rPr>
          <w:b/>
          <w:bCs/>
        </w:rPr>
        <w:t xml:space="preserve"> </w:t>
      </w:r>
      <w:r>
        <w:rPr>
          <w:b/>
          <w:bCs/>
        </w:rPr>
        <w:t xml:space="preserve">statement is misleading.</w:t>
      </w:r>
      <w:r>
        <w:t xml:space="preserve"> </w:t>
      </w:r>
      <w:r>
        <w:t xml:space="preserve">As detailed in Gap D-2, the August 2023 review was administrative only; the last substantive review was June 2022 (CIRP §1.4; Version History). The 10-K’s statement is technically accurate but omits the material qualification that no substantive review had occurred in over two years.</w:t>
      </w:r>
    </w:p>
    <w:p>
      <w:pPr>
        <w:pStyle w:val="BodyText"/>
      </w:pPr>
      <w:r>
        <w:rPr>
          <w:b/>
          <w:bCs/>
        </w:rPr>
        <w:t xml:space="preserve">J-3. The 10-K governance disclosures were not followed in practice.</w:t>
      </w:r>
      <w:r>
        <w:t xml:space="preserve"> </w:t>
      </w:r>
      <w:r>
        <w:t xml:space="preserve">The 10-K represents that escalation to the Board occurs</w:t>
      </w:r>
      <w:r>
        <w:t xml:space="preserve"> </w:t>
      </w:r>
      <w:r>
        <w:t xml:space="preserve">“</w:t>
      </w:r>
      <w:r>
        <w:t xml:space="preserve">in a timely manner</w:t>
      </w:r>
      <w:r>
        <w:t xml:space="preserve">”</w:t>
      </w:r>
      <w:r>
        <w:t xml:space="preserve"> </w:t>
      </w:r>
      <w:r>
        <w:t xml:space="preserve">for significant incidents and that</w:t>
      </w:r>
      <w:r>
        <w:t xml:space="preserve"> </w:t>
      </w:r>
      <w:r>
        <w:t xml:space="preserve">“</w:t>
      </w:r>
      <w:r>
        <w:t xml:space="preserve">Management consults with the General Counsel on cybersecurity-related legal and regulatory developments that may affect the Company’s operations or disclosure obligations</w:t>
      </w:r>
      <w:r>
        <w:t xml:space="preserve">”</w:t>
      </w:r>
      <w:r>
        <w:t xml:space="preserve"> </w:t>
      </w:r>
      <w:r>
        <w:t xml:space="preserve">(10-K Item 1C, Governance). In practice, the General Counsel was not informed until Day 2 (and only upon her return from travel), the CEO until Day 7, and the Audit Committee until Day 15 (Status Report §2; GC Email). The disclosed governance process did not function as described.</w:t>
      </w:r>
    </w:p>
    <w:p>
      <w:pPr>
        <w:pStyle w:val="BodyText"/>
      </w:pPr>
      <w:r>
        <w:rPr>
          <w:b/>
          <w:bCs/>
        </w:rPr>
        <w:t xml:space="preserve">J-4. The 10-K’s third-party risk-management description is inconsistent with the incident.</w:t>
      </w:r>
      <w:r>
        <w:t xml:space="preserve"> </w:t>
      </w:r>
      <w:r>
        <w:t xml:space="preserve">The 10-K describes third-party risk management through</w:t>
      </w:r>
      <w:r>
        <w:t xml:space="preserve"> </w:t>
      </w:r>
      <w:r>
        <w:t xml:space="preserve">“</w:t>
      </w:r>
      <w:r>
        <w:t xml:space="preserve">vendor due diligence, contractual protections, and ongoing monitoring</w:t>
      </w:r>
      <w:r>
        <w:t xml:space="preserve">”</w:t>
      </w:r>
      <w:r>
        <w:t xml:space="preserve"> </w:t>
      </w:r>
      <w:r>
        <w:t xml:space="preserve">(10-K Item 1C). The attack vector — a compromised third-party maintenance contractor VPN credential without MFA — reflects a failure of third-party access management and monitoring (Thorngate Interim Report §3.1; Status Report §3). The disclosed control did not prevent or detect the compromise until the ransomware deployment.</w:t>
      </w:r>
    </w:p>
    <w:p>
      <w:pPr>
        <w:pStyle w:val="BodyText"/>
      </w:pPr>
      <w:r>
        <w:rPr>
          <w:b/>
          <w:bCs/>
        </w:rPr>
        <w:t xml:space="preserve">J-5. The 10-K is silent on director cybersecurity expertise.</w:t>
      </w:r>
      <w:r>
        <w:t xml:space="preserve"> </w:t>
      </w:r>
      <w:r>
        <w:t xml:space="preserve">The 10-K Item 1C describes the Audit Committee’s oversight and the CISO’s qualifications, but does not address whether any director possesses cybersecurity expertise. While Item 106 does not mandate naming a cybersecurity-expert director, the SEC’s adopting release encourages such disclosure, and the silence is a disclosure-completeness consideration the Company should evaluate for the FY2024 10-K.</w:t>
      </w:r>
    </w:p>
    <w:bookmarkEnd w:id="33"/>
    <w:bookmarkStart w:id="34" w:name="X875d6cadd08f749cf83b070bb6eb47df8ed99e1"/>
    <w:p>
      <w:pPr>
        <w:pStyle w:val="Heading3"/>
      </w:pPr>
      <w:r>
        <w:t xml:space="preserve">K. Forward-Looking FY2024 10-K Disclosure Obligations</w:t>
      </w:r>
    </w:p>
    <w:p>
      <w:pPr>
        <w:pStyle w:val="FirstParagraph"/>
      </w:pPr>
      <w:r>
        <w:rPr>
          <w:b/>
          <w:bCs/>
        </w:rPr>
        <w:t xml:space="preserve">K-1. The FY2024 10-K Item 1C (Item 106) must address the incident if material.</w:t>
      </w:r>
      <w:r>
        <w:t xml:space="preserve"> </w:t>
      </w:r>
      <w:r>
        <w:t xml:space="preserve">If the incident is determined material, the FY2024 10-K (fiscal year ending December 31, 2024) must disclose the material impact (or reasonably likely material impact) on the Company’s business strategy, results of operations, and financial condition, and any material changes to the risk-management program, strategy, or governance (Item 106(b)(1)–(2)).</w:t>
      </w:r>
    </w:p>
    <w:p>
      <w:pPr>
        <w:pStyle w:val="BodyText"/>
      </w:pPr>
      <w:r>
        <w:rPr>
          <w:b/>
          <w:bCs/>
        </w:rPr>
        <w:t xml:space="preserve">K-2. Risk Factors (Item 1A / Item 105) may require updating.</w:t>
      </w:r>
      <w:r>
        <w:t xml:space="preserve"> </w:t>
      </w:r>
      <w:r>
        <w:t xml:space="preserve">The incident realized several disclosed risks — ransomware, third-party/supply-chain compromise, and data exfiltration. The risk factors should be updated to reflect the incident as a realized risk and to describe the resulting exposures (customer-contract, regulatory, litigation, reputational).</w:t>
      </w:r>
    </w:p>
    <w:p>
      <w:pPr>
        <w:pStyle w:val="BodyText"/>
      </w:pPr>
      <w:r>
        <w:rPr>
          <w:b/>
          <w:bCs/>
        </w:rPr>
        <w:t xml:space="preserve">K-3. MD&amp;A (Item 303) must address the financial and operational impact.</w:t>
      </w:r>
      <w:r>
        <w:t xml:space="preserve"> </w:t>
      </w:r>
      <w:r>
        <w:t xml:space="preserve">The approximately $4.5 million in costs, the business disruption (manual workarounds, delayed order processing), the insurance recovery (and the late-notice/coverage uncertainty), and the customer-contractual and regulatory exposures should be discussed in MD&amp;A to the extent material, including known trends and uncertainties.</w:t>
      </w:r>
    </w:p>
    <w:p>
      <w:pPr>
        <w:pStyle w:val="BodyText"/>
      </w:pPr>
      <w:r>
        <w:rPr>
          <w:b/>
          <w:bCs/>
        </w:rPr>
        <w:t xml:space="preserve">K-4. The FY2023 10-K’s</w:t>
      </w:r>
      <w:r>
        <w:rPr>
          <w:b/>
          <w:bCs/>
        </w:rPr>
        <w:t xml:space="preserve"> </w:t>
      </w:r>
      <w:r>
        <w:rPr>
          <w:b/>
          <w:bCs/>
        </w:rPr>
        <w:t xml:space="preserve">“</w:t>
      </w:r>
      <w:r>
        <w:rPr>
          <w:b/>
          <w:bCs/>
        </w:rPr>
        <w:t xml:space="preserve">no material cybersecurity incidents</w:t>
      </w:r>
      <w:r>
        <w:rPr>
          <w:b/>
          <w:bCs/>
        </w:rPr>
        <w:t xml:space="preserve">”</w:t>
      </w:r>
      <w:r>
        <w:rPr>
          <w:b/>
          <w:bCs/>
        </w:rPr>
        <w:t xml:space="preserve"> </w:t>
      </w:r>
      <w:r>
        <w:rPr>
          <w:b/>
          <w:bCs/>
        </w:rPr>
        <w:t xml:space="preserve">statement must not be repeated without addressing this incident.</w:t>
      </w:r>
      <w:r>
        <w:t xml:space="preserve"> </w:t>
      </w:r>
      <w:r>
        <w:t xml:space="preserve">The FY2023 10-K states that</w:t>
      </w:r>
      <w:r>
        <w:t xml:space="preserve"> </w:t>
      </w:r>
      <w:r>
        <w:t xml:space="preserve">“</w:t>
      </w:r>
      <w:r>
        <w:t xml:space="preserve">as of the date of this filing, the Company has not experienced any cybersecurity incidents that have materially affected, or are reasonably likely to materially affect, the Company’s business strategy, results of operations, or financial condition</w:t>
      </w:r>
      <w:r>
        <w:t xml:space="preserve">”</w:t>
      </w:r>
      <w:r>
        <w:t xml:space="preserve"> </w:t>
      </w:r>
      <w:r>
        <w:t xml:space="preserve">(10-K Item 1C). That statement was accurate as of February 28, 2024, but the FY2024 10-K must not repeat it without disclosing and addressing the November 2024 incident.</w:t>
      </w:r>
    </w:p>
    <w:bookmarkEnd w:id="34"/>
    <w:bookmarkStart w:id="35" w:name="X6ca754dd708aeb4f2b78564f5a89ff4351889ee"/>
    <w:p>
      <w:pPr>
        <w:pStyle w:val="Heading3"/>
      </w:pPr>
      <w:r>
        <w:t xml:space="preserve">L. Selective-Disclosure / Regulation FD Considerations</w:t>
      </w:r>
    </w:p>
    <w:p>
      <w:pPr>
        <w:pStyle w:val="FirstParagraph"/>
      </w:pPr>
      <w:r>
        <w:rPr>
          <w:b/>
          <w:bCs/>
        </w:rPr>
        <w:t xml:space="preserve">L-1. The December 3 email to the Audit Committee Chair raises timing and oversight concerns.</w:t>
      </w:r>
      <w:r>
        <w:t xml:space="preserve"> </w:t>
      </w:r>
      <w:r>
        <w:t xml:space="preserve">Board and Audit Committee communications are generally exempt from Regulation FD, but the 15-day delay and the deferral of substantive discussion to the January 22, 2025 regular meeting (GC Email) raise concerns about whether the Board is being informed in time to oversee disclosure decisions. The single email is the only Board-level communication to date.</w:t>
      </w:r>
    </w:p>
    <w:p>
      <w:pPr>
        <w:pStyle w:val="BodyText"/>
      </w:pPr>
      <w:r>
        <w:rPr>
          <w:b/>
          <w:bCs/>
        </w:rPr>
        <w:t xml:space="preserve">L-2. Forward-looking Regulation FD risk when customer and M&amp;A communications occur.</w:t>
      </w:r>
      <w:r>
        <w:t xml:space="preserve"> </w:t>
      </w:r>
      <w:r>
        <w:t xml:space="preserve">When customer notifications are issued and when the Kessler counterparty/advisor are informed, the Company must manage the selective disclosure of material nonpublic information about the incident to avoid Regulation FD violations. Any communications outside the Reg FD exemptions (e.g., to customers, transaction counterparties, or other non-exempt parties) should be coordinated with disclosure counsel and, where appropriate, preceded or accompanied by public disclosure.</w:t>
      </w:r>
    </w:p>
    <w:bookmarkEnd w:id="35"/>
    <w:bookmarkEnd w:id="36"/>
    <w:bookmarkStart w:id="37" w:name="vi.-preliminary-materiality-assessment"/>
    <w:p>
      <w:pPr>
        <w:pStyle w:val="Heading2"/>
      </w:pPr>
      <w:r>
        <w:t xml:space="preserve">VI. Preliminary Materiality Assessment</w:t>
      </w:r>
    </w:p>
    <w:p>
      <w:pPr>
        <w:pStyle w:val="FirstParagraph"/>
      </w:pPr>
      <w:r>
        <w:t xml:space="preserve">Applying the</w:t>
      </w:r>
      <w:r>
        <w:t xml:space="preserve"> </w:t>
      </w:r>
      <w:r>
        <w:rPr>
          <w:i/>
          <w:iCs/>
        </w:rPr>
        <w:t xml:space="preserve">Basic v. Levinson</w:t>
      </w:r>
      <w:r>
        <w:t xml:space="preserve"> </w:t>
      </w:r>
      <w:r>
        <w:t xml:space="preserve">“</w:t>
      </w:r>
      <w:r>
        <w:t xml:space="preserve">total mix</w:t>
      </w:r>
      <w:r>
        <w:t xml:space="preserve">”</w:t>
      </w:r>
      <w:r>
        <w:t xml:space="preserve"> </w:t>
      </w:r>
      <w:r>
        <w:t xml:space="preserve">standard and the SEC’s adopting-release guidance, the qualitative factors strongly indicate that a reasonable investor would consider this incident important. The quantitative impact (~$4.5M; ~1.45% of EBITDA) is, standing alone, unlikely to be material, but materiality here is driven by qualitative factors, any one of which may be material:</w:t>
      </w:r>
    </w:p>
    <w:p>
      <w:pPr>
        <w:pStyle w:val="Compact"/>
        <w:numPr>
          <w:ilvl w:val="0"/>
          <w:numId w:val="1004"/>
        </w:numPr>
      </w:pPr>
      <w:r>
        <w:rPr>
          <w:b/>
          <w:bCs/>
        </w:rPr>
        <w:t xml:space="preserve">Customer-data compromise</w:t>
      </w:r>
      <w:r>
        <w:t xml:space="preserve"> </w:t>
      </w:r>
      <w:r>
        <w:t xml:space="preserve">— unencrypted ACH banking information, PII, and contract pricing for ~4,200 accounts, including top customers (38% of revenue).</w:t>
      </w:r>
    </w:p>
    <w:p>
      <w:pPr>
        <w:pStyle w:val="Compact"/>
        <w:numPr>
          <w:ilvl w:val="0"/>
          <w:numId w:val="1004"/>
        </w:numPr>
      </w:pPr>
      <w:r>
        <w:rPr>
          <w:b/>
          <w:bCs/>
        </w:rPr>
        <w:t xml:space="preserve">Operational disruption</w:t>
      </w:r>
      <w:r>
        <w:t xml:space="preserve"> </w:t>
      </w:r>
      <w:r>
        <w:t xml:space="preserve">— encryption of core ERP finance, procurement, and order-management modules with manual workarounds spanning fiscal year-end.</w:t>
      </w:r>
    </w:p>
    <w:p>
      <w:pPr>
        <w:pStyle w:val="Compact"/>
        <w:numPr>
          <w:ilvl w:val="0"/>
          <w:numId w:val="1004"/>
        </w:numPr>
      </w:pPr>
      <w:r>
        <w:rPr>
          <w:b/>
          <w:bCs/>
        </w:rPr>
        <w:t xml:space="preserve">Contractual exposure</w:t>
      </w:r>
      <w:r>
        <w:t xml:space="preserve"> </w:t>
      </w:r>
      <w:r>
        <w:t xml:space="preserve">— breached 48-hour notification deadlines under three major contracts, with $500,000 liquidated damages (Harmon), immediate termination and payment-suspension rights (Crestfield), and 24-month future-business exclusion (Nexagen).</w:t>
      </w:r>
    </w:p>
    <w:p>
      <w:pPr>
        <w:pStyle w:val="Compact"/>
        <w:numPr>
          <w:ilvl w:val="0"/>
          <w:numId w:val="1004"/>
        </w:numPr>
      </w:pPr>
      <w:r>
        <w:rPr>
          <w:b/>
          <w:bCs/>
        </w:rPr>
        <w:t xml:space="preserve">Regulatory exposure</w:t>
      </w:r>
      <w:r>
        <w:t xml:space="preserve"> </w:t>
      </w:r>
      <w:r>
        <w:t xml:space="preserve">— state breach-notification statutes across 38+ states and GDPR (Germany, UK) notification obligations, plus potential federal-contracting implications for defense/aerospace customer data.</w:t>
      </w:r>
    </w:p>
    <w:p>
      <w:pPr>
        <w:pStyle w:val="Compact"/>
        <w:numPr>
          <w:ilvl w:val="0"/>
          <w:numId w:val="1004"/>
        </w:numPr>
      </w:pPr>
      <w:r>
        <w:rPr>
          <w:b/>
          <w:bCs/>
        </w:rPr>
        <w:t xml:space="preserve">Pending acquisition</w:t>
      </w:r>
      <w:r>
        <w:t xml:space="preserve"> </w:t>
      </w:r>
      <w:r>
        <w:t xml:space="preserve">— potential impact on the $425 million Kessler transaction.</w:t>
      </w:r>
    </w:p>
    <w:p>
      <w:pPr>
        <w:pStyle w:val="Compact"/>
        <w:numPr>
          <w:ilvl w:val="0"/>
          <w:numId w:val="1004"/>
        </w:numPr>
      </w:pPr>
      <w:r>
        <w:rPr>
          <w:b/>
          <w:bCs/>
        </w:rPr>
        <w:t xml:space="preserve">Insurance uncertainty</w:t>
      </w:r>
      <w:r>
        <w:t xml:space="preserve"> </w:t>
      </w:r>
      <w:r>
        <w:t xml:space="preserve">— late-notice reservation of rights and a potentially false MFA warranty that could void coverage.</w:t>
      </w:r>
    </w:p>
    <w:p>
      <w:pPr>
        <w:pStyle w:val="Compact"/>
        <w:numPr>
          <w:ilvl w:val="0"/>
          <w:numId w:val="1004"/>
        </w:numPr>
      </w:pPr>
      <w:r>
        <w:rPr>
          <w:b/>
          <w:bCs/>
        </w:rPr>
        <w:t xml:space="preserve">Reputational harm</w:t>
      </w:r>
      <w:r>
        <w:t xml:space="preserve"> </w:t>
      </w:r>
      <w:r>
        <w:t xml:space="preserve">— disclosure of customer banking data to a threat actor and possible dark-web publication.</w:t>
      </w:r>
    </w:p>
    <w:p>
      <w:pPr>
        <w:pStyle w:val="FirstParagraph"/>
      </w:pPr>
      <w:r>
        <w:rPr>
          <w:b/>
          <w:bCs/>
        </w:rPr>
        <w:t xml:space="preserve">Conclusion:</w:t>
      </w:r>
      <w:r>
        <w:t xml:space="preserve"> </w:t>
      </w:r>
      <w:r>
        <w:t xml:space="preserve">The Company should presume a meaningful probability that the incident is material and should conduct and document a formal materiality determination immediately, with disclosure counsel and the certifying officers, followed by a Form 8-K within four (4) business days if materiality is determined. The absence of any determination to date is itself the principal compliance gap.</w:t>
      </w:r>
    </w:p>
    <w:bookmarkEnd w:id="37"/>
    <w:bookmarkStart w:id="38" w:name="vii.-summary-of-gaps-by-priority"/>
    <w:p>
      <w:pPr>
        <w:pStyle w:val="Heading2"/>
      </w:pPr>
      <w:r>
        <w:t xml:space="preserve">VII. Summary of Gaps by Priority</w:t>
      </w:r>
    </w:p>
    <w:tbl>
      <w:tblPr>
        <w:tblStyle w:val="Table"/>
        <w:tblW w:type="pct" w:w="5000"/>
        <w:jc w:val="left"/>
        <w:tblLayout w:type="fixed"/>
        <w:tblLook w:firstRow="1" w:lastRow="0" w:firstColumn="0" w:lastColumn="0" w:noHBand="0" w:noVBand="0" w:val="0020"/>
      </w:tblPr>
      <w:tblGrid>
        <w:gridCol w:w="602"/>
        <w:gridCol w:w="2640"/>
        <w:gridCol w:w="4677"/>
      </w:tblGrid>
      <w:tr>
        <w:trPr>
          <w:tblHeader w:val="on"/>
        </w:trPr>
        <w:tc>
          <w:tcPr/>
          <w:p>
            <w:pPr>
              <w:pStyle w:val="Compact"/>
              <w:jc w:val="left"/>
            </w:pPr>
            <w:r>
              <w:t xml:space="preserve">Priority</w:t>
            </w:r>
          </w:p>
        </w:tc>
        <w:tc>
          <w:tcPr/>
          <w:p>
            <w:pPr>
              <w:pStyle w:val="Compact"/>
              <w:jc w:val="left"/>
            </w:pPr>
            <w:r>
              <w:t xml:space="preserve">Gap IDs</w:t>
            </w:r>
          </w:p>
        </w:tc>
        <w:tc>
          <w:tcPr/>
          <w:p>
            <w:pPr>
              <w:pStyle w:val="Compact"/>
              <w:jc w:val="left"/>
            </w:pPr>
            <w:r>
              <w:t xml:space="preserve">Description</w:t>
            </w:r>
          </w:p>
        </w:tc>
      </w:tr>
      <w:tr>
        <w:tc>
          <w:tcPr/>
          <w:p>
            <w:pPr>
              <w:pStyle w:val="Compact"/>
              <w:jc w:val="left"/>
            </w:pPr>
            <w:r>
              <w:rPr>
                <w:b/>
                <w:bCs/>
              </w:rPr>
              <w:t xml:space="preserve">Critical / Immediate</w:t>
            </w:r>
          </w:p>
        </w:tc>
        <w:tc>
          <w:tcPr/>
          <w:p>
            <w:pPr>
              <w:pStyle w:val="Compact"/>
              <w:jc w:val="left"/>
            </w:pPr>
            <w:r>
              <w:t xml:space="preserve">A-1, A-2, A-3, A-4, A-5, B-1, B-2, B-4, B-5, B-6, C-1, C-3, E-3, F-1, G-2</w:t>
            </w:r>
          </w:p>
        </w:tc>
        <w:tc>
          <w:tcPr/>
          <w:p>
            <w:pPr>
              <w:pStyle w:val="Compact"/>
              <w:jc w:val="left"/>
            </w:pPr>
            <w:r>
              <w:t xml:space="preserve">No materiality determination; no 8-K; no delay basis; determination cannot await forensics; insurance-Discovery vs. disclosure-awareness divergence; delayed escalation to GC/CEO; CFO absent from chain; customer-notification deadlines breached; MFA warranty/coverage risk.</w:t>
            </w:r>
          </w:p>
        </w:tc>
      </w:tr>
      <w:tr>
        <w:tc>
          <w:tcPr/>
          <w:p>
            <w:pPr>
              <w:pStyle w:val="Compact"/>
              <w:jc w:val="left"/>
            </w:pPr>
            <w:r>
              <w:rPr>
                <w:b/>
                <w:bCs/>
              </w:rPr>
              <w:t xml:space="preserve">High</w:t>
            </w:r>
          </w:p>
        </w:tc>
        <w:tc>
          <w:tcPr/>
          <w:p>
            <w:pPr>
              <w:pStyle w:val="Compact"/>
              <w:jc w:val="left"/>
            </w:pPr>
            <w:r>
              <w:t xml:space="preserve">A-6, C-2, C-4, C-5, C-6, C-7, D-4, D-5, D-6, D-10, E-1, E-2, E-4, F-2–F-4, F-7–F-15, G-1, G-3, G-4, G-7, G-8, H-1, H-2, I-1, I-3, J-1, J-3, K-1</w:t>
            </w:r>
          </w:p>
        </w:tc>
        <w:tc>
          <w:tcPr/>
          <w:p>
            <w:pPr>
              <w:pStyle w:val="Compact"/>
              <w:jc w:val="left"/>
            </w:pPr>
            <w:r>
              <w:t xml:space="preserve">Dark-web publication threat; full Board uninformed; CIRP escalation excludes Board/GC/CEO; no special Audit Committee meeting; Charter lacks cybersecurity provisions; MFA-reporting inconsistency; ICFR/auditor notification; full set of customer-contract breaches + incomplete contract review; state/EU-UK GDPR notifications; claims-made expiry; nation-state exclusion risk; 10-K accuracy (MFA, governance).</w:t>
            </w:r>
          </w:p>
        </w:tc>
      </w:tr>
      <w:tr>
        <w:tc>
          <w:tcPr/>
          <w:p>
            <w:pPr>
              <w:pStyle w:val="Compact"/>
              <w:jc w:val="left"/>
            </w:pPr>
            <w:r>
              <w:rPr>
                <w:b/>
                <w:bCs/>
              </w:rPr>
              <w:t xml:space="preserve">Medium</w:t>
            </w:r>
          </w:p>
        </w:tc>
        <w:tc>
          <w:tcPr/>
          <w:p>
            <w:pPr>
              <w:pStyle w:val="Compact"/>
              <w:jc w:val="left"/>
            </w:pPr>
            <w:r>
              <w:t xml:space="preserve">B-3, D-1, D-2, D-3, D-7, D-8, D-9, E-5, F-5, F-6, G-5, G-6, I-2, I-4, J-2, J-4, J-5, K-2, K-3, K-4, L-1, L-2</w:t>
            </w:r>
          </w:p>
        </w:tc>
        <w:tc>
          <w:tcPr/>
          <w:p>
            <w:pPr>
              <w:pStyle w:val="Compact"/>
              <w:jc w:val="left"/>
            </w:pPr>
            <w:r>
              <w:t xml:space="preserve">Untested CIRP; misleading review date; OT scope; IRT activation delay + activation-record discrepancy; consent-to-incur; encryption-at-rest; risk-factor/MD&amp;A updates; Reg FD forward-looking.</w:t>
            </w:r>
          </w:p>
        </w:tc>
      </w:tr>
    </w:tbl>
    <w:bookmarkEnd w:id="38"/>
    <w:bookmarkStart w:id="42" w:name="viii.-recommended-remediation-actions"/>
    <w:p>
      <w:pPr>
        <w:pStyle w:val="Heading2"/>
      </w:pPr>
      <w:r>
        <w:t xml:space="preserve">VIII. Recommended Remediation Actions</w:t>
      </w:r>
    </w:p>
    <w:bookmarkStart w:id="39" w:name="immediate-within-14-business-days"/>
    <w:p>
      <w:pPr>
        <w:pStyle w:val="Heading3"/>
      </w:pPr>
      <w:r>
        <w:t xml:space="preserve">Immediate (within 1–4 business days)</w:t>
      </w:r>
    </w:p>
    <w:p>
      <w:pPr>
        <w:pStyle w:val="Compact"/>
        <w:numPr>
          <w:ilvl w:val="0"/>
          <w:numId w:val="1005"/>
        </w:numPr>
      </w:pPr>
      <w:r>
        <w:rPr>
          <w:b/>
          <w:bCs/>
        </w:rPr>
        <w:t xml:space="preserve">Convene a materiality-determination meeting</w:t>
      </w:r>
      <w:r>
        <w:t xml:space="preserve"> </w:t>
      </w:r>
      <w:r>
        <w:t xml:space="preserve">with the General Counsel, CTO, CISO, CFO, CEO, and outside securities counsel (Hollister Marsh LLP). Document the analysis of quantitative and qualitative factors, including the active dark-web publication threat. Make the determination based on information currently available — do not defer pending the December 20, 2024 or January 17, 2025 forensic reports. (Addresses A-1, A-5, A-6, B-1, B-5, B-6.)</w:t>
      </w:r>
    </w:p>
    <w:p>
      <w:pPr>
        <w:pStyle w:val="Compact"/>
        <w:numPr>
          <w:ilvl w:val="0"/>
          <w:numId w:val="1005"/>
        </w:numPr>
      </w:pPr>
      <w:r>
        <w:rPr>
          <w:b/>
          <w:bCs/>
        </w:rPr>
        <w:t xml:space="preserve">File a Form 8-K under Item 1.05 within four (4) business days</w:t>
      </w:r>
      <w:r>
        <w:t xml:space="preserve"> </w:t>
      </w:r>
      <w:r>
        <w:t xml:space="preserve">of a materiality determination, describing the nature, scope, timing, and material impact of the incident. (Addresses A-2, A-4.)</w:t>
      </w:r>
    </w:p>
    <w:p>
      <w:pPr>
        <w:pStyle w:val="Compact"/>
        <w:numPr>
          <w:ilvl w:val="0"/>
          <w:numId w:val="1005"/>
        </w:numPr>
      </w:pPr>
      <w:r>
        <w:rPr>
          <w:b/>
          <w:bCs/>
        </w:rPr>
        <w:t xml:space="preserve">Notify the CFO and ensure both certifying officers are fully briefed</w:t>
      </w:r>
      <w:r>
        <w:t xml:space="preserve">; evaluate disclosure-controls and procedures effectiveness and document the conclusion. (Addresses E-3, E-4, B-3.)</w:t>
      </w:r>
    </w:p>
    <w:p>
      <w:pPr>
        <w:pStyle w:val="Compact"/>
        <w:numPr>
          <w:ilvl w:val="0"/>
          <w:numId w:val="1005"/>
        </w:numPr>
      </w:pPr>
      <w:r>
        <w:rPr>
          <w:b/>
          <w:bCs/>
        </w:rPr>
        <w:t xml:space="preserve">Call a special Audit Committee meeting</w:t>
      </w:r>
      <w:r>
        <w:t xml:space="preserve"> </w:t>
      </w:r>
      <w:r>
        <w:t xml:space="preserve">to review the incident, the materiality determination, and disclosure-controls conclusions; provide the Audit Committee with the Thorngate Interim Report and Status Report; and ensure the full Board is informed through the Committee’s report to the Board. (Addresses C-1, C-4, C-7, B-4.)</w:t>
      </w:r>
    </w:p>
    <w:p>
      <w:pPr>
        <w:pStyle w:val="Compact"/>
        <w:numPr>
          <w:ilvl w:val="0"/>
          <w:numId w:val="1005"/>
        </w:numPr>
      </w:pPr>
      <w:r>
        <w:rPr>
          <w:b/>
          <w:bCs/>
        </w:rPr>
        <w:t xml:space="preserve">Notify the independent auditor (Greystone &amp; Associates LLP)</w:t>
      </w:r>
      <w:r>
        <w:t xml:space="preserve"> </w:t>
      </w:r>
      <w:r>
        <w:t xml:space="preserve">of the incident and its ICFR impact. (Addresses E-2.)</w:t>
      </w:r>
    </w:p>
    <w:p>
      <w:pPr>
        <w:pStyle w:val="Compact"/>
        <w:numPr>
          <w:ilvl w:val="0"/>
          <w:numId w:val="1005"/>
        </w:numPr>
      </w:pPr>
      <w:r>
        <w:rPr>
          <w:b/>
          <w:bCs/>
        </w:rPr>
        <w:t xml:space="preserve">Assess and begin customer notifications</w:t>
      </w:r>
      <w:r>
        <w:t xml:space="preserve"> </w:t>
      </w:r>
      <w:r>
        <w:t xml:space="preserve">under the Harmon, Crestfield, and Nexagen contracts; coordinate with Thorngate on scope; engage a Crestfield-acceptable independent forensic investigator if required; and satisfy the ongoing update, cooperation/access, dual-channel, preliminary-report, and final-report obligations (Harmon §9.4(c)–(d); Crestfield §12.2(b)(vi), (c); Nexagen §7.8(b)–(d)). (Addresses F-1, F-5, F-6, F-8, F-9, F-10, F-11, F-12, F-13.)</w:t>
      </w:r>
    </w:p>
    <w:bookmarkEnd w:id="39"/>
    <w:bookmarkStart w:id="40" w:name="near-term-within-12-weeks"/>
    <w:p>
      <w:pPr>
        <w:pStyle w:val="Heading3"/>
      </w:pPr>
      <w:r>
        <w:t xml:space="preserve">Near-Term (within 1–2 weeks)</w:t>
      </w:r>
    </w:p>
    <w:p>
      <w:pPr>
        <w:pStyle w:val="Compact"/>
        <w:numPr>
          <w:ilvl w:val="0"/>
          <w:numId w:val="1006"/>
        </w:numPr>
      </w:pPr>
      <w:r>
        <w:rPr>
          <w:b/>
          <w:bCs/>
        </w:rPr>
        <w:t xml:space="preserve">Complete the state and EU/UK GDPR breach-notification analysis</w:t>
      </w:r>
      <w:r>
        <w:t xml:space="preserve"> </w:t>
      </w:r>
      <w:r>
        <w:t xml:space="preserve">and file required notifications; engage privacy counsel for the multi-jurisdictional (38+ U.S. states; EU GDPR for Germany; UK GDPR/ICO for the United Kingdom; plus Canada and Mexico) assessment. (Addresses I-1, I-2, I-3.)</w:t>
      </w:r>
    </w:p>
    <w:p>
      <w:pPr>
        <w:pStyle w:val="Compact"/>
        <w:numPr>
          <w:ilvl w:val="0"/>
          <w:numId w:val="1006"/>
        </w:numPr>
      </w:pPr>
      <w:r>
        <w:rPr>
          <w:b/>
          <w:bCs/>
        </w:rPr>
        <w:t xml:space="preserve">Assess the impact on the Kessler acquisition</w:t>
      </w:r>
      <w:r>
        <w:t xml:space="preserve"> </w:t>
      </w:r>
      <w:r>
        <w:t xml:space="preserve">and notify the counterparty and Canfield Cromdale as appropriate; coordinate disclosure with any transaction-related filings. (Addresses H-1, H-2, L-2.)</w:t>
      </w:r>
    </w:p>
    <w:p>
      <w:pPr>
        <w:pStyle w:val="Compact"/>
        <w:numPr>
          <w:ilvl w:val="0"/>
          <w:numId w:val="1006"/>
        </w:numPr>
      </w:pPr>
      <w:r>
        <w:rPr>
          <w:b/>
          <w:bCs/>
        </w:rPr>
        <w:t xml:space="preserve">Address the cyber-insurance coverage risks</w:t>
      </w:r>
      <w:r>
        <w:t xml:space="preserve">: respond to Ridgeline’s reservation of rights; analyze the MFA-warranty, security-standards-exclusion, and hostile-nation-state-exclusion exposure with coverage counsel; document consent-to-incur-costs compliance; and confirm whether an extended reporting period (tail) exists before the claims-made policy expires on December 31, 2024. (Addresses G-1, G-2, G-3, G-5, G-7, G-8.)</w:t>
      </w:r>
    </w:p>
    <w:p>
      <w:pPr>
        <w:pStyle w:val="Compact"/>
        <w:numPr>
          <w:ilvl w:val="0"/>
          <w:numId w:val="1006"/>
        </w:numPr>
      </w:pPr>
      <w:r>
        <w:rPr>
          <w:b/>
          <w:bCs/>
        </w:rPr>
        <w:t xml:space="preserve">Notify the Board (full Board) of the incident</w:t>
      </w:r>
      <w:r>
        <w:t xml:space="preserve"> </w:t>
      </w:r>
      <w:r>
        <w:t xml:space="preserve">beyond the Audit Committee Chair, consistent with the 10-K’s disclosed escalation process. (Addresses C-1, C-7, J-3.)</w:t>
      </w:r>
    </w:p>
    <w:p>
      <w:pPr>
        <w:pStyle w:val="Compact"/>
        <w:numPr>
          <w:ilvl w:val="0"/>
          <w:numId w:val="1006"/>
        </w:numPr>
      </w:pPr>
      <w:r>
        <w:rPr>
          <w:b/>
          <w:bCs/>
        </w:rPr>
        <w:t xml:space="preserve">Complete the customer-contract notification review</w:t>
      </w:r>
      <w:r>
        <w:t xml:space="preserve"> </w:t>
      </w:r>
      <w:r>
        <w:t xml:space="preserve">(top twenty contracts; full results expected December 10, 2024) to identify and satisfy all additional customer-notification obligations and quantify the full scope of breached deadlines. (Addresses F-15.)</w:t>
      </w:r>
    </w:p>
    <w:p>
      <w:pPr>
        <w:pStyle w:val="Compact"/>
        <w:numPr>
          <w:ilvl w:val="0"/>
          <w:numId w:val="1006"/>
        </w:numPr>
      </w:pPr>
      <w:r>
        <w:rPr>
          <w:b/>
          <w:bCs/>
        </w:rPr>
        <w:t xml:space="preserve">Engage or confirm dark-web monitoring</w:t>
      </w:r>
      <w:r>
        <w:t xml:space="preserve"> </w:t>
      </w:r>
      <w:r>
        <w:t xml:space="preserve">for LockStar 3.0-affiliated leak sites and underground marketplaces, and incorporate the live publication threat into the materiality determination and any customer/regulatory notifications. (Addresses A-6.)</w:t>
      </w:r>
    </w:p>
    <w:p>
      <w:pPr>
        <w:pStyle w:val="Compact"/>
        <w:numPr>
          <w:ilvl w:val="0"/>
          <w:numId w:val="1006"/>
        </w:numPr>
      </w:pPr>
      <w:r>
        <w:rPr>
          <w:b/>
          <w:bCs/>
        </w:rPr>
        <w:t xml:space="preserve">Reconcile the MFA-deployment and IRT-activation records</w:t>
      </w:r>
      <w:r>
        <w:t xml:space="preserve"> </w:t>
      </w:r>
      <w:r>
        <w:t xml:space="preserve">so that the CISO’s Status Report and the Thorngate report are consistent, and so the IRT activation record correctly cites CIRP §2.3 and reflects all designated roles, before any public disclosure of remediation status. (Addresses D-9, D-10.)</w:t>
      </w:r>
    </w:p>
    <w:bookmarkEnd w:id="40"/>
    <w:bookmarkStart w:id="41" w:name="structural-ongoing-within-3090-days"/>
    <w:p>
      <w:pPr>
        <w:pStyle w:val="Heading3"/>
      </w:pPr>
      <w:r>
        <w:t xml:space="preserve">Structural / Ongoing (within 30–90 days)</w:t>
      </w:r>
    </w:p>
    <w:p>
      <w:pPr>
        <w:pStyle w:val="Compact"/>
        <w:numPr>
          <w:ilvl w:val="0"/>
          <w:numId w:val="1007"/>
        </w:numPr>
      </w:pPr>
      <w:r>
        <w:rPr>
          <w:b/>
          <w:bCs/>
        </w:rPr>
        <w:t xml:space="preserve">Amend the CIRP escalation matrix</w:t>
      </w:r>
      <w:r>
        <w:t xml:space="preserve"> </w:t>
      </w:r>
      <w:r>
        <w:t xml:space="preserve">to make the General Counsel, CEO, CFO, and Board/Audit Committee</w:t>
      </w:r>
      <w:r>
        <w:t xml:space="preserve"> </w:t>
      </w:r>
      <w:r>
        <w:rPr>
          <w:b/>
          <w:bCs/>
        </w:rPr>
        <w:t xml:space="preserve">mandatory</w:t>
      </w:r>
      <w:r>
        <w:t xml:space="preserve"> </w:t>
      </w:r>
      <w:r>
        <w:t xml:space="preserve">(not optional) escalations for Tier 2 and Tier 3 incidents, with defined timeframes. (Addresses C-2, B-2, J-3.)</w:t>
      </w:r>
    </w:p>
    <w:p>
      <w:pPr>
        <w:pStyle w:val="Compact"/>
        <w:numPr>
          <w:ilvl w:val="0"/>
          <w:numId w:val="1007"/>
        </w:numPr>
      </w:pPr>
      <w:r>
        <w:rPr>
          <w:b/>
          <w:bCs/>
        </w:rPr>
        <w:t xml:space="preserve">Add a materiality-determination and SEC-disclosure process to the CIRP</w:t>
      </w:r>
      <w:r>
        <w:t xml:space="preserve">, including coordination with disclosure counsel and the Form 8-K filing workflow; remove the blanket exclusion of regulator/public communications from the CIRP scope. (Addresses D-4, B-1.)</w:t>
      </w:r>
    </w:p>
    <w:p>
      <w:pPr>
        <w:pStyle w:val="Compact"/>
        <w:numPr>
          <w:ilvl w:val="0"/>
          <w:numId w:val="1007"/>
        </w:numPr>
      </w:pPr>
      <w:r>
        <w:rPr>
          <w:b/>
          <w:bCs/>
        </w:rPr>
        <w:t xml:space="preserve">Revise the CIRP severity classification</w:t>
      </w:r>
      <w:r>
        <w:t xml:space="preserve"> </w:t>
      </w:r>
      <w:r>
        <w:t xml:space="preserve">to incorporate business-impact, data-compromise, regulatory, and materiality factors, not solely technical criteria. (Addresses D-5.)</w:t>
      </w:r>
    </w:p>
    <w:p>
      <w:pPr>
        <w:pStyle w:val="Compact"/>
        <w:numPr>
          <w:ilvl w:val="0"/>
          <w:numId w:val="1007"/>
        </w:numPr>
      </w:pPr>
      <w:r>
        <w:rPr>
          <w:b/>
          <w:bCs/>
        </w:rPr>
        <w:t xml:space="preserve">Add Legal, Communications, and Finance/CFO to the standing IRT</w:t>
      </w:r>
      <w:r>
        <w:t xml:space="preserve">, and correct the IRT activation record to cite CIRP §2.3 and reflect all designated roles. (Addresses D-6, D-9.)</w:t>
      </w:r>
    </w:p>
    <w:p>
      <w:pPr>
        <w:pStyle w:val="Compact"/>
        <w:numPr>
          <w:ilvl w:val="0"/>
          <w:numId w:val="1007"/>
        </w:numPr>
      </w:pPr>
      <w:r>
        <w:rPr>
          <w:b/>
          <w:bCs/>
        </w:rPr>
        <w:t xml:space="preserve">Schedule and conduct CIRP tabletop exercises</w:t>
      </w:r>
      <w:r>
        <w:t xml:space="preserve">; establish a recurring exercise cadence. (Addresses D-1.)</w:t>
      </w:r>
    </w:p>
    <w:p>
      <w:pPr>
        <w:pStyle w:val="Compact"/>
        <w:numPr>
          <w:ilvl w:val="0"/>
          <w:numId w:val="1007"/>
        </w:numPr>
      </w:pPr>
      <w:r>
        <w:rPr>
          <w:b/>
          <w:bCs/>
        </w:rPr>
        <w:t xml:space="preserve">Update the Audit Committee Charter</w:t>
      </w:r>
      <w:r>
        <w:t xml:space="preserve"> </w:t>
      </w:r>
      <w:r>
        <w:t xml:space="preserve">to expressly include cybersecurity-risk oversight, quarterly cybersecurity reporting, and incident-escalation responsibilities, reflecting the SEC cybersecurity rules. (Addresses C-5, C-6.)</w:t>
      </w:r>
    </w:p>
    <w:p>
      <w:pPr>
        <w:pStyle w:val="Compact"/>
        <w:numPr>
          <w:ilvl w:val="0"/>
          <w:numId w:val="1007"/>
        </w:numPr>
      </w:pPr>
      <w:r>
        <w:rPr>
          <w:b/>
          <w:bCs/>
        </w:rPr>
        <w:t xml:space="preserve">Implement MFA for all remote access (including all third-party VPN)</w:t>
      </w:r>
      <w:r>
        <w:t xml:space="preserve"> </w:t>
      </w:r>
      <w:r>
        <w:t xml:space="preserve">and verify the control matches the 10-K and policy-application representations; implement encryption at rest for sensitive customer financial data. (Addresses J-1, G-2, G-6, J-4.)</w:t>
      </w:r>
    </w:p>
    <w:p>
      <w:pPr>
        <w:pStyle w:val="Compact"/>
        <w:numPr>
          <w:ilvl w:val="0"/>
          <w:numId w:val="1007"/>
        </w:numPr>
      </w:pPr>
      <w:r>
        <w:rPr>
          <w:b/>
          <w:bCs/>
        </w:rPr>
        <w:t xml:space="preserve">Prepare FY2024 10-K disclosures</w:t>
      </w:r>
      <w:r>
        <w:t xml:space="preserve"> </w:t>
      </w:r>
      <w:r>
        <w:t xml:space="preserve">— Item 1C (Item 106), Risk Factors (Item 105), MD&amp;A (Item 303), and ICFR/disclosure-controls (Item 9A/307) — to address the incident and its impact, ensuring any remediation-status disclosure is consistent across the CISO and forensic reports. (Addresses K-1, K-2, K-3, K-4, E-1, E-5, D-10.)</w:t>
      </w:r>
    </w:p>
    <w:p>
      <w:pPr>
        <w:pStyle w:val="Compact"/>
        <w:numPr>
          <w:ilvl w:val="0"/>
          <w:numId w:val="1007"/>
        </w:numPr>
      </w:pPr>
      <w:r>
        <w:rPr>
          <w:b/>
          <w:bCs/>
        </w:rPr>
        <w:t xml:space="preserve">Conduct a post-incident review</w:t>
      </w:r>
      <w:r>
        <w:t xml:space="preserve"> </w:t>
      </w:r>
      <w:r>
        <w:t xml:space="preserve">under CIRP Phase 5 and update the risk-management program disclosures to reflect lessons learned. (Addresses D-1, K-1.)</w:t>
      </w:r>
    </w:p>
    <w:bookmarkEnd w:id="41"/>
    <w:bookmarkEnd w:id="42"/>
    <w:bookmarkStart w:id="43" w:name="ix.-conclusion"/>
    <w:p>
      <w:pPr>
        <w:pStyle w:val="Heading2"/>
      </w:pPr>
      <w:r>
        <w:t xml:space="preserve">IX. Conclusion</w:t>
      </w:r>
    </w:p>
    <w:p>
      <w:pPr>
        <w:pStyle w:val="FirstParagraph"/>
      </w:pPr>
      <w:r>
        <w:t xml:space="preserve">The record supports a conclusion that the Company is materially behind on its SEC cybersecurity-disclosure obligations for Incident INC-2024-0047. The most urgent gap is the absence of any materiality determination seventeen days after discovery of a Tier 3 incident with strong qualitative indicators of materiality — including an active dark-web publication threat — which blocks the Form 8-K filing obligation under Item 1.05 and cannot be deferred pending the completion of the forensic investigation. Compounding this are systemic gaps in escalation and disclosure-controls infrastructure (the CIRP escalation matrix excludes the Board, CEO, CFO, and General Counsel; the CFO was never informed; the Audit Committee Chair was informed on Day 15 and the full Board remains uninformed; insurance</w:t>
      </w:r>
      <w:r>
        <w:t xml:space="preserve"> </w:t>
      </w:r>
      <w:r>
        <w:t xml:space="preserve">“</w:t>
      </w:r>
      <w:r>
        <w:t xml:space="preserve">Discovery</w:t>
      </w:r>
      <w:r>
        <w:t xml:space="preserve">”</w:t>
      </w:r>
      <w:r>
        <w:t xml:space="preserve"> </w:t>
      </w:r>
      <w:r>
        <w:t xml:space="preserve">began on Day 0 while the disclosure apparatus was not engaged until Day 2), disclosure-accuracy discrepancies between the FY2023 10-K Item 1C and the actual control environment (most notably the MFA representation, compounded by inconsistent MFA-deployment reporting), breached customer-contract notification deadlines across at least three major contracts with an incomplete contract review leaving the full scope of breaches unknown, unaddressed state and EU/UK GDPR notification obligations, and significant cyber-insurance coverage risk arising from a potentially false policy-application warranty, a claims-made policy expiring December 31, 2024, and a potential hostile-nation-state exclusion. The Company should immediately convene the certifying officers and disclosure counsel to make and document a materiality determination, file a Form 8-K if material, and initiate the structural remediation outlined above.</w:t>
      </w:r>
    </w:p>
    <w:p>
      <w:pPr>
        <w:pStyle w:val="BodyText"/>
      </w:pPr>
      <w:r>
        <w:t xml:space="preserve">This memorandum is privileged and confidential, prepared at the direction of counsel in anticipation of litigation and for the purpose of providing legal advice. It should not be distributed outside the Office of the General Counsel and the Audit Committee without prior authorization.</w:t>
      </w:r>
    </w:p>
    <w:p>
      <w:pPr>
        <w:pStyle w:val="BodyText"/>
      </w:pPr>
      <w:r>
        <w:rPr>
          <w:i/>
          <w:iCs/>
        </w:rPr>
        <w:t xml:space="preserve">Prepared by Securities &amp; Disclosure Counsel, coordinating with Hollister Marsh LLP (Jonathan Beckett), December 6, 2024.</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2026-06-27T01:26:46Z</dcterms:created>
  <dcterms:modified xsi:type="dcterms:W3CDTF">2026-06-27T01:26:46Z</dcterms:modified>
</cp:coreProperties>
</file>

<file path=docProps/custom.xml><?xml version="1.0" encoding="utf-8"?>
<Properties xmlns="http://schemas.openxmlformats.org/officeDocument/2006/custom-properties" xmlns:vt="http://schemas.openxmlformats.org/officeDocument/2006/docPropsVTypes"/>
</file>