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hartwell-cabot-llp"/>
    <w:p>
      <w:pPr>
        <w:pStyle w:val="Heading1"/>
      </w:pPr>
      <w:r>
        <w:t xml:space="preserve">HARTWELL &amp; CABOT LLP</w:t>
      </w:r>
    </w:p>
    <w:bookmarkStart w:id="20" w:name="attorneys-at-law"/>
    <w:p>
      <w:pPr>
        <w:pStyle w:val="Heading2"/>
      </w:pPr>
      <w:r>
        <w:t xml:space="preserve">Attorneys at Law</w:t>
      </w:r>
    </w:p>
    <w:p>
      <w:pPr>
        <w:pStyle w:val="FirstParagraph"/>
      </w:pPr>
      <w:r>
        <w:rPr>
          <w:b/>
          <w:bCs/>
        </w:rPr>
        <w:t xml:space="preserve">One Gateway Center, Suite 2400, Newark, New Jersey 07102 · Tel (973) 555-8100</w:t>
      </w:r>
      <w:r>
        <w:t xml:space="preserve"> </w:t>
      </w:r>
      <w:r>
        <w:rPr>
          <w:b/>
          <w:bCs/>
        </w:rPr>
        <w:t xml:space="preserve">225 Franklin Street, 18th Floor, Boston, Massachusetts 02110 · Tel (617) 555-4200</w:t>
      </w:r>
    </w:p>
    <w:p>
      <w:r>
        <w:pict>
          <v:rect style="width:0;height:1.5pt" o:hralign="center" o:hrstd="t" o:hr="t"/>
        </w:pict>
      </w:r>
    </w:p>
    <w:p>
      <w:pPr>
        <w:pStyle w:val="FirstParagraph"/>
      </w:pPr>
      <w:r>
        <w:rPr>
          <w:b/>
          <w:bCs/>
        </w:rPr>
        <w:t xml:space="preserve">PRIVILEGED &amp; CONFIDENTIAL — 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Thorsen, Esq., Senior Vice President &amp; General Counsel, Vantage Logistics Group, Inc.</w:t>
            </w:r>
          </w:p>
        </w:tc>
      </w:tr>
      <w:tr>
        <w:tc>
          <w:tcPr/>
          <w:p>
            <w:pPr>
              <w:pStyle w:val="Compact"/>
              <w:jc w:val="left"/>
            </w:pPr>
            <w:r>
              <w:rPr>
                <w:b/>
                <w:bCs/>
              </w:rPr>
              <w:t xml:space="preserve">FROM:</w:t>
            </w:r>
          </w:p>
        </w:tc>
        <w:tc>
          <w:tcPr/>
          <w:p>
            <w:pPr>
              <w:pStyle w:val="Compact"/>
              <w:jc w:val="left"/>
            </w:pPr>
            <w:r>
              <w:t xml:space="preserve">Catherine Ng, Partner / Daniel Ikeda, Senior Associate, Hartwell &amp; Cabot LLP</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Multi-State Paid Leave Compliance Review — Gap Analysis and Prioritized Remediation Memorandum</w:t>
            </w:r>
          </w:p>
        </w:tc>
      </w:tr>
    </w:tbl>
    <w:p>
      <w:pPr>
        <w:pStyle w:val="BodyText"/>
      </w:pPr>
      <w:r>
        <w:t xml:space="preserve">cc: Marcus Delgado, Director of Human Resources, Vantage Logistics Group,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Hartwell &amp; Cabot LLP (</w:t>
      </w:r>
      <w:r>
        <w:t xml:space="preserve">“</w:t>
      </w:r>
      <w:r>
        <w:t xml:space="preserve">H&amp;C</w:t>
      </w:r>
      <w:r>
        <w:t xml:space="preserve">”</w:t>
      </w:r>
      <w:r>
        <w:t xml:space="preserve">) was retained by Vantage Logistics Group,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on April 14, 2025 to conduct a comprehensive multi-state compliance review of the Company’s paid leave policies and practices across seven jurisdictions — New Jersey, New York, and Connecticut (the</w:t>
      </w:r>
      <w:r>
        <w:t xml:space="preserve"> </w:t>
      </w:r>
      <w:r>
        <w:t xml:space="preserve">“</w:t>
      </w:r>
      <w:r>
        <w:t xml:space="preserve">current states,</w:t>
      </w:r>
      <w:r>
        <w:t xml:space="preserve">”</w:t>
      </w:r>
      <w:r>
        <w:t xml:space="preserve"> </w:t>
      </w:r>
      <w:r>
        <w:t xml:space="preserve">approximately 2,140 employees) and Massachusetts, Colorado, Oregon, and Washington (the</w:t>
      </w:r>
      <w:r>
        <w:t xml:space="preserve"> </w:t>
      </w:r>
      <w:r>
        <w:t xml:space="preserve">“</w:t>
      </w:r>
      <w:r>
        <w:t xml:space="preserve">expansion states,</w:t>
      </w:r>
      <w:r>
        <w:t xml:space="preserve">”</w:t>
      </w:r>
      <w:r>
        <w:t xml:space="preserve"> </w:t>
      </w:r>
      <w:r>
        <w:t xml:space="preserve">approximately 420 projected employees) — in connection with the Company’s planned eighteen-month expansion. This memorandum, together with the accompanying</w:t>
      </w:r>
      <w:r>
        <w:t xml:space="preserve"> </w:t>
      </w:r>
      <w:r>
        <w:rPr>
          <w:i/>
          <w:iCs/>
        </w:rPr>
        <w:t xml:space="preserve">Multi-State Compliance Matrix</w:t>
      </w:r>
      <w:r>
        <w:t xml:space="preserve"> </w:t>
      </w:r>
      <w:r>
        <w:t xml:space="preserve">(the</w:t>
      </w:r>
      <w:r>
        <w:t xml:space="preserve"> </w:t>
      </w:r>
      <w:r>
        <w:t xml:space="preserve">“</w:t>
      </w:r>
      <w:r>
        <w:t xml:space="preserve">Matrix</w:t>
      </w:r>
      <w:r>
        <w:t xml:space="preserve">”</w:t>
      </w:r>
      <w:r>
        <w:t xml:space="preserve">), constitutes H&amp;C’s gap analysis and prioritized remediation plan as contemplated by Section 2 of the engagement letter.</w:t>
      </w:r>
    </w:p>
    <w:p>
      <w:pPr>
        <w:pStyle w:val="BodyText"/>
      </w:pPr>
      <w:r>
        <w:t xml:space="preserve">The review identifies a substantial number of material compliance deficiencies. The Company’s Employee Handbook (Rev. January 15, 2022) was drafted primarily to address New Jersey and New York requirements, with only informal consideration of Connecticut, and it does not address any of the four expansion states. The Handbook’s leave policies are, in several respects, narrower than the laws of the states in which the Company already operates, and they are materially non-compliant with the laws of all four expansion states. In addition, the Company has not registered with the paid leave insurance program of any expansion state, its self-funded paid family leave benefit falls below the statutory minimum of every jurisdiction reviewed, and its administration of paid medical leave — through misdirection of employees to a voluntary, employee-paid short-term disability plan rather than to active state programs — has generated documented employee inquiries that presage regulatory exposure.</w:t>
      </w:r>
    </w:p>
    <w:p>
      <w:pPr>
        <w:pStyle w:val="BodyText"/>
      </w:pPr>
      <w:r>
        <w:t xml:space="preserve">H&amp;C has identified</w:t>
      </w:r>
      <w:r>
        <w:t xml:space="preserve"> </w:t>
      </w:r>
      <w:r>
        <w:rPr>
          <w:b/>
          <w:bCs/>
        </w:rPr>
        <w:t xml:space="preserve">four (4) Critical findings</w:t>
      </w:r>
      <w:r>
        <w:t xml:space="preserve">,</w:t>
      </w:r>
      <w:r>
        <w:t xml:space="preserve"> </w:t>
      </w:r>
      <w:r>
        <w:rPr>
          <w:b/>
          <w:bCs/>
        </w:rPr>
        <w:t xml:space="preserve">seven (7) High findings</w:t>
      </w:r>
      <w:r>
        <w:t xml:space="preserve">, and</w:t>
      </w:r>
      <w:r>
        <w:t xml:space="preserve"> </w:t>
      </w:r>
      <w:r>
        <w:rPr>
          <w:b/>
          <w:bCs/>
        </w:rPr>
        <w:t xml:space="preserve">ten (10) Moderate findings</w:t>
      </w:r>
      <w:r>
        <w:t xml:space="preserve">. The most urgent items are: (1) the pending New Jersey Department of Labor complaint (</w:t>
      </w:r>
      <w:r>
        <w:rPr>
          <w:i/>
          <w:iCs/>
        </w:rPr>
        <w:t xml:space="preserve">Carla Muñoz v. Vantage Logistics Group, Inc.</w:t>
      </w:r>
      <w:r>
        <w:t xml:space="preserve">, Case No. NJ-ESL-2025-04117), which reflects active legal exposure arising from an unlawfully narrow family-member definition and omitted covered uses under the New Jersey Earned Sick Leave Act; (2) the Colorado FAMLI registration, which is likely already overdue as to three remote Colorado employees hired in April 2025 and for which no private-employer opt-out exists; (3) the Massachusetts PFML registration, which must be completed by approximately June 1, 2025 to allow PinnacleHR Solutions, Inc. (</w:t>
      </w:r>
      <w:r>
        <w:t xml:space="preserve">“</w:t>
      </w:r>
      <w:r>
        <w:t xml:space="preserve">PinnacleHR</w:t>
      </w:r>
      <w:r>
        <w:t xml:space="preserve">”</w:t>
      </w:r>
      <w:r>
        <w:t xml:space="preserve">) its six-to-eight-week configuration lead time before the August 1, 2025 facility opening; and (4) the structural non-compliance of the Company’s self-funded paid family leave plan, which does not meet the equivalency threshold of any state and cannot serve as a substitute for Colorado’s mandatory program.</w:t>
      </w:r>
    </w:p>
    <w:p>
      <w:pPr>
        <w:pStyle w:val="BodyText"/>
      </w:pPr>
      <w:r>
        <w:t xml:space="preserve">The remediation plan in Part XI is calibrated to the Company’s facility-opening schedule and the July 1, 2025 target date for a revised Employee Handbook. Several action items require immediate commencement — particularly the Colorado and Massachusetts registrations — and H&amp;C recommends that the Company treat those items as operative upon receipt of this memorandum rather than awaiting the Company’s internal review cycle.</w:t>
      </w:r>
    </w:p>
    <w:bookmarkEnd w:id="21"/>
    <w:bookmarkStart w:id="22" w:name="ii.-background-and-scope"/>
    <w:p>
      <w:pPr>
        <w:pStyle w:val="Heading2"/>
      </w:pPr>
      <w:r>
        <w:t xml:space="preserve">II. Background and Scope</w:t>
      </w:r>
    </w:p>
    <w:p>
      <w:pPr>
        <w:pStyle w:val="FirstParagraph"/>
      </w:pPr>
      <w:r>
        <w:t xml:space="preserve">The Company is a Delaware corporation with its principal office in Edison, New Jersey. It currently operates in New Jersey (890 employees), New York (680 employees), and Connecticut (570 employees), and is expanding into Massachusetts (130 projected employees; Worcester facility opening August 1, 2025), Colorado (95 projected employees; Aurora facility opening November 1, 2025, with three remote employees hired in April 2025), Oregon (110 projected employees; Tigard facility opening February 1, 2026), and Washington (85 projected employees; Kent facility opening May 1, 2026). Total projected headcount upon completion of the expansion is approximately 2,560 employees, with total projected annual payroll of approximately $136.0 million.</w:t>
      </w:r>
    </w:p>
    <w:p>
      <w:pPr>
        <w:pStyle w:val="BodyText"/>
      </w:pPr>
      <w:r>
        <w:t xml:space="preserve">The Company’s payroll is administered by PinnacleHR, which currently withholds and remits employee-side contributions for New Jersey Family Leave Insurance (</w:t>
      </w:r>
      <w:r>
        <w:t xml:space="preserve">“</w:t>
      </w:r>
      <w:r>
        <w:t xml:space="preserve">NJ FLI</w:t>
      </w:r>
      <w:r>
        <w:t xml:space="preserve">”</w:t>
      </w:r>
      <w:r>
        <w:t xml:space="preserve">) and Temporary Disability Insurance (</w:t>
      </w:r>
      <w:r>
        <w:t xml:space="preserve">“</w:t>
      </w:r>
      <w:r>
        <w:t xml:space="preserve">NJ TDI</w:t>
      </w:r>
      <w:r>
        <w:t xml:space="preserve">”</w:t>
      </w:r>
      <w:r>
        <w:t xml:space="preserve">), New York Paid Family Leave (</w:t>
      </w:r>
      <w:r>
        <w:t xml:space="preserve">“</w:t>
      </w:r>
      <w:r>
        <w:t xml:space="preserve">NY PFL</w:t>
      </w:r>
      <w:r>
        <w:t xml:space="preserve">”</w:t>
      </w:r>
      <w:r>
        <w:t xml:space="preserve">) and Disability Benefits Law (</w:t>
      </w:r>
      <w:r>
        <w:t xml:space="preserve">“</w:t>
      </w:r>
      <w:r>
        <w:t xml:space="preserve">NY DBL</w:t>
      </w:r>
      <w:r>
        <w:t xml:space="preserve">”</w:t>
      </w:r>
      <w:r>
        <w:t xml:space="preserve">), and Connecticut Paid Leave (</w:t>
      </w:r>
      <w:r>
        <w:t xml:space="preserve">“</w:t>
      </w:r>
      <w:r>
        <w:t xml:space="preserve">CT PL</w:t>
      </w:r>
      <w:r>
        <w:t xml:space="preserve">”</w:t>
      </w:r>
      <w:r>
        <w:t xml:space="preserve">). PinnacleHR has confirmed that it cannot configure withholding in any expansion state until the Company completes employer registration with the applicable state agency and provides registration confirmation, and that its configuration lead time following receipt of such confirmation is approximately six to eight weeks. As of the date of this memorandum, the Company has not registered with the Massachusetts Paid Family and Medical Leave (</w:t>
      </w:r>
      <w:r>
        <w:t xml:space="preserve">“</w:t>
      </w:r>
      <w:r>
        <w:t xml:space="preserve">MA PFML</w:t>
      </w:r>
      <w:r>
        <w:t xml:space="preserve">”</w:t>
      </w:r>
      <w:r>
        <w:t xml:space="preserve">), Colorado Family and Medical Leave Insurance (</w:t>
      </w:r>
      <w:r>
        <w:t xml:space="preserve">“</w:t>
      </w:r>
      <w:r>
        <w:t xml:space="preserve">CO FAMLI</w:t>
      </w:r>
      <w:r>
        <w:t xml:space="preserve">”</w:t>
      </w:r>
      <w:r>
        <w:t xml:space="preserve">), Paid Leave Oregon (</w:t>
      </w:r>
      <w:r>
        <w:t xml:space="preserve">“</w:t>
      </w:r>
      <w:r>
        <w:t xml:space="preserve">PLO</w:t>
      </w:r>
      <w:r>
        <w:t xml:space="preserve">”</w:t>
      </w:r>
      <w:r>
        <w:t xml:space="preserve">), or Washington Paid Family and Medical Leave (</w:t>
      </w:r>
      <w:r>
        <w:t xml:space="preserve">“</w:t>
      </w:r>
      <w:r>
        <w:t xml:space="preserve">WA PFML</w:t>
      </w:r>
      <w:r>
        <w:t xml:space="preserve">”</w:t>
      </w:r>
      <w:r>
        <w:t xml:space="preserve">) programs.</w:t>
      </w:r>
    </w:p>
    <w:p>
      <w:pPr>
        <w:pStyle w:val="BodyText"/>
      </w:pPr>
      <w:r>
        <w:t xml:space="preserve">The Company self-funds a paid family leave benefit providing 50% of the employee’s average weekly wage, capped at $850 per week, for up to eight weeks per qualifying event. The Company has not filed a private-plan application in any state. The Company offers no employer-funded paid medical leave for an employee’s own serious health condition; it offers a voluntary, employee-paid short-term disability (</w:t>
      </w:r>
      <w:r>
        <w:t xml:space="preserve">“</w:t>
      </w:r>
      <w:r>
        <w:t xml:space="preserve">STD</w:t>
      </w:r>
      <w:r>
        <w:t xml:space="preserve">”</w:t>
      </w:r>
      <w:r>
        <w:t xml:space="preserve">) plan through Keystone Benefit Administrators, in which fewer than 30% of Connecticut hourly employees are enrolled.</w:t>
      </w:r>
    </w:p>
    <w:p>
      <w:pPr>
        <w:pStyle w:val="BodyText"/>
      </w:pPr>
      <w:r>
        <w:t xml:space="preserve">The scope of this engagement, the matters expressly excluded (including representation in the pending NJ DOL complaint, federal FMLA compliance, and local/municipal ordinances), and the Company’s representations are set forth in the engagement letter dated April 14, 2025, and are incorporated herein by reference.</w:t>
      </w:r>
    </w:p>
    <w:bookmarkEnd w:id="22"/>
    <w:bookmarkStart w:id="23" w:name="iii.-methodology-and-limitations"/>
    <w:p>
      <w:pPr>
        <w:pStyle w:val="Heading2"/>
      </w:pPr>
      <w:r>
        <w:t xml:space="preserve">III. Methodology and Limitations</w:t>
      </w:r>
    </w:p>
    <w:p>
      <w:pPr>
        <w:pStyle w:val="FirstParagraph"/>
      </w:pPr>
      <w:r>
        <w:t xml:space="preserve">H&amp;C’s analysis compares the Company’s current leave policies, as set forth in the Employee Handbook (Rev. January 15, 2022) and as implemented in practice (as documented in the HR expansion memorandum dated March 28, 2025, the internal HR/Legal email correspondence of March 2025, the PinnacleHR withholding summary dated April 10, 2025, and the leave-tracking spreadsheet sample), against the statutory and regulatory requirements of each of the seven jurisdictions. The Matrix sets forth the requirement-level comparison with color-coded gap indicators:</w:t>
      </w:r>
      <w:r>
        <w:t xml:space="preserve"> </w:t>
      </w:r>
      <w:r>
        <w:rPr>
          <w:b/>
          <w:bCs/>
        </w:rPr>
        <w:t xml:space="preserve">RED</w:t>
      </w:r>
      <w:r>
        <w:t xml:space="preserve"> </w:t>
      </w:r>
      <w:r>
        <w:t xml:space="preserve">(non-compliant),</w:t>
      </w:r>
      <w:r>
        <w:t xml:space="preserve"> </w:t>
      </w:r>
      <w:r>
        <w:rPr>
          <w:b/>
          <w:bCs/>
        </w:rPr>
        <w:t xml:space="preserve">YELLOW</w:t>
      </w:r>
      <w:r>
        <w:t xml:space="preserve"> </w:t>
      </w:r>
      <w:r>
        <w:t xml:space="preserve">(partially compliant or at risk), and</w:t>
      </w:r>
      <w:r>
        <w:t xml:space="preserve"> </w:t>
      </w:r>
      <w:r>
        <w:rPr>
          <w:b/>
          <w:bCs/>
        </w:rPr>
        <w:t xml:space="preserve">GREEN</w:t>
      </w:r>
      <w:r>
        <w:t xml:space="preserve"> </w:t>
      </w:r>
      <w:r>
        <w:t xml:space="preserve">(compliant).</w:t>
      </w:r>
    </w:p>
    <w:p>
      <w:pPr>
        <w:pStyle w:val="BodyText"/>
      </w:pPr>
      <w:r>
        <w:t xml:space="preserve">Each deficiency in this memorandum is categorized by severity using the framework set forth in the engagement letter:</w:t>
      </w:r>
    </w:p>
    <w:p>
      <w:pPr>
        <w:pStyle w:val="Compact"/>
        <w:numPr>
          <w:ilvl w:val="0"/>
          <w:numId w:val="1001"/>
        </w:numPr>
      </w:pPr>
      <w:r>
        <w:rPr>
          <w:b/>
          <w:bCs/>
        </w:rPr>
        <w:t xml:space="preserve">Critical:</w:t>
      </w:r>
      <w:r>
        <w:t xml:space="preserve"> </w:t>
      </w:r>
      <w:r>
        <w:t xml:space="preserve">Active legal exposure exists, an imminent regulatory deadline is at risk, or the deficiency has already resulted in, or is likely to imminently result in, regulatory action, penalties, or litigation.</w:t>
      </w:r>
    </w:p>
    <w:p>
      <w:pPr>
        <w:pStyle w:val="Compact"/>
        <w:numPr>
          <w:ilvl w:val="0"/>
          <w:numId w:val="1001"/>
        </w:numPr>
      </w:pPr>
      <w:r>
        <w:rPr>
          <w:b/>
          <w:bCs/>
        </w:rPr>
        <w:t xml:space="preserve">High:</w:t>
      </w:r>
      <w:r>
        <w:t xml:space="preserve"> </w:t>
      </w:r>
      <w:r>
        <w:t xml:space="preserve">Non-compliance is likely to result in enforcement action, monetary penalties, or employee claims if not remediated before operations commence in the applicable jurisdiction or within the near term.</w:t>
      </w:r>
    </w:p>
    <w:p>
      <w:pPr>
        <w:pStyle w:val="Compact"/>
        <w:numPr>
          <w:ilvl w:val="0"/>
          <w:numId w:val="1001"/>
        </w:numPr>
      </w:pPr>
      <w:r>
        <w:rPr>
          <w:b/>
          <w:bCs/>
        </w:rPr>
        <w:t xml:space="preserve">Moderate:</w:t>
      </w:r>
      <w:r>
        <w:t xml:space="preserve"> </w:t>
      </w:r>
      <w:r>
        <w:t xml:space="preserve">Technical non-compliance, best-practice gaps, or policy ambiguities that may not give rise to immediate enforcement but expose the Company to risk over time or in the event of a complaint or audit.</w:t>
      </w:r>
    </w:p>
    <w:p>
      <w:pPr>
        <w:pStyle w:val="FirstParagraph"/>
      </w:pPr>
      <w:r>
        <w:t xml:space="preserve">This memorandum reflects laws, regulations, and agency guidance in effect as of May 19, 2025. State paid leave law is a rapidly evolving area; several jurisdictions (notably Connecticut, whose Paid Sick Leave law was substantially amended by Public Act 24-8 effective January 1, 2025) have recently undergone significant statutory change, and additional amendments are possible. H&amp;C’s analysis relies on the accuracy and completeness of the information and representations provided by the Company. Where H&amp;C has identified a point of legal uncertainty (for example, the precise trigger date for the Colorado FAMLI registration obligation as applied to remote employees), it is flagged as such.</w:t>
      </w:r>
    </w:p>
    <w:bookmarkEnd w:id="23"/>
    <w:bookmarkStart w:id="24" w:name="iv.-summary-of-findings"/>
    <w:p>
      <w:pPr>
        <w:pStyle w:val="Heading2"/>
      </w:pPr>
      <w:r>
        <w:t xml:space="preserve">IV.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Active legal exposure; imminent regulatory deadlines; structural multi-state non-compliance</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Likely enforcement, penalties, or employee claims if not remediated before/near operations</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Technical non-compliance, ambiguities, and best-practice gaps</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r>
    </w:tbl>
    <w:p>
      <w:pPr>
        <w:pStyle w:val="BodyText"/>
      </w:pPr>
      <w:r>
        <w:t xml:space="preserve">The Matrix’s summary grid reflects that Paid Sick Leave and Paid Family Leave are non-compliant (RED) in all seven jurisdictions; Paid Medical Leave is at risk (YELLOW) in the current states (where state programs are active but the Company’s policy and administration are deficient) and non-compliant (RED) in the expansion states (where the Company is not registered and provides no benefit); Employer Obligations are compliant in the current states but non-compliant in all four expansion states (no registrations); and PTO/Vacation Payout on Separation is non-compliant in Massachusetts and Colorado (which treat accrued vacation as wages) and compliant elsewhere.</w:t>
      </w:r>
    </w:p>
    <w:bookmarkEnd w:id="24"/>
    <w:bookmarkStart w:id="29" w:name="v.-critical-findings"/>
    <w:p>
      <w:pPr>
        <w:pStyle w:val="Heading2"/>
      </w:pPr>
      <w:r>
        <w:t xml:space="preserve">V. Critical Findings</w:t>
      </w:r>
    </w:p>
    <w:bookmarkStart w:id="25" w:name="Xfe306ab7a0d6b7495abe62c040020359af112ca"/>
    <w:p>
      <w:pPr>
        <w:pStyle w:val="Heading3"/>
      </w:pPr>
      <w:r>
        <w:t xml:space="preserve">C1. New Jersey DOL Complaint and New Jersey Earned Sick Leave Non-Compliance</w:t>
      </w:r>
    </w:p>
    <w:p>
      <w:pPr>
        <w:pStyle w:val="FirstParagraph"/>
      </w:pPr>
      <w:r>
        <w:rPr>
          <w:b/>
          <w:bCs/>
        </w:rPr>
        <w:t xml:space="preserve">Status:</w:t>
      </w:r>
      <w:r>
        <w:t xml:space="preserve"> </w:t>
      </w:r>
      <w:r>
        <w:t xml:space="preserve">Active legal exposure; regulatory action already commenced.</w:t>
      </w:r>
    </w:p>
    <w:p>
      <w:pPr>
        <w:pStyle w:val="BodyText"/>
      </w:pPr>
      <w:r>
        <w:t xml:space="preserve">The Company is the respondent in</w:t>
      </w:r>
      <w:r>
        <w:t xml:space="preserve"> </w:t>
      </w:r>
      <w:r>
        <w:rPr>
          <w:i/>
          <w:iCs/>
        </w:rPr>
        <w:t xml:space="preserve">Carla Muñoz v. Vantage Logistics Group, Inc.</w:t>
      </w:r>
      <w:r>
        <w:t xml:space="preserve">, Case No. NJ-ESL-2025-04117, a complaint pending before the New Jersey Department of Labor and Workforce Development (</w:t>
      </w:r>
      <w:r>
        <w:t xml:space="preserve">“</w:t>
      </w:r>
      <w:r>
        <w:t xml:space="preserve">NJ DOL</w:t>
      </w:r>
      <w:r>
        <w:t xml:space="preserve">”</w:t>
      </w:r>
      <w:r>
        <w:t xml:space="preserve">) under the New Jersey Earned Sick Leave Act, N.J.S.A. 34:11D-1</w:t>
      </w:r>
      <w:r>
        <w:t xml:space="preserve"> </w:t>
      </w:r>
      <w:r>
        <w:rPr>
          <w:i/>
          <w:iCs/>
        </w:rPr>
        <w:t xml:space="preserve">et seq.</w:t>
      </w:r>
      <w:r>
        <w:t xml:space="preserve"> </w:t>
      </w:r>
      <w:r>
        <w:t xml:space="preserve">(the</w:t>
      </w:r>
      <w:r>
        <w:t xml:space="preserve"> </w:t>
      </w:r>
      <w:r>
        <w:t xml:space="preserve">“</w:t>
      </w:r>
      <w:r>
        <w:t xml:space="preserve">NJ ESL Act</w:t>
      </w:r>
      <w:r>
        <w:t xml:space="preserve">”</w:t>
      </w:r>
      <w:r>
        <w:t xml:space="preserve">). The complaint, received by the Company on February 3, 2025, alleges that a warehouse associate at the Edison facility was denied the use of accrued earned sick leave to care for her domestic partner’s child. The Company’s response, prepared by H&amp;C, was submitted on February 21, 2025; the matter remains open.</w:t>
      </w:r>
    </w:p>
    <w:p>
      <w:pPr>
        <w:pStyle w:val="BodyText"/>
      </w:pPr>
      <w:r>
        <w:t xml:space="preserve">The complaint exposes two distinct statutory deficiencies in the Company’s Paid Sick Leave Policy (Handbook §6.2):</w:t>
      </w:r>
    </w:p>
    <w:p>
      <w:pPr>
        <w:numPr>
          <w:ilvl w:val="0"/>
          <w:numId w:val="1002"/>
        </w:numPr>
      </w:pPr>
      <w:r>
        <w:rPr>
          <w:b/>
          <w:bCs/>
        </w:rPr>
        <w:t xml:space="preserve">Unlawfully narrow family-member definition.</w:t>
      </w:r>
      <w:r>
        <w:t xml:space="preserve"> </w:t>
      </w:r>
      <w:r>
        <w:t xml:space="preserve">The Handbook defines</w:t>
      </w:r>
      <w:r>
        <w:t xml:space="preserve"> </w:t>
      </w:r>
      <w:r>
        <w:t xml:space="preserve">“</w:t>
      </w:r>
      <w:r>
        <w:t xml:space="preserve">family member</w:t>
      </w:r>
      <w:r>
        <w:t xml:space="preserve">”</w:t>
      </w:r>
      <w:r>
        <w:t xml:space="preserve"> </w:t>
      </w:r>
      <w:r>
        <w:t xml:space="preserve">as</w:t>
      </w:r>
      <w:r>
        <w:t xml:space="preserve"> </w:t>
      </w:r>
      <w:r>
        <w:t xml:space="preserve">“</w:t>
      </w:r>
      <w:r>
        <w:t xml:space="preserve">spouse, child, or parent.</w:t>
      </w:r>
      <w:r>
        <w:t xml:space="preserve">”</w:t>
      </w:r>
      <w:r>
        <w:t xml:space="preserve"> </w:t>
      </w:r>
      <w:r>
        <w:t xml:space="preserve">The NJ ESL Act’s definition (N.J.S.A. 34:11D-1) is far broader, encompassing — among other relationships — a child of a domestic partner, a domestic partner or civil union partner, grandparents, grandchildren, siblings, any other individual related by blood, and any individual whose close association with the employee is the equivalent of a family relationship. The Company’s definition excludes every one of these categories. The denial of Ms. Muñoz’s request was a direct consequence of this deficiency.</w:t>
      </w:r>
    </w:p>
    <w:p>
      <w:pPr>
        <w:numPr>
          <w:ilvl w:val="0"/>
          <w:numId w:val="1002"/>
        </w:numPr>
      </w:pPr>
      <w:r>
        <w:rPr>
          <w:b/>
          <w:bCs/>
        </w:rPr>
        <w:t xml:space="preserve">Omitted covered uses.</w:t>
      </w:r>
      <w:r>
        <w:t xml:space="preserve"> </w:t>
      </w:r>
      <w:r>
        <w:t xml:space="preserve">The Handbook limits paid sick leave to</w:t>
      </w:r>
      <w:r>
        <w:t xml:space="preserve"> </w:t>
      </w:r>
      <w:r>
        <w:t xml:space="preserve">“</w:t>
      </w:r>
      <w:r>
        <w:t xml:space="preserve">the employee’s own illness, injury, or medical appointment.</w:t>
      </w:r>
      <w:r>
        <w:t xml:space="preserve">”</w:t>
      </w:r>
      <w:r>
        <w:t xml:space="preserve"> </w:t>
      </w:r>
      <w:r>
        <w:t xml:space="preserve">The NJ ESL Act (N.J.S.A. 34:11D-3) requires that earned sick leave be available for, among other purposes, care of a family member during illness or for preventive care, absences related to domestic or sexual violence, absences due to public health emergency closures, and attendance at school-related meetings for an employee’s child. The Handbook omits each of these categories.</w:t>
      </w:r>
    </w:p>
    <w:p>
      <w:pPr>
        <w:pStyle w:val="FirstParagraph"/>
      </w:pPr>
      <w:r>
        <w:rPr>
          <w:b/>
          <w:bCs/>
        </w:rPr>
        <w:t xml:space="preserve">Risk.</w:t>
      </w:r>
      <w:r>
        <w:t xml:space="preserve"> </w:t>
      </w:r>
      <w:r>
        <w:t xml:space="preserve">The NJ DOL has expressly reserved the right to conduct a broader investigation of the Company’s sick leave practices, policies, and records. Violations of the NJ ESL Act are subject to fines, administrative penalties, and orders of restitution under N.J.S.A. 34:11D-7. Because the deficient policy language has been applied company-wide and across all New Jersey facilities since January 15, 2022, the exposure is not limited to the Muñoz incident; the NJ DOL may seek restitution and penalties on a class or pattern basis. The same family-member definition and covered-uses deficiencies are replicated in the Company’s Paid Family Leave Policy and are non-compliant in every other jurisdiction reviewed (see H3, M4). The Company’s manual, audit-trail-deficient leave-tracking system (see H5) materially complicates any defense of historical administration.</w:t>
      </w:r>
    </w:p>
    <w:p>
      <w:pPr>
        <w:pStyle w:val="BodyText"/>
      </w:pPr>
      <w:r>
        <w:rPr>
          <w:b/>
          <w:bCs/>
        </w:rPr>
        <w:t xml:space="preserve">Recommended posture.</w:t>
      </w:r>
      <w:r>
        <w:t xml:space="preserve"> </w:t>
      </w:r>
      <w:r>
        <w:t xml:space="preserve">The Company should not contest the underlying statutory deficiency. The appropriate posture is corrective: amend the family-member definition and covered-uses provisions to align with N.J.S.A. 34:11D-1 and 34:11D-3; make Ms. Muñoz whole for the unpaid time off or expended PTO; and implement supervisor training. A resolution strategy framework is set forth in Part X.</w:t>
      </w:r>
    </w:p>
    <w:bookmarkEnd w:id="25"/>
    <w:bookmarkStart w:id="26" w:name="X4a4f26e8b426e140398aae7e0cb7988268c5795"/>
    <w:p>
      <w:pPr>
        <w:pStyle w:val="Heading3"/>
      </w:pPr>
      <w:r>
        <w:t xml:space="preserve">C2. Colorado FAMLI Registration Overdue and Mandatory Participation</w:t>
      </w:r>
    </w:p>
    <w:p>
      <w:pPr>
        <w:pStyle w:val="FirstParagraph"/>
      </w:pPr>
      <w:r>
        <w:rPr>
          <w:b/>
          <w:bCs/>
        </w:rPr>
        <w:t xml:space="preserve">Status:</w:t>
      </w:r>
      <w:r>
        <w:t xml:space="preserve"> </w:t>
      </w:r>
      <w:r>
        <w:t xml:space="preserve">Imminent regulatory deadline; registration likely already overdue as to early hires; no private-employer opt-out.</w:t>
      </w:r>
    </w:p>
    <w:p>
      <w:pPr>
        <w:pStyle w:val="BodyText"/>
      </w:pPr>
      <w:r>
        <w:t xml:space="preserve">The Company has not registered with the Colorado Family and Medical Leave Insurance (</w:t>
      </w:r>
      <w:r>
        <w:t xml:space="preserve">“</w:t>
      </w:r>
      <w:r>
        <w:t xml:space="preserve">FAMLI</w:t>
      </w:r>
      <w:r>
        <w:t xml:space="preserve">”</w:t>
      </w:r>
      <w:r>
        <w:t xml:space="preserve">) program, C.R.S. § 8-13.3-501</w:t>
      </w:r>
      <w:r>
        <w:t xml:space="preserve"> </w:t>
      </w:r>
      <w:r>
        <w:rPr>
          <w:i/>
          <w:iCs/>
        </w:rPr>
        <w:t xml:space="preserve">et seq.</w:t>
      </w:r>
      <w:r>
        <w:t xml:space="preserve"> </w:t>
      </w:r>
      <w:r>
        <w:t xml:space="preserve">This is the single most urgent registration item in this review for two independent reasons.</w:t>
      </w:r>
    </w:p>
    <w:p>
      <w:pPr>
        <w:pStyle w:val="BodyText"/>
      </w:pPr>
      <w:r>
        <w:t xml:space="preserve">First, the Company has hired three Colorado-based employees (a regional operations manager and two logistics coordinators) who began working remotely from the Aurora and Denver metropolitan area in April 2025 — approximately seven months before the Aurora facility opens on November 1, 2025. Colorado FAMLI requires employer registration and premium remittance; the obligation is most defensibly read as triggered by the first date on which a covered employee performs work in Colorado, regardless of whether a physical facility is operational. Under that reading, the Company’s FAMLI registration obligation was triggered in April 2025 and is likely already overdue. Even under the more favorable reading that the obligation is tied to the November 1, 2025 facility opening, the six-to-eight-week PinnacleHR configuration lead time requires registration to be completed no later than approximately mid-August 2025.</w:t>
      </w:r>
    </w:p>
    <w:p>
      <w:pPr>
        <w:pStyle w:val="BodyText"/>
      </w:pPr>
      <w:r>
        <w:t xml:space="preserve">Second, and decisively,</w:t>
      </w:r>
      <w:r>
        <w:t xml:space="preserve"> </w:t>
      </w:r>
      <w:r>
        <w:rPr>
          <w:b/>
          <w:bCs/>
        </w:rPr>
        <w:t xml:space="preserve">Colorado does not permit private employers to opt out of FAMLI in favor of a self-funded plan.</w:t>
      </w:r>
      <w:r>
        <w:t xml:space="preserve"> </w:t>
      </w:r>
      <w:r>
        <w:t xml:space="preserve">The FAMLI private-plan option is available only to local government employers. The Company therefore cannot cure this deficiency by relying on its self-funded paid family leave benefit; it must register with and participate in the state program. This distinguishes Colorado from every other jurisdiction reviewed and eliminates the self-funding path that the Company has historically pursued.</w:t>
      </w:r>
    </w:p>
    <w:p>
      <w:pPr>
        <w:pStyle w:val="BodyText"/>
      </w:pPr>
      <w:r>
        <w:rPr>
          <w:b/>
          <w:bCs/>
        </w:rPr>
        <w:t xml:space="preserve">Risk.</w:t>
      </w:r>
      <w:r>
        <w:t xml:space="preserve"> </w:t>
      </w:r>
      <w:r>
        <w:t xml:space="preserve">Failure to register and remit premiums exposes the Company to back-premium obligations, interest, and penalties, and leaves the three early Colorado employees without access to FAMLI benefits (family leave, medical leave, and safe leave) to which they are entitled. The early hires also implicate Colorado’s paid sick leave requirements under the Healthy Families and Workplaces Act (</w:t>
      </w:r>
      <w:r>
        <w:t xml:space="preserve">“</w:t>
      </w:r>
      <w:r>
        <w:t xml:space="preserve">HFWA</w:t>
      </w:r>
      <w:r>
        <w:t xml:space="preserve">”</w:t>
      </w:r>
      <w:r>
        <w:t xml:space="preserve">) from their first day of work (see H2, H3, M1).</w:t>
      </w:r>
    </w:p>
    <w:p>
      <w:pPr>
        <w:pStyle w:val="BodyText"/>
      </w:pPr>
      <w:r>
        <w:rPr>
          <w:b/>
          <w:bCs/>
        </w:rPr>
        <w:t xml:space="preserve">Recommended action.</w:t>
      </w:r>
      <w:r>
        <w:t xml:space="preserve"> </w:t>
      </w:r>
      <w:r>
        <w:t xml:space="preserve">Initiate FAMLI registration immediately. H&amp;C recommends the Company adopt the conservative reading — that the registration obligation was triggered by the April 2025 hires — and register without further delay, treating any gap as a remediable administrative matter. Confirm the registration trigger with counsel in writing. Provide registration confirmation to PinnacleHR upon receipt.</w:t>
      </w:r>
    </w:p>
    <w:bookmarkEnd w:id="26"/>
    <w:bookmarkStart w:id="27" w:name="Xdfd9739ebeb1aff106fb276c66a16515ff25ea6"/>
    <w:p>
      <w:pPr>
        <w:pStyle w:val="Heading3"/>
      </w:pPr>
      <w:r>
        <w:t xml:space="preserve">C3. Massachusetts PFML Registration — Imminent Deadline</w:t>
      </w:r>
    </w:p>
    <w:p>
      <w:pPr>
        <w:pStyle w:val="FirstParagraph"/>
      </w:pPr>
      <w:r>
        <w:rPr>
          <w:b/>
          <w:bCs/>
        </w:rPr>
        <w:t xml:space="preserve">Status:</w:t>
      </w:r>
      <w:r>
        <w:t xml:space="preserve"> </w:t>
      </w:r>
      <w:r>
        <w:t xml:space="preserve">Imminent regulatory deadline at risk; critical path to August 1, 2025 opening.</w:t>
      </w:r>
    </w:p>
    <w:p>
      <w:pPr>
        <w:pStyle w:val="BodyText"/>
      </w:pPr>
      <w:r>
        <w:t xml:space="preserve">The Company has not registered with the Massachusetts Paid Family and Medical Leave (</w:t>
      </w:r>
      <w:r>
        <w:t xml:space="preserve">“</w:t>
      </w:r>
      <w:r>
        <w:t xml:space="preserve">MA PFML</w:t>
      </w:r>
      <w:r>
        <w:t xml:space="preserve">”</w:t>
      </w:r>
      <w:r>
        <w:t xml:space="preserve">) program, M.G.L. c. 175M, administered by the Massachusetts Department of Family and Medical Leave (</w:t>
      </w:r>
      <w:r>
        <w:t xml:space="preserve">“</w:t>
      </w:r>
      <w:r>
        <w:t xml:space="preserve">DFML</w:t>
      </w:r>
      <w:r>
        <w:t xml:space="preserve">”</w:t>
      </w:r>
      <w:r>
        <w:t xml:space="preserve">). MA PFML requires employer registration and contribution remittance from the first day any covered employee works in Massachusetts. The Worcester facility is scheduled to open on August 1, 2025.</w:t>
      </w:r>
    </w:p>
    <w:p>
      <w:pPr>
        <w:pStyle w:val="BodyText"/>
      </w:pPr>
      <w:r>
        <w:t xml:space="preserve">Factoring in PinnacleHR’s six-to-eight-week configuration lead time, the Company must complete MA PFML registration and provide confirmation to PinnacleHR by approximately</w:t>
      </w:r>
      <w:r>
        <w:t xml:space="preserve"> </w:t>
      </w:r>
      <w:r>
        <w:rPr>
          <w:b/>
          <w:bCs/>
        </w:rPr>
        <w:t xml:space="preserve">June 1, 2025</w:t>
      </w:r>
      <w:r>
        <w:t xml:space="preserve"> </w:t>
      </w:r>
      <w:r>
        <w:t xml:space="preserve">— approximately seven weeks from the engagement date and approximately four weeks before the Company’s July 1, 2025 target date for the revised Employee Handbook. Any delay in registration will cascade into a delay in PinnacleHR’s configuration, which could result in the Company operating in Massachusetts without proper withholding in place on the facility’s opening day. MA PFML also covers the employee’s own serious health condition (up to 20 weeks of medical leave), which the Company’s self-funded plan does not cover at all (see H1).</w:t>
      </w:r>
    </w:p>
    <w:p>
      <w:pPr>
        <w:pStyle w:val="BodyText"/>
      </w:pPr>
      <w:r>
        <w:rPr>
          <w:b/>
          <w:bCs/>
        </w:rPr>
        <w:t xml:space="preserve">Risk.</w:t>
      </w:r>
      <w:r>
        <w:t xml:space="preserve"> </w:t>
      </w:r>
      <w:r>
        <w:t xml:space="preserve">Operating in Massachusetts without MA PFML registration and withholding exposes the Company to back-contribution obligations, interest, penalties, and employee claims for benefits denied. Massachusetts also requires payout of accrued unused vacation on separation under the Wage Act, M.G.L. c. 149 § 148, with treble damages and attorney’s fees for violations (see H4) — a separate but related exposure that must be cured in the revised Handbook before the first Massachusetts employee is hired.</w:t>
      </w:r>
    </w:p>
    <w:p>
      <w:pPr>
        <w:pStyle w:val="BodyText"/>
      </w:pPr>
      <w:r>
        <w:rPr>
          <w:b/>
          <w:bCs/>
        </w:rPr>
        <w:t xml:space="preserve">Recommended action.</w:t>
      </w:r>
      <w:r>
        <w:t xml:space="preserve"> </w:t>
      </w:r>
      <w:r>
        <w:t xml:space="preserve">Register with MA DFML immediately — no later than the week of May 26, 2025 — and provide registration confirmation to PinnacleHR the same day. This item should be treated as operative upon receipt of this memorandum. H&amp;C notes that the engagement letter anticipated a possible early-action notification on Massachusetts registration; this memorandum serves that function.</w:t>
      </w:r>
    </w:p>
    <w:bookmarkEnd w:id="27"/>
    <w:bookmarkStart w:id="28" w:name="X777f67472db8d565f234c457d19a44f9f807cff"/>
    <w:p>
      <w:pPr>
        <w:pStyle w:val="Heading3"/>
      </w:pPr>
      <w:r>
        <w:t xml:space="preserve">C4. Self-Funded Paid Family Leave Plan — Structural Non-Compliance Across All Seven States</w:t>
      </w:r>
    </w:p>
    <w:p>
      <w:pPr>
        <w:pStyle w:val="FirstParagraph"/>
      </w:pPr>
      <w:r>
        <w:rPr>
          <w:b/>
          <w:bCs/>
        </w:rPr>
        <w:t xml:space="preserve">Status:</w:t>
      </w:r>
      <w:r>
        <w:t xml:space="preserve"> </w:t>
      </w:r>
      <w:r>
        <w:t xml:space="preserve">Structural multi-state non-compliance; root cause of exposure in multiple jurisdictions.</w:t>
      </w:r>
    </w:p>
    <w:p>
      <w:pPr>
        <w:pStyle w:val="BodyText"/>
      </w:pPr>
      <w:r>
        <w:t xml:space="preserve">The Company’s self-funded paid family leave benefit (50% of average weekly wage, capped at $850 per week, for up to eight weeks, covering bonding and family caregiving only) falls below the statutory benefit level of every jurisdiction reviewed, on multiple dimensions: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Replacement Rate</w:t>
            </w:r>
          </w:p>
        </w:tc>
        <w:tc>
          <w:tcPr/>
          <w:p>
            <w:pPr>
              <w:pStyle w:val="Compact"/>
              <w:jc w:val="left"/>
            </w:pPr>
            <w:r>
              <w:t xml:space="preserve">Weekly Cap (2025)</w:t>
            </w:r>
          </w:p>
        </w:tc>
        <w:tc>
          <w:tcPr/>
          <w:p>
            <w:pPr>
              <w:pStyle w:val="Compact"/>
              <w:jc w:val="left"/>
            </w:pPr>
            <w:r>
              <w:t xml:space="preserve">Duration</w:t>
            </w:r>
          </w:p>
        </w:tc>
        <w:tc>
          <w:tcPr/>
          <w:p>
            <w:pPr>
              <w:pStyle w:val="Compact"/>
              <w:jc w:val="left"/>
            </w:pPr>
            <w:r>
              <w:t xml:space="preserve">Covers Own Medical?</w:t>
            </w:r>
          </w:p>
        </w:tc>
      </w:tr>
      <w:tr>
        <w:tc>
          <w:tcPr/>
          <w:p>
            <w:pPr>
              <w:pStyle w:val="Compact"/>
              <w:jc w:val="left"/>
            </w:pPr>
            <w:r>
              <w:t xml:space="preserve">Vantage (self-funded)</w:t>
            </w:r>
          </w:p>
        </w:tc>
        <w:tc>
          <w:tcPr/>
          <w:p>
            <w:pPr>
              <w:pStyle w:val="Compact"/>
              <w:jc w:val="left"/>
            </w:pPr>
            <w:r>
              <w:t xml:space="preserve">50% of AWW</w:t>
            </w:r>
          </w:p>
        </w:tc>
        <w:tc>
          <w:tcPr/>
          <w:p>
            <w:pPr>
              <w:pStyle w:val="Compact"/>
              <w:jc w:val="left"/>
            </w:pPr>
            <w:r>
              <w:t xml:space="preserve">$850</w:t>
            </w:r>
          </w:p>
        </w:tc>
        <w:tc>
          <w:tcPr/>
          <w:p>
            <w:pPr>
              <w:pStyle w:val="Compact"/>
              <w:jc w:val="left"/>
            </w:pPr>
            <w:r>
              <w:t xml:space="preserve">8 weeks</w:t>
            </w:r>
          </w:p>
        </w:tc>
        <w:tc>
          <w:tcPr/>
          <w:p>
            <w:pPr>
              <w:pStyle w:val="Compact"/>
              <w:jc w:val="left"/>
            </w:pPr>
            <w:r>
              <w:t xml:space="preserve">No</w:t>
            </w:r>
          </w:p>
        </w:tc>
      </w:tr>
      <w:tr>
        <w:tc>
          <w:tcPr/>
          <w:p>
            <w:pPr>
              <w:pStyle w:val="Compact"/>
              <w:jc w:val="left"/>
            </w:pPr>
            <w:r>
              <w:t xml:space="preserve">NJ FLI</w:t>
            </w:r>
          </w:p>
        </w:tc>
        <w:tc>
          <w:tcPr/>
          <w:p>
            <w:pPr>
              <w:pStyle w:val="Compact"/>
              <w:jc w:val="left"/>
            </w:pPr>
            <w:r>
              <w:t xml:space="preserve">85% of AWW</w:t>
            </w:r>
          </w:p>
        </w:tc>
        <w:tc>
          <w:tcPr/>
          <w:p>
            <w:pPr>
              <w:pStyle w:val="Compact"/>
              <w:jc w:val="left"/>
            </w:pPr>
            <w:r>
              <w:t xml:space="preserve">≈ $1,092</w:t>
            </w:r>
          </w:p>
        </w:tc>
        <w:tc>
          <w:tcPr/>
          <w:p>
            <w:pPr>
              <w:pStyle w:val="Compact"/>
              <w:jc w:val="left"/>
            </w:pPr>
            <w:r>
              <w:t xml:space="preserve">12 weeks</w:t>
            </w:r>
          </w:p>
        </w:tc>
        <w:tc>
          <w:tcPr/>
          <w:p>
            <w:pPr>
              <w:pStyle w:val="Compact"/>
              <w:jc w:val="left"/>
            </w:pPr>
            <w:r>
              <w:t xml:space="preserve">No (NJ TDI separate)</w:t>
            </w:r>
          </w:p>
        </w:tc>
      </w:tr>
      <w:tr>
        <w:tc>
          <w:tcPr/>
          <w:p>
            <w:pPr>
              <w:pStyle w:val="Compact"/>
              <w:jc w:val="left"/>
            </w:pPr>
            <w:r>
              <w:t xml:space="preserve">NY PFL</w:t>
            </w:r>
          </w:p>
        </w:tc>
        <w:tc>
          <w:tcPr/>
          <w:p>
            <w:pPr>
              <w:pStyle w:val="Compact"/>
              <w:jc w:val="left"/>
            </w:pPr>
            <w:r>
              <w:t xml:space="preserve">67% of AWW</w:t>
            </w:r>
          </w:p>
        </w:tc>
        <w:tc>
          <w:tcPr/>
          <w:p>
            <w:pPr>
              <w:pStyle w:val="Compact"/>
              <w:jc w:val="left"/>
            </w:pPr>
            <w:r>
              <w:t xml:space="preserve">$1,177.32</w:t>
            </w:r>
          </w:p>
        </w:tc>
        <w:tc>
          <w:tcPr/>
          <w:p>
            <w:pPr>
              <w:pStyle w:val="Compact"/>
              <w:jc w:val="left"/>
            </w:pPr>
            <w:r>
              <w:t xml:space="preserve">12 weeks</w:t>
            </w:r>
          </w:p>
        </w:tc>
        <w:tc>
          <w:tcPr/>
          <w:p>
            <w:pPr>
              <w:pStyle w:val="Compact"/>
              <w:jc w:val="left"/>
            </w:pPr>
            <w:r>
              <w:t xml:space="preserve">No (NY DBL separate)</w:t>
            </w:r>
          </w:p>
        </w:tc>
      </w:tr>
      <w:tr>
        <w:tc>
          <w:tcPr/>
          <w:p>
            <w:pPr>
              <w:pStyle w:val="Compact"/>
              <w:jc w:val="left"/>
            </w:pPr>
            <w:r>
              <w:t xml:space="preserve">CT PL</w:t>
            </w:r>
          </w:p>
        </w:tc>
        <w:tc>
          <w:tcPr/>
          <w:p>
            <w:pPr>
              <w:pStyle w:val="Compact"/>
              <w:jc w:val="left"/>
            </w:pPr>
            <w:r>
              <w:t xml:space="preserve">95% / 60% tiered</w:t>
            </w:r>
          </w:p>
        </w:tc>
        <w:tc>
          <w:tcPr/>
          <w:p>
            <w:pPr>
              <w:pStyle w:val="Compact"/>
              <w:jc w:val="left"/>
            </w:pPr>
            <w:r>
              <w:t xml:space="preserve">≈ $941</w:t>
            </w:r>
          </w:p>
        </w:tc>
        <w:tc>
          <w:tcPr/>
          <w:p>
            <w:pPr>
              <w:pStyle w:val="Compact"/>
              <w:jc w:val="left"/>
            </w:pPr>
            <w:r>
              <w:t xml:space="preserve">12 weeks (+2 preg.)</w:t>
            </w:r>
          </w:p>
        </w:tc>
        <w:tc>
          <w:tcPr/>
          <w:p>
            <w:pPr>
              <w:pStyle w:val="Compact"/>
              <w:jc w:val="left"/>
            </w:pPr>
            <w:r>
              <w:t xml:space="preserve">Yes</w:t>
            </w:r>
          </w:p>
        </w:tc>
      </w:tr>
      <w:tr>
        <w:tc>
          <w:tcPr/>
          <w:p>
            <w:pPr>
              <w:pStyle w:val="Compact"/>
              <w:jc w:val="left"/>
            </w:pPr>
            <w:r>
              <w:t xml:space="preserve">MA PFML</w:t>
            </w:r>
          </w:p>
        </w:tc>
        <w:tc>
          <w:tcPr/>
          <w:p>
            <w:pPr>
              <w:pStyle w:val="Compact"/>
              <w:jc w:val="left"/>
            </w:pPr>
            <w:r>
              <w:t xml:space="preserve">80% / 50% tiered</w:t>
            </w:r>
          </w:p>
        </w:tc>
        <w:tc>
          <w:tcPr/>
          <w:p>
            <w:pPr>
              <w:pStyle w:val="Compact"/>
              <w:jc w:val="left"/>
            </w:pPr>
            <w:r>
              <w:t xml:space="preserve">≈ $1,170.64</w:t>
            </w:r>
          </w:p>
        </w:tc>
        <w:tc>
          <w:tcPr/>
          <w:p>
            <w:pPr>
              <w:pStyle w:val="Compact"/>
              <w:jc w:val="left"/>
            </w:pPr>
            <w:r>
              <w:t xml:space="preserve">12 family / 20 medical</w:t>
            </w:r>
          </w:p>
        </w:tc>
        <w:tc>
          <w:tcPr/>
          <w:p>
            <w:pPr>
              <w:pStyle w:val="Compact"/>
              <w:jc w:val="left"/>
            </w:pPr>
            <w:r>
              <w:t xml:space="preserve">Yes</w:t>
            </w:r>
          </w:p>
        </w:tc>
      </w:tr>
      <w:tr>
        <w:tc>
          <w:tcPr/>
          <w:p>
            <w:pPr>
              <w:pStyle w:val="Compact"/>
              <w:jc w:val="left"/>
            </w:pPr>
            <w:r>
              <w:t xml:space="preserve">CO FAMLI</w:t>
            </w:r>
          </w:p>
        </w:tc>
        <w:tc>
          <w:tcPr/>
          <w:p>
            <w:pPr>
              <w:pStyle w:val="Compact"/>
              <w:jc w:val="left"/>
            </w:pPr>
            <w:r>
              <w:t xml:space="preserve">90% / 50% tiered</w:t>
            </w:r>
          </w:p>
        </w:tc>
        <w:tc>
          <w:tcPr/>
          <w:p>
            <w:pPr>
              <w:pStyle w:val="Compact"/>
              <w:jc w:val="left"/>
            </w:pPr>
            <w:r>
              <w:t xml:space="preserve">≈ $1,100</w:t>
            </w:r>
          </w:p>
        </w:tc>
        <w:tc>
          <w:tcPr/>
          <w:p>
            <w:pPr>
              <w:pStyle w:val="Compact"/>
              <w:jc w:val="left"/>
            </w:pPr>
            <w:r>
              <w:t xml:space="preserve">12 weeks</w:t>
            </w:r>
          </w:p>
        </w:tc>
        <w:tc>
          <w:tcPr/>
          <w:p>
            <w:pPr>
              <w:pStyle w:val="Compact"/>
              <w:jc w:val="left"/>
            </w:pPr>
            <w:r>
              <w:t xml:space="preserve">Yes</w:t>
            </w:r>
          </w:p>
        </w:tc>
      </w:tr>
      <w:tr>
        <w:tc>
          <w:tcPr/>
          <w:p>
            <w:pPr>
              <w:pStyle w:val="Compact"/>
              <w:jc w:val="left"/>
            </w:pPr>
            <w:r>
              <w:t xml:space="preserve">PLO</w:t>
            </w:r>
          </w:p>
        </w:tc>
        <w:tc>
          <w:tcPr/>
          <w:p>
            <w:pPr>
              <w:pStyle w:val="Compact"/>
              <w:jc w:val="left"/>
            </w:pPr>
            <w:r>
              <w:t xml:space="preserve">100% / 50% tiered</w:t>
            </w:r>
          </w:p>
        </w:tc>
        <w:tc>
          <w:tcPr/>
          <w:p>
            <w:pPr>
              <w:pStyle w:val="Compact"/>
              <w:jc w:val="left"/>
            </w:pPr>
            <w:r>
              <w:t xml:space="preserve">≈ $1,523.63</w:t>
            </w:r>
          </w:p>
        </w:tc>
        <w:tc>
          <w:tcPr/>
          <w:p>
            <w:pPr>
              <w:pStyle w:val="Compact"/>
              <w:jc w:val="left"/>
            </w:pPr>
            <w:r>
              <w:t xml:space="preserve">12 weeks (+2 preg.)</w:t>
            </w:r>
          </w:p>
        </w:tc>
        <w:tc>
          <w:tcPr/>
          <w:p>
            <w:pPr>
              <w:pStyle w:val="Compact"/>
              <w:jc w:val="left"/>
            </w:pPr>
            <w:r>
              <w:t xml:space="preserve">Yes</w:t>
            </w:r>
          </w:p>
        </w:tc>
      </w:tr>
      <w:tr>
        <w:tc>
          <w:tcPr/>
          <w:p>
            <w:pPr>
              <w:pStyle w:val="Compact"/>
              <w:jc w:val="left"/>
            </w:pPr>
            <w:r>
              <w:t xml:space="preserve">WA PFML</w:t>
            </w:r>
          </w:p>
        </w:tc>
        <w:tc>
          <w:tcPr/>
          <w:p>
            <w:pPr>
              <w:pStyle w:val="Compact"/>
              <w:jc w:val="left"/>
            </w:pPr>
            <w:r>
              <w:t xml:space="preserve">90% / 50% tiered</w:t>
            </w:r>
          </w:p>
        </w:tc>
        <w:tc>
          <w:tcPr/>
          <w:p>
            <w:pPr>
              <w:pStyle w:val="Compact"/>
              <w:jc w:val="left"/>
            </w:pPr>
            <w:r>
              <w:t xml:space="preserve">≈ $1,526</w:t>
            </w:r>
          </w:p>
        </w:tc>
        <w:tc>
          <w:tcPr/>
          <w:p>
            <w:pPr>
              <w:pStyle w:val="Compact"/>
              <w:jc w:val="left"/>
            </w:pPr>
            <w:r>
              <w:t xml:space="preserve">12 family / 12 medical</w:t>
            </w:r>
          </w:p>
        </w:tc>
        <w:tc>
          <w:tcPr/>
          <w:p>
            <w:pPr>
              <w:pStyle w:val="Compact"/>
              <w:jc w:val="left"/>
            </w:pPr>
            <w:r>
              <w:t xml:space="preserve">Yes</w:t>
            </w:r>
          </w:p>
        </w:tc>
      </w:tr>
    </w:tbl>
    <w:p>
      <w:pPr>
        <w:pStyle w:val="BodyText"/>
      </w:pPr>
      <w:r>
        <w:t xml:space="preserve">Six of the seven jurisdictions (NJ, NY, CT, MA, OR, WA) permit a private-plan alternative, but only if the private plan provides benefits that meet or exceed the state program in all respects. The Company’s plan does not meet or exceed the statutory benefit in any state, on any of rate, cap, or duration, and it does not cover the employee’s own medical condition in the four states (CT, MA, CO, OR, WA) whose programs include medical leave. The Company has not filed a private-plan application in any state. Colorado, the seventh jurisdiction, does not permit private-employer opt-out at all.</w:t>
      </w:r>
    </w:p>
    <w:p>
      <w:pPr>
        <w:pStyle w:val="BodyText"/>
      </w:pPr>
      <w:r>
        <w:t xml:space="preserve">In the current states, the state programs are active (employee contributions are being withheld), so employees can in principle access the state benefit — but the parallel self-funded plan creates dual-coverage confusion, and the Company’s policy language (Handbook §6.3.7) states that the self-funded benefit</w:t>
      </w:r>
      <w:r>
        <w:t xml:space="preserve"> </w:t>
      </w:r>
      <w:r>
        <w:t xml:space="preserve">“</w:t>
      </w:r>
      <w:r>
        <w:t xml:space="preserve">is intended to satisfy any applicable state mandate,</w:t>
      </w:r>
      <w:r>
        <w:t xml:space="preserve">”</w:t>
      </w:r>
      <w:r>
        <w:t xml:space="preserve"> </w:t>
      </w:r>
      <w:r>
        <w:t xml:space="preserve">which is legally incorrect and misstates employee entitlements. In the expansion states, the Company is not registered, so employees have no access to the state benefit and the self-funded plan is the only benefit available — and it is non-compliant.</w:t>
      </w:r>
    </w:p>
    <w:p>
      <w:pPr>
        <w:pStyle w:val="BodyText"/>
      </w:pPr>
      <w:r>
        <w:rPr>
          <w:b/>
          <w:bCs/>
        </w:rPr>
        <w:t xml:space="preserve">Risk.</w:t>
      </w:r>
      <w:r>
        <w:t xml:space="preserve"> </w:t>
      </w:r>
      <w:r>
        <w:t xml:space="preserve">The self-funded plan is the structural root of the Company’s multi-state paid family leave exposure. Employees who discover that they are paying state contributions (in NJ, NY, CT) while receiving a sub-statutory company benefit — or who are denied state benefits entirely (in the expansion states) — have clear grounds for complaint, as the Muñoz matter and the Connecticut employee inquiries demonstrate. In Colorado, the self-funding path is foreclosed entirely.</w:t>
      </w:r>
    </w:p>
    <w:p>
      <w:pPr>
        <w:pStyle w:val="BodyText"/>
      </w:pPr>
      <w:r>
        <w:rPr>
          <w:b/>
          <w:bCs/>
        </w:rPr>
        <w:t xml:space="preserve">Recommended structural approach.</w:t>
      </w:r>
      <w:r>
        <w:t xml:space="preserve"> </w:t>
      </w:r>
      <w:r>
        <w:t xml:space="preserve">The Company should select one of the following approaches, jurisdiction by jurisdiction, with H&amp;C’s assistance:</w:t>
      </w:r>
    </w:p>
    <w:p>
      <w:pPr>
        <w:pStyle w:val="Compact"/>
        <w:numPr>
          <w:ilvl w:val="0"/>
          <w:numId w:val="1003"/>
        </w:numPr>
      </w:pPr>
      <w:r>
        <w:rPr>
          <w:b/>
          <w:bCs/>
        </w:rPr>
        <w:t xml:space="preserve">Participate in the state program and treat the self-funded benefit as supplemental</w:t>
      </w:r>
      <w:r>
        <w:t xml:space="preserve"> </w:t>
      </w:r>
      <w:r>
        <w:t xml:space="preserve">(or discontinue it). This is the lowest-risk approach and is the only available approach in Colorado. It eliminates equivalency concerns and dual-coverage confusion.</w:t>
      </w:r>
    </w:p>
    <w:p>
      <w:pPr>
        <w:pStyle w:val="Compact"/>
        <w:numPr>
          <w:ilvl w:val="0"/>
          <w:numId w:val="1003"/>
        </w:numPr>
      </w:pPr>
      <w:r>
        <w:rPr>
          <w:b/>
          <w:bCs/>
        </w:rPr>
        <w:t xml:space="preserve">Seek private-plan approval</w:t>
      </w:r>
      <w:r>
        <w:t xml:space="preserve"> </w:t>
      </w:r>
      <w:r>
        <w:t xml:space="preserve">in the states that permit it (NJ, NY, CT, MA, OR, WA), with an enhanced benefit that meets or exceeds the statutory minimum in all respects (rate, cap, duration, covered leave types including the employee’s own medical condition where applicable). This requires affirmative filing and agency approval and is more complex.</w:t>
      </w:r>
    </w:p>
    <w:p>
      <w:pPr>
        <w:pStyle w:val="Compact"/>
        <w:numPr>
          <w:ilvl w:val="0"/>
          <w:numId w:val="1003"/>
        </w:numPr>
      </w:pPr>
      <w:r>
        <w:rPr>
          <w:b/>
          <w:bCs/>
        </w:rPr>
        <w:t xml:space="preserve">Discontinue the self-funded plan</w:t>
      </w:r>
      <w:r>
        <w:t xml:space="preserve"> </w:t>
      </w:r>
      <w:r>
        <w:t xml:space="preserve">and rely fully on the state programs, supplemented as desired by the voluntary STD offering.</w:t>
      </w:r>
    </w:p>
    <w:p>
      <w:pPr>
        <w:pStyle w:val="FirstParagraph"/>
      </w:pPr>
      <w:r>
        <w:t xml:space="preserve">H&amp;C recommends approach (1) for Colorado (mandatory) and as the default for the expansion states, and a state-by-state evaluation of (1) versus (2) for the current states. The self-funded plan should not be represented in the revised Handbook as satisfying any state mandate unless and until a private-plan approval is obtained.</w:t>
      </w:r>
    </w:p>
    <w:bookmarkEnd w:id="28"/>
    <w:bookmarkEnd w:id="29"/>
    <w:bookmarkStart w:id="37" w:name="vi.-high-findings"/>
    <w:p>
      <w:pPr>
        <w:pStyle w:val="Heading2"/>
      </w:pPr>
      <w:r>
        <w:t xml:space="preserve">VI. High Findings</w:t>
      </w:r>
    </w:p>
    <w:bookmarkStart w:id="30" w:name="X6a33413572f9f275e2aad2de450f6be961aeed1"/>
    <w:p>
      <w:pPr>
        <w:pStyle w:val="Heading3"/>
      </w:pPr>
      <w:r>
        <w:t xml:space="preserve">H1. Paid Medical Leave Gap and HR Misdirection to Voluntary STD</w:t>
      </w:r>
    </w:p>
    <w:p>
      <w:pPr>
        <w:pStyle w:val="FirstParagraph"/>
      </w:pPr>
      <w:r>
        <w:t xml:space="preserve">The Company provides no employer-funded paid medical leave for an employee’s own serious health condition beyond 40 hours of accrued sick leave (Handbook §6.4). The only other option offered is the voluntary, employee-paid STD plan through Keystone Benefit Administrators, in which fewer than 30% of Connecticut hourly employees are enrolled.</w:t>
      </w:r>
    </w:p>
    <w:p>
      <w:pPr>
        <w:pStyle w:val="BodyText"/>
      </w:pPr>
      <w:r>
        <w:t xml:space="preserve">In the current states, the state programs cover the employee’s own condition — NJ TDI (up to 26 weeks), NY DBL (up to 26 weeks at a low $170/week statutory maximum), and CT PL (up to 12 weeks, which expressly covers the employee’s own serious health condition). These programs are active, and employees are paying into them through PinnacleHR withholdings. However, the Company’s HR staff have been directing employees who inquire about paid medical leave to the voluntary Keystone STD plan rather than to the state programs. The internal correspondence documents at least seven such inquiries in the prior twelve months (four in Bridgeport, Connecticut; two in Edison, New Jersey; and one in Queens, New York), including employees facing a hip replacement and a chronic autoimmune condition. In the New Jersey cases, HR staff appear to have been unaware that NJ TDI exists as a separate benefit.</w:t>
      </w:r>
    </w:p>
    <w:p>
      <w:pPr>
        <w:pStyle w:val="BodyText"/>
      </w:pPr>
      <w:r>
        <w:t xml:space="preserve">This misdirection is a serious administrative deficiency. Employees are paying into state programs that cover their own conditions but are being steered to a voluntary, employee-paid plan instead. Employees who discover this discrepancy have clear grounds for complaint and, potentially, for retroactive claims. The Connecticut inquiries are particularly acute because CT PL expressly covers the employee’s own serious health condition and the Company’s self-funded plan does not.</w:t>
      </w:r>
    </w:p>
    <w:p>
      <w:pPr>
        <w:pStyle w:val="BodyText"/>
      </w:pPr>
      <w:r>
        <w:t xml:space="preserve">In the expansion states, the state programs (MA PFML, CO FAMLI, PLO, WA PFML) all cover the employee’s own medical condition, but the Company is not registered, so employees have no access, and the Company provides no equivalent benefit.</w:t>
      </w:r>
    </w:p>
    <w:p>
      <w:pPr>
        <w:pStyle w:val="BodyText"/>
      </w:pPr>
      <w:r>
        <w:rPr>
          <w:b/>
          <w:bCs/>
        </w:rPr>
        <w:t xml:space="preserve">Recommended action.</w:t>
      </w:r>
      <w:r>
        <w:t xml:space="preserve"> </w:t>
      </w:r>
      <w:r>
        <w:t xml:space="preserve">(a) Immediately issue interim guidance (extending the March 2025 guidance) directing HR staff at all locations not to deny or deflect paid medical leave inquiries and to escalate any inquiry about an employee’s own serious health condition for determination of state-program eligibility. (b) Compile the complete list of historical medical-leave inquiries (dates, names, HR responses) for H&amp;C’s review to assess retroactive-claim exposure. (c) In the revised Handbook, expressly acknowledge the state TDI/DBL/Paid Leave programs and the claim-filing process, and clarify the relationship between those programs, the self-funded plan, and the voluntary STD. (d) Register with the expansion-state programs so that medical-leave benefits are available from the first day of operations.</w:t>
      </w:r>
    </w:p>
    <w:bookmarkEnd w:id="30"/>
    <w:bookmarkStart w:id="31" w:name="Xab0e7bf8990f98debc9f1cb7fa997d0b28d0e39"/>
    <w:p>
      <w:pPr>
        <w:pStyle w:val="Heading3"/>
      </w:pPr>
      <w:r>
        <w:t xml:space="preserve">H2. Paid Sick Leave Core Parameters Non-Compliant Across States</w:t>
      </w:r>
    </w:p>
    <w:p>
      <w:pPr>
        <w:pStyle w:val="FirstParagraph"/>
      </w:pPr>
      <w:r>
        <w:t xml:space="preserve">Three core parameters of the Company’s Paid Sick Leave Policy are non-compliant in multiple jurisdictions:</w:t>
      </w:r>
    </w:p>
    <w:p>
      <w:pPr>
        <w:pStyle w:val="Compact"/>
        <w:numPr>
          <w:ilvl w:val="0"/>
          <w:numId w:val="1004"/>
        </w:numPr>
      </w:pPr>
      <w:r>
        <w:rPr>
          <w:b/>
          <w:bCs/>
        </w:rPr>
        <w:t xml:space="preserve">Accrual rate.</w:t>
      </w:r>
      <w:r>
        <w:t xml:space="preserve"> </w:t>
      </w:r>
      <w:r>
        <w:t xml:space="preserve">The Company accrues sick leave at 1 hour per 40 hours worked. New Jersey, New York, Massachusetts, Colorado, and Oregon require 1 hour per 30 hours worked. (Connecticut and Washington require 1 hour per 40 hours, matching the Company.) In the 1/30 states, the Company’s slower accrual means employees — particularly part-time employees — accrue less leave than the law requires.</w:t>
      </w:r>
    </w:p>
    <w:p>
      <w:pPr>
        <w:pStyle w:val="Compact"/>
        <w:numPr>
          <w:ilvl w:val="0"/>
          <w:numId w:val="1004"/>
        </w:numPr>
      </w:pPr>
      <w:r>
        <w:rPr>
          <w:b/>
          <w:bCs/>
        </w:rPr>
        <w:t xml:space="preserve">Part-time cap.</w:t>
      </w:r>
      <w:r>
        <w:t xml:space="preserve"> </w:t>
      </w:r>
      <w:r>
        <w:t xml:space="preserve">The Company caps part-time employees at 24 hours per year. Every jurisdiction reviewed requires 40 hours or more for all employees regardless of full- or part-time status (New York requires 56 hours for employers with 100+ employees; Colorado requires 48 hours; Washington imposes no accrual cap). The 24-hour part-time cap is non-compliant in all seven states. The leave-tracking spreadsheet sample confirms this error has been applied in practice (e.g., the New Jersey tracker notes</w:t>
      </w:r>
      <w:r>
        <w:t xml:space="preserve"> </w:t>
      </w:r>
      <w:r>
        <w:t xml:space="preserve">“</w:t>
      </w:r>
      <w:r>
        <w:t xml:space="preserve">PT cap 24 hrs — NJ law requires 40 hrs for all employees</w:t>
      </w:r>
      <w:r>
        <w:t xml:space="preserve">”</w:t>
      </w:r>
      <w:r>
        <w:t xml:space="preserve">).</w:t>
      </w:r>
    </w:p>
    <w:p>
      <w:pPr>
        <w:pStyle w:val="Compact"/>
        <w:numPr>
          <w:ilvl w:val="0"/>
          <w:numId w:val="1004"/>
        </w:numPr>
      </w:pPr>
      <w:r>
        <w:rPr>
          <w:b/>
          <w:bCs/>
        </w:rPr>
        <w:t xml:space="preserve">No carryover.</w:t>
      </w:r>
      <w:r>
        <w:t xml:space="preserve"> </w:t>
      </w:r>
      <w:r>
        <w:t xml:space="preserve">The Company resets sick leave balances to zero on January 1 and permits no carryover. Every jurisdiction reviewed requires carryover of unused leave (or, in some states, permits the employer to pay out unused leave and provide a fresh bank). The no-carryover policy is non-compliant in all seven states.</w:t>
      </w:r>
    </w:p>
    <w:p>
      <w:pPr>
        <w:pStyle w:val="FirstParagraph"/>
      </w:pPr>
      <w:r>
        <w:rPr>
          <w:b/>
          <w:bCs/>
        </w:rPr>
        <w:t xml:space="preserve">Risk.</w:t>
      </w:r>
      <w:r>
        <w:t xml:space="preserve"> </w:t>
      </w:r>
      <w:r>
        <w:t xml:space="preserve">These are bright-line statutory requirements. Miscalculation of accrual and caps has already produced documented errors (a New Jersey part-time employee’s balance was incorrectly capped at 24 hours and required retroactive correction). The no-carryover policy forfeits leave to which employees are legally entitled. These deficiencies are administrable by state agencies on a per-employee or pattern basis and are likely to be investigated in connection with any complaint (including the Muñoz matter).</w:t>
      </w:r>
    </w:p>
    <w:p>
      <w:pPr>
        <w:pStyle w:val="BodyText"/>
      </w:pPr>
      <w:r>
        <w:rPr>
          <w:b/>
          <w:bCs/>
        </w:rPr>
        <w:t xml:space="preserve">Recommended action.</w:t>
      </w:r>
      <w:r>
        <w:t xml:space="preserve"> </w:t>
      </w:r>
      <w:r>
        <w:t xml:space="preserve">Redraft the Paid Sick Leave Policy on a state-specific basis: adopt 1/30 accrual in NJ, NY, MA, CO, OR (retain 1/40 in CT and WA); eliminate the part-time cap differential and apply the applicable state cap to all employees (40 hrs in NJ/CT/MA/OR; 56 hrs in NY; 48 hrs in CO; no accrual cap in WA); and provide for carryover (or pay-out-and-reset where permitted) consistent with each state’s requirement. Configure the leave-tracking system (or its replacement) to apply state-specific rules.</w:t>
      </w:r>
    </w:p>
    <w:bookmarkEnd w:id="31"/>
    <w:bookmarkStart w:id="32" w:name="Xf85eb1ddd537350ac09d27b9c71f2d5a6bffe82"/>
    <w:p>
      <w:pPr>
        <w:pStyle w:val="Heading3"/>
      </w:pPr>
      <w:r>
        <w:t xml:space="preserve">H3. Paid Sick Leave Family-Member Definition and Covered Uses Non-Compliant in All Seven States</w:t>
      </w:r>
    </w:p>
    <w:p>
      <w:pPr>
        <w:pStyle w:val="FirstParagraph"/>
      </w:pPr>
      <w:r>
        <w:t xml:space="preserve">Independent of the parameter issues in H2, the Company’s family-member definition (spouse, child, parent) and covered-uses enumeration (own illness, injury, medical appointment) are non-compliant in all seven jurisdictions. Every state requires coverage of family-member care and preventive care; all require safe leave (domestic violence, sexual assault, stalking); New Jersey, New York, Colorado, and Washington require public-health-emergency/closure leave; and New Jersey requires school-related leave. The family-member definitions in all seven states are materially broader than the Company’s, encompassing grandparents, grandchildren, siblings, domestic partners, and individuals related by blood or whose close association is the equivalent of family. This is the same deficiency at issue in the Muñoz complaint (C1), and it is replicated in the Company’s Paid Family Leave Policy (M4).</w:t>
      </w:r>
    </w:p>
    <w:p>
      <w:pPr>
        <w:pStyle w:val="BodyText"/>
      </w:pPr>
      <w:r>
        <w:rPr>
          <w:b/>
          <w:bCs/>
        </w:rPr>
        <w:t xml:space="preserve">Recommended action.</w:t>
      </w:r>
      <w:r>
        <w:t xml:space="preserve"> </w:t>
      </w:r>
      <w:r>
        <w:t xml:space="preserve">Adopt the broadest applicable family-member definition as the company-wide baseline (the New Jersey definition is among the broadest and would satisfy all seven states), and enumerate all statutorily required covered uses, including safe leave, preventive care, public-health-emergency/closure leave, and (in New Jersey) school-related leave. State-specific addenda should capture any additional state requirements.</w:t>
      </w:r>
    </w:p>
    <w:bookmarkEnd w:id="32"/>
    <w:bookmarkStart w:id="33" w:name="Xa4a0acdbec297061364d576d6607bc93ba29337"/>
    <w:p>
      <w:pPr>
        <w:pStyle w:val="Heading3"/>
      </w:pPr>
      <w:r>
        <w:t xml:space="preserve">H4. PTO/Vacation Payout on Separation Non-Compliant in Massachusetts and Colorado</w:t>
      </w:r>
    </w:p>
    <w:p>
      <w:pPr>
        <w:pStyle w:val="FirstParagraph"/>
      </w:pPr>
      <w:r>
        <w:t xml:space="preserve">The Company’s PTO policy (Handbook §6.5.4) provides for no payout of accrued unused PTO on separation except in Connecticut. This is non-compliant in two expansion states:</w:t>
      </w:r>
    </w:p>
    <w:p>
      <w:pPr>
        <w:pStyle w:val="Compact"/>
        <w:numPr>
          <w:ilvl w:val="0"/>
          <w:numId w:val="1005"/>
        </w:numPr>
      </w:pPr>
      <w:r>
        <w:rPr>
          <w:b/>
          <w:bCs/>
        </w:rPr>
        <w:t xml:space="preserve">Massachusetts.</w:t>
      </w:r>
      <w:r>
        <w:t xml:space="preserve"> </w:t>
      </w:r>
      <w:r>
        <w:t xml:space="preserve">The Massachusetts Wage Act, M.G.L. c. 149 § 148, treats accrued vacation as wages and requires payout of all accrued unused vacation on separation. Use-it-or-lose-it forfeiture is not permitted. Violations carry</w:t>
      </w:r>
      <w:r>
        <w:t xml:space="preserve"> </w:t>
      </w:r>
      <w:r>
        <w:rPr>
          <w:b/>
          <w:bCs/>
        </w:rPr>
        <w:t xml:space="preserve">treble damages</w:t>
      </w:r>
      <w:r>
        <w:t xml:space="preserve"> </w:t>
      </w:r>
      <w:r>
        <w:t xml:space="preserve">plus attorney’s fees. The Company’s no-payout policy is non-compliant, and the year-end forfeiture of PTO in excess of the 5-day carryover cap is likewise non-compliant (see M6).</w:t>
      </w:r>
    </w:p>
    <w:p>
      <w:pPr>
        <w:pStyle w:val="Compact"/>
        <w:numPr>
          <w:ilvl w:val="0"/>
          <w:numId w:val="1005"/>
        </w:numPr>
      </w:pPr>
      <w:r>
        <w:rPr>
          <w:b/>
          <w:bCs/>
        </w:rPr>
        <w:t xml:space="preserve">Colorado.</w:t>
      </w:r>
      <w:r>
        <w:t xml:space="preserve"> </w:t>
      </w:r>
      <w:r>
        <w:t xml:space="preserve">Colorado law, C.R.S. § 8-4-101</w:t>
      </w:r>
      <w:r>
        <w:t xml:space="preserve"> </w:t>
      </w:r>
      <w:r>
        <w:rPr>
          <w:i/>
          <w:iCs/>
        </w:rPr>
        <w:t xml:space="preserve">et seq.</w:t>
      </w:r>
      <w:r>
        <w:t xml:space="preserve">, as construed by the Colorado Supreme Court in</w:t>
      </w:r>
      <w:r>
        <w:t xml:space="preserve"> </w:t>
      </w:r>
      <w:r>
        <w:rPr>
          <w:i/>
          <w:iCs/>
        </w:rPr>
        <w:t xml:space="preserve">Nieto v. Clark’s Market, Inc.</w:t>
      </w:r>
      <w:r>
        <w:t xml:space="preserve">, treats accrued vacation as wages and requires payout of all accrued unused vacation at termination regardless of employer policy. Use-it-or-lose-it is not permitted. Violations carry penalties of up to 125% of unpaid wages plus additional penalties. The Company’s no-payout policy is non-compliant. A Colorado early-hire candidate has already raised this issue with the Company’s recruiter.</w:t>
      </w:r>
    </w:p>
    <w:p>
      <w:pPr>
        <w:pStyle w:val="FirstParagraph"/>
      </w:pPr>
      <w:r>
        <w:t xml:space="preserve">In New Jersey, New York, Oregon, and Washington, use-it-or-lose-it is generally permissible if clearly stated in policy, and the Company’s policy is likely compliant in those states (subject to clarity). Connecticut is compliant (the Company already provides payout).</w:t>
      </w:r>
    </w:p>
    <w:p>
      <w:pPr>
        <w:pStyle w:val="BodyText"/>
      </w:pPr>
      <w:r>
        <w:rPr>
          <w:b/>
          <w:bCs/>
        </w:rPr>
        <w:t xml:space="preserve">Risk.</w:t>
      </w:r>
      <w:r>
        <w:t xml:space="preserve"> </w:t>
      </w:r>
      <w:r>
        <w:t xml:space="preserve">Massachusetts treble damages and Colorado penalty exposure are significant, particularly because the deficiency is in a written policy that will be distributed to new employees. The Colorado early-hire situation creates immediate exposure if offer letters or handbook acknowledgments restate the no-payout position.</w:t>
      </w:r>
    </w:p>
    <w:p>
      <w:pPr>
        <w:pStyle w:val="BodyText"/>
      </w:pPr>
      <w:r>
        <w:rPr>
          <w:b/>
          <w:bCs/>
        </w:rPr>
        <w:t xml:space="preserve">Recommended action.</w:t>
      </w:r>
      <w:r>
        <w:t xml:space="preserve"> </w:t>
      </w:r>
      <w:r>
        <w:t xml:space="preserve">Revise the PTO payout policy to provide for full payout of accrued unused PTO/vacation on separation in Connecticut, Massachusetts, and Colorado (and verify any other state-specific requirement before each facility opens). Remove blanket no-payout language from Colorado offer letters (per the March 2025 guidance, offer letters should include a compliance-savings clause referencing Colorado law). Re-evaluate the 5-day carryover cap in MA and CO (M6). Issue the revised Handbook before the first Massachusetts employee is hired.</w:t>
      </w:r>
    </w:p>
    <w:bookmarkEnd w:id="33"/>
    <w:bookmarkStart w:id="34" w:name="X01e7f03da323c6294991e5187d02f5dd370bfb1"/>
    <w:p>
      <w:pPr>
        <w:pStyle w:val="Heading3"/>
      </w:pPr>
      <w:r>
        <w:t xml:space="preserve">H5. Manual Spreadsheet Leave Tracking System — Operational and Recordkeeping Risk</w:t>
      </w:r>
    </w:p>
    <w:p>
      <w:pPr>
        <w:pStyle w:val="FirstParagraph"/>
      </w:pPr>
      <w:r>
        <w:t xml:space="preserve">The Company tracks sick leave accruals, usage, and balances through manual Microsoft Excel workbooks maintained by two HR coordinators, one workbook per state, updated bi-weekly. Paid family leave is tracked through a separate paper-based process; PTO is tracked within WorkBridge Pro. The spreadsheet system has the following deficiencies, several of which are documented in the HR expansion memorandum and confirmed by the leave-tracking sample:</w:t>
      </w:r>
    </w:p>
    <w:p>
      <w:pPr>
        <w:pStyle w:val="Compact"/>
        <w:numPr>
          <w:ilvl w:val="0"/>
          <w:numId w:val="1006"/>
        </w:numPr>
      </w:pPr>
      <w:r>
        <w:rPr>
          <w:b/>
          <w:bCs/>
        </w:rPr>
        <w:t xml:space="preserve">No state-specific rule differentiation.</w:t>
      </w:r>
      <w:r>
        <w:t xml:space="preserve"> </w:t>
      </w:r>
      <w:r>
        <w:t xml:space="preserve">A single company-wide policy is applied; state-specific accrual rates, caps, waiting periods, and carryover rules are not encoded. This is the direct cause of the part-time cap and accrual errors.</w:t>
      </w:r>
    </w:p>
    <w:p>
      <w:pPr>
        <w:pStyle w:val="Compact"/>
        <w:numPr>
          <w:ilvl w:val="0"/>
          <w:numId w:val="1006"/>
        </w:numPr>
      </w:pPr>
      <w:r>
        <w:rPr>
          <w:b/>
          <w:bCs/>
        </w:rPr>
        <w:t xml:space="preserve">No automated alerts</w:t>
      </w:r>
      <w:r>
        <w:t xml:space="preserve"> </w:t>
      </w:r>
      <w:r>
        <w:t xml:space="preserve">for accrual caps, waiting-period eligibility, or carryover deadlines.</w:t>
      </w:r>
    </w:p>
    <w:p>
      <w:pPr>
        <w:pStyle w:val="Compact"/>
        <w:numPr>
          <w:ilvl w:val="0"/>
          <w:numId w:val="1006"/>
        </w:numPr>
      </w:pPr>
      <w:r>
        <w:rPr>
          <w:b/>
          <w:bCs/>
        </w:rPr>
        <w:t xml:space="preserve">No audit trail.</w:t>
      </w:r>
      <w:r>
        <w:t xml:space="preserve"> </w:t>
      </w:r>
      <w:r>
        <w:t xml:space="preserve">Changes to balances are not logged. In the event of a regulatory audit or employee complaint (including the Muñoz matter), the Company cannot demonstrate how a particular balance was determined.</w:t>
      </w:r>
    </w:p>
    <w:p>
      <w:pPr>
        <w:pStyle w:val="Compact"/>
        <w:numPr>
          <w:ilvl w:val="0"/>
          <w:numId w:val="1006"/>
        </w:numPr>
      </w:pPr>
      <w:r>
        <w:rPr>
          <w:b/>
          <w:bCs/>
        </w:rPr>
        <w:t xml:space="preserve">No integration</w:t>
      </w:r>
      <w:r>
        <w:t xml:space="preserve"> </w:t>
      </w:r>
      <w:r>
        <w:t xml:space="preserve">with WorkBridge Pro (HRIS) or ClockSync Enterprise (time and attendance); hours-workked data is manually transcribed, creating transcription-error risk.</w:t>
      </w:r>
    </w:p>
    <w:p>
      <w:pPr>
        <w:pStyle w:val="Compact"/>
        <w:numPr>
          <w:ilvl w:val="0"/>
          <w:numId w:val="1006"/>
        </w:numPr>
      </w:pPr>
      <w:r>
        <w:rPr>
          <w:b/>
          <w:bCs/>
        </w:rPr>
        <w:t xml:space="preserve">Limited scope.</w:t>
      </w:r>
      <w:r>
        <w:t xml:space="preserve"> </w:t>
      </w:r>
      <w:r>
        <w:t xml:space="preserve">Only sick leave is tracked; family leave and PTO are tracked elsewhere, so there is no unified leave record.</w:t>
      </w:r>
    </w:p>
    <w:p>
      <w:pPr>
        <w:pStyle w:val="Compact"/>
        <w:numPr>
          <w:ilvl w:val="0"/>
          <w:numId w:val="1006"/>
        </w:numPr>
      </w:pPr>
      <w:r>
        <w:rPr>
          <w:b/>
          <w:bCs/>
        </w:rPr>
        <w:t xml:space="preserve">Documented errors.</w:t>
      </w:r>
      <w:r>
        <w:t xml:space="preserve"> </w:t>
      </w:r>
      <w:r>
        <w:t xml:space="preserve">The sample includes a negative balance (an employee who</w:t>
      </w:r>
      <w:r>
        <w:t xml:space="preserve"> </w:t>
      </w:r>
      <w:r>
        <w:t xml:space="preserve">“</w:t>
      </w:r>
      <w:r>
        <w:t xml:space="preserve">used more than accrued,</w:t>
      </w:r>
      <w:r>
        <w:t xml:space="preserve">”</w:t>
      </w:r>
      <w:r>
        <w:t xml:space="preserve"> </w:t>
      </w:r>
      <w:r>
        <w:t xml:space="preserve">flagged as a possible data-entry error), incorrect part-time caps, and uniform application of the 120-day waiting period without state-specific verification.</w:t>
      </w:r>
    </w:p>
    <w:p>
      <w:pPr>
        <w:pStyle w:val="FirstParagraph"/>
      </w:pPr>
      <w:r>
        <w:t xml:space="preserve">Scaling this system from three states and 2,140 employees to seven states and 2,560 employees — each new state adding distinct accrual, cap, carryover, waiting-period, and reporting rules — is not feasible on a manual basis and will compound the error rate. Several expansion states impose specific recordkeeping requirements regarding leave accruals and usage.</w:t>
      </w:r>
    </w:p>
    <w:p>
      <w:pPr>
        <w:pStyle w:val="BodyText"/>
      </w:pPr>
      <w:r>
        <w:rPr>
          <w:b/>
          <w:bCs/>
        </w:rPr>
        <w:t xml:space="preserve">Risk.</w:t>
      </w:r>
      <w:r>
        <w:t xml:space="preserve"> </w:t>
      </w:r>
      <w:r>
        <w:t xml:space="preserve">Inaccurate leave administration is itself a compliance violation and is the kind of deficiency that a state agency investigation (such as the expanded NJ DOL investigation reserved in the Muñoz matter) will surface. The absence of an audit trail materially weakens the Company’s defensive position in any proceeding. The system also creates inconsistent-administration risk that could support disparate-treatment claims (see M5, M10).</w:t>
      </w:r>
    </w:p>
    <w:p>
      <w:pPr>
        <w:pStyle w:val="BodyText"/>
      </w:pPr>
      <w:r>
        <w:rPr>
          <w:b/>
          <w:bCs/>
        </w:rPr>
        <w:t xml:space="preserve">Recommended action.</w:t>
      </w:r>
      <w:r>
        <w:t xml:space="preserve"> </w:t>
      </w:r>
      <w:r>
        <w:t xml:space="preserve">Procure and implement a dedicated leave-management software solution that integrates with WorkBridge Pro and ClockSync Enterprise and can be configured with state-specific rules for all seven jurisdictions. The HR expansion memorandum estimates implementation cost at $40,000–$75,000 and timeline at three to six months; H&amp;C concurs and recommends selection by July 1, 2025 and implementation live for all seven states by Q1 2026 (in time for the Oregon and Washington openings). In the interim, the Company should (a) document a written, state-specific accrual/cap/carryover procedure for the coordinators, (b) implement a change-log discipline for the spreadsheets, and (c) conduct a reconciliation audit of all current balances.</w:t>
      </w:r>
    </w:p>
    <w:bookmarkEnd w:id="34"/>
    <w:bookmarkStart w:id="35" w:name="Xa397701911764d7549dbfbcb9dd3ff178f5051c"/>
    <w:p>
      <w:pPr>
        <w:pStyle w:val="Heading3"/>
      </w:pPr>
      <w:r>
        <w:t xml:space="preserve">H6. New York Paid Sick Leave Cap and Unconfirmed Private-Plan Status</w:t>
      </w:r>
    </w:p>
    <w:p>
      <w:pPr>
        <w:pStyle w:val="FirstParagraph"/>
      </w:pPr>
      <w:r>
        <w:t xml:space="preserve">Two related items:</w:t>
      </w:r>
    </w:p>
    <w:p>
      <w:pPr>
        <w:pStyle w:val="Compact"/>
        <w:numPr>
          <w:ilvl w:val="0"/>
          <w:numId w:val="1007"/>
        </w:numPr>
      </w:pPr>
      <w:r>
        <w:rPr>
          <w:b/>
          <w:bCs/>
        </w:rPr>
        <w:t xml:space="preserve">New York sick leave cap.</w:t>
      </w:r>
      <w:r>
        <w:t xml:space="preserve"> </w:t>
      </w:r>
      <w:r>
        <w:t xml:space="preserve">New York requires employers with 100 or more employees to provide up to 56 hours of paid sick leave per year. The Company has 680 employees in New York and therefore falls in the 56-hour tier, but its policy caps full-time employees at 40 hours and part-time employees at 24 hours. This is non-compliant (see H2). The accrual rate (1/40 vs. required 1/30) is also non-compliant.</w:t>
      </w:r>
    </w:p>
    <w:p>
      <w:pPr>
        <w:pStyle w:val="Compact"/>
        <w:numPr>
          <w:ilvl w:val="0"/>
          <w:numId w:val="1007"/>
        </w:numPr>
      </w:pPr>
      <w:r>
        <w:rPr>
          <w:b/>
          <w:bCs/>
        </w:rPr>
        <w:t xml:space="preserve">Unconfirmed private-plan status (NJ and NY).</w:t>
      </w:r>
      <w:r>
        <w:t xml:space="preserve"> </w:t>
      </w:r>
      <w:r>
        <w:t xml:space="preserve">PinnacleHR is withholding NJ FLI/TDI and NY PFL/DBL employee contributions, and the Company’s self-funded paid family leave benefit runs in parallel. The PinnacleHR summary expressly flags that, if the Company intends the self-funded plan to substitute for NJ FLI or NY PFL, a private-plan application/approval is required and the plan must meet or exceed the statutory benefit — which it does not. No private-plan approval has been obtained in either state. The result is a dual-coverage structure in which employees are paying state contributions and may also be receiving (or being denied) a sub-statutory company benefit, creating overpayment/underpayment and employee-confusion risk. The Company should confirm whether any private-plan approval exists (H&amp;C’s review indicates none has been filed) and, if not, determine whether to (a) rely on the state programs and treat the self-funded plan as supplemental, or (b) seek approval of an enhanced private plan.</w:t>
      </w:r>
    </w:p>
    <w:p>
      <w:pPr>
        <w:pStyle w:val="FirstParagraph"/>
      </w:pPr>
      <w:r>
        <w:rPr>
          <w:b/>
          <w:bCs/>
        </w:rPr>
        <w:t xml:space="preserve">Recommended action.</w:t>
      </w:r>
      <w:r>
        <w:t xml:space="preserve"> </w:t>
      </w:r>
      <w:r>
        <w:t xml:space="preserve">Increase the New York sick leave cap to 56 hours and the accrual rate to 1/30 in the revised policy. Confirm private-plan status in NJ and NY; in the absence of approval, align administration with the state programs and correct the Handbook’s representation that the self-funded plan</w:t>
      </w:r>
      <w:r>
        <w:t xml:space="preserve"> </w:t>
      </w:r>
      <w:r>
        <w:t xml:space="preserve">“</w:t>
      </w:r>
      <w:r>
        <w:t xml:space="preserve">satisfies any applicable state mandate.</w:t>
      </w:r>
      <w:r>
        <w:t xml:space="preserve">”</w:t>
      </w:r>
    </w:p>
    <w:bookmarkEnd w:id="35"/>
    <w:bookmarkStart w:id="36" w:name="X7f33573d21030ea2c7a9d82f92cb57a9fb97c26"/>
    <w:p>
      <w:pPr>
        <w:pStyle w:val="Heading3"/>
      </w:pPr>
      <w:r>
        <w:t xml:space="preserve">H7. Oregon and Washington PFML Registration (On-Schedule Requirement)</w:t>
      </w:r>
    </w:p>
    <w:p>
      <w:pPr>
        <w:pStyle w:val="FirstParagraph"/>
      </w:pPr>
      <w:r>
        <w:t xml:space="preserve">The Company has not registered with Paid Leave Oregon (facility opening February 1, 2026) or Washington PFML (facility opening May 1, 2026). These are not yet overdue, but registration must be completed on a schedule that allows PinnacleHR its six-to-eight-week configuration lead time: approximately</w:t>
      </w:r>
      <w:r>
        <w:t xml:space="preserve"> </w:t>
      </w:r>
      <w:r>
        <w:rPr>
          <w:b/>
          <w:bCs/>
        </w:rPr>
        <w:t xml:space="preserve">December 1, 2025</w:t>
      </w:r>
      <w:r>
        <w:t xml:space="preserve"> </w:t>
      </w:r>
      <w:r>
        <w:t xml:space="preserve">for Oregon and approximately</w:t>
      </w:r>
      <w:r>
        <w:t xml:space="preserve"> </w:t>
      </w:r>
      <w:r>
        <w:rPr>
          <w:b/>
          <w:bCs/>
        </w:rPr>
        <w:t xml:space="preserve">March 1, 2026</w:t>
      </w:r>
      <w:r>
        <w:t xml:space="preserve"> </w:t>
      </w:r>
      <w:r>
        <w:t xml:space="preserve">for Washington. Both states permit a private-plan/voluntary-plan alternative, but only if the plan meets or exceeds the state benefit — which the Company’s current self-funded plan does not. PLO also covers safe leave (domestic violence, sexual assault, stalking, harassment), which the Company’s policy does not (M9).</w:t>
      </w:r>
    </w:p>
    <w:p>
      <w:pPr>
        <w:pStyle w:val="BodyText"/>
      </w:pPr>
      <w:r>
        <w:rPr>
          <w:b/>
          <w:bCs/>
        </w:rPr>
        <w:t xml:space="preserve">Recommended action.</w:t>
      </w:r>
      <w:r>
        <w:t xml:space="preserve"> </w:t>
      </w:r>
      <w:r>
        <w:t xml:space="preserve">Calendar the registration deadlines; initiate registration by October–November 2025 (Oregon) and January 2026 (Washington). Decide participation versus private/voluntary plan in each state; if a private/voluntary plan is pursued, the benefit must be enhanced to exceed the state minimum. Add safe-leave coverage to the policy for Oregon (and as a company-wide best practice).</w:t>
      </w:r>
    </w:p>
    <w:bookmarkEnd w:id="36"/>
    <w:bookmarkEnd w:id="37"/>
    <w:bookmarkStart w:id="48" w:name="vii.-moderate-findings"/>
    <w:p>
      <w:pPr>
        <w:pStyle w:val="Heading2"/>
      </w:pPr>
      <w:r>
        <w:t xml:space="preserve">VII. Moderate Findings</w:t>
      </w:r>
    </w:p>
    <w:bookmarkStart w:id="38" w:name="X7ce327be969b3cc01a4794d1402d9bbb3546c08"/>
    <w:p>
      <w:pPr>
        <w:pStyle w:val="Heading3"/>
      </w:pPr>
      <w:r>
        <w:t xml:space="preserve">M1. Paid Sick Leave Waiting Period (120 Days) Non-Compliant in MA, CO, OR, WA</w:t>
      </w:r>
    </w:p>
    <w:p>
      <w:pPr>
        <w:pStyle w:val="FirstParagraph"/>
      </w:pPr>
      <w:r>
        <w:t xml:space="preserve">The Company’s uniform 120-day waiting period before sick leave may be used is compliant in New Jersey (which permits a 120-day waiting period) and comparable in Connecticut (which permits use after 680 hours of employment, approximately 120 days for full-time employees and more generous for part-time). It is compliant in New York under the NY DOL regulations (which permit a limit to no earlier than the 120th calendar day, subject to verification). It is</w:t>
      </w:r>
      <w:r>
        <w:t xml:space="preserve"> </w:t>
      </w:r>
      <w:r>
        <w:rPr>
          <w:b/>
          <w:bCs/>
        </w:rPr>
        <w:t xml:space="preserve">non-compliant</w:t>
      </w:r>
      <w:r>
        <w:t xml:space="preserve"> </w:t>
      </w:r>
      <w:r>
        <w:t xml:space="preserve">in Massachusetts (90 days), Oregon (90 days), and Washington (90 days), and</w:t>
      </w:r>
      <w:r>
        <w:t xml:space="preserve"> </w:t>
      </w:r>
      <w:r>
        <w:rPr>
          <w:b/>
          <w:bCs/>
        </w:rPr>
        <w:t xml:space="preserve">non-compliant</w:t>
      </w:r>
      <w:r>
        <w:t xml:space="preserve"> </w:t>
      </w:r>
      <w:r>
        <w:t xml:space="preserve">in Colorado, which permits no waiting period at all (leave must be available for use immediately). The HR expansion memorandum confirms the 120-day period has been applied uniformly and that at least one New Jersey and one New York employee were denied sick leave during the waiting period.</w:t>
      </w:r>
    </w:p>
    <w:p>
      <w:pPr>
        <w:pStyle w:val="BodyText"/>
      </w:pPr>
      <w:r>
        <w:rPr>
          <w:b/>
          <w:bCs/>
        </w:rPr>
        <w:t xml:space="preserve">Recommended action.</w:t>
      </w:r>
      <w:r>
        <w:t xml:space="preserve"> </w:t>
      </w:r>
      <w:r>
        <w:t xml:space="preserve">Adopt state-specific use-eligibility dates: 120 days (NJ, NY, CT); 90 days (MA, OR, WA); immediate (CO). Encode in the leave-tracking system.</w:t>
      </w:r>
    </w:p>
    <w:bookmarkEnd w:id="38"/>
    <w:bookmarkStart w:id="39" w:name="X9de808c704f0850c71d5c00c891cfa77ac2807d"/>
    <w:p>
      <w:pPr>
        <w:pStyle w:val="Heading3"/>
      </w:pPr>
      <w:r>
        <w:t xml:space="preserve">M2. Paid Sick Leave Documentation Threshold (2 Days) More Stringent Than Permitted</w:t>
      </w:r>
    </w:p>
    <w:p>
      <w:pPr>
        <w:pStyle w:val="FirstParagraph"/>
      </w:pPr>
      <w:r>
        <w:t xml:space="preserve">The Company requires a doctor’s note after two consecutive scheduled workdays of absence. Every jurisdiction reviewed permits an employer to request medical documentation only after three or more consecutive days of absence (some also permit documentation on reasonable suspicion of abuse). The Company’s two-day threshold is more stringent than the statutes permit and could be challenged as an unlawful condition on the use of earned sick leave. This is a relatively low-severity item but should be corrected in the revised policy (three-day threshold, with a reasonable-suspicion exception where permitted).</w:t>
      </w:r>
    </w:p>
    <w:bookmarkEnd w:id="39"/>
    <w:bookmarkStart w:id="40" w:name="Xc40e788eadd49acc426250e1c254e943beac0df"/>
    <w:p>
      <w:pPr>
        <w:pStyle w:val="Heading3"/>
      </w:pPr>
      <w:r>
        <w:t xml:space="preserve">M3. PFL Qualifying Reasons — Military Exigency and Bereavement Gaps</w:t>
      </w:r>
    </w:p>
    <w:p>
      <w:pPr>
        <w:pStyle w:val="FirstParagraph"/>
      </w:pPr>
      <w:r>
        <w:t xml:space="preserve">The Company’s Paid Family Leave Policy covers bonding and family caregiving only. New York PFL, CT PL, CO FAMLI, and WA PFML cover qualifying military exigency, which the Company’s policy omits. Bereavement is not a covered reason under most state paid family/medical leave programs, but Colorado FAMLI may include a bereavement provision (H&amp;C flags this for verification). New Jersey has a separate bereavement-leave statute outside the paid family leave program. The Company should add military exigency as a qualifying reason in the states that require it and verify the Colorado bereavement position.</w:t>
      </w:r>
    </w:p>
    <w:bookmarkEnd w:id="40"/>
    <w:bookmarkStart w:id="41" w:name="Xd94d32f1ac17a0656bfb922b405c2b023c8eed9"/>
    <w:p>
      <w:pPr>
        <w:pStyle w:val="Heading3"/>
      </w:pPr>
      <w:r>
        <w:t xml:space="preserve">M4. PFL Family-Member Definition Narrower Than State Law</w:t>
      </w:r>
    </w:p>
    <w:p>
      <w:pPr>
        <w:pStyle w:val="FirstParagraph"/>
      </w:pPr>
      <w:r>
        <w:t xml:space="preserve">The Company’s Paid Family Leave family-member definition (spouse, child, parent; no in-laws) is narrower than every state’s PFL family-member definition, which generally track the broad sick-leave definitions. This is the PFL analogue of the C1/H3 deficiency and should be corrected by adopting the broadest applicable definition company-wide.</w:t>
      </w:r>
    </w:p>
    <w:bookmarkEnd w:id="41"/>
    <w:bookmarkStart w:id="42" w:name="X18239c907683af2d7c16cf7722ec4553970a613"/>
    <w:p>
      <w:pPr>
        <w:pStyle w:val="Heading3"/>
      </w:pPr>
      <w:r>
        <w:t xml:space="preserve">M5. PFL Notice Requirement — No Foreseeable/Unforeseeable Distinction; Inconsistent Administration</w:t>
      </w:r>
    </w:p>
    <w:p>
      <w:pPr>
        <w:pStyle w:val="FirstParagraph"/>
      </w:pPr>
      <w:r>
        <w:t xml:space="preserve">The Company’s Paid Family Leave Policy requires 30 days’ advance notice for all paid family leave and does not distinguish foreseeable from unforeseeable leave. Every state program requires 30 days’ notice for foreseeable leave but</w:t>
      </w:r>
      <w:r>
        <w:t xml:space="preserve"> </w:t>
      </w:r>
      <w:r>
        <w:t xml:space="preserve">“</w:t>
      </w:r>
      <w:r>
        <w:t xml:space="preserve">as soon as practicable</w:t>
      </w:r>
      <w:r>
        <w:t xml:space="preserve">”</w:t>
      </w:r>
      <w:r>
        <w:t xml:space="preserve"> </w:t>
      </w:r>
      <w:r>
        <w:t xml:space="preserve">notice for unforeseeable leave. The policy’s silence on unforeseeable leave could be read as requiring 30 days in all cases, which is unreasonable and non-compliant. The internal correspondence documents a Connecticut incident in which an employee gave 10 days’ notice before leave to care for a parent after an unexpected hospitalization; HR initially pushed back citing the 30-day rule before approving the leave. The HR leads acknowledged that NJ and NY sites have been</w:t>
      </w:r>
      <w:r>
        <w:t xml:space="preserve"> </w:t>
      </w:r>
      <w:r>
        <w:t xml:space="preserve">“</w:t>
      </w:r>
      <w:r>
        <w:t xml:space="preserve">making judgment calls without a framework,</w:t>
      </w:r>
      <w:r>
        <w:t xml:space="preserve">”</w:t>
      </w:r>
      <w:r>
        <w:t xml:space="preserve"> </w:t>
      </w:r>
      <w:r>
        <w:t xml:space="preserve">creating inconsistent administration that could support disparate-treatment claims. Interim guidance issued in March 2025 (do not deny or delay unforeseeable leave) should be formalized in the revised policy with state-specific foreseeable/unforeseeable notice rules.</w:t>
      </w:r>
    </w:p>
    <w:bookmarkEnd w:id="42"/>
    <w:bookmarkStart w:id="43" w:name="X09918d0abb2772742ebb1665163c1ce6c2090b7"/>
    <w:p>
      <w:pPr>
        <w:pStyle w:val="Heading3"/>
      </w:pPr>
      <w:r>
        <w:t xml:space="preserve">M6. PTO 5-Day Carryover Cap — Scrutiny Risk in CT, MA, CO</w:t>
      </w:r>
    </w:p>
    <w:p>
      <w:pPr>
        <w:pStyle w:val="FirstParagraph"/>
      </w:pPr>
      <w:r>
        <w:t xml:space="preserve">The Company’s PTO policy permits carryover of only 5 days, with year-end forfeiture of excess and a March 31 use-it-or-lose-it deadline for carried-over PTO. In Connecticut, Massachusetts, and Colorado — where accrued vacation is treated as wages and use-it-or-lose-it is not permitted — this year-end forfeiture mechanism may be non-compliant, as it operates to forfeit earned wages. In Massachusetts (treble damages) and Colorado (up to 125% penalties) the exposure is meaningful. The carryover cap should be re-evaluated for these states; a reasonable accrual cap (as opposed to a forfeiture of already-accrued PTO) is more defensible.</w:t>
      </w:r>
    </w:p>
    <w:bookmarkEnd w:id="43"/>
    <w:bookmarkStart w:id="44" w:name="X9991096e5caeb8361ab40d19bf9118dc047b85a"/>
    <w:p>
      <w:pPr>
        <w:pStyle w:val="Heading3"/>
      </w:pPr>
      <w:r>
        <w:t xml:space="preserve">M7. Workplace Posting and Individual Employee Notice Obligations</w:t>
      </w:r>
    </w:p>
    <w:p>
      <w:pPr>
        <w:pStyle w:val="FirstParagraph"/>
      </w:pPr>
      <w:r>
        <w:t xml:space="preserve">The Handbook does not address workplace posting or individual employee notice obligations, and the Company’s posting status across sites is undocumented. Each of the seven jurisdictions imposes posting and/or individual-notice obligations with respect to its paid leave programs (e.g., NJ earned sick leave notice; NY PFL/DBL/sick leave notices; CT PL/PSL notices; MA PFML/EST notices; CO FAMLI/HFWA notices; OR PLO/Sick Time notices; WA PFML/PSL notices). The Company should inventory current postings at all existing facilities, obtain and post the required notices, and build posting/notice compliance into the opening checklist for each expansion facility.</w:t>
      </w:r>
    </w:p>
    <w:bookmarkEnd w:id="44"/>
    <w:bookmarkStart w:id="45" w:name="X6788d1656f8bb26d4af1e6fd7281105fad70203"/>
    <w:p>
      <w:pPr>
        <w:pStyle w:val="Heading3"/>
      </w:pPr>
      <w:r>
        <w:t xml:space="preserve">M8. State-Specific Recordkeeping Requirements</w:t>
      </w:r>
    </w:p>
    <w:p>
      <w:pPr>
        <w:pStyle w:val="FirstParagraph"/>
      </w:pPr>
      <w:r>
        <w:t xml:space="preserve">The Handbook states a six-year retention period for leave records, which meets or exceeds the retention requirements of the states reviewed (e.g., New Jersey requires four years under the NJ ESL Act). However, the manual spreadsheet system’s lack of an audit trail (H5) undermines the practical value of the retention period. The Company should verify the specific recordkeeping requirements of each expansion state and ensure the leave-management system (once implemented) produces auditable, state-compliant records.</w:t>
      </w:r>
    </w:p>
    <w:bookmarkEnd w:id="45"/>
    <w:bookmarkStart w:id="46" w:name="X2a96acd61971ad881a895d096196beace2c98e3"/>
    <w:p>
      <w:pPr>
        <w:pStyle w:val="Heading3"/>
      </w:pPr>
      <w:r>
        <w:t xml:space="preserve">M9. Oregon Safe Leave and Public-Health-Emergency Coverage Gaps</w:t>
      </w:r>
    </w:p>
    <w:p>
      <w:pPr>
        <w:pStyle w:val="FirstParagraph"/>
      </w:pPr>
      <w:r>
        <w:t xml:space="preserve">Paid Leave Oregon covers safe leave (domestic violence, sexual assault, stalking, and harassment) as a distinct leave type, which the Company’s policy does not address. Several states’ sick leave laws also cover public-health-emergency/closure leave (NJ, NY, CO, WA) that the Company’s policy omits (H3). The revised policy should add safe leave and public-health-emergency/closure coverage as required by each state.</w:t>
      </w:r>
    </w:p>
    <w:bookmarkEnd w:id="46"/>
    <w:bookmarkStart w:id="47" w:name="Xaeb0f3119d2be6757a7b00a9149316450b7b0dc"/>
    <w:p>
      <w:pPr>
        <w:pStyle w:val="Heading3"/>
      </w:pPr>
      <w:r>
        <w:t xml:space="preserve">M10. Manager and HR Training Gaps; Inconsistent Administration</w:t>
      </w:r>
    </w:p>
    <w:p>
      <w:pPr>
        <w:pStyle w:val="FirstParagraph"/>
      </w:pPr>
      <w:r>
        <w:t xml:space="preserve">The Muñoz denial was made by a front-line supervisor relying on the express (deficient) terms of the written policy. The medical-leave misdirection (H1) reflects HR staff unfamiliarity with state programs. The notice-requirement inconsistency (M5) reflects the absence of a framework for unforeseeable leave. These are training and administration failures that compound the policy deficiencies. The Company should implement comprehensive manager and HR training on the revised policies, with state-specific modules, before each facility opening and refresher training annually. Training should be documented.</w:t>
      </w:r>
    </w:p>
    <w:bookmarkEnd w:id="47"/>
    <w:bookmarkEnd w:id="48"/>
    <w:bookmarkStart w:id="49" w:name="X8a010e88fa3b6265428bf205099f3b8729e958e"/>
    <w:p>
      <w:pPr>
        <w:pStyle w:val="Heading2"/>
      </w:pPr>
      <w:r>
        <w:t xml:space="preserve">VIII. Self-Funded Paid Family Leave Plan — Structural Analysis</w:t>
      </w:r>
    </w:p>
    <w:p>
      <w:pPr>
        <w:pStyle w:val="FirstParagraph"/>
      </w:pPr>
      <w:r>
        <w:t xml:space="preserve">Part V (C4) sets forth the side-by-side comparison of the Company’s self-funded benefit against each state’s statutory benefit. The analytical conclusions are:</w:t>
      </w:r>
    </w:p>
    <w:p>
      <w:pPr>
        <w:pStyle w:val="Compact"/>
        <w:numPr>
          <w:ilvl w:val="0"/>
          <w:numId w:val="1008"/>
        </w:numPr>
      </w:pPr>
      <w:r>
        <w:rPr>
          <w:b/>
          <w:bCs/>
        </w:rPr>
        <w:t xml:space="preserve">The self-funded plan does not qualify as a compliant private-plan substitute in any state.</w:t>
      </w:r>
      <w:r>
        <w:t xml:space="preserve"> </w:t>
      </w:r>
      <w:r>
        <w:t xml:space="preserve">It is below the statutory benefit on rate, cap, and duration in all seven states, and it does not cover the employee’s own medical condition in the four states whose programs include medical leave (CT, MA, CO, OR, WA).</w:t>
      </w:r>
    </w:p>
    <w:p>
      <w:pPr>
        <w:pStyle w:val="Compact"/>
        <w:numPr>
          <w:ilvl w:val="0"/>
          <w:numId w:val="1008"/>
        </w:numPr>
      </w:pPr>
      <w:r>
        <w:rPr>
          <w:b/>
          <w:bCs/>
        </w:rPr>
        <w:t xml:space="preserve">No private-plan application has been filed in any state.</w:t>
      </w:r>
      <w:r>
        <w:t xml:space="preserve"> </w:t>
      </w:r>
      <w:r>
        <w:t xml:space="preserve">Where a private-plan alternative exists, affirmative filing and agency approval are prerequisites; the Company has neither.</w:t>
      </w:r>
    </w:p>
    <w:p>
      <w:pPr>
        <w:pStyle w:val="Compact"/>
        <w:numPr>
          <w:ilvl w:val="0"/>
          <w:numId w:val="1008"/>
        </w:numPr>
      </w:pPr>
      <w:r>
        <w:rPr>
          <w:b/>
          <w:bCs/>
        </w:rPr>
        <w:t xml:space="preserve">Colorado forecloses self-funding entirely.</w:t>
      </w:r>
      <w:r>
        <w:t xml:space="preserve"> </w:t>
      </w:r>
      <w:r>
        <w:t xml:space="preserve">The FAMLI private-plan option is available only to local government employers. The Company must participate in the state program.</w:t>
      </w:r>
    </w:p>
    <w:p>
      <w:pPr>
        <w:pStyle w:val="Compact"/>
        <w:numPr>
          <w:ilvl w:val="0"/>
          <w:numId w:val="1008"/>
        </w:numPr>
      </w:pPr>
      <w:r>
        <w:rPr>
          <w:b/>
          <w:bCs/>
        </w:rPr>
        <w:t xml:space="preserve">The current dual-coverage structure (NJ, NY, CT) creates employee confusion and misstatement risk.</w:t>
      </w:r>
      <w:r>
        <w:t xml:space="preserve"> </w:t>
      </w:r>
      <w:r>
        <w:t xml:space="preserve">The Handbook’s representation that the self-funded plan</w:t>
      </w:r>
      <w:r>
        <w:t xml:space="preserve"> </w:t>
      </w:r>
      <w:r>
        <w:t xml:space="preserve">“</w:t>
      </w:r>
      <w:r>
        <w:t xml:space="preserve">is intended to satisfy any applicable state mandate</w:t>
      </w:r>
      <w:r>
        <w:t xml:space="preserve">”</w:t>
      </w:r>
      <w:r>
        <w:t xml:space="preserve"> </w:t>
      </w:r>
      <w:r>
        <w:t xml:space="preserve">(§6.3.7) is legally incorrect and should be removed from the revised Handbook.</w:t>
      </w:r>
    </w:p>
    <w:p>
      <w:pPr>
        <w:pStyle w:val="FirstParagraph"/>
      </w:pPr>
      <w:r>
        <w:t xml:space="preserve">H&amp;C recommends that the Company adopt state-program participation as the default structure (approach (1) in C4), discontinue or reposition the self-funded plan as a supplemental benefit, and evaluate private-plan approval only where the Company concludes that an enhanced, equivalency-compliant plan is preferable to state-program participation on cost or administration grounds. This decision should be made jurisdiction-by-jurisdiction with H&amp;C’s assistance and with input from PinnacleHR on the payroll/withholding implications of each approach.</w:t>
      </w:r>
    </w:p>
    <w:bookmarkEnd w:id="49"/>
    <w:bookmarkStart w:id="50" w:name="Xcc7e5a8a0c0db01f5bdf45dfd8583fe3bea2abe"/>
    <w:p>
      <w:pPr>
        <w:pStyle w:val="Heading2"/>
      </w:pPr>
      <w:r>
        <w:t xml:space="preserve">IX. Operational Risks — Manual Spreadsheet Leave Tracking</w:t>
      </w:r>
    </w:p>
    <w:p>
      <w:pPr>
        <w:pStyle w:val="FirstParagraph"/>
      </w:pPr>
      <w:r>
        <w:t xml:space="preserve">Part VI (H5) addresses the manual spreadsheet system. The operational risk analysis requested in the engagement letter is as follows:</w:t>
      </w:r>
    </w:p>
    <w:p>
      <w:pPr>
        <w:pStyle w:val="Compact"/>
        <w:numPr>
          <w:ilvl w:val="0"/>
          <w:numId w:val="1009"/>
        </w:numPr>
      </w:pPr>
      <w:r>
        <w:rPr>
          <w:b/>
          <w:bCs/>
        </w:rPr>
        <w:t xml:space="preserve">Scaling failure.</w:t>
      </w:r>
      <w:r>
        <w:t xml:space="preserve"> </w:t>
      </w:r>
      <w:r>
        <w:t xml:space="preserve">Moving from three state-specific workbooks to seven, each with distinct rules, increases coordinator workload by an estimated 50–75% (per the HR expansion memorandum) and increases error probability non-linearly because each new state adds cognitive load.</w:t>
      </w:r>
    </w:p>
    <w:p>
      <w:pPr>
        <w:pStyle w:val="Compact"/>
        <w:numPr>
          <w:ilvl w:val="0"/>
          <w:numId w:val="1009"/>
        </w:numPr>
      </w:pPr>
      <w:r>
        <w:rPr>
          <w:b/>
          <w:bCs/>
        </w:rPr>
        <w:t xml:space="preserve">Audit defensibility.</w:t>
      </w:r>
      <w:r>
        <w:t xml:space="preserve"> </w:t>
      </w:r>
      <w:r>
        <w:t xml:space="preserve">The absence of an audit trail is the most serious operational risk. In the Muñoz matter, the NJ DOL has reserved the right to investigate the Company’s records; the Company cannot currently demonstrate how any given balance was calculated. This weakness will recur in any future state investigation.</w:t>
      </w:r>
    </w:p>
    <w:p>
      <w:pPr>
        <w:pStyle w:val="Compact"/>
        <w:numPr>
          <w:ilvl w:val="0"/>
          <w:numId w:val="1009"/>
        </w:numPr>
      </w:pPr>
      <w:r>
        <w:rPr>
          <w:b/>
          <w:bCs/>
        </w:rPr>
        <w:t xml:space="preserve">Recordkeeping compliance.</w:t>
      </w:r>
      <w:r>
        <w:t xml:space="preserve"> </w:t>
      </w:r>
      <w:r>
        <w:t xml:space="preserve">Several expansion states impose specific recordkeeping requirements that the spreadsheet system cannot reliably satisfy.</w:t>
      </w:r>
    </w:p>
    <w:p>
      <w:pPr>
        <w:pStyle w:val="Compact"/>
        <w:numPr>
          <w:ilvl w:val="0"/>
          <w:numId w:val="1009"/>
        </w:numPr>
      </w:pPr>
      <w:r>
        <w:rPr>
          <w:b/>
          <w:bCs/>
        </w:rPr>
        <w:t xml:space="preserve">Inconsistent administration.</w:t>
      </w:r>
      <w:r>
        <w:t xml:space="preserve"> </w:t>
      </w:r>
      <w:r>
        <w:t xml:space="preserve">Manual, judgment-based administration across sites creates disparate-treatment exposure (M5, M10).</w:t>
      </w:r>
    </w:p>
    <w:p>
      <w:pPr>
        <w:pStyle w:val="FirstParagraph"/>
      </w:pPr>
      <w:r>
        <w:t xml:space="preserve">H&amp;C concurs with the HR expansion memorandum’s recommendation to procure a dedicated leave-management system (estimated $40,000–$75,000; three-to-six-month implementation) and recommends that the Company treat this as a priority capital item within or alongside the $175,000 compliance remediation budget. If the budget cannot accommodate both the system and the full legal/policy workstream, H&amp;C recommends that the Company pursue the system through a separate capital expenditure request, because the system is the operational foundation on which policy compliance depends.</w:t>
      </w:r>
    </w:p>
    <w:bookmarkEnd w:id="50"/>
    <w:bookmarkStart w:id="51" w:name="X2879d5c023fb51aa5ac2df6d2d12e2a00cfcd4e"/>
    <w:p>
      <w:pPr>
        <w:pStyle w:val="Heading2"/>
      </w:pPr>
      <w:r>
        <w:t xml:space="preserve">X. Pending NJ DOL Complaint — Resolution Strategy Framework</w:t>
      </w:r>
    </w:p>
    <w:p>
      <w:pPr>
        <w:pStyle w:val="FirstParagraph"/>
      </w:pPr>
      <w:r>
        <w:t xml:space="preserve">The NJ DOL complaint (C1) is outside the scope of this engagement (representation is handled under the separate engagement letter dated February 15, 2025), but the compliance review findings inform the Company’s response posture. H&amp;C offers the following framework for the Company’s consideration, to be implemented in coordination with the H&amp;C team handling the complaint:</w:t>
      </w:r>
    </w:p>
    <w:p>
      <w:pPr>
        <w:pStyle w:val="Compact"/>
        <w:numPr>
          <w:ilvl w:val="0"/>
          <w:numId w:val="1010"/>
        </w:numPr>
      </w:pPr>
      <w:r>
        <w:rPr>
          <w:b/>
          <w:bCs/>
        </w:rPr>
        <w:t xml:space="preserve">Do not contest the underlying statutory deficiency.</w:t>
      </w:r>
      <w:r>
        <w:t xml:space="preserve"> </w:t>
      </w:r>
      <w:r>
        <w:t xml:space="preserve">The family-member definition and covered-uses omissions are clear on the face of the Handbook and the statute. Contesting them would prolong the proceeding and increase penalty exposure.</w:t>
      </w:r>
    </w:p>
    <w:p>
      <w:pPr>
        <w:pStyle w:val="Compact"/>
        <w:numPr>
          <w:ilvl w:val="0"/>
          <w:numId w:val="1010"/>
        </w:numPr>
      </w:pPr>
      <w:r>
        <w:rPr>
          <w:b/>
          <w:bCs/>
        </w:rPr>
        <w:t xml:space="preserve">Make the complainant whole.</w:t>
      </w:r>
      <w:r>
        <w:t xml:space="preserve"> </w:t>
      </w:r>
      <w:r>
        <w:t xml:space="preserve">Compensate Ms. Muñoz for the unpaid time off taken or restore the PTO hours expended in connection with the care of her domestic partner’s child in late January 2025.</w:t>
      </w:r>
    </w:p>
    <w:p>
      <w:pPr>
        <w:pStyle w:val="Compact"/>
        <w:numPr>
          <w:ilvl w:val="0"/>
          <w:numId w:val="1010"/>
        </w:numPr>
      </w:pPr>
      <w:r>
        <w:rPr>
          <w:b/>
          <w:bCs/>
        </w:rPr>
        <w:t xml:space="preserve">Demonstrate corrective action.</w:t>
      </w:r>
      <w:r>
        <w:t xml:space="preserve"> </w:t>
      </w:r>
      <w:r>
        <w:t xml:space="preserve">Present to the NJ DOL the Company’s plan to amend the family-member definition and covered-uses provisions to align with N.J.S.A. 34:11D-1 and 34:11D-3, with a concrete implementation date (the July 1, 2025 revised Handbook), and the supervisor training plan. The Company’s February 21, 2025 response letter already foreshadowed these steps; the revised Handbook and training will operationalize them.</w:t>
      </w:r>
    </w:p>
    <w:p>
      <w:pPr>
        <w:pStyle w:val="Compact"/>
        <w:numPr>
          <w:ilvl w:val="0"/>
          <w:numId w:val="1010"/>
        </w:numPr>
      </w:pPr>
      <w:r>
        <w:rPr>
          <w:b/>
          <w:bCs/>
        </w:rPr>
        <w:t xml:space="preserve">Seek a cooperative resolution.</w:t>
      </w:r>
      <w:r>
        <w:t xml:space="preserve"> </w:t>
      </w:r>
      <w:r>
        <w:t xml:space="preserve">Request that the NJ DOL allow a reasonable period — through the July 1, 2025 handbook revision — for the Company to complete its review, update policies, conduct training, and address the individual claim before any enforcement action is initiated. The Company’s willingness to provide records and cooperate should be emphasized.</w:t>
      </w:r>
    </w:p>
    <w:p>
      <w:pPr>
        <w:pStyle w:val="Compact"/>
        <w:numPr>
          <w:ilvl w:val="0"/>
          <w:numId w:val="1010"/>
        </w:numPr>
      </w:pPr>
      <w:r>
        <w:rPr>
          <w:b/>
          <w:bCs/>
        </w:rPr>
        <w:t xml:space="preserve">Prepare for a broader investigation.</w:t>
      </w:r>
      <w:r>
        <w:t xml:space="preserve"> </w:t>
      </w:r>
      <w:r>
        <w:t xml:space="preserve">Because the NJ DOL reserved the right to investigate the Company’s sick leave practices broadly, the Company should, in parallel, (a) reconcile its leave-tracking records (H5), (b) identify and be prepared to remediate any other employees affected by the deficient family-member definition or covered-uses omissions since January 15, 2022, and (c) document the corrective actions taken.</w:t>
      </w:r>
    </w:p>
    <w:p>
      <w:pPr>
        <w:pStyle w:val="FirstParagraph"/>
      </w:pPr>
      <w:r>
        <w:t xml:space="preserve">This framework is offered as strategic guidance for the Company’s internal decision-making; the H&amp;C team handling the complaint will advise on implementation.</w:t>
      </w:r>
    </w:p>
    <w:bookmarkEnd w:id="51"/>
    <w:bookmarkStart w:id="56" w:name="xi.-prioritized-remediation-plan"/>
    <w:p>
      <w:pPr>
        <w:pStyle w:val="Heading2"/>
      </w:pPr>
      <w:r>
        <w:t xml:space="preserve">XI. Prioritized Remediation Plan</w:t>
      </w:r>
    </w:p>
    <w:p>
      <w:pPr>
        <w:pStyle w:val="FirstParagraph"/>
      </w:pPr>
      <w:r>
        <w:t xml:space="preserve">The following plan sets forth action items, responsible parties, and recommended deadlines, calibrated to the facility-opening schedule and the July 1, 2025 revised-Handbook target. Items marked</w:t>
      </w:r>
      <w:r>
        <w:t xml:space="preserve"> </w:t>
      </w:r>
      <w:r>
        <w:rPr>
          <w:b/>
          <w:bCs/>
        </w:rPr>
        <w:t xml:space="preserve">IMMEDIATE</w:t>
      </w:r>
      <w:r>
        <w:t xml:space="preserve"> </w:t>
      </w:r>
      <w:r>
        <w:t xml:space="preserve">should commence upon receipt of this memorandum.</w:t>
      </w:r>
    </w:p>
    <w:bookmarkStart w:id="52" w:name="phase-1-immediate-may-2025"/>
    <w:p>
      <w:pPr>
        <w:pStyle w:val="Heading3"/>
      </w:pPr>
      <w:r>
        <w:t xml:space="preserve">Phase 1 — Immediate (May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Initiate Colorado FAMLI registration; confirm registration trigger for April 2025 remote hires</w:t>
            </w:r>
          </w:p>
        </w:tc>
        <w:tc>
          <w:tcPr/>
          <w:p>
            <w:pPr>
              <w:pStyle w:val="Compact"/>
              <w:jc w:val="left"/>
            </w:pPr>
            <w:r>
              <w:t xml:space="preserve">Legal (R. Thorsen) + HR (M. Delgado)</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Initiate Massachusetts PFML registration with MA DFML</w:t>
            </w:r>
          </w:p>
        </w:tc>
        <w:tc>
          <w:tcPr/>
          <w:p>
            <w:pPr>
              <w:pStyle w:val="Compact"/>
              <w:jc w:val="left"/>
            </w:pPr>
            <w:r>
              <w:t xml:space="preserve">HR (M. Delgado) + Legal</w:t>
            </w:r>
          </w:p>
        </w:tc>
        <w:tc>
          <w:tcPr/>
          <w:p>
            <w:pPr>
              <w:pStyle w:val="Compact"/>
              <w:jc w:val="left"/>
            </w:pPr>
            <w:r>
              <w:t xml:space="preserve">By May 26, 2025</w:t>
            </w:r>
          </w:p>
        </w:tc>
      </w:tr>
      <w:tr>
        <w:tc>
          <w:tcPr/>
          <w:p>
            <w:pPr>
              <w:pStyle w:val="Compact"/>
              <w:jc w:val="left"/>
            </w:pPr>
            <w:r>
              <w:t xml:space="preserve">3</w:t>
            </w:r>
          </w:p>
        </w:tc>
        <w:tc>
          <w:tcPr/>
          <w:p>
            <w:pPr>
              <w:pStyle w:val="Compact"/>
              <w:jc w:val="left"/>
            </w:pPr>
            <w:r>
              <w:t xml:space="preserve">Provide MA registration confirmation to PinnacleHR</w:t>
            </w:r>
          </w:p>
        </w:tc>
        <w:tc>
          <w:tcPr/>
          <w:p>
            <w:pPr>
              <w:pStyle w:val="Compact"/>
              <w:jc w:val="left"/>
            </w:pPr>
            <w:r>
              <w:t xml:space="preserve">HR / PinnacleHR (P. Samuelson)</w:t>
            </w:r>
          </w:p>
        </w:tc>
        <w:tc>
          <w:tcPr/>
          <w:p>
            <w:pPr>
              <w:pStyle w:val="Compact"/>
              <w:jc w:val="left"/>
            </w:pPr>
            <w:r>
              <w:t xml:space="preserve">By June 1, 2025</w:t>
            </w:r>
          </w:p>
        </w:tc>
      </w:tr>
      <w:tr>
        <w:tc>
          <w:tcPr/>
          <w:p>
            <w:pPr>
              <w:pStyle w:val="Compact"/>
              <w:jc w:val="left"/>
            </w:pPr>
            <w:r>
              <w:t xml:space="preserve">4</w:t>
            </w:r>
          </w:p>
        </w:tc>
        <w:tc>
          <w:tcPr/>
          <w:p>
            <w:pPr>
              <w:pStyle w:val="Compact"/>
              <w:jc w:val="left"/>
            </w:pPr>
            <w:r>
              <w:t xml:space="preserve">Extend interim guidance: no denial/deflection of paid medical leave inquiries; escalate for state-program eligibility</w:t>
            </w:r>
          </w:p>
        </w:tc>
        <w:tc>
          <w:tcPr/>
          <w:p>
            <w:pPr>
              <w:pStyle w:val="Compact"/>
              <w:jc w:val="left"/>
            </w:pPr>
            <w:r>
              <w:t xml:space="preserve">HR (M. Delgado)</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Compile complete list of historical paid medical leave inquiries (CT/NJ/NY, 12 months) for H&amp;C review</w:t>
            </w:r>
          </w:p>
        </w:tc>
        <w:tc>
          <w:tcPr/>
          <w:p>
            <w:pPr>
              <w:pStyle w:val="Compact"/>
              <w:jc w:val="left"/>
            </w:pPr>
            <w:r>
              <w:t xml:space="preserve">HR (M. Delgado)</w:t>
            </w:r>
          </w:p>
        </w:tc>
        <w:tc>
          <w:tcPr/>
          <w:p>
            <w:pPr>
              <w:pStyle w:val="Compact"/>
              <w:jc w:val="left"/>
            </w:pPr>
            <w:r>
              <w:t xml:space="preserve">By May 30, 2025</w:t>
            </w:r>
          </w:p>
        </w:tc>
      </w:tr>
      <w:tr>
        <w:tc>
          <w:tcPr/>
          <w:p>
            <w:pPr>
              <w:pStyle w:val="Compact"/>
              <w:jc w:val="left"/>
            </w:pPr>
            <w:r>
              <w:t xml:space="preserve">6</w:t>
            </w:r>
          </w:p>
        </w:tc>
        <w:tc>
          <w:tcPr/>
          <w:p>
            <w:pPr>
              <w:pStyle w:val="Compact"/>
              <w:jc w:val="left"/>
            </w:pPr>
            <w:r>
              <w:t xml:space="preserve">Revise Colorado offer letters: remove blanket no-payout language; add CO-law compliance-savings clause; route to R. Thorsen for review before issuance</w:t>
            </w:r>
          </w:p>
        </w:tc>
        <w:tc>
          <w:tcPr/>
          <w:p>
            <w:pPr>
              <w:pStyle w:val="Compact"/>
              <w:jc w:val="left"/>
            </w:pPr>
            <w:r>
              <w:t xml:space="preserve">HR (M. Delgado) + Legal</w:t>
            </w:r>
          </w:p>
        </w:tc>
        <w:tc>
          <w:tcPr/>
          <w:p>
            <w:pPr>
              <w:pStyle w:val="Compact"/>
              <w:jc w:val="left"/>
            </w:pPr>
            <w:r>
              <w:t xml:space="preserve">Before CO offers issued</w:t>
            </w:r>
          </w:p>
        </w:tc>
      </w:tr>
    </w:tbl>
    <w:bookmarkEnd w:id="52"/>
    <w:bookmarkStart w:id="53" w:name="X0666599a73273cb83500de3ebd178bd827d3093"/>
    <w:p>
      <w:pPr>
        <w:pStyle w:val="Heading3"/>
      </w:pPr>
      <w:r>
        <w:t xml:space="preserve">Phase 2 — Revised Employee Handbook (target July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7</w:t>
            </w:r>
          </w:p>
        </w:tc>
        <w:tc>
          <w:tcPr/>
          <w:p>
            <w:pPr>
              <w:pStyle w:val="Compact"/>
              <w:jc w:val="left"/>
            </w:pPr>
            <w:r>
              <w:t xml:space="preserve">Redraft Paid Sick Leave Policy: state-specific accrual (1/30 in NJ/NY/MA/CO/OR; 1/40 in CT/WA); eliminate PT cap differential; state-specific caps (40/56/48/none); carryover or pay-out-and-reset; broad family-member definition; all covered uses (family care, preventive, safe leave, PHE/closure, school-related); 3-day documentation threshold; state-specific waiting periods (120/120/120/90/0/90/90)</w:t>
            </w:r>
          </w:p>
        </w:tc>
        <w:tc>
          <w:tcPr/>
          <w:p>
            <w:pPr>
              <w:pStyle w:val="Compact"/>
              <w:jc w:val="left"/>
            </w:pPr>
            <w:r>
              <w:t xml:space="preserve">Legal (H&amp;C) + HR</w:t>
            </w:r>
          </w:p>
        </w:tc>
        <w:tc>
          <w:tcPr/>
          <w:p>
            <w:pPr>
              <w:pStyle w:val="Compact"/>
              <w:jc w:val="left"/>
            </w:pPr>
            <w:r>
              <w:t xml:space="preserve">June 20, 2025 (draft); July 1, 2025 (issue)</w:t>
            </w:r>
          </w:p>
        </w:tc>
      </w:tr>
      <w:tr>
        <w:tc>
          <w:tcPr/>
          <w:p>
            <w:pPr>
              <w:pStyle w:val="Compact"/>
              <w:jc w:val="left"/>
            </w:pPr>
            <w:r>
              <w:t xml:space="preserve">8</w:t>
            </w:r>
          </w:p>
        </w:tc>
        <w:tc>
          <w:tcPr/>
          <w:p>
            <w:pPr>
              <w:pStyle w:val="Compact"/>
              <w:jc w:val="left"/>
            </w:pPr>
            <w:r>
              <w:t xml:space="preserve">Redraft Paid Family Leave Policy: structural decision (state participation vs. enhanced private plan) per C4; broaden family-member definition; add military exigency where required; foreseeable/unforeseeable notice rules; remove</w:t>
            </w:r>
            <w:r>
              <w:t xml:space="preserve"> </w:t>
            </w:r>
            <w:r>
              <w:t xml:space="preserve">“</w:t>
            </w:r>
            <w:r>
              <w:t xml:space="preserve">satisfies any state mandate</w:t>
            </w:r>
            <w:r>
              <w:t xml:space="preserve">”</w:t>
            </w:r>
            <w:r>
              <w:t xml:space="preserve"> </w:t>
            </w:r>
            <w:r>
              <w:t xml:space="preserve">representation</w:t>
            </w:r>
          </w:p>
        </w:tc>
        <w:tc>
          <w:tcPr/>
          <w:p>
            <w:pPr>
              <w:pStyle w:val="Compact"/>
              <w:jc w:val="left"/>
            </w:pPr>
            <w:r>
              <w:t xml:space="preserve">Legal (H&amp;C) + HR</w:t>
            </w:r>
          </w:p>
        </w:tc>
        <w:tc>
          <w:tcPr/>
          <w:p>
            <w:pPr>
              <w:pStyle w:val="Compact"/>
              <w:jc w:val="left"/>
            </w:pPr>
            <w:r>
              <w:t xml:space="preserve">June 20, 2025 (draft); July 1, 2025 (issue)</w:t>
            </w:r>
          </w:p>
        </w:tc>
      </w:tr>
      <w:tr>
        <w:tc>
          <w:tcPr/>
          <w:p>
            <w:pPr>
              <w:pStyle w:val="Compact"/>
              <w:jc w:val="left"/>
            </w:pPr>
            <w:r>
              <w:t xml:space="preserve">9</w:t>
            </w:r>
          </w:p>
        </w:tc>
        <w:tc>
          <w:tcPr/>
          <w:p>
            <w:pPr>
              <w:pStyle w:val="Compact"/>
              <w:jc w:val="left"/>
            </w:pPr>
            <w:r>
              <w:t xml:space="preserve">Redraft Paid Medical Leave Policy: acknowledge state TDI/DBL/Paid Leave programs and claim-filing process; clarify relationship to self-funded plan and voluntary STD</w:t>
            </w:r>
          </w:p>
        </w:tc>
        <w:tc>
          <w:tcPr/>
          <w:p>
            <w:pPr>
              <w:pStyle w:val="Compact"/>
              <w:jc w:val="left"/>
            </w:pPr>
            <w:r>
              <w:t xml:space="preserve">Legal (H&amp;C) + HR</w:t>
            </w:r>
          </w:p>
        </w:tc>
        <w:tc>
          <w:tcPr/>
          <w:p>
            <w:pPr>
              <w:pStyle w:val="Compact"/>
              <w:jc w:val="left"/>
            </w:pPr>
            <w:r>
              <w:t xml:space="preserve">July 1, 2025</w:t>
            </w:r>
          </w:p>
        </w:tc>
      </w:tr>
      <w:tr>
        <w:tc>
          <w:tcPr/>
          <w:p>
            <w:pPr>
              <w:pStyle w:val="Compact"/>
              <w:jc w:val="left"/>
            </w:pPr>
            <w:r>
              <w:t xml:space="preserve">10</w:t>
            </w:r>
          </w:p>
        </w:tc>
        <w:tc>
          <w:tcPr/>
          <w:p>
            <w:pPr>
              <w:pStyle w:val="Compact"/>
              <w:jc w:val="left"/>
            </w:pPr>
            <w:r>
              <w:t xml:space="preserve">Redraft PTO Payout Policy: full payout on separation in CT, MA, CO; re-evaluate 5-day carryover cap in CT/MA/CO; verify OR/WA before openings</w:t>
            </w:r>
          </w:p>
        </w:tc>
        <w:tc>
          <w:tcPr/>
          <w:p>
            <w:pPr>
              <w:pStyle w:val="Compact"/>
              <w:jc w:val="left"/>
            </w:pPr>
            <w:r>
              <w:t xml:space="preserve">Legal (H&amp;C) + HR</w:t>
            </w:r>
          </w:p>
        </w:tc>
        <w:tc>
          <w:tcPr/>
          <w:p>
            <w:pPr>
              <w:pStyle w:val="Compact"/>
              <w:jc w:val="left"/>
            </w:pPr>
            <w:r>
              <w:t xml:space="preserve">July 1, 2025</w:t>
            </w:r>
          </w:p>
        </w:tc>
      </w:tr>
      <w:tr>
        <w:tc>
          <w:tcPr/>
          <w:p>
            <w:pPr>
              <w:pStyle w:val="Compact"/>
              <w:jc w:val="left"/>
            </w:pPr>
            <w:r>
              <w:t xml:space="preserve">11</w:t>
            </w:r>
          </w:p>
        </w:tc>
        <w:tc>
          <w:tcPr/>
          <w:p>
            <w:pPr>
              <w:pStyle w:val="Compact"/>
              <w:jc w:val="left"/>
            </w:pPr>
            <w:r>
              <w:t xml:space="preserve">Add workplace posting/notice compliance; inventory existing postings; build posting checklist into facility-opening procedures</w:t>
            </w:r>
          </w:p>
        </w:tc>
        <w:tc>
          <w:tcPr/>
          <w:p>
            <w:pPr>
              <w:pStyle w:val="Compact"/>
              <w:jc w:val="left"/>
            </w:pPr>
            <w:r>
              <w:t xml:space="preserve">HR (M. Delgado)</w:t>
            </w:r>
          </w:p>
        </w:tc>
        <w:tc>
          <w:tcPr/>
          <w:p>
            <w:pPr>
              <w:pStyle w:val="Compact"/>
              <w:jc w:val="left"/>
            </w:pPr>
            <w:r>
              <w:t xml:space="preserve">July 1, 2025</w:t>
            </w:r>
          </w:p>
        </w:tc>
      </w:tr>
      <w:tr>
        <w:tc>
          <w:tcPr/>
          <w:p>
            <w:pPr>
              <w:pStyle w:val="Compact"/>
              <w:jc w:val="left"/>
            </w:pPr>
            <w:r>
              <w:t xml:space="preserve">12</w:t>
            </w:r>
          </w:p>
        </w:tc>
        <w:tc>
          <w:tcPr/>
          <w:p>
            <w:pPr>
              <w:pStyle w:val="Compact"/>
              <w:jc w:val="left"/>
            </w:pPr>
            <w:r>
              <w:t xml:space="preserve">Distribute revised Handbook; collect acknowledgments before first MA employee onboarded</w:t>
            </w:r>
          </w:p>
        </w:tc>
        <w:tc>
          <w:tcPr/>
          <w:p>
            <w:pPr>
              <w:pStyle w:val="Compact"/>
              <w:jc w:val="left"/>
            </w:pPr>
            <w:r>
              <w:t xml:space="preserve">HR (M. Delgado)</w:t>
            </w:r>
          </w:p>
        </w:tc>
        <w:tc>
          <w:tcPr/>
          <w:p>
            <w:pPr>
              <w:pStyle w:val="Compact"/>
              <w:jc w:val="left"/>
            </w:pPr>
            <w:r>
              <w:t xml:space="preserve">July 1–31, 2025</w:t>
            </w:r>
          </w:p>
        </w:tc>
      </w:tr>
    </w:tbl>
    <w:bookmarkEnd w:id="53"/>
    <w:bookmarkStart w:id="54" w:name="X7452e52846ccd96772b74fbaeb005c2dbce6feb"/>
    <w:p>
      <w:pPr>
        <w:pStyle w:val="Heading3"/>
      </w:pPr>
      <w:r>
        <w:t xml:space="preserve">Phase 3 — Expansion-State Registrations &amp; Systems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13</w:t>
            </w:r>
          </w:p>
        </w:tc>
        <w:tc>
          <w:tcPr/>
          <w:p>
            <w:pPr>
              <w:pStyle w:val="Compact"/>
              <w:jc w:val="left"/>
            </w:pPr>
            <w:r>
              <w:t xml:space="preserve">Complete CO FAMLI registration; provide confirmation to PinnacleHR; configure withholding</w:t>
            </w:r>
          </w:p>
        </w:tc>
        <w:tc>
          <w:tcPr/>
          <w:p>
            <w:pPr>
              <w:pStyle w:val="Compact"/>
              <w:jc w:val="left"/>
            </w:pPr>
            <w:r>
              <w:t xml:space="preserve">HR / Legal / PinnacleHR</w:t>
            </w:r>
          </w:p>
        </w:tc>
        <w:tc>
          <w:tcPr/>
          <w:p>
            <w:pPr>
              <w:pStyle w:val="Compact"/>
              <w:jc w:val="left"/>
            </w:pPr>
            <w:r>
              <w:t xml:space="preserve">IMMEDIATE (early hires); confirm by Aug 2025 for facility</w:t>
            </w:r>
          </w:p>
        </w:tc>
      </w:tr>
      <w:tr>
        <w:tc>
          <w:tcPr/>
          <w:p>
            <w:pPr>
              <w:pStyle w:val="Compact"/>
              <w:jc w:val="left"/>
            </w:pPr>
            <w:r>
              <w:t xml:space="preserve">14</w:t>
            </w:r>
          </w:p>
        </w:tc>
        <w:tc>
          <w:tcPr/>
          <w:p>
            <w:pPr>
              <w:pStyle w:val="Compact"/>
              <w:jc w:val="left"/>
            </w:pPr>
            <w:r>
              <w:t xml:space="preserve">Complete OR PLO registration; provide confirmation to PinnacleHR</w:t>
            </w:r>
          </w:p>
        </w:tc>
        <w:tc>
          <w:tcPr/>
          <w:p>
            <w:pPr>
              <w:pStyle w:val="Compact"/>
              <w:jc w:val="left"/>
            </w:pPr>
            <w:r>
              <w:t xml:space="preserve">HR / Legal</w:t>
            </w:r>
          </w:p>
        </w:tc>
        <w:tc>
          <w:tcPr/>
          <w:p>
            <w:pPr>
              <w:pStyle w:val="Compact"/>
              <w:jc w:val="left"/>
            </w:pPr>
            <w:r>
              <w:t xml:space="preserve">By Dec 1, 2025</w:t>
            </w:r>
          </w:p>
        </w:tc>
      </w:tr>
      <w:tr>
        <w:tc>
          <w:tcPr/>
          <w:p>
            <w:pPr>
              <w:pStyle w:val="Compact"/>
              <w:jc w:val="left"/>
            </w:pPr>
            <w:r>
              <w:t xml:space="preserve">15</w:t>
            </w:r>
          </w:p>
        </w:tc>
        <w:tc>
          <w:tcPr/>
          <w:p>
            <w:pPr>
              <w:pStyle w:val="Compact"/>
              <w:jc w:val="left"/>
            </w:pPr>
            <w:r>
              <w:t xml:space="preserve">Complete WA PFML registration; provide confirmation to PinnacleHR</w:t>
            </w:r>
          </w:p>
        </w:tc>
        <w:tc>
          <w:tcPr/>
          <w:p>
            <w:pPr>
              <w:pStyle w:val="Compact"/>
              <w:jc w:val="left"/>
            </w:pPr>
            <w:r>
              <w:t xml:space="preserve">HR / Legal</w:t>
            </w:r>
          </w:p>
        </w:tc>
        <w:tc>
          <w:tcPr/>
          <w:p>
            <w:pPr>
              <w:pStyle w:val="Compact"/>
              <w:jc w:val="left"/>
            </w:pPr>
            <w:r>
              <w:t xml:space="preserve">By March 1, 2026</w:t>
            </w:r>
          </w:p>
        </w:tc>
      </w:tr>
      <w:tr>
        <w:tc>
          <w:tcPr/>
          <w:p>
            <w:pPr>
              <w:pStyle w:val="Compact"/>
              <w:jc w:val="left"/>
            </w:pPr>
            <w:r>
              <w:t xml:space="preserve">16</w:t>
            </w:r>
          </w:p>
        </w:tc>
        <w:tc>
          <w:tcPr/>
          <w:p>
            <w:pPr>
              <w:pStyle w:val="Compact"/>
              <w:jc w:val="left"/>
            </w:pPr>
            <w:r>
              <w:t xml:space="preserve">Configure WorkBridge Pro for MA/CO/OR/WA (org units, cost centers, state tax/deduction profiles)</w:t>
            </w:r>
          </w:p>
        </w:tc>
        <w:tc>
          <w:tcPr/>
          <w:p>
            <w:pPr>
              <w:pStyle w:val="Compact"/>
              <w:jc w:val="left"/>
            </w:pPr>
            <w:r>
              <w:t xml:space="preserve">HR / IT</w:t>
            </w:r>
          </w:p>
        </w:tc>
        <w:tc>
          <w:tcPr/>
          <w:p>
            <w:pPr>
              <w:pStyle w:val="Compact"/>
              <w:jc w:val="left"/>
            </w:pPr>
            <w:r>
              <w:t xml:space="preserve">2–3 weeks per state, sequenced to openings</w:t>
            </w:r>
          </w:p>
        </w:tc>
      </w:tr>
      <w:tr>
        <w:tc>
          <w:tcPr/>
          <w:p>
            <w:pPr>
              <w:pStyle w:val="Compact"/>
              <w:jc w:val="left"/>
            </w:pPr>
            <w:r>
              <w:t xml:space="preserve">17</w:t>
            </w:r>
          </w:p>
        </w:tc>
        <w:tc>
          <w:tcPr/>
          <w:p>
            <w:pPr>
              <w:pStyle w:val="Compact"/>
              <w:jc w:val="left"/>
            </w:pPr>
            <w:r>
              <w:t xml:space="preserve">Deploy ClockSync Enterprise at each new facility (hardware procurement, install, enrollment)</w:t>
            </w:r>
          </w:p>
        </w:tc>
        <w:tc>
          <w:tcPr/>
          <w:p>
            <w:pPr>
              <w:pStyle w:val="Compact"/>
              <w:jc w:val="left"/>
            </w:pPr>
            <w:r>
              <w:t xml:space="preserve">HR / IT</w:t>
            </w:r>
          </w:p>
        </w:tc>
        <w:tc>
          <w:tcPr/>
          <w:p>
            <w:pPr>
              <w:pStyle w:val="Compact"/>
              <w:jc w:val="left"/>
            </w:pPr>
            <w:r>
              <w:t xml:space="preserve">4–6 weeks per facility, sequenced to openings</w:t>
            </w:r>
          </w:p>
        </w:tc>
      </w:tr>
      <w:tr>
        <w:tc>
          <w:tcPr/>
          <w:p>
            <w:pPr>
              <w:pStyle w:val="Compact"/>
              <w:jc w:val="left"/>
            </w:pPr>
            <w:r>
              <w:t xml:space="preserve">18</w:t>
            </w:r>
          </w:p>
        </w:tc>
        <w:tc>
          <w:tcPr/>
          <w:p>
            <w:pPr>
              <w:pStyle w:val="Compact"/>
              <w:jc w:val="left"/>
            </w:pPr>
            <w:r>
              <w:t xml:space="preserve">Select dedicated leave-management software (RFP/demos); execute contract</w:t>
            </w:r>
          </w:p>
        </w:tc>
        <w:tc>
          <w:tcPr/>
          <w:p>
            <w:pPr>
              <w:pStyle w:val="Compact"/>
              <w:jc w:val="left"/>
            </w:pPr>
            <w:r>
              <w:t xml:space="preserve">HR (M. Delgado) / IT</w:t>
            </w:r>
          </w:p>
        </w:tc>
        <w:tc>
          <w:tcPr/>
          <w:p>
            <w:pPr>
              <w:pStyle w:val="Compact"/>
              <w:jc w:val="left"/>
            </w:pPr>
            <w:r>
              <w:t xml:space="preserve">By July 1, 2025</w:t>
            </w:r>
          </w:p>
        </w:tc>
      </w:tr>
      <w:tr>
        <w:tc>
          <w:tcPr/>
          <w:p>
            <w:pPr>
              <w:pStyle w:val="Compact"/>
              <w:jc w:val="left"/>
            </w:pPr>
            <w:r>
              <w:t xml:space="preserve">19</w:t>
            </w:r>
          </w:p>
        </w:tc>
        <w:tc>
          <w:tcPr/>
          <w:p>
            <w:pPr>
              <w:pStyle w:val="Compact"/>
              <w:jc w:val="left"/>
            </w:pPr>
            <w:r>
              <w:t xml:space="preserve">Implement leave-management software; configure state-specific rules for all 7 states; migrate data; train staff</w:t>
            </w:r>
          </w:p>
        </w:tc>
        <w:tc>
          <w:tcPr/>
          <w:p>
            <w:pPr>
              <w:pStyle w:val="Compact"/>
              <w:jc w:val="left"/>
            </w:pPr>
            <w:r>
              <w:t xml:space="preserve">HR / IT / Vendor</w:t>
            </w:r>
          </w:p>
        </w:tc>
        <w:tc>
          <w:tcPr/>
          <w:p>
            <w:pPr>
              <w:pStyle w:val="Compact"/>
              <w:jc w:val="left"/>
            </w:pPr>
            <w:r>
              <w:t xml:space="preserve">Live by Q1 2026 (before OR/WA openings)</w:t>
            </w:r>
          </w:p>
        </w:tc>
      </w:tr>
      <w:tr>
        <w:tc>
          <w:tcPr/>
          <w:p>
            <w:pPr>
              <w:pStyle w:val="Compact"/>
              <w:jc w:val="left"/>
            </w:pPr>
            <w:r>
              <w:t xml:space="preserve">20</w:t>
            </w:r>
          </w:p>
        </w:tc>
        <w:tc>
          <w:tcPr/>
          <w:p>
            <w:pPr>
              <w:pStyle w:val="Compact"/>
              <w:jc w:val="left"/>
            </w:pPr>
            <w:r>
              <w:t xml:space="preserve">Extend voluntary STD offering to expansion states via Keystone; confirm state-specific approvals</w:t>
            </w:r>
          </w:p>
        </w:tc>
        <w:tc>
          <w:tcPr/>
          <w:p>
            <w:pPr>
              <w:pStyle w:val="Compact"/>
              <w:jc w:val="left"/>
            </w:pPr>
            <w:r>
              <w:t xml:space="preserve">HR (M. Delgado) / Keystone</w:t>
            </w:r>
          </w:p>
        </w:tc>
        <w:tc>
          <w:tcPr/>
          <w:p>
            <w:pPr>
              <w:pStyle w:val="Compact"/>
              <w:jc w:val="left"/>
            </w:pPr>
            <w:r>
              <w:t xml:space="preserve">Before each opening</w:t>
            </w:r>
          </w:p>
        </w:tc>
      </w:tr>
    </w:tbl>
    <w:bookmarkEnd w:id="54"/>
    <w:bookmarkStart w:id="55" w:name="phase-4-training-audit-resolution"/>
    <w:p>
      <w:pPr>
        <w:pStyle w:val="Heading3"/>
      </w:pPr>
      <w:r>
        <w:t xml:space="preserve">Phase 4 — Training, Audit &amp;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Manager and HR training on revised policies (state-specific modules); document training</w:t>
            </w:r>
          </w:p>
        </w:tc>
        <w:tc>
          <w:tcPr/>
          <w:p>
            <w:pPr>
              <w:pStyle w:val="Compact"/>
              <w:jc w:val="left"/>
            </w:pPr>
            <w:r>
              <w:t xml:space="preserve">HR (M. Delgado)</w:t>
            </w:r>
          </w:p>
        </w:tc>
        <w:tc>
          <w:tcPr/>
          <w:p>
            <w:pPr>
              <w:pStyle w:val="Compact"/>
              <w:jc w:val="left"/>
            </w:pPr>
            <w:r>
              <w:t xml:space="preserve">Before each facility opening; annual refresh</w:t>
            </w:r>
          </w:p>
        </w:tc>
      </w:tr>
      <w:tr>
        <w:tc>
          <w:tcPr/>
          <w:p>
            <w:pPr>
              <w:pStyle w:val="Compact"/>
              <w:jc w:val="left"/>
            </w:pPr>
            <w:r>
              <w:t xml:space="preserve">22</w:t>
            </w:r>
          </w:p>
        </w:tc>
        <w:tc>
          <w:tcPr/>
          <w:p>
            <w:pPr>
              <w:pStyle w:val="Compact"/>
              <w:jc w:val="left"/>
            </w:pPr>
            <w:r>
              <w:t xml:space="preserve">Reconcile all current leave-tracking balances; correct errors; implement change-log discipline pending system implementation</w:t>
            </w:r>
          </w:p>
        </w:tc>
        <w:tc>
          <w:tcPr/>
          <w:p>
            <w:pPr>
              <w:pStyle w:val="Compact"/>
              <w:jc w:val="left"/>
            </w:pPr>
            <w:r>
              <w:t xml:space="preserve">HR (M. Delgado)</w:t>
            </w:r>
          </w:p>
        </w:tc>
        <w:tc>
          <w:tcPr/>
          <w:p>
            <w:pPr>
              <w:pStyle w:val="Compact"/>
              <w:jc w:val="left"/>
            </w:pPr>
            <w:r>
              <w:t xml:space="preserve">By July 1, 2025</w:t>
            </w:r>
          </w:p>
        </w:tc>
      </w:tr>
      <w:tr>
        <w:tc>
          <w:tcPr/>
          <w:p>
            <w:pPr>
              <w:pStyle w:val="Compact"/>
              <w:jc w:val="left"/>
            </w:pPr>
            <w:r>
              <w:t xml:space="preserve">23</w:t>
            </w:r>
          </w:p>
        </w:tc>
        <w:tc>
          <w:tcPr/>
          <w:p>
            <w:pPr>
              <w:pStyle w:val="Compact"/>
              <w:jc w:val="left"/>
            </w:pPr>
            <w:r>
              <w:t xml:space="preserve">Implement NJ DOL complaint resolution strategy (Part X): make complainant whole; demonstrate corrective action; seek cooperative resolution</w:t>
            </w:r>
          </w:p>
        </w:tc>
        <w:tc>
          <w:tcPr/>
          <w:p>
            <w:pPr>
              <w:pStyle w:val="Compact"/>
              <w:jc w:val="left"/>
            </w:pPr>
            <w:r>
              <w:t xml:space="preserve">Legal (H&amp;C complaint team) + HR</w:t>
            </w:r>
          </w:p>
        </w:tc>
        <w:tc>
          <w:tcPr/>
          <w:p>
            <w:pPr>
              <w:pStyle w:val="Compact"/>
              <w:jc w:val="left"/>
            </w:pPr>
            <w:r>
              <w:t xml:space="preserve">Coordinated with July 1, 2025 handbook revision</w:t>
            </w:r>
          </w:p>
        </w:tc>
      </w:tr>
      <w:tr>
        <w:tc>
          <w:tcPr/>
          <w:p>
            <w:pPr>
              <w:pStyle w:val="Compact"/>
              <w:jc w:val="left"/>
            </w:pPr>
            <w:r>
              <w:t xml:space="preserve">24</w:t>
            </w:r>
          </w:p>
        </w:tc>
        <w:tc>
          <w:tcPr/>
          <w:p>
            <w:pPr>
              <w:pStyle w:val="Compact"/>
              <w:jc w:val="left"/>
            </w:pPr>
            <w:r>
              <w:t xml:space="preserve">Post-launch compliance audit within 30 days of each facility opening</w:t>
            </w:r>
          </w:p>
        </w:tc>
        <w:tc>
          <w:tcPr/>
          <w:p>
            <w:pPr>
              <w:pStyle w:val="Compact"/>
              <w:jc w:val="left"/>
            </w:pPr>
            <w:r>
              <w:t xml:space="preserve">HR / Legal</w:t>
            </w:r>
          </w:p>
        </w:tc>
        <w:tc>
          <w:tcPr/>
          <w:p>
            <w:pPr>
              <w:pStyle w:val="Compact"/>
              <w:jc w:val="left"/>
            </w:pPr>
            <w:r>
              <w:t xml:space="preserve">30 days post-opening (each)</w:t>
            </w:r>
          </w:p>
        </w:tc>
      </w:tr>
    </w:tbl>
    <w:bookmarkEnd w:id="55"/>
    <w:bookmarkEnd w:id="56"/>
    <w:bookmarkStart w:id="57" w:name="xii.-budget-considerations"/>
    <w:p>
      <w:pPr>
        <w:pStyle w:val="Heading2"/>
      </w:pPr>
      <w:r>
        <w:t xml:space="preserve">XII. Budget Considerations</w:t>
      </w:r>
    </w:p>
    <w:p>
      <w:pPr>
        <w:pStyle w:val="FirstParagraph"/>
      </w:pPr>
      <w:r>
        <w:t xml:space="preserve">The Company has allocated a compliance remediation budget of $175,000 to cover legal fees, system updates, and policy redrafting. H&amp;C’s estimated professional fees for this engagement are $28,000–$42,000 (per the engagement letter). The principal competing budget demand is the leave-management software system ($40,000–$75,000), which H&amp;C regards as essential to scalable compliance (H5, Part IX). Additional HR headcount (two generalists, estimated $120,000–$140,000 annualized) and WorkBridge/ClockSync deployment ($15,000–$25,000) are recommended by the HR expansion memorandum but are properly handled outside the compliance remediation budget through normal budgeting/capex processes.</w:t>
      </w:r>
    </w:p>
    <w:p>
      <w:pPr>
        <w:pStyle w:val="BodyText"/>
      </w:pPr>
      <w:r>
        <w:t xml:space="preserve">H&amp;C recommends that the Company (a) reserve the compliance remediation budget primarily for legal fees and policy redrafting, (b) pursue the leave-management system through a separate capital expenditure request given its foundational role, and (c) confirm budget allocation priorities with Finance before committing to a private-plan-enhancement approach in any state (which would increase both benefit cost and administrative complexity). If a private-plan approach is pursued in any current state, the enhanced benefit cost is a recurring operating expense, not a remediation expense, and should be budgeted accordingly.</w:t>
      </w:r>
    </w:p>
    <w:bookmarkEnd w:id="57"/>
    <w:bookmarkStart w:id="58" w:name="xiii.-conclusion"/>
    <w:p>
      <w:pPr>
        <w:pStyle w:val="Heading2"/>
      </w:pPr>
      <w:r>
        <w:t xml:space="preserve">XIII. Conclusion</w:t>
      </w:r>
    </w:p>
    <w:p>
      <w:pPr>
        <w:pStyle w:val="FirstParagraph"/>
      </w:pPr>
      <w:r>
        <w:t xml:space="preserve">The Company’s paid leave policies and practices require substantial remediation across all seven jurisdictions. The most urgent items — the Colorado and Massachusetts registrations and the New Jersey DOL complaint — require immediate attention and are on timelines measured in weeks, not months. The structural self-funded plan issue and the paid medical leave gap require a deliberate jurisdiction-by-jurisdiction decision with H&amp;C’s assistance. The revised Employee Handbook (target July 1, 2025) is the central vehicle for curing the policy deficiencies and must be completed, reviewed, and distributed before the first Massachusetts employee is hired on August 1, 2025. The manual leave-tracking system must be replaced with a scalable, state-configurable solution before the Oregon and Washington facilities open in 2026.</w:t>
      </w:r>
    </w:p>
    <w:p>
      <w:pPr>
        <w:pStyle w:val="BodyText"/>
      </w:pPr>
      <w:r>
        <w:t xml:space="preserve">H&amp;C is available to discuss these findings with the Company’s legal and HR teams, to assist in the structural decisions identified herein, and to support the registration filings and policy redrafting. Given the registration urgency, H&amp;C recommends a working session within the next ten business days to confirm ownership and deadlines for the Phase 1 items.</w:t>
      </w:r>
    </w:p>
    <w:p>
      <w:pPr>
        <w:pStyle w:val="BodyText"/>
      </w:pPr>
      <w:r>
        <w:t xml:space="preserve">This memorandum is privileged and confidential and should be treated as attorney work product. Sharing with internal teams (including Marcus Delgado and the HR department) for the purpose of obtaining, understanding, or implementing legal advice does not waive privilege. Sharing with third-party vendors (PinnacleHR, Keystone) should be limited to non-privileged summaries, action-item lists, or specific operational directives; H&amp;C is available to prepare appropriate non-privileged communications for vendor distribution upon request.</w:t>
      </w:r>
    </w:p>
    <w:p>
      <w:pPr>
        <w:pStyle w:val="BodyText"/>
      </w:pPr>
      <w:r>
        <w:t xml:space="preserve">Respectfully submitted,</w:t>
      </w:r>
    </w:p>
    <w:p>
      <w:pPr>
        <w:pStyle w:val="BodyText"/>
      </w:pPr>
      <w:r>
        <w:rPr>
          <w:b/>
          <w:bCs/>
        </w:rPr>
        <w:t xml:space="preserve">HARTWELL &amp; CABOT LLP</w:t>
      </w:r>
    </w:p>
    <w:p>
      <w:pPr>
        <w:pStyle w:val="BodyText"/>
      </w:pPr>
      <w:r>
        <w:t xml:space="preserve">Catherine Ng, Partner</w:t>
      </w:r>
    </w:p>
    <w:p>
      <w:pPr>
        <w:pStyle w:val="BodyText"/>
      </w:pPr>
      <w:r>
        <w:t xml:space="preserve">Daniel Ikeda, Senior Associate</w:t>
      </w:r>
    </w:p>
    <w:p>
      <w:r>
        <w:pict>
          <v:rect style="width:0;height:1.5pt" o:hralign="center" o:hrstd="t" o:hr="t"/>
        </w:pict>
      </w:r>
    </w:p>
    <w:p>
      <w:pPr>
        <w:pStyle w:val="FirstParagraph"/>
      </w:pPr>
      <w:r>
        <w:rPr>
          <w:i/>
          <w:iCs/>
        </w:rPr>
        <w:t xml:space="preserve">Appendix: Expansion-State Registration Deadlines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Facility Opening</w:t>
            </w:r>
          </w:p>
        </w:tc>
        <w:tc>
          <w:tcPr/>
          <w:p>
            <w:pPr>
              <w:pStyle w:val="Compact"/>
              <w:jc w:val="left"/>
            </w:pPr>
            <w:r>
              <w:t xml:space="preserve">Required Registration (est.)</w:t>
            </w:r>
          </w:p>
        </w:tc>
        <w:tc>
          <w:tcPr/>
          <w:p>
            <w:pPr>
              <w:pStyle w:val="Compact"/>
              <w:jc w:val="left"/>
            </w:pPr>
            <w:r>
              <w:t xml:space="preserve">Priority</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Aug 1, 2025</w:t>
            </w:r>
          </w:p>
        </w:tc>
        <w:tc>
          <w:tcPr/>
          <w:p>
            <w:pPr>
              <w:pStyle w:val="Compact"/>
              <w:jc w:val="left"/>
            </w:pPr>
            <w:r>
              <w:t xml:space="preserve">≈ June 1, 2025</w:t>
            </w:r>
          </w:p>
        </w:tc>
        <w:tc>
          <w:tcPr/>
          <w:p>
            <w:pPr>
              <w:pStyle w:val="Compact"/>
              <w:jc w:val="left"/>
            </w:pPr>
            <w:r>
              <w:t xml:space="preserve">CRITICAL</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Nov 1, 2025 (3 remote hires Apr 2025)</w:t>
            </w:r>
          </w:p>
        </w:tc>
        <w:tc>
          <w:tcPr/>
          <w:p>
            <w:pPr>
              <w:pStyle w:val="Compact"/>
              <w:jc w:val="left"/>
            </w:pPr>
            <w:r>
              <w:t xml:space="preserve">IMMEDIATELY (early hires) / ≈ Sept 1, 2025 (facility)</w:t>
            </w:r>
          </w:p>
        </w:tc>
        <w:tc>
          <w:tcPr/>
          <w:p>
            <w:pPr>
              <w:pStyle w:val="Compact"/>
              <w:jc w:val="left"/>
            </w:pPr>
            <w:r>
              <w:t xml:space="preserve">CRITICAL</w:t>
            </w:r>
          </w:p>
        </w:tc>
      </w:tr>
      <w:tr>
        <w:tc>
          <w:tcPr/>
          <w:p>
            <w:pPr>
              <w:pStyle w:val="Compact"/>
              <w:jc w:val="left"/>
            </w:pPr>
            <w:r>
              <w:t xml:space="preserve">Oregon</w:t>
            </w:r>
          </w:p>
        </w:tc>
        <w:tc>
          <w:tcPr/>
          <w:p>
            <w:pPr>
              <w:pStyle w:val="Compact"/>
              <w:jc w:val="left"/>
            </w:pPr>
            <w:r>
              <w:t xml:space="preserve">PLO</w:t>
            </w:r>
          </w:p>
        </w:tc>
        <w:tc>
          <w:tcPr/>
          <w:p>
            <w:pPr>
              <w:pStyle w:val="Compact"/>
              <w:jc w:val="left"/>
            </w:pPr>
            <w:r>
              <w:t xml:space="preserve">Feb 1, 2026</w:t>
            </w:r>
          </w:p>
        </w:tc>
        <w:tc>
          <w:tcPr/>
          <w:p>
            <w:pPr>
              <w:pStyle w:val="Compact"/>
              <w:jc w:val="left"/>
            </w:pPr>
            <w:r>
              <w:t xml:space="preserve">≈ Dec 1, 2025</w:t>
            </w:r>
          </w:p>
        </w:tc>
        <w:tc>
          <w:tcPr/>
          <w:p>
            <w:pPr>
              <w:pStyle w:val="Compact"/>
              <w:jc w:val="left"/>
            </w:pPr>
            <w:r>
              <w:t xml:space="preserve">HIGH</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May 1, 2026</w:t>
            </w:r>
          </w:p>
        </w:tc>
        <w:tc>
          <w:tcPr/>
          <w:p>
            <w:pPr>
              <w:pStyle w:val="Compact"/>
              <w:jc w:val="left"/>
            </w:pPr>
            <w:r>
              <w:t xml:space="preserve">≈ March 1, 2026</w:t>
            </w:r>
          </w:p>
        </w:tc>
        <w:tc>
          <w:tcPr/>
          <w:p>
            <w:pPr>
              <w:pStyle w:val="Compact"/>
              <w:jc w:val="left"/>
            </w:pPr>
            <w:r>
              <w:t xml:space="preserve">MODERATE</w:t>
            </w:r>
          </w:p>
        </w:tc>
      </w:tr>
    </w:tbl>
    <w:p>
      <w:pPr>
        <w:pStyle w:val="BodyText"/>
      </w:pPr>
      <w:r>
        <w:rPr>
          <w:i/>
          <w:iCs/>
        </w:rPr>
        <w:t xml:space="preserve">Deadlines factor in PinnacleHR’s 6–8 week configuration lead time. Colorado urgency is driven by three remote employees hired in April 2025 ahead of the November 1, 2025 facility opening.</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2026-06-26T23:38:23Z</dcterms:created>
  <dcterms:modified xsi:type="dcterms:W3CDTF">2026-06-26T23:38:23Z</dcterms:modified>
</cp:coreProperties>
</file>

<file path=docProps/custom.xml><?xml version="1.0" encoding="utf-8"?>
<Properties xmlns="http://schemas.openxmlformats.org/officeDocument/2006/custom-properties" xmlns:vt="http://schemas.openxmlformats.org/officeDocument/2006/docPropsVTypes"/>
</file>