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Multi-State</w:t>
      </w:r>
      <w:r>
        <w:t xml:space="preserve"> </w:t>
      </w:r>
      <w:r>
        <w:t xml:space="preserve">Paid</w:t>
      </w:r>
      <w:r>
        <w:t xml:space="preserve"> </w:t>
      </w:r>
      <w:r>
        <w:t xml:space="preserve">Leave</w:t>
      </w:r>
      <w:r>
        <w:t xml:space="preserve"> </w:t>
      </w:r>
      <w:r>
        <w:t xml:space="preserve">Compliance</w:t>
      </w:r>
      <w:r>
        <w:t xml:space="preserve"> </w:t>
      </w:r>
      <w:r>
        <w:t xml:space="preserve">Review</w:t>
      </w:r>
    </w:p>
    <w:p>
      <w:pPr>
        <w:pStyle w:val="Subtitle"/>
      </w:pPr>
      <w:r>
        <w:t xml:space="preserve">Gap</w:t>
      </w:r>
      <w:r>
        <w:t xml:space="preserve"> </w:t>
      </w:r>
      <w:r>
        <w:t xml:space="preserve">Analysis</w:t>
      </w:r>
      <w:r>
        <w:t xml:space="preserve"> </w:t>
      </w:r>
      <w:r>
        <w:t xml:space="preserve">and</w:t>
      </w:r>
      <w:r>
        <w:t xml:space="preserve"> </w:t>
      </w:r>
      <w:r>
        <w:t xml:space="preserve">Remediation</w:t>
      </w:r>
      <w:r>
        <w:t xml:space="preserve"> </w:t>
      </w:r>
      <w:r>
        <w:t xml:space="preserve">Memorandum</w:t>
      </w:r>
    </w:p>
    <w:p>
      <w:pPr>
        <w:pStyle w:val="FirstParagraph"/>
      </w:pPr>
      <w:r>
        <w:rPr>
          <w:b/>
          <w:bCs/>
        </w:rPr>
        <w:t xml:space="preserve">HARTWELL &amp; CABOT LLP</w:t>
      </w:r>
      <w:r>
        <w:t xml:space="preserve"> </w:t>
      </w:r>
      <w:r>
        <w:rPr>
          <w:i/>
          <w:iCs/>
        </w:rPr>
        <w:t xml:space="preserve">Attorneys at Law</w:t>
      </w:r>
    </w:p>
    <w:p>
      <w:pPr>
        <w:pStyle w:val="BodyText"/>
      </w:pPr>
      <w:r>
        <w:t xml:space="preserve">One Gateway Center, Suite 2400, Newark, New Jersey 07102 | 225 Franklin Street, 18th Floor, Boston, Massachusetts 02110</w:t>
      </w:r>
    </w:p>
    <w:p>
      <w:pPr>
        <w:pStyle w:val="BodyText"/>
      </w:pPr>
      <w:r>
        <w:rPr>
          <w:b/>
          <w:bCs/>
        </w:rPr>
        <w:t xml:space="preserve">ATTORNEY-CLIENT PRIVILEGED | ATTORNEY WORK PRODUCT | CONFIDENTIAL</w:t>
      </w:r>
    </w:p>
    <w:p>
      <w:r>
        <w:pict>
          <v:rect style="width:0;height:1.5pt" o:hralign="center" o:hrstd="t" o:hr="t"/>
        </w:pict>
      </w:r>
    </w:p>
    <w:p>
      <w:pPr>
        <w:pStyle w:val="FirstParagraph"/>
      </w:pPr>
      <w:r>
        <w:rPr>
          <w:b/>
          <w:bCs/>
        </w:rPr>
        <w:t xml:space="preserve">TO:</w:t>
      </w:r>
      <w:r>
        <w:t xml:space="preserve"> </w:t>
      </w:r>
      <w:r>
        <w:t xml:space="preserve">Rebecca Thorsen, Esq., Senior Vice President &amp; General Counsel, Vantage Logistics Group, Inc.</w:t>
      </w:r>
    </w:p>
    <w:p>
      <w:pPr>
        <w:pStyle w:val="BodyText"/>
      </w:pPr>
      <w:r>
        <w:rPr>
          <w:b/>
          <w:bCs/>
        </w:rPr>
        <w:t xml:space="preserve">CC:</w:t>
      </w:r>
      <w:r>
        <w:t xml:space="preserve"> </w:t>
      </w:r>
      <w:r>
        <w:t xml:space="preserve">Marcus Delgado, Director of Human Resources, Vantage Logistics Group, Inc.</w:t>
      </w:r>
    </w:p>
    <w:p>
      <w:pPr>
        <w:pStyle w:val="BodyText"/>
      </w:pPr>
      <w:r>
        <w:rPr>
          <w:b/>
          <w:bCs/>
        </w:rPr>
        <w:t xml:space="preserve">FROM:</w:t>
      </w:r>
      <w:r>
        <w:t xml:space="preserve"> </w:t>
      </w:r>
      <w:r>
        <w:t xml:space="preserve">Catherine Ng, Partner; Daniel Ikeda, Senior Associate — Hartwell &amp; Cabot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Multi-State Paid Leave Compliance Review — Gap Analysis and Prioritized Remediation Memorandum (Engagement dated April 14, 2025)</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delivered pursuant to Hartwell &amp; Cabot LLP’s (</w:t>
      </w:r>
      <w:r>
        <w:t xml:space="preserve">“</w:t>
      </w:r>
      <w:r>
        <w:t xml:space="preserve">H&amp;C</w:t>
      </w:r>
      <w:r>
        <w:t xml:space="preserve">”</w:t>
      </w:r>
      <w:r>
        <w:t xml:space="preserve">) engagement by Vantage Logistics Group,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to conduct a comprehensive multi-state compliance review of the Company’s paid leave policies and practices across seven jurisdictions: New Jersey, New York, and Connecticut (the</w:t>
      </w:r>
      <w:r>
        <w:t xml:space="preserve"> </w:t>
      </w:r>
      <w:r>
        <w:t xml:space="preserve">“</w:t>
      </w:r>
      <w:r>
        <w:t xml:space="preserve">current states,</w:t>
      </w:r>
      <w:r>
        <w:t xml:space="preserve">”</w:t>
      </w:r>
      <w:r>
        <w:t xml:space="preserve"> </w:t>
      </w:r>
      <w:r>
        <w:t xml:space="preserve">in which the Company presently operates) and Massachusetts, Colorado, Oregon, and Washington (the</w:t>
      </w:r>
      <w:r>
        <w:t xml:space="preserve"> </w:t>
      </w:r>
      <w:r>
        <w:t xml:space="preserve">“</w:t>
      </w:r>
      <w:r>
        <w:t xml:space="preserve">expansion states,</w:t>
      </w:r>
      <w:r>
        <w:t xml:space="preserve">”</w:t>
      </w:r>
      <w:r>
        <w:t xml:space="preserve"> </w:t>
      </w:r>
      <w:r>
        <w:t xml:space="preserve">into which the Company plans to expand between August 1, 2025 and May 1, 2026). It accompanies the</w:t>
      </w:r>
      <w:r>
        <w:t xml:space="preserve"> </w:t>
      </w:r>
      <w:r>
        <w:rPr>
          <w:i/>
          <w:iCs/>
        </w:rPr>
        <w:t xml:space="preserve">Multi-State Compliance Matrix</w:t>
      </w:r>
      <w:r>
        <w:t xml:space="preserve"> </w:t>
      </w:r>
      <w:r>
        <w:t xml:space="preserve">(separate spreadsheet deliverable), which compares the Company’s current policies, as set forth in the Employee Handbook (Rev. January 15, 2022) and as implemented in practice, against the statutory and regulatory requirements of each jurisdiction, with color-coded gap indicators (red / yellow / green).</w:t>
      </w:r>
    </w:p>
    <w:p>
      <w:pPr>
        <w:pStyle w:val="BodyText"/>
      </w:pPr>
      <w:r>
        <w:t xml:space="preserve">This memorandum (i) identifies all material compliance deficiencies between the Company’s current policies and practices and the requirements of each of the seven jurisdictions; (ii) categorizes each deficiency by severity —</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w:t>
      </w:r>
      <w:r>
        <w:t xml:space="preserve">— using the framework set forth in the engagement letter; (iii) provides legal-risk explanations and contextual analysis; and (iv) sets out a prioritized remediation plan with specific action items, responsible parties, and recommended completion deadlines calibrated to the Company’s facility-opening schedule and the July 1, 2025 target date for a revised Employee Handbook.</w:t>
      </w:r>
    </w:p>
    <w:p>
      <w:pPr>
        <w:pStyle w:val="BodyText"/>
      </w:pPr>
      <w:r>
        <w:t xml:space="preserve">As confirmed in the engagement letter, this review does not encompass representation in the pending New Jersey Department of Labor complaint (</w:t>
      </w:r>
      <w:r>
        <w:rPr>
          <w:i/>
          <w:iCs/>
        </w:rPr>
        <w:t xml:space="preserve">Carla Muñoz v. Vantage Logistics Group, Inc.</w:t>
      </w:r>
      <w:r>
        <w:t xml:space="preserve">, Case No. NJ-ESL-2025-04117), federal FMLA compliance, local/municipal paid leave ordinances, or drafting of the revised Handbook — each of which is a separate matter. The pending NJ DOL complaint is nevertheless addressed below for contextual purposes because it directly informs several of the deficiencies identified.</w:t>
      </w:r>
    </w:p>
    <w:bookmarkEnd w:id="20"/>
    <w:bookmarkStart w:id="21" w:name="ii.-executive-summary"/>
    <w:p>
      <w:pPr>
        <w:pStyle w:val="Heading2"/>
      </w:pPr>
      <w:r>
        <w:t xml:space="preserve">II. Executive Summary</w:t>
      </w:r>
    </w:p>
    <w:p>
      <w:pPr>
        <w:pStyle w:val="FirstParagraph"/>
      </w:pPr>
      <w:r>
        <w:t xml:space="preserve">H&amp;C’s review identifies a substantial number of compliance deficiencies across all seven jurisdictions. The Company’s paid leave framework was designed in January 2022 around a New Jersey/New York footprint and a single, uniform, self-funded paid family leave benefit, and it has not been updated to reflect (a) the statutory requirements of Connecticut (added informally and never fully integrated), (b) the four expansion states, or (c) several amendments to existing state laws since 2022. The deficiencies fall into three broad categories:</w:t>
      </w:r>
    </w:p>
    <w:p>
      <w:pPr>
        <w:numPr>
          <w:ilvl w:val="0"/>
          <w:numId w:val="1001"/>
        </w:numPr>
      </w:pPr>
      <w:r>
        <w:rPr>
          <w:b/>
          <w:bCs/>
        </w:rPr>
        <w:t xml:space="preserve">A structurally non-compliant self-funded paid family leave benefit.</w:t>
      </w:r>
      <w:r>
        <w:t xml:space="preserve"> </w:t>
      </w:r>
      <w:r>
        <w:t xml:space="preserve">The Company’s self-funded benefit (50% of average weekly wage, capped at $850/week, for up to 8 weeks) is below the statutory benefit level in</w:t>
      </w:r>
      <w:r>
        <w:t xml:space="preserve"> </w:t>
      </w:r>
      <w:r>
        <w:rPr>
          <w:b/>
          <w:bCs/>
        </w:rPr>
        <w:t xml:space="preserve">all seven jurisdictions</w:t>
      </w:r>
      <w:r>
        <w:t xml:space="preserve"> </w:t>
      </w:r>
      <w:r>
        <w:t xml:space="preserve">on wage-replacement rate, weekly cap, and duration; it does not cover the employee’s own serious health condition in any state; no private-plan or voluntary-plan approval has been filed in any state; and in Colorado no private-employer opt-out is available at all. The Handbook expressly states that the self-funded benefit</w:t>
      </w:r>
      <w:r>
        <w:t xml:space="preserve"> </w:t>
      </w:r>
      <w:r>
        <w:t xml:space="preserve">“</w:t>
      </w:r>
      <w:r>
        <w:t xml:space="preserve">is intended to satisfy any applicable state mandate</w:t>
      </w:r>
      <w:r>
        <w:t xml:space="preserve">”</w:t>
      </w:r>
      <w:r>
        <w:t xml:space="preserve"> </w:t>
      </w:r>
      <w:r>
        <w:t xml:space="preserve">(§6.3.7), but it does not in fact satisfy any state’s mandate, creating a direct conflict between the Company’s stated intent and employees’ statutory entitlements. Employees in the current states are simultaneously paying into the state insurance programs through PinnacleHR withholdings, creating a dual-structure that has already produced employee confusion and, in the case of paid medical leave, documented misdirection of employees to an employee-paid voluntary STD plan instead of the state programs they are funding.</w:t>
      </w:r>
    </w:p>
    <w:p>
      <w:pPr>
        <w:numPr>
          <w:ilvl w:val="0"/>
          <w:numId w:val="1001"/>
        </w:numPr>
      </w:pPr>
      <w:r>
        <w:rPr>
          <w:b/>
          <w:bCs/>
        </w:rPr>
        <w:t xml:space="preserve">Non-compliant paid sick leave policy terms.</w:t>
      </w:r>
      <w:r>
        <w:t xml:space="preserve"> </w:t>
      </w:r>
      <w:r>
        <w:t xml:space="preserve">The Company’s sick leave accrual rate (1 hour per 40 hours worked), part-time accrual cap (24 hours), 120-day waiting period, no-carryover rule, narrow covered-uses list, and narrow family-member definition each violate the law of multiple states. The policy frames sick leave as intended for</w:t>
      </w:r>
      <w:r>
        <w:t xml:space="preserve"> </w:t>
      </w:r>
      <w:r>
        <w:t xml:space="preserve">“</w:t>
      </w:r>
      <w:r>
        <w:t xml:space="preserve">the employee’s own health-related needs</w:t>
      </w:r>
      <w:r>
        <w:t xml:space="preserve">”</w:t>
      </w:r>
      <w:r>
        <w:t xml:space="preserve"> </w:t>
      </w:r>
      <w:r>
        <w:t xml:space="preserve">and permits family care only</w:t>
      </w:r>
      <w:r>
        <w:t xml:space="preserve"> </w:t>
      </w:r>
      <w:r>
        <w:t xml:space="preserve">“</w:t>
      </w:r>
      <w:r>
        <w:t xml:space="preserve">to the extent that any applicable law requires</w:t>
      </w:r>
      <w:r>
        <w:t xml:space="preserve">”</w:t>
      </w:r>
      <w:r>
        <w:t xml:space="preserve"> </w:t>
      </w:r>
      <w:r>
        <w:t xml:space="preserve">(§§6.2.5–6.2.6), a formulation that chills family-care use and is the subject of the active NJ DOL complaint.</w:t>
      </w:r>
    </w:p>
    <w:p>
      <w:pPr>
        <w:numPr>
          <w:ilvl w:val="0"/>
          <w:numId w:val="1001"/>
        </w:numPr>
      </w:pPr>
      <w:r>
        <w:rPr>
          <w:b/>
          <w:bCs/>
        </w:rPr>
        <w:t xml:space="preserve">Unregistered and unconfigured expansion-state programs.</w:t>
      </w:r>
      <w:r>
        <w:t xml:space="preserve"> </w:t>
      </w:r>
      <w:r>
        <w:t xml:space="preserve">The Company has not registered with the paid leave insurance programs in any of the four expansion states, and PinnacleHR cannot configure withholding until registration is complete. PinnacleHR has confirmed it already maintains configurations for all four expansion-state programs (it services other employer clients in those states) and can configure withholding for either state-program participation or an approved private/voluntary plan once the Company provides registration confirmation — so the sole blocker is the Company’s own registration. The Massachusetts registration deadline (approximately June 1, 2025) and the Colorado situation (three remote employees hired in April 2025, with no private opt-out available) are the most urgent items in this engagement.</w:t>
      </w:r>
    </w:p>
    <w:p>
      <w:pPr>
        <w:pStyle w:val="FirstParagraph"/>
      </w:pPr>
      <w:r>
        <w:t xml:space="preserve">In addition, the Company’s PTO/vacation payout policy is non-compliant in Massachusetts, Colorado, Oregon, and Washington (all of which treat accrued vacation as wages that must be paid on separation), and the Company’s manual spreadsheet-based leave tracking system poses escalating recordkeeping and accuracy risks as the footprint scales to seven jurisdictions.</w:t>
      </w:r>
    </w:p>
    <w:p>
      <w:pPr>
        <w:pStyle w:val="BodyText"/>
      </w:pPr>
      <w:r>
        <w:t xml:space="preserve">The consolidated</w:t>
      </w:r>
      <w:r>
        <w:t xml:space="preserve"> </w:t>
      </w:r>
      <w:r>
        <w:rPr>
          <w:i/>
          <w:iCs/>
        </w:rPr>
        <w:t xml:space="preserve">Gap Summary</w:t>
      </w:r>
      <w:r>
        <w:t xml:space="preserve"> </w:t>
      </w:r>
      <w:r>
        <w:t xml:space="preserve">tab of the compliance matrix enumerates</w:t>
      </w:r>
      <w:r>
        <w:t xml:space="preserve"> </w:t>
      </w:r>
      <w:r>
        <w:rPr>
          <w:b/>
          <w:bCs/>
        </w:rPr>
        <w:t xml:space="preserve">263 individual red/yellow findings</w:t>
      </w:r>
      <w:r>
        <w:t xml:space="preserve"> </w:t>
      </w:r>
      <w:r>
        <w:t xml:space="preserve">(83 Critical, 113 High, 67 Moderate). The most time-sensitive items — Massachusetts and Colorado registration — warrant immediate action in advance of the interim status update scheduled for on or about May 2, 2025; consistent with the engagement letter, H&amp;C is prepared to issue an early-action notification on registration urgency before that date rather than waiting for this final deliverable.</w:t>
      </w:r>
    </w:p>
    <w:bookmarkEnd w:id="21"/>
    <w:bookmarkStart w:id="22" w:name="iii.-sources-and-methodology"/>
    <w:p>
      <w:pPr>
        <w:pStyle w:val="Heading2"/>
      </w:pPr>
      <w:r>
        <w:t xml:space="preserve">III. Sources and Methodology</w:t>
      </w:r>
    </w:p>
    <w:p>
      <w:pPr>
        <w:pStyle w:val="FirstParagraph"/>
      </w:pPr>
      <w:r>
        <w:t xml:space="preserve">H&amp;C’s analysis is based on the following materials provided by the Company:</w:t>
      </w:r>
    </w:p>
    <w:p>
      <w:pPr>
        <w:pStyle w:val="Compact"/>
        <w:numPr>
          <w:ilvl w:val="0"/>
          <w:numId w:val="1002"/>
        </w:numPr>
      </w:pPr>
      <w:r>
        <w:t xml:space="preserve">The Employee Handbook, Section 6 (Leave Policies), Rev. January 15, 2022;</w:t>
      </w:r>
    </w:p>
    <w:p>
      <w:pPr>
        <w:pStyle w:val="Compact"/>
        <w:numPr>
          <w:ilvl w:val="0"/>
          <w:numId w:val="1002"/>
        </w:numPr>
      </w:pPr>
      <w:r>
        <w:t xml:space="preserve">The PinnacleHR Solutions, Inc. state leave program withholding summary, dated April 10, 2025 (covering NJ, NY, CT current-state withholdings and MA, CO, OR, WA expansion-state registration/withholding status, contribution rates, wage bases, estimated annual contribution dollar amounts, and statutory benefit levels);</w:t>
      </w:r>
    </w:p>
    <w:p>
      <w:pPr>
        <w:pStyle w:val="Compact"/>
        <w:numPr>
          <w:ilvl w:val="0"/>
          <w:numId w:val="1002"/>
        </w:numPr>
      </w:pPr>
      <w:r>
        <w:t xml:space="preserve">The NJ DOL complaint and the Company’s February 21, 2025 response correspondence (Case No. NJ-ESL-2025-04117);</w:t>
      </w:r>
    </w:p>
    <w:p>
      <w:pPr>
        <w:pStyle w:val="Compact"/>
        <w:numPr>
          <w:ilvl w:val="0"/>
          <w:numId w:val="1002"/>
        </w:numPr>
      </w:pPr>
      <w:r>
        <w:t xml:space="preserve">The internal HR expansion-plan memorandum from Marcus Delgado dated March 28, 2025;</w:t>
      </w:r>
    </w:p>
    <w:p>
      <w:pPr>
        <w:pStyle w:val="Compact"/>
        <w:numPr>
          <w:ilvl w:val="0"/>
          <w:numId w:val="1002"/>
        </w:numPr>
      </w:pPr>
      <w:r>
        <w:t xml:space="preserve">The internal email thread between Marcus Delgado and Rebecca Thorsen dated March 10–17, 2025;</w:t>
      </w:r>
    </w:p>
    <w:p>
      <w:pPr>
        <w:pStyle w:val="Compact"/>
        <w:numPr>
          <w:ilvl w:val="0"/>
          <w:numId w:val="1002"/>
        </w:numPr>
      </w:pPr>
      <w:r>
        <w:t xml:space="preserve">A representative sample of the Company’s leave-tracking spreadsheets (NJ and NY workbooks); and</w:t>
      </w:r>
    </w:p>
    <w:p>
      <w:pPr>
        <w:pStyle w:val="Compact"/>
        <w:numPr>
          <w:ilvl w:val="0"/>
          <w:numId w:val="1002"/>
        </w:numPr>
      </w:pPr>
      <w:r>
        <w:t xml:space="preserve">The representations set forth in the engagement letter.</w:t>
      </w:r>
    </w:p>
    <w:p>
      <w:pPr>
        <w:pStyle w:val="FirstParagraph"/>
      </w:pPr>
      <w:r>
        <w:t xml:space="preserve">Statutory citations and 2025 benefit figures stated herein and in the matrix are drawn from the PinnacleHR summary and the NJ DOL complaint correspondence. Where the provided record is silent on a specific point (for example, certain family-member definitions, bereavement provisions, or contribution wage bases for the expansion states), H&amp;C has flagged the item for verification against current statute rather than rendering a guessed conclusion; those items appear as yellow (</w:t>
      </w:r>
      <w:r>
        <w:t xml:space="preserve">“</w:t>
      </w:r>
      <w:r>
        <w:t xml:space="preserve">at risk / verify</w:t>
      </w:r>
      <w:r>
        <w:t xml:space="preserve">”</w:t>
      </w:r>
      <w:r>
        <w:t xml:space="preserve">) findings.</w:t>
      </w:r>
    </w:p>
    <w:bookmarkEnd w:id="22"/>
    <w:bookmarkStart w:id="29" w:name="iv.-critical-findings"/>
    <w:p>
      <w:pPr>
        <w:pStyle w:val="Heading2"/>
      </w:pPr>
      <w:r>
        <w:t xml:space="preserve">IV. Critical Findings</w:t>
      </w:r>
    </w:p>
    <w:p>
      <w:pPr>
        <w:pStyle w:val="FirstParagraph"/>
      </w:pPr>
      <w:r>
        <w:t xml:space="preserve">A</w:t>
      </w:r>
      <w:r>
        <w:t xml:space="preserve"> </w:t>
      </w:r>
      <w:r>
        <w:t xml:space="preserve">“</w:t>
      </w:r>
      <w:r>
        <w:t xml:space="preserve">Critical</w:t>
      </w:r>
      <w:r>
        <w:t xml:space="preserve">”</w:t>
      </w:r>
      <w:r>
        <w:t xml:space="preserve"> </w:t>
      </w:r>
      <w:r>
        <w:t xml:space="preserve">finding denotes active legal exposure, an imminent regulatory deadline at risk, or a deficiency that has already resulted in (or is likely to imminently result in) regulatory action, penalties, or litigation.</w:t>
      </w:r>
    </w:p>
    <w:bookmarkStart w:id="23" w:name="X74019aa3ede9d5de5c97118b6fbe6f8c1b0cfed"/>
    <w:p>
      <w:pPr>
        <w:pStyle w:val="Heading3"/>
      </w:pPr>
      <w:r>
        <w:t xml:space="preserve">Critical Finding 1 — NJ Earned Sick Leave: Narrow Family-Member Definition and Covered Uses (Active NJ DOL Complaint)</w:t>
      </w:r>
    </w:p>
    <w:p>
      <w:pPr>
        <w:pStyle w:val="FirstParagraph"/>
      </w:pPr>
      <w:r>
        <w:t xml:space="preserve">The Company’s Paid Sick Leave Policy (Handbook §6.2.6) defines</w:t>
      </w:r>
      <w:r>
        <w:t xml:space="preserve"> </w:t>
      </w:r>
      <w:r>
        <w:t xml:space="preserve">“</w:t>
      </w:r>
      <w:r>
        <w:t xml:space="preserve">family member</w:t>
      </w:r>
      <w:r>
        <w:t xml:space="preserve">”</w:t>
      </w:r>
      <w:r>
        <w:t xml:space="preserve"> </w:t>
      </w:r>
      <w:r>
        <w:t xml:space="preserve">as spouse, child, and parent only, and expressly excludes parents-in-law. The New Jersey Earned Sick Leave Act, N.J.S.A. 34:11D-1</w:t>
      </w:r>
      <w:r>
        <w:t xml:space="preserve"> </w:t>
      </w:r>
      <w:r>
        <w:rPr>
          <w:i/>
          <w:iCs/>
        </w:rPr>
        <w:t xml:space="preserve">et seq.</w:t>
      </w:r>
      <w:r>
        <w:t xml:space="preserve">, defines</w:t>
      </w:r>
      <w:r>
        <w:t xml:space="preserve"> </w:t>
      </w:r>
      <w:r>
        <w:t xml:space="preserve">“</w:t>
      </w:r>
      <w:r>
        <w:t xml:space="preserve">family member</w:t>
      </w:r>
      <w:r>
        <w:t xml:space="preserve">”</w:t>
      </w:r>
      <w:r>
        <w:t xml:space="preserve"> </w:t>
      </w:r>
      <w:r>
        <w:t xml:space="preserve">far more broadly to include a domestic partner, civil-union partner, child of a domestic partner, grandparent, grandchild, sibling, any other individual related by blood, and any individual whose close association with the employee is the equivalent of a family relationship. The Company’s policy also limits covered uses to the employee’s</w:t>
      </w:r>
      <w:r>
        <w:t xml:space="preserve"> </w:t>
      </w:r>
      <w:r>
        <w:t xml:space="preserve">“</w:t>
      </w:r>
      <w:r>
        <w:t xml:space="preserve">own illness, injury, or medical appointment</w:t>
      </w:r>
      <w:r>
        <w:t xml:space="preserve">”</w:t>
      </w:r>
      <w:r>
        <w:t xml:space="preserve"> </w:t>
      </w:r>
      <w:r>
        <w:t xml:space="preserve">(§6.2.5) and omits the categories required by N.J.S.A. 34:11D-3, including care for a family member during illness or for preventive care, absences related to domestic or sexual violence, absences due to public health emergency closures, and attendance at school-related functions for an employee’s child. The policy frames sick leave as</w:t>
      </w:r>
      <w:r>
        <w:t xml:space="preserve"> </w:t>
      </w:r>
      <w:r>
        <w:t xml:space="preserve">“</w:t>
      </w:r>
      <w:r>
        <w:t xml:space="preserve">intended for the employee’s own health-related needs</w:t>
      </w:r>
      <w:r>
        <w:t xml:space="preserve">”</w:t>
      </w:r>
      <w:r>
        <w:t xml:space="preserve"> </w:t>
      </w:r>
      <w:r>
        <w:t xml:space="preserve">(§6.2.5) and permits family care only</w:t>
      </w:r>
      <w:r>
        <w:t xml:space="preserve"> </w:t>
      </w:r>
      <w:r>
        <w:t xml:space="preserve">“</w:t>
      </w:r>
      <w:r>
        <w:t xml:space="preserve">to the extent that any applicable law requires</w:t>
      </w:r>
      <w:r>
        <w:t xml:space="preserve">”</w:t>
      </w:r>
      <w:r>
        <w:t xml:space="preserve"> </w:t>
      </w:r>
      <w:r>
        <w:t xml:space="preserve">(§6.2.6) — a formulation that signals to supervisors that family care is disfavored and was the direct cause of the denial at issue in the pending complaint.</w:t>
      </w:r>
    </w:p>
    <w:p>
      <w:pPr>
        <w:pStyle w:val="BodyText"/>
      </w:pPr>
      <w:r>
        <w:t xml:space="preserve">These deficiencies are the direct subject of the pending complaint</w:t>
      </w:r>
      <w:r>
        <w:t xml:space="preserve"> </w:t>
      </w:r>
      <w:r>
        <w:rPr>
          <w:i/>
          <w:iCs/>
        </w:rPr>
        <w:t xml:space="preserve">Carla Muñoz v. Vantage Logistics Group, Inc.</w:t>
      </w:r>
      <w:r>
        <w:t xml:space="preserve">, Case No. NJ-ESL-2025-04117, in which a warehouse associate at the Edison facility was denied use of accrued sick leave to care for her domestic partner’s child. The NJ DOL has expressly alleged that the policy language is narrower than the statutory definition and that the denial violated N.J.S.A. 34:11D-3. Violations may subject the Company to fines, administrative penalties, and orders of restitution under N.J.S.A. 34:11D-7, and the Department has reserved the right to conduct a broader investigation of the Company’s sick leave practices, policies, and records. This is active, documented legal exposure.</w:t>
      </w:r>
    </w:p>
    <w:p>
      <w:pPr>
        <w:pStyle w:val="BodyText"/>
      </w:pPr>
      <w:r>
        <w:t xml:space="preserve">The same narrow family-member definition and covered-uses list are non-compliant in</w:t>
      </w:r>
      <w:r>
        <w:t xml:space="preserve"> </w:t>
      </w:r>
      <w:r>
        <w:rPr>
          <w:b/>
          <w:bCs/>
        </w:rPr>
        <w:t xml:space="preserve">all seven jurisdictions</w:t>
      </w:r>
      <w:r>
        <w:t xml:space="preserve">, each of which requires family-care, safe-leave (domestic violence/sexual assault/stalking), public-health-emergency, and school-related uses, and each of which defines family members more broadly than the Company’s policy. The NJ complaint is therefore both an immediate exposure and a leading indicator of a systemic, multi-state defect.</w:t>
      </w:r>
    </w:p>
    <w:bookmarkEnd w:id="23"/>
    <w:bookmarkStart w:id="24" w:name="X126adbaec73b4c9feeeb5c3183bceffb3bd7f77"/>
    <w:p>
      <w:pPr>
        <w:pStyle w:val="Heading3"/>
      </w:pPr>
      <w:r>
        <w:t xml:space="preserve">Critical Finding 2 — Self-Funded Paid Family Leave Is Structurally Non-Compliant in All Seven States</w:t>
      </w:r>
    </w:p>
    <w:p>
      <w:pPr>
        <w:pStyle w:val="FirstParagraph"/>
      </w:pPr>
      <w:r>
        <w:t xml:space="preserve">The Company self-funds its paid family leave benefit at 50% of the employee’s average weekly wage, capped at $850/week, for up to 8 weeks (Handbook §6.3). H&amp;C’s analysis confirms that this benefit is</w:t>
      </w:r>
      <w:r>
        <w:t xml:space="preserve"> </w:t>
      </w:r>
      <w:r>
        <w:rPr>
          <w:b/>
          <w:bCs/>
        </w:rPr>
        <w:t xml:space="preserve">below the statutory benefit level in every jurisdiction</w:t>
      </w:r>
      <w:r>
        <w:t xml:space="preserve"> </w:t>
      </w:r>
      <w:r>
        <w:t xml:space="preserve">on each of the three core dimensions: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Statutory replacement</w:t>
            </w:r>
          </w:p>
        </w:tc>
        <w:tc>
          <w:tcPr/>
          <w:p>
            <w:pPr>
              <w:pStyle w:val="Compact"/>
              <w:jc w:val="left"/>
            </w:pPr>
            <w:r>
              <w:t xml:space="preserve">Weekly cap (2025)</w:t>
            </w:r>
          </w:p>
        </w:tc>
        <w:tc>
          <w:tcPr/>
          <w:p>
            <w:pPr>
              <w:pStyle w:val="Compact"/>
              <w:jc w:val="left"/>
            </w:pPr>
            <w:r>
              <w:t xml:space="preserve">Duration</w:t>
            </w:r>
          </w:p>
        </w:tc>
      </w:tr>
      <w:tr>
        <w:tc>
          <w:tcPr/>
          <w:p>
            <w:pPr>
              <w:pStyle w:val="Compact"/>
              <w:jc w:val="left"/>
            </w:pPr>
            <w:r>
              <w:t xml:space="preserve">NJ (FLI)</w:t>
            </w:r>
          </w:p>
        </w:tc>
        <w:tc>
          <w:tcPr/>
          <w:p>
            <w:pPr>
              <w:pStyle w:val="Compact"/>
              <w:jc w:val="left"/>
            </w:pPr>
            <w:r>
              <w:t xml:space="preserve">85% of AWW</w:t>
            </w:r>
          </w:p>
        </w:tc>
        <w:tc>
          <w:tcPr/>
          <w:p>
            <w:pPr>
              <w:pStyle w:val="Compact"/>
              <w:jc w:val="left"/>
            </w:pPr>
            <w:r>
              <w:t xml:space="preserve">statutory max (exceeds $850)</w:t>
            </w:r>
          </w:p>
        </w:tc>
        <w:tc>
          <w:tcPr/>
          <w:p>
            <w:pPr>
              <w:pStyle w:val="Compact"/>
              <w:jc w:val="left"/>
            </w:pPr>
            <w:r>
              <w:t xml:space="preserve">up to 12 wks</w:t>
            </w:r>
          </w:p>
        </w:tc>
      </w:tr>
      <w:tr>
        <w:tc>
          <w:tcPr/>
          <w:p>
            <w:pPr>
              <w:pStyle w:val="Compact"/>
              <w:jc w:val="left"/>
            </w:pPr>
            <w:r>
              <w:t xml:space="preserve">NY (PFL)</w:t>
            </w:r>
          </w:p>
        </w:tc>
        <w:tc>
          <w:tcPr/>
          <w:p>
            <w:pPr>
              <w:pStyle w:val="Compact"/>
              <w:jc w:val="left"/>
            </w:pPr>
            <w:r>
              <w:t xml:space="preserve">67% of AWW</w:t>
            </w:r>
          </w:p>
        </w:tc>
        <w:tc>
          <w:tcPr/>
          <w:p>
            <w:pPr>
              <w:pStyle w:val="Compact"/>
              <w:jc w:val="left"/>
            </w:pPr>
            <w:r>
              <w:t xml:space="preserve">$1,177.32</w:t>
            </w:r>
          </w:p>
        </w:tc>
        <w:tc>
          <w:tcPr/>
          <w:p>
            <w:pPr>
              <w:pStyle w:val="Compact"/>
              <w:jc w:val="left"/>
            </w:pPr>
            <w:r>
              <w:t xml:space="preserve">up to 12 wks</w:t>
            </w:r>
          </w:p>
        </w:tc>
      </w:tr>
      <w:tr>
        <w:tc>
          <w:tcPr/>
          <w:p>
            <w:pPr>
              <w:pStyle w:val="Compact"/>
              <w:jc w:val="left"/>
            </w:pPr>
            <w:r>
              <w:t xml:space="preserve">CT (PL)</w:t>
            </w:r>
          </w:p>
        </w:tc>
        <w:tc>
          <w:tcPr/>
          <w:p>
            <w:pPr>
              <w:pStyle w:val="Compact"/>
              <w:jc w:val="left"/>
            </w:pPr>
            <w:r>
              <w:t xml:space="preserve">95%/60% tiered</w:t>
            </w:r>
          </w:p>
        </w:tc>
        <w:tc>
          <w:tcPr/>
          <w:p>
            <w:pPr>
              <w:pStyle w:val="Compact"/>
              <w:jc w:val="left"/>
            </w:pPr>
            <w:r>
              <w:t xml:space="preserve">~$941</w:t>
            </w:r>
          </w:p>
        </w:tc>
        <w:tc>
          <w:tcPr/>
          <w:p>
            <w:pPr>
              <w:pStyle w:val="Compact"/>
              <w:jc w:val="left"/>
            </w:pPr>
            <w:r>
              <w:t xml:space="preserve">up to 12 wks (+2)</w:t>
            </w:r>
          </w:p>
        </w:tc>
      </w:tr>
      <w:tr>
        <w:tc>
          <w:tcPr/>
          <w:p>
            <w:pPr>
              <w:pStyle w:val="Compact"/>
              <w:jc w:val="left"/>
            </w:pPr>
            <w:r>
              <w:t xml:space="preserve">MA (PFML)</w:t>
            </w:r>
          </w:p>
        </w:tc>
        <w:tc>
          <w:tcPr/>
          <w:p>
            <w:pPr>
              <w:pStyle w:val="Compact"/>
              <w:jc w:val="left"/>
            </w:pPr>
            <w:r>
              <w:t xml:space="preserve">80%/50% tiered</w:t>
            </w:r>
          </w:p>
        </w:tc>
        <w:tc>
          <w:tcPr/>
          <w:p>
            <w:pPr>
              <w:pStyle w:val="Compact"/>
              <w:jc w:val="left"/>
            </w:pPr>
            <w:r>
              <w:t xml:space="preserve">~$1,170.64</w:t>
            </w:r>
          </w:p>
        </w:tc>
        <w:tc>
          <w:tcPr/>
          <w:p>
            <w:pPr>
              <w:pStyle w:val="Compact"/>
              <w:jc w:val="left"/>
            </w:pPr>
            <w:r>
              <w:t xml:space="preserve">up to 12 wks family</w:t>
            </w:r>
          </w:p>
        </w:tc>
      </w:tr>
      <w:tr>
        <w:tc>
          <w:tcPr/>
          <w:p>
            <w:pPr>
              <w:pStyle w:val="Compact"/>
              <w:jc w:val="left"/>
            </w:pPr>
            <w:r>
              <w:t xml:space="preserve">CO (FAMLI)</w:t>
            </w:r>
          </w:p>
        </w:tc>
        <w:tc>
          <w:tcPr/>
          <w:p>
            <w:pPr>
              <w:pStyle w:val="Compact"/>
              <w:jc w:val="left"/>
            </w:pPr>
            <w:r>
              <w:t xml:space="preserve">90%/50% tiered</w:t>
            </w:r>
          </w:p>
        </w:tc>
        <w:tc>
          <w:tcPr/>
          <w:p>
            <w:pPr>
              <w:pStyle w:val="Compact"/>
              <w:jc w:val="left"/>
            </w:pPr>
            <w:r>
              <w:t xml:space="preserve">~$1,100</w:t>
            </w:r>
          </w:p>
        </w:tc>
        <w:tc>
          <w:tcPr/>
          <w:p>
            <w:pPr>
              <w:pStyle w:val="Compact"/>
              <w:jc w:val="left"/>
            </w:pPr>
            <w:r>
              <w:t xml:space="preserve">up to 12 wks (+16 preg.)</w:t>
            </w:r>
          </w:p>
        </w:tc>
      </w:tr>
      <w:tr>
        <w:tc>
          <w:tcPr/>
          <w:p>
            <w:pPr>
              <w:pStyle w:val="Compact"/>
              <w:jc w:val="left"/>
            </w:pPr>
            <w:r>
              <w:t xml:space="preserve">OR (PLO)</w:t>
            </w:r>
          </w:p>
        </w:tc>
        <w:tc>
          <w:tcPr/>
          <w:p>
            <w:pPr>
              <w:pStyle w:val="Compact"/>
              <w:jc w:val="left"/>
            </w:pPr>
            <w:r>
              <w:t xml:space="preserve">100%/50% tiered</w:t>
            </w:r>
          </w:p>
        </w:tc>
        <w:tc>
          <w:tcPr/>
          <w:p>
            <w:pPr>
              <w:pStyle w:val="Compact"/>
              <w:jc w:val="left"/>
            </w:pPr>
            <w:r>
              <w:t xml:space="preserve">~$1,523.63</w:t>
            </w:r>
          </w:p>
        </w:tc>
        <w:tc>
          <w:tcPr/>
          <w:p>
            <w:pPr>
              <w:pStyle w:val="Compact"/>
              <w:jc w:val="left"/>
            </w:pPr>
            <w:r>
              <w:t xml:space="preserve">up to 12 wks (+2)</w:t>
            </w:r>
          </w:p>
        </w:tc>
      </w:tr>
      <w:tr>
        <w:tc>
          <w:tcPr/>
          <w:p>
            <w:pPr>
              <w:pStyle w:val="Compact"/>
              <w:jc w:val="left"/>
            </w:pPr>
            <w:r>
              <w:t xml:space="preserve">WA (PFML)</w:t>
            </w:r>
          </w:p>
        </w:tc>
        <w:tc>
          <w:tcPr/>
          <w:p>
            <w:pPr>
              <w:pStyle w:val="Compact"/>
              <w:jc w:val="left"/>
            </w:pPr>
            <w:r>
              <w:t xml:space="preserve">90%/50% tiered</w:t>
            </w:r>
          </w:p>
        </w:tc>
        <w:tc>
          <w:tcPr/>
          <w:p>
            <w:pPr>
              <w:pStyle w:val="Compact"/>
              <w:jc w:val="left"/>
            </w:pPr>
            <w:r>
              <w:t xml:space="preserve">~$1,526</w:t>
            </w:r>
          </w:p>
        </w:tc>
        <w:tc>
          <w:tcPr/>
          <w:p>
            <w:pPr>
              <w:pStyle w:val="Compact"/>
              <w:jc w:val="left"/>
            </w:pPr>
            <w:r>
              <w:t xml:space="preserve">up to 12 wks (16 comb.)</w:t>
            </w:r>
          </w:p>
        </w:tc>
      </w:tr>
    </w:tbl>
    <w:p>
      <w:pPr>
        <w:pStyle w:val="BodyText"/>
      </w:pPr>
      <w:r>
        <w:t xml:space="preserve">Six of the seven states (NJ, NY, CT, MA, OR, WA) permit an employer to substitute an approved private/voluntary plan, but only where the private plan provides benefits</w:t>
      </w:r>
      <w:r>
        <w:t xml:space="preserve"> </w:t>
      </w:r>
      <w:r>
        <w:rPr>
          <w:b/>
          <w:bCs/>
        </w:rPr>
        <w:t xml:space="preserve">equal to or greater than</w:t>
      </w:r>
      <w:r>
        <w:t xml:space="preserve"> </w:t>
      </w:r>
      <w:r>
        <w:t xml:space="preserve">the state program in all respects. The Company’s self-funded benefit fails that equivalency test in every one of those states, and</w:t>
      </w:r>
      <w:r>
        <w:t xml:space="preserve"> </w:t>
      </w:r>
      <w:r>
        <w:rPr>
          <w:b/>
          <w:bCs/>
        </w:rPr>
        <w:t xml:space="preserve">no private-plan or voluntary-plan approval has been filed in any state</w:t>
      </w:r>
      <w:r>
        <w:t xml:space="preserve">. Colorado is more severe still: CO FAMLI does not permit private-employer opt-out (the option is limited to local-government employers), so the Company</w:t>
      </w:r>
      <w:r>
        <w:t xml:space="preserve"> </w:t>
      </w:r>
      <w:r>
        <w:rPr>
          <w:b/>
          <w:bCs/>
        </w:rPr>
        <w:t xml:space="preserve">must</w:t>
      </w:r>
      <w:r>
        <w:t xml:space="preserve"> </w:t>
      </w:r>
      <w:r>
        <w:t xml:space="preserve">participate in the state program for Colorado employees and cannot self-fund in lieu of participation.</w:t>
      </w:r>
    </w:p>
    <w:p>
      <w:pPr>
        <w:pStyle w:val="BodyText"/>
      </w:pPr>
      <w:r>
        <w:t xml:space="preserve">The Handbook expressly states (§6.3.7) that the self-funded benefit</w:t>
      </w:r>
      <w:r>
        <w:t xml:space="preserve"> </w:t>
      </w:r>
      <w:r>
        <w:t xml:space="preserve">“</w:t>
      </w:r>
      <w:r>
        <w:t xml:space="preserve">is intended to satisfy any applicable state mandate for paid family leave</w:t>
      </w:r>
      <w:r>
        <w:t xml:space="preserve">”</w:t>
      </w:r>
      <w:r>
        <w:t xml:space="preserve"> </w:t>
      </w:r>
      <w:r>
        <w:t xml:space="preserve">and is</w:t>
      </w:r>
      <w:r>
        <w:t xml:space="preserve"> </w:t>
      </w:r>
      <w:r>
        <w:t xml:space="preserve">“</w:t>
      </w:r>
      <w:r>
        <w:t xml:space="preserve">not available in addition to any state-mandated paid family leave benefit for the same qualifying event.</w:t>
      </w:r>
      <w:r>
        <w:t xml:space="preserve">”</w:t>
      </w:r>
      <w:r>
        <w:t xml:space="preserve"> </w:t>
      </w:r>
      <w:r>
        <w:t xml:space="preserve">Because the self-funded benefit does not in fact satisfy any state’s mandate, this express intent creates a direct conflict: the Company has told employees the self-funded benefit replaces the state program, while employees remain statutorily entitled to the (higher) state benefit and are paying for it through PinnacleHR withholdings (NJ FLI 0.09%, NY PFL 0.388%, CT PL 0.50%). This dual structure has produced documented employee confusion — Connecticut employees have asked whether they are covered by the state program or the Company’s benefit, and at least two have asked whether the Company’s benefit matches the state program — and creates overpayment/underpayment and claims-routing risk. A further compounding feature is that the self-funded plan does</w:t>
      </w:r>
      <w:r>
        <w:t xml:space="preserve"> </w:t>
      </w:r>
      <w:r>
        <w:rPr>
          <w:b/>
          <w:bCs/>
        </w:rPr>
        <w:t xml:space="preserve">not</w:t>
      </w:r>
      <w:r>
        <w:t xml:space="preserve"> </w:t>
      </w:r>
      <w:r>
        <w:t xml:space="preserve">cover the employee’s own serious health condition in any state (it covers only bonding and family caregiving), whereas the state programs in CT, MA, CO, OR, and WA (and the NJ TDI / NY DBL disability programs) all cover the employee’s own medical condition.</w:t>
      </w:r>
    </w:p>
    <w:bookmarkEnd w:id="24"/>
    <w:bookmarkStart w:id="25" w:name="X575455bc0dac1811ea4b61a19ec1c6ee70bfffd"/>
    <w:p>
      <w:pPr>
        <w:pStyle w:val="Heading3"/>
      </w:pPr>
      <w:r>
        <w:t xml:space="preserve">Critical Finding 3 — Paid Medical Leave Gap and Documented Misdirection of Employees</w:t>
      </w:r>
    </w:p>
    <w:p>
      <w:pPr>
        <w:pStyle w:val="FirstParagraph"/>
      </w:pPr>
      <w:r>
        <w:t xml:space="preserve">The Company provides</w:t>
      </w:r>
      <w:r>
        <w:t xml:space="preserve"> </w:t>
      </w:r>
      <w:r>
        <w:rPr>
          <w:b/>
          <w:bCs/>
        </w:rPr>
        <w:t xml:space="preserve">no employer-funded paid medical leave</w:t>
      </w:r>
      <w:r>
        <w:t xml:space="preserve"> </w:t>
      </w:r>
      <w:r>
        <w:t xml:space="preserve">for an employee’s own serious health condition beyond accrued sick leave (capped at 40 hours for full-time employees) and a voluntary, employee-paid short-term disability plan administered by Keystone Benefit Administrators (Handbook §6.4). Every state in which the Company operates or will operate mandates paid benefits for an employee’s own serious health condition: NJ TDI (up to 26 weeks), NY DBL ($170/week for up to 26 weeks), CT PL (up to 12 weeks), MA PFML medical (up to 20 weeks), CO FAMLI (up to 12 weeks), Paid Leave Oregon (up to 12 weeks), and WA PFML medical (up to 12 weeks).</w:t>
      </w:r>
    </w:p>
    <w:p>
      <w:pPr>
        <w:pStyle w:val="BodyText"/>
      </w:pPr>
      <w:r>
        <w:t xml:space="preserve">The internal record documents that HR staff have been</w:t>
      </w:r>
      <w:r>
        <w:t xml:space="preserve"> </w:t>
      </w:r>
      <w:r>
        <w:rPr>
          <w:b/>
          <w:bCs/>
        </w:rPr>
        <w:t xml:space="preserve">misdirecting employees to the employee-paid Keystone STD plan instead of the state programs the employees are already funding through payroll withholdings</w:t>
      </w:r>
      <w:r>
        <w:t xml:space="preserve">. The March 10, 2025 email from Marcus Delgado identifies at least seven employee inquiries about paid medical leave for their own conditions across Connecticut and New Jersey in the preceding twelve months (four in Bridgeport, CT — including an employee facing a hip replacement with a six-week recovery and an employee with a chronic autoimmune condition requiring an extended treatment protocol; two in Edison, NJ; one in Queens, NY), in each case directed to Keystone. Mr. Delgado further reports that NJ HR staff</w:t>
      </w:r>
      <w:r>
        <w:t xml:space="preserve"> </w:t>
      </w:r>
      <w:r>
        <w:t xml:space="preserve">“</w:t>
      </w:r>
      <w:r>
        <w:t xml:space="preserve">may not even know that NJ TDI exists as a separate benefit from our self-funded plan.</w:t>
      </w:r>
      <w:r>
        <w:t xml:space="preserve">”</w:t>
      </w:r>
      <w:r>
        <w:t xml:space="preserve"> </w:t>
      </w:r>
      <w:r>
        <w:t xml:space="preserve">The General Counsel has directed that this issue be referred to H&amp;C and that a list of all such inquiries be compiled.</w:t>
      </w:r>
    </w:p>
    <w:p>
      <w:pPr>
        <w:pStyle w:val="BodyText"/>
      </w:pPr>
      <w:r>
        <w:t xml:space="preserve">This is Critical because (a) employees are paying into state programs but being routed away from them, which may give rise to individual complaints and retroactive claims (the Muñoz complaint demonstrates that Vantage employees will resort to state agencies); (b) the exposure is not small (570 CT employees, 890 NJ employees, 680 NY employees); and (c) the same gap will recur in all four expansion states, where the Company is not yet registered and where employees will have no state-program access until registration and withholding are operational.</w:t>
      </w:r>
    </w:p>
    <w:bookmarkEnd w:id="25"/>
    <w:bookmarkStart w:id="26" w:name="X65d0c7df9120b898e0d95fd1db4a8fce5d47745"/>
    <w:p>
      <w:pPr>
        <w:pStyle w:val="Heading3"/>
      </w:pPr>
      <w:r>
        <w:t xml:space="preserve">Critical Finding 4 — Massachusetts PFML Registration (Imminent Deadline)</w:t>
      </w:r>
    </w:p>
    <w:p>
      <w:pPr>
        <w:pStyle w:val="FirstParagraph"/>
      </w:pPr>
      <w:r>
        <w:t xml:space="preserve">The Company has not registered with the Massachusetts Paid Family and Medical Leave (MA PFML) program administered by the Massachusetts Department of Family and Medical Leave. MA PFML requires employer registration and contribution remittance from the first day any covered employee works in the state. The Worcester facility is scheduled to open</w:t>
      </w:r>
      <w:r>
        <w:t xml:space="preserve"> </w:t>
      </w:r>
      <w:r>
        <w:rPr>
          <w:b/>
          <w:bCs/>
        </w:rPr>
        <w:t xml:space="preserve">August 1, 2025</w:t>
      </w:r>
      <w:r>
        <w:t xml:space="preserve">. PinnacleHR has confirmed (per Priya Samuelson, April 10, 2025) that it cannot configure withholding until it receives the Company’s registration confirmation, and that its configuration lead time is approximately six to eight weeks. Factoring that lead time,</w:t>
      </w:r>
      <w:r>
        <w:t xml:space="preserve"> </w:t>
      </w:r>
      <w:r>
        <w:rPr>
          <w:b/>
          <w:bCs/>
        </w:rPr>
        <w:t xml:space="preserve">registration must be completed no later than approximately June 1, 2025</w:t>
      </w:r>
      <w:r>
        <w:t xml:space="preserve"> </w:t>
      </w:r>
      <w:r>
        <w:t xml:space="preserve">— roughly two weeks from the date of this deliverable. Any delay will cascade into a delay in PinnacleHR configuration, which could result in the Company operating in Massachusetts without required withholding in place on the facility’s opening day. MA PFML covers both family leave and the employee’s own medical leave, so registration also bears directly on the paid-medical-leave gap described in Critical Finding 3.</w:t>
      </w:r>
    </w:p>
    <w:bookmarkEnd w:id="26"/>
    <w:bookmarkStart w:id="27" w:name="X21c502fb3ba2240ab0be8b9288f4d62a7520293"/>
    <w:p>
      <w:pPr>
        <w:pStyle w:val="Heading3"/>
      </w:pPr>
      <w:r>
        <w:t xml:space="preserve">Critical Finding 5 — Colorado FAMLI Registration (Potentially Already Overdue)</w:t>
      </w:r>
    </w:p>
    <w:p>
      <w:pPr>
        <w:pStyle w:val="FirstParagraph"/>
      </w:pPr>
      <w:r>
        <w:t xml:space="preserve">The Company has not registered with the Colorado Family and Medical Leave Insurance (FAMLI) program. Two features make this the single most urgent registration item. First,</w:t>
      </w:r>
      <w:r>
        <w:t xml:space="preserve"> </w:t>
      </w:r>
      <w:r>
        <w:rPr>
          <w:b/>
          <w:bCs/>
        </w:rPr>
        <w:t xml:space="preserve">three Colorado-based salaried employees were hired in April 2025</w:t>
      </w:r>
      <w:r>
        <w:t xml:space="preserve"> </w:t>
      </w:r>
      <w:r>
        <w:t xml:space="preserve">— a regional operations manager and two logistics coordinators — to work remotely in advance of the Aurora facility’s November 1, 2025 opening. If the FAMLI registration obligation is triggered by the first date a Colorado-based employee performs work — a position H&amp;C considers the better reading of the statute — then the Company’s registration may already be overdue, or will be within days. Even under the more favorable interpretation that registration is tied to the November 1 facility opening, the six-to-eight-week PinnacleHR lead time requires registration no later than approximately mid-August 2025. Second,</w:t>
      </w:r>
      <w:r>
        <w:t xml:space="preserve"> </w:t>
      </w:r>
      <w:r>
        <w:rPr>
          <w:b/>
          <w:bCs/>
        </w:rPr>
        <w:t xml:space="preserve">Colorado does not permit private-employer opt-out</w:t>
      </w:r>
      <w:r>
        <w:t xml:space="preserve"> </w:t>
      </w:r>
      <w:r>
        <w:t xml:space="preserve">from FAMLI; the Company must participate in the state program and cannot self-fund in lieu. The Company therefore has no structural alternative and must register and begin remitting premiums (0.45% employee / 0.45% employer, 0.90% total) regardless of its self-funded plan. H&amp;C recommends treating the Colorado registration as immediately overdue and initiating it concurrently with the Massachusetts filing.</w:t>
      </w:r>
    </w:p>
    <w:bookmarkEnd w:id="27"/>
    <w:bookmarkStart w:id="28" w:name="X531680765f6833ffbffafa6aac171f71ebedceb"/>
    <w:p>
      <w:pPr>
        <w:pStyle w:val="Heading3"/>
      </w:pPr>
      <w:r>
        <w:t xml:space="preserve">Critical Finding 6 — Massachusetts PTO/Vacation Payout Non-Compliance (Pre-Opening)</w:t>
      </w:r>
    </w:p>
    <w:p>
      <w:pPr>
        <w:pStyle w:val="FirstParagraph"/>
      </w:pPr>
      <w:r>
        <w:t xml:space="preserve">The Company’s PTO policy provides that unused PTO is forfeited on separation except in Connecticut (Handbook §6.5.4). Massachusetts treats accrued, unused vacation as wages under the Massachusetts Wage Act, M.G.L. c. 149 §148, and</w:t>
      </w:r>
      <w:r>
        <w:t xml:space="preserve"> </w:t>
      </w:r>
      <w:r>
        <w:rPr>
          <w:b/>
          <w:bCs/>
        </w:rPr>
        <w:t xml:space="preserve">does not permit forfeit-on-separation</w:t>
      </w:r>
      <w:r>
        <w:t xml:space="preserve">. The Company’s no-payout policy is therefore non-compliant in Massachusetts, and the 5-day carryover cap and</w:t>
      </w:r>
      <w:r>
        <w:t xml:space="preserve"> </w:t>
      </w:r>
      <w:r>
        <w:t xml:space="preserve">“</w:t>
      </w:r>
      <w:r>
        <w:t xml:space="preserve">use by March 31 or forfeit</w:t>
      </w:r>
      <w:r>
        <w:t xml:space="preserve">”</w:t>
      </w:r>
      <w:r>
        <w:t xml:space="preserve"> </w:t>
      </w:r>
      <w:r>
        <w:t xml:space="preserve">rule (§6.5.3) are likewise non-compliant because earned vacation cannot be forfeited. The Massachusetts Wage Act imposes</w:t>
      </w:r>
      <w:r>
        <w:t xml:space="preserve"> </w:t>
      </w:r>
      <w:r>
        <w:rPr>
          <w:b/>
          <w:bCs/>
        </w:rPr>
        <w:t xml:space="preserve">treble damages and mandatory attorney’s fees</w:t>
      </w:r>
      <w:r>
        <w:t xml:space="preserve"> </w:t>
      </w:r>
      <w:r>
        <w:t xml:space="preserve">for late or short final paychecks, materially increasing the exposure. Because the Worcester facility opens August 1, 2025 — only one month after the July 1, 2025 revised-Handbook target — the PTO payout and carryover provisions must be corrected before the first Massachusetts employee is hired. The same defect is present in Colorado, Oregon, and Washington (addressed under High Findings).</w:t>
      </w:r>
    </w:p>
    <w:bookmarkEnd w:id="28"/>
    <w:bookmarkEnd w:id="29"/>
    <w:bookmarkStart w:id="45" w:name="v.-high-findings"/>
    <w:p>
      <w:pPr>
        <w:pStyle w:val="Heading2"/>
      </w:pPr>
      <w:r>
        <w:t xml:space="preserve">V. High Findings</w:t>
      </w:r>
    </w:p>
    <w:p>
      <w:pPr>
        <w:pStyle w:val="FirstParagraph"/>
      </w:pPr>
      <w:r>
        <w:t xml:space="preserve">A</w:t>
      </w:r>
      <w:r>
        <w:t xml:space="preserve"> </w:t>
      </w:r>
      <w:r>
        <w:t xml:space="preserve">“</w:t>
      </w:r>
      <w:r>
        <w:t xml:space="preserve">High</w:t>
      </w:r>
      <w:r>
        <w:t xml:space="preserve">”</w:t>
      </w:r>
      <w:r>
        <w:t xml:space="preserve"> </w:t>
      </w:r>
      <w:r>
        <w:t xml:space="preserve">finding denotes non-compliance likely to result in enforcement action, monetary penalties, or employee claims if not remediated before operations commence in the applicable jurisdiction or within the near term.</w:t>
      </w:r>
    </w:p>
    <w:bookmarkStart w:id="30" w:name="X4349404a3a63769ce3c46c13ba2654566304e10"/>
    <w:p>
      <w:pPr>
        <w:pStyle w:val="Heading3"/>
      </w:pPr>
      <w:r>
        <w:t xml:space="preserve">High Finding 1 — Paid Sick Leave Accrual Rate (1/40) Non-Compliant in Five States</w:t>
      </w:r>
    </w:p>
    <w:p>
      <w:pPr>
        <w:pStyle w:val="FirstParagraph"/>
      </w:pPr>
      <w:r>
        <w:t xml:space="preserve">The Company accrues sick leave at 1 hour per 40 hours worked (Handbook §6.2.2). Five of the seven states require 1 hour per</w:t>
      </w:r>
      <w:r>
        <w:t xml:space="preserve"> </w:t>
      </w:r>
      <w:r>
        <w:rPr>
          <w:b/>
          <w:bCs/>
        </w:rPr>
        <w:t xml:space="preserve">30</w:t>
      </w:r>
      <w:r>
        <w:t xml:space="preserve"> </w:t>
      </w:r>
      <w:r>
        <w:t xml:space="preserve">hours worked: New Jersey (N.J.S.A. 34:11D-2), New York (NYLL §196-b), Massachusetts (M.G.L. c. 149 §148C), Colorado (C.R.S. §8-13.3-401), and Oregon (ORS 653.601). The Company’s rate is compliant only in Connecticut and Washington (both 1/40). The leave-tracking sample confirms the 1/40 rate is being applied company-wide, so employees in NJ, NY, MA, CO, and OR are accruing at roughly two-thirds of the legally required rate.</w:t>
      </w:r>
    </w:p>
    <w:bookmarkEnd w:id="30"/>
    <w:bookmarkStart w:id="31" w:name="Xb9d7f936fb02ce00921147e837a4f52521f8989"/>
    <w:p>
      <w:pPr>
        <w:pStyle w:val="Heading3"/>
      </w:pPr>
      <w:r>
        <w:t xml:space="preserve">High Finding 2 — Paid Sick Leave Part-Time Cap (24 Hours) Non-Compliant in All Seven States</w:t>
      </w:r>
    </w:p>
    <w:p>
      <w:pPr>
        <w:pStyle w:val="FirstParagraph"/>
      </w:pPr>
      <w:r>
        <w:t xml:space="preserve">The Company caps part-time accrual at 24 hours/year (Handbook §6.2.3). None of the seven states distinguishes between full-time and part-time employees for sick leave accrual/cap purposes. New Jersey, New York, Connecticut, Massachusetts, and Oregon require 40 hours (New York 56 hours for 100+ employers); Colorado requires 48 hours; Washington imposes no accrual cap. The 24-hour part-time cap is therefore non-compliant in every jurisdiction. The leave-tracking sample documents the 24-hour cap being applied to part-time employees in both NJ and NY (e.g., notes reading</w:t>
      </w:r>
      <w:r>
        <w:t xml:space="preserve"> </w:t>
      </w:r>
      <w:r>
        <w:t xml:space="preserve">“</w:t>
      </w:r>
      <w:r>
        <w:t xml:space="preserve">PT cap 24 hrs — NJ law requires 40 hrs for all employees</w:t>
      </w:r>
      <w:r>
        <w:t xml:space="preserve">”</w:t>
      </w:r>
      <w:r>
        <w:t xml:space="preserve">).</w:t>
      </w:r>
    </w:p>
    <w:bookmarkEnd w:id="31"/>
    <w:bookmarkStart w:id="32" w:name="X6d5b10c9976c978b3eadb94ea149f075a07e7a9"/>
    <w:p>
      <w:pPr>
        <w:pStyle w:val="Heading3"/>
      </w:pPr>
      <w:r>
        <w:t xml:space="preserve">High Finding 3 — Paid Sick Leave Annual Cap Below Statute in NY, CO, and WA</w:t>
      </w:r>
    </w:p>
    <w:p>
      <w:pPr>
        <w:pStyle w:val="FirstParagraph"/>
      </w:pPr>
      <w:r>
        <w:t xml:space="preserve">Even for full-time employees, the Company’s 40-hour cap is below the statutory requirement in three states: New York requires</w:t>
      </w:r>
      <w:r>
        <w:t xml:space="preserve"> </w:t>
      </w:r>
      <w:r>
        <w:rPr>
          <w:b/>
          <w:bCs/>
        </w:rPr>
        <w:t xml:space="preserve">56 hours</w:t>
      </w:r>
      <w:r>
        <w:t xml:space="preserve"> </w:t>
      </w:r>
      <w:r>
        <w:t xml:space="preserve">for employers with 100 or more employees (Vantage has 680 in New York); Colorado (HFWA) requires</w:t>
      </w:r>
      <w:r>
        <w:t xml:space="preserve"> </w:t>
      </w:r>
      <w:r>
        <w:rPr>
          <w:b/>
          <w:bCs/>
        </w:rPr>
        <w:t xml:space="preserve">48 hours</w:t>
      </w:r>
      <w:r>
        <w:t xml:space="preserve">; and Washington imposes</w:t>
      </w:r>
      <w:r>
        <w:t xml:space="preserve"> </w:t>
      </w:r>
      <w:r>
        <w:rPr>
          <w:b/>
          <w:bCs/>
        </w:rPr>
        <w:t xml:space="preserve">no accrual cap</w:t>
      </w:r>
      <w:r>
        <w:t xml:space="preserve"> </w:t>
      </w:r>
      <w:r>
        <w:t xml:space="preserve">(an employer may cap</w:t>
      </w:r>
      <w:r>
        <w:t xml:space="preserve"> </w:t>
      </w:r>
      <w:r>
        <w:rPr>
          <w:i/>
          <w:iCs/>
        </w:rPr>
        <w:t xml:space="preserve">use</w:t>
      </w:r>
      <w:r>
        <w:t xml:space="preserve"> </w:t>
      </w:r>
      <w:r>
        <w:t xml:space="preserve">at a reasonable level, but not accrual). The Company’s 40-hour cap is compliant for full-time employees in NJ, CT, MA, and OR.</w:t>
      </w:r>
    </w:p>
    <w:bookmarkEnd w:id="32"/>
    <w:bookmarkStart w:id="33" w:name="X08e68bd2200340ceeefc13e79bf910fe1fa2fe5"/>
    <w:p>
      <w:pPr>
        <w:pStyle w:val="Heading3"/>
      </w:pPr>
      <w:r>
        <w:t xml:space="preserve">High Finding 4 — Paid Sick Leave No-Carryover Non-Compliant in All Seven States</w:t>
      </w:r>
    </w:p>
    <w:p>
      <w:pPr>
        <w:pStyle w:val="FirstParagraph"/>
      </w:pPr>
      <w:r>
        <w:t xml:space="preserve">The Company resets sick leave balances to zero on January 1 and permits no carryover (Handbook §6.2.7). All seven states require carryover of unused sick leave (NJ: 40 hours carryover or payout-plus-fresh-40; NY: up to 56 hours; CT, MA, CO, OR: 40 hours; WA: all unused, year to year). The leave-tracking sample documents the forfeiture in practice (e.g.,</w:t>
      </w:r>
      <w:r>
        <w:t xml:space="preserve"> </w:t>
      </w:r>
      <w:r>
        <w:t xml:space="preserve">“</w:t>
      </w:r>
      <w:r>
        <w:t xml:space="preserve">No carryover from 2024 — employee had 12 hrs unused at year-end 2024, forfeited per policy</w:t>
      </w:r>
      <w:r>
        <w:t xml:space="preserve">”</w:t>
      </w:r>
      <w:r>
        <w:t xml:space="preserve">). This is a systemic, multi-state violation.</w:t>
      </w:r>
    </w:p>
    <w:bookmarkEnd w:id="33"/>
    <w:bookmarkStart w:id="34" w:name="X86e27e99c302e60a1bdfa15532ef20358ac5545"/>
    <w:p>
      <w:pPr>
        <w:pStyle w:val="Heading3"/>
      </w:pPr>
      <w:r>
        <w:t xml:space="preserve">High Finding 5 — Paid Sick Leave 120-Day Waiting Period Non-Compliant in Five States</w:t>
      </w:r>
    </w:p>
    <w:p>
      <w:pPr>
        <w:pStyle w:val="FirstParagraph"/>
      </w:pPr>
      <w:r>
        <w:t xml:space="preserve">The Company imposes a uniform 120-day waiting period before sick leave may be used (Handbook §6.2.4). This is compliant in New Jersey, which permits an employer to prohibit use during the first 120 days. It is non-compliant in five states: New York (no waiting period — use as accrued), Massachusetts (90 days), Colorado (no waiting period — available immediately), Oregon (90 days), and Washington (90 days). The leave-tracking sample documents denials of sick leave requests within the 120-day window for employees in both New York (Brian Novak, denied 1/28/2025) and New Jersey (Monica Baptiste, denied 3/18/2025), confirming the policy is being applied as written.</w:t>
      </w:r>
    </w:p>
    <w:bookmarkEnd w:id="34"/>
    <w:bookmarkStart w:id="35" w:name="X7bfc772ba0d2ac570a75f3f85a8f2cb5473c5ce"/>
    <w:p>
      <w:pPr>
        <w:pStyle w:val="Heading3"/>
      </w:pPr>
      <w:r>
        <w:t xml:space="preserve">High Finding 6 — Paid Sick Leave Covered Uses and Family-Member Definition Non-Compliant in All States</w:t>
      </w:r>
    </w:p>
    <w:p>
      <w:pPr>
        <w:pStyle w:val="FirstParagraph"/>
      </w:pPr>
      <w:r>
        <w:t xml:space="preserve">As detailed in Critical Finding 1, the Company’s sick leave covered-uses list (own illness/injury/medical appointment only) and family-member definition (spouse, child, parent) are narrower than the law of every jurisdiction. Beyond the NJ complaint exposure, this creates enforcement and claim risk in NY, CT, MA, CO, OR, and WA, each of which requires family-care, safe-leave, public-health-emergency, and school-related uses and broader family-member definitions. Colorado additionally requires supplemental public-health-emergency leave of up to 80 hours under the HFWA, which the Company’s policy does not address.</w:t>
      </w:r>
    </w:p>
    <w:bookmarkEnd w:id="35"/>
    <w:bookmarkStart w:id="36" w:name="X283c1a7e92aacfd98fd8b4e29c1dccfe68e4453"/>
    <w:p>
      <w:pPr>
        <w:pStyle w:val="Heading3"/>
      </w:pPr>
      <w:r>
        <w:t xml:space="preserve">High Finding 7 — Paid Family Leave Notice Requirement Lacks Foreseeable/Unforeseeable Distinction</w:t>
      </w:r>
    </w:p>
    <w:p>
      <w:pPr>
        <w:pStyle w:val="FirstParagraph"/>
      </w:pPr>
      <w:r>
        <w:t xml:space="preserve">The Company’s PFL policy requires 30 calendar days’ advance notice for all paid family leave and does not distinguish foreseeable from unforeseeable leave (Handbook §6.3.6). The 30-day requirement is compliant for foreseeable leave in all states, but every state program requires only</w:t>
      </w:r>
      <w:r>
        <w:t xml:space="preserve"> </w:t>
      </w:r>
      <w:r>
        <w:t xml:space="preserve">“</w:t>
      </w:r>
      <w:r>
        <w:t xml:space="preserve">as soon as practicable</w:t>
      </w:r>
      <w:r>
        <w:t xml:space="preserve">”</w:t>
      </w:r>
      <w:r>
        <w:t xml:space="preserve"> </w:t>
      </w:r>
      <w:r>
        <w:t xml:space="preserve">notice for unforeseeable leave. The policy’s silence could be read to require 30 days in all cases, which is unreasonable and non-compliant. The internal record documents a Connecticut employee who gave 10 days’ notice before leave to care for a parent after an unexpected hospitalization and was initially challenged by HR on the 30-day rule; the General Counsel has issued interim guidance that HR should not deny or delay leave for unforeseeable situations, but the written policy remains uncorrected. Inconsistent application of the unwritten flexibility across facilities also raises disparate-treatment risk. Separately, the policy’s commitment to notify the employee of approval or denial</w:t>
      </w:r>
      <w:r>
        <w:t xml:space="preserve"> </w:t>
      </w:r>
      <w:r>
        <w:t xml:space="preserve">“</w:t>
      </w:r>
      <w:r>
        <w:t xml:space="preserve">within five (5) business days of receipt</w:t>
      </w:r>
      <w:r>
        <w:t xml:space="preserve">”</w:t>
      </w:r>
      <w:r>
        <w:t xml:space="preserve"> </w:t>
      </w:r>
      <w:r>
        <w:t xml:space="preserve">(§6.3.6) should be reviewed against each state program’s response timelines to ensure it does not delay statutory benefit determinations.</w:t>
      </w:r>
    </w:p>
    <w:bookmarkEnd w:id="36"/>
    <w:bookmarkStart w:id="37" w:name="Xb82c83038e48e1e95b952c6c71463446056ec06"/>
    <w:p>
      <w:pPr>
        <w:pStyle w:val="Heading3"/>
      </w:pPr>
      <w:r>
        <w:t xml:space="preserve">High Finding 8 — Paid Family Leave Qualifying Reasons Incomplete</w:t>
      </w:r>
    </w:p>
    <w:p>
      <w:pPr>
        <w:pStyle w:val="FirstParagraph"/>
      </w:pPr>
      <w:r>
        <w:t xml:space="preserve">The Company’s PFL covers only bonding and caregiving for a family member with a serious health condition (Handbook §6.3.3). The state programs cover additional qualifying reasons that the Company’s plan does not:</w:t>
      </w:r>
      <w:r>
        <w:t xml:space="preserve"> </w:t>
      </w:r>
      <w:r>
        <w:rPr>
          <w:b/>
          <w:bCs/>
        </w:rPr>
        <w:t xml:space="preserve">qualifying military exigency</w:t>
      </w:r>
      <w:r>
        <w:t xml:space="preserve"> </w:t>
      </w:r>
      <w:r>
        <w:t xml:space="preserve">(expressly covered by CT PL and WA PFML, and by NY PFL);</w:t>
      </w:r>
      <w:r>
        <w:t xml:space="preserve"> </w:t>
      </w:r>
      <w:r>
        <w:rPr>
          <w:b/>
          <w:bCs/>
        </w:rPr>
        <w:t xml:space="preserve">organ/bone-marrow donation</w:t>
      </w:r>
      <w:r>
        <w:t xml:space="preserve"> </w:t>
      </w:r>
      <w:r>
        <w:t xml:space="preserve">(CT PL); and</w:t>
      </w:r>
      <w:r>
        <w:t xml:space="preserve"> </w:t>
      </w:r>
      <w:r>
        <w:rPr>
          <w:b/>
          <w:bCs/>
        </w:rPr>
        <w:t xml:space="preserve">safe leave</w:t>
      </w:r>
      <w:r>
        <w:t xml:space="preserve"> </w:t>
      </w:r>
      <w:r>
        <w:t xml:space="preserve">for domestic violence, sexual assault, stalking, and harassment (Paid Leave Oregon). For NJ, MA, and CO, the record is silent on whether military exigency is a covered reason under the respective family-leave program, and H&amp;C flags those for verification. Because the self-funded plan does not qualify as a private-plan substitute in any event (Critical Finding 2), employees are entitled to the full statutory qualifying-reason set through the state programs.</w:t>
      </w:r>
    </w:p>
    <w:bookmarkEnd w:id="37"/>
    <w:bookmarkStart w:id="38" w:name="X9bb4159f3f92f3ccbca455691d7821325ad21b1"/>
    <w:p>
      <w:pPr>
        <w:pStyle w:val="Heading3"/>
      </w:pPr>
      <w:r>
        <w:t xml:space="preserve">High Finding 9 — Paid Family Leave Family-Member Definition Too Narrow</w:t>
      </w:r>
    </w:p>
    <w:p>
      <w:pPr>
        <w:pStyle w:val="FirstParagraph"/>
      </w:pPr>
      <w:r>
        <w:t xml:space="preserve">The Company’s PFL family-member definition (spouse, child, parent; expressly excluding parents-in-law) is narrower than every state program’s definition, each of which includes grandparents, grandchildren, siblings, domestic partners, and (in most) parents-in-law and individuals related by blood or affinity whose close association is the equivalent of family. This is non-compliant in all seven states.</w:t>
      </w:r>
    </w:p>
    <w:bookmarkEnd w:id="38"/>
    <w:bookmarkStart w:id="39" w:name="X75a1faa85b354ae84c100d5b1905a9f90a15f7a"/>
    <w:p>
      <w:pPr>
        <w:pStyle w:val="Heading3"/>
      </w:pPr>
      <w:r>
        <w:t xml:space="preserve">High Finding 10 — Paid Family Leave Eligibility More Restrictive Than State Programs</w:t>
      </w:r>
    </w:p>
    <w:p>
      <w:pPr>
        <w:pStyle w:val="FirstParagraph"/>
      </w:pPr>
      <w:r>
        <w:t xml:space="preserve">The Company requires 12 months of employment and 1,000 hours worked (Handbook §6.3.2). Each state program’s eligibility threshold is lower and earnings-based rather than tenure-based: NJ (work/earnings history, no employer tenure); NY (26 weeks FT / 175 days PT); CT (~$2,325 in highest quarter + 3 months); MA (30× MA AWW in prior 4 quarters); CO ($2,500 in wages); OR ($1,000 base-year earnings); WA (820 hours in qualifying period). Employees who meet the state threshold but not the Company’s would be denied under the Company’s policy while remaining entitled to the state benefit — a gap that is particularly acute given the structural non-compliance of the self-funded plan.</w:t>
      </w:r>
    </w:p>
    <w:bookmarkEnd w:id="39"/>
    <w:bookmarkStart w:id="40" w:name="X8b59795c049dfb8ead05e7e3dde2615717e425b"/>
    <w:p>
      <w:pPr>
        <w:pStyle w:val="Heading3"/>
      </w:pPr>
      <w:r>
        <w:t xml:space="preserve">High Finding 11 — PTO/Vacation Payout Non-Compliant in Colorado, Oregon, and Washington</w:t>
      </w:r>
    </w:p>
    <w:p>
      <w:pPr>
        <w:pStyle w:val="FirstParagraph"/>
      </w:pPr>
      <w:r>
        <w:t xml:space="preserve">In addition to Massachusetts (Critical Finding 6), three expansion states treat accrued, unused vacation as wages that must be paid on separation and do not permit forfeit-on-separation: Colorado (C.R.S. §8-4-101 et seq.), Oregon (ORS 652.140), and Washington (RCW 49.48.010). The Company’s no-payout policy and 5-day carryover cap with March 31 forfeiture are non-compliant in each. A Colorado candidate has already raised the payout issue with the Company’s recruiter, confirming that the defect is visible to incoming employees. The General Counsel has directed that Colorado offer letters remove the blanket</w:t>
      </w:r>
      <w:r>
        <w:t xml:space="preserve"> </w:t>
      </w:r>
      <w:r>
        <w:t xml:space="preserve">“</w:t>
      </w:r>
      <w:r>
        <w:t xml:space="preserve">no payout</w:t>
      </w:r>
      <w:r>
        <w:t xml:space="preserve">”</w:t>
      </w:r>
      <w:r>
        <w:t xml:space="preserve"> </w:t>
      </w:r>
      <w:r>
        <w:t xml:space="preserve">language and reference Colorado law, and that MA, OR, and WA be checked before those facilities open.</w:t>
      </w:r>
    </w:p>
    <w:bookmarkEnd w:id="40"/>
    <w:bookmarkStart w:id="41" w:name="Xe03cfe4eecd63c224a450dc5d18e8f941190f33"/>
    <w:p>
      <w:pPr>
        <w:pStyle w:val="Heading3"/>
      </w:pPr>
      <w:r>
        <w:t xml:space="preserve">High Finding 12 — Oregon and Colorado (Facility) Registration Deadlines</w:t>
      </w:r>
    </w:p>
    <w:p>
      <w:pPr>
        <w:pStyle w:val="FirstParagraph"/>
      </w:pPr>
      <w:r>
        <w:t xml:space="preserve">Oregon: the Tigard facility opens February 1, 2026; accounting for the PinnacleHR lead time, Paid Leave Oregon registration should be completed no later than approximately</w:t>
      </w:r>
      <w:r>
        <w:t xml:space="preserve"> </w:t>
      </w:r>
      <w:r>
        <w:rPr>
          <w:b/>
          <w:bCs/>
        </w:rPr>
        <w:t xml:space="preserve">December 1, 2025</w:t>
      </w:r>
      <w:r>
        <w:t xml:space="preserve">. Colorado: even setting aside the April remote-hire trigger (Critical Finding 5), the Aurora facility opens November 1, 2025, requiring registration no later than approximately</w:t>
      </w:r>
      <w:r>
        <w:t xml:space="preserve"> </w:t>
      </w:r>
      <w:r>
        <w:rPr>
          <w:b/>
          <w:bCs/>
        </w:rPr>
        <w:t xml:space="preserve">September 1, 2025</w:t>
      </w:r>
      <w:r>
        <w:t xml:space="preserve">. Neither registration has been initiated.</w:t>
      </w:r>
    </w:p>
    <w:bookmarkEnd w:id="41"/>
    <w:bookmarkStart w:id="42" w:name="X7bb13af4aa635ae788618ba9a536b0cee86e398"/>
    <w:p>
      <w:pPr>
        <w:pStyle w:val="Heading3"/>
      </w:pPr>
      <w:r>
        <w:t xml:space="preserve">High Finding 13 — Manual Spreadsheet Leave Tracking: Scalability and Accuracy Risk</w:t>
      </w:r>
    </w:p>
    <w:p>
      <w:pPr>
        <w:pStyle w:val="FirstParagraph"/>
      </w:pPr>
      <w:r>
        <w:t xml:space="preserve">The Company tracks sick leave accruals, usage, and balances through manual Excel workbooks maintained by two HR coordinators (Jessica Ferraro and Daniel Okafor), one workbook per state, with no integration to WorkBridge Pro (HRIS) or ClockSync Enterprise (time and attendance), no automated alerts, no audit trail, and no state-specific rule logic. The internal record documents concrete errors: a part-time New Jersey employee’s balance incorrectly capped at 24 hours due to a wrong accrual rate; negative balances (e.g., -2.5 hours for James Kowalski, -0.75 hours for Hassan Ali) indicating data-entry or calculation errors; and inconsistent application of the 120-day waiting period across facilities. Scaling this approach from three states/2,140 employees to seven states/2,560 employees — each with distinct accrual rates, caps, waiting periods, carryover rules, and reporting obligations — is estimated to increase coordinator workload by 50–75% and will compound the error rate. Several expansion states impose specific recordkeeping obligations regarding leave accruals and usage that the current system cannot reliably satisfy. While not itself a single statutory violation, this is a High finding because it underlies the Company’s ability to demonstrate compliance with the accrual, carryover, cap, and recordkeeping requirements identified throughout this memorandum, and because inadequate records would materially weaken the Company’s position in any audit or complaint proceeding (including the pending NJ DOL matter, which the Department may expand).</w:t>
      </w:r>
    </w:p>
    <w:bookmarkEnd w:id="42"/>
    <w:bookmarkStart w:id="43" w:name="Xc037b73b02c0a98d85341861bbdb8086d242562"/>
    <w:p>
      <w:pPr>
        <w:pStyle w:val="Heading3"/>
      </w:pPr>
      <w:r>
        <w:t xml:space="preserve">High Finding 14 — Paid Family Leave Wage Calculation Methodology Differs from State Programs</w:t>
      </w:r>
    </w:p>
    <w:p>
      <w:pPr>
        <w:pStyle w:val="FirstParagraph"/>
      </w:pPr>
      <w:r>
        <w:t xml:space="preserve">The Company calculates the paid family leave wage replacement as 50% of the employee’s</w:t>
      </w:r>
      <w:r>
        <w:t xml:space="preserve"> </w:t>
      </w:r>
      <w:r>
        <w:t xml:space="preserve">“</w:t>
      </w:r>
      <w:r>
        <w:t xml:space="preserve">average weekly wage, calculated based on the employee’s earnings during the eight (8) weeks immediately preceding the start of leave,</w:t>
      </w:r>
      <w:r>
        <w:t xml:space="preserve">”</w:t>
      </w:r>
      <w:r>
        <w:t xml:space="preserve"> </w:t>
      </w:r>
      <w:r>
        <w:t xml:space="preserve">and expressly excludes overtime, bonuses, commissions, and other supplemental compensation from</w:t>
      </w:r>
      <w:r>
        <w:t xml:space="preserve"> </w:t>
      </w:r>
      <w:r>
        <w:t xml:space="preserve">“</w:t>
      </w:r>
      <w:r>
        <w:t xml:space="preserve">earnings</w:t>
      </w:r>
      <w:r>
        <w:t xml:space="preserve">”</w:t>
      </w:r>
      <w:r>
        <w:t xml:space="preserve"> </w:t>
      </w:r>
      <w:r>
        <w:t xml:space="preserve">(Handbook §6.3.5). State paid family leave programs calculate average weekly wage over different (and generally longer) base periods and on different earnings components, which typically produce a higher benefit base than the Company’s 8-week, base-pay-only calculation. This methodology difference independently depresses the Company’s benefit below the statutory level even before considering the rate, cap, and duration gaps in Critical Finding 2, and would have to be corrected in any enhanced private-plan submission.</w:t>
      </w:r>
    </w:p>
    <w:bookmarkEnd w:id="43"/>
    <w:bookmarkStart w:id="44" w:name="X0ecb1083b9b26a3e062ef6aea9cdcd3582d3a92"/>
    <w:p>
      <w:pPr>
        <w:pStyle w:val="Heading3"/>
      </w:pPr>
      <w:r>
        <w:t xml:space="preserve">High Finding 15 — Paid Family Leave Intermittent-Leave Restriction</w:t>
      </w:r>
    </w:p>
    <w:p>
      <w:pPr>
        <w:pStyle w:val="FirstParagraph"/>
      </w:pPr>
      <w:r>
        <w:t xml:space="preserve">The Company permits intermittent paid family leave only in</w:t>
      </w:r>
      <w:r>
        <w:t xml:space="preserve"> </w:t>
      </w:r>
      <w:r>
        <w:t xml:space="preserve">“</w:t>
      </w:r>
      <w:r>
        <w:t xml:space="preserve">full-day increments</w:t>
      </w:r>
      <w:r>
        <w:t xml:space="preserve">”</w:t>
      </w:r>
      <w:r>
        <w:t xml:space="preserve"> </w:t>
      </w:r>
      <w:r>
        <w:t xml:space="preserve">and only</w:t>
      </w:r>
      <w:r>
        <w:t xml:space="preserve"> </w:t>
      </w:r>
      <w:r>
        <w:t xml:space="preserve">“</w:t>
      </w:r>
      <w:r>
        <w:t xml:space="preserve">with the prior written approval of the employee’s supervisor,</w:t>
      </w:r>
      <w:r>
        <w:t xml:space="preserve">”</w:t>
      </w:r>
      <w:r>
        <w:t xml:space="preserve"> </w:t>
      </w:r>
      <w:r>
        <w:t xml:space="preserve">and reserves the right to deny intermittent leave</w:t>
      </w:r>
      <w:r>
        <w:t xml:space="preserve"> </w:t>
      </w:r>
      <w:r>
        <w:t xml:space="preserve">“</w:t>
      </w:r>
      <w:r>
        <w:t xml:space="preserve">if the intermittent schedule would cause undue disruption to the Company’s operations</w:t>
      </w:r>
      <w:r>
        <w:t xml:space="preserve">”</w:t>
      </w:r>
      <w:r>
        <w:t xml:space="preserve"> </w:t>
      </w:r>
      <w:r>
        <w:t xml:space="preserve">(Handbook §6.3.4). State paid family leave programs generally permit intermittent or reduced-schedule leave for bonding and caregiving in increments smaller than a full day and do not condition it on supervisor approval or operational convenience to the same degree. The Company’s full-day-only, supervisor-approval, operational-disruption standard is more restrictive than the state programs and is non-compliant to the extent it denies employees leave in increments the state programs allow.</w:t>
      </w:r>
    </w:p>
    <w:bookmarkEnd w:id="44"/>
    <w:bookmarkEnd w:id="45"/>
    <w:bookmarkStart w:id="46" w:name="vi.-moderate-findings"/>
    <w:p>
      <w:pPr>
        <w:pStyle w:val="Heading2"/>
      </w:pPr>
      <w:r>
        <w:t xml:space="preserve">VI. Moderate Findings</w:t>
      </w:r>
    </w:p>
    <w:p>
      <w:pPr>
        <w:pStyle w:val="FirstParagraph"/>
      </w:pPr>
      <w:r>
        <w:t xml:space="preserve">A</w:t>
      </w:r>
      <w:r>
        <w:t xml:space="preserve"> </w:t>
      </w:r>
      <w:r>
        <w:t xml:space="preserve">“</w:t>
      </w:r>
      <w:r>
        <w:t xml:space="preserve">Moderate</w:t>
      </w:r>
      <w:r>
        <w:t xml:space="preserve">”</w:t>
      </w:r>
      <w:r>
        <w:t xml:space="preserve"> </w:t>
      </w:r>
      <w:r>
        <w:t xml:space="preserve">finding denotes technical non-compliance, best-practice gaps, or policy ambiguities that may not give rise to immediate enforcement but expose the Company to risk over time or in the event of a complaint or audit.</w:t>
      </w:r>
    </w:p>
    <w:p>
      <w:pPr>
        <w:numPr>
          <w:ilvl w:val="0"/>
          <w:numId w:val="1003"/>
        </w:numPr>
      </w:pPr>
      <w:r>
        <w:rPr>
          <w:b/>
          <w:bCs/>
        </w:rPr>
        <w:t xml:space="preserve">Sick leave documentation threshold (2 days vs. 3).</w:t>
      </w:r>
      <w:r>
        <w:t xml:space="preserve"> </w:t>
      </w:r>
      <w:r>
        <w:t xml:space="preserve">The Company requires a doctor’s note after 2 consecutive scheduled workdays (Handbook §6.2.8). Most state sick leave statutes permit an employer to require documentation only for absences of 3 or more consecutive days. Requiring documentation earlier than the statutory threshold is more restrictive than the statutes contemplate and is at risk of challenge; H&amp;C recommends aligning the threshold to 3 consecutive days. The policy’s</w:t>
      </w:r>
      <w:r>
        <w:t xml:space="preserve"> </w:t>
      </w:r>
      <w:r>
        <w:t xml:space="preserve">“</w:t>
      </w:r>
      <w:r>
        <w:t xml:space="preserve">pattern of abuse</w:t>
      </w:r>
      <w:r>
        <w:t xml:space="preserve">”</w:t>
      </w:r>
      <w:r>
        <w:t xml:space="preserve"> </w:t>
      </w:r>
      <w:r>
        <w:t xml:space="preserve">documentation reservation and the 3-business-day submission window should likewise be reviewed to ensure they do not chill lawful use.</w:t>
      </w:r>
    </w:p>
    <w:p>
      <w:pPr>
        <w:numPr>
          <w:ilvl w:val="0"/>
          <w:numId w:val="1003"/>
        </w:numPr>
      </w:pPr>
      <w:r>
        <w:rPr>
          <w:b/>
          <w:bCs/>
        </w:rPr>
        <w:t xml:space="preserve">Workplace posting / employee notice obligations.</w:t>
      </w:r>
      <w:r>
        <w:t xml:space="preserve"> </w:t>
      </w:r>
      <w:r>
        <w:t xml:space="preserve">All seven states require employers to display paid leave posters and/or provide individual employee notices. The Handbook does not address posting obligations, and the Company’s current posting status is undocumented. H&amp;C recommends a posting audit at each facility and confirmation that current posters are displayed in all seven jurisdictions, with new posters obtained for each expansion facility before opening.</w:t>
      </w:r>
    </w:p>
    <w:p>
      <w:pPr>
        <w:numPr>
          <w:ilvl w:val="0"/>
          <w:numId w:val="1003"/>
        </w:numPr>
      </w:pPr>
      <w:r>
        <w:rPr>
          <w:b/>
          <w:bCs/>
        </w:rPr>
        <w:t xml:space="preserve">Recordkeeping method.</w:t>
      </w:r>
      <w:r>
        <w:t xml:space="preserve"> </w:t>
      </w:r>
      <w:r>
        <w:t xml:space="preserve">Although the Company’s 6-year retention period is likely sufficient, the manual spreadsheet method lacks an audit trail (changes to balances are not logged), which would impair the Company’s ability to defend balance determinations in an audit or complaint. This overlaps with High Finding 13 but is separately categorized because the retention period itself is likely compliant.</w:t>
      </w:r>
    </w:p>
    <w:p>
      <w:pPr>
        <w:numPr>
          <w:ilvl w:val="0"/>
          <w:numId w:val="1003"/>
        </w:numPr>
      </w:pPr>
      <w:r>
        <w:rPr>
          <w:b/>
          <w:bCs/>
        </w:rPr>
        <w:t xml:space="preserve">NJ and NY PTO payout — at risk.</w:t>
      </w:r>
      <w:r>
        <w:t xml:space="preserve"> </w:t>
      </w:r>
      <w:r>
        <w:t xml:space="preserve">New Jersey and New York generally permit</w:t>
      </w:r>
      <w:r>
        <w:t xml:space="preserve"> </w:t>
      </w:r>
      <w:r>
        <w:t xml:space="preserve">“</w:t>
      </w:r>
      <w:r>
        <w:t xml:space="preserve">use-it-or-lose-it</w:t>
      </w:r>
      <w:r>
        <w:t xml:space="preserve">”</w:t>
      </w:r>
      <w:r>
        <w:t xml:space="preserve"> </w:t>
      </w:r>
      <w:r>
        <w:t xml:space="preserve">vacation policies only where the forfeiture is clearly communicated in writing. The Company’s policy states a no-payout rule, but the Handbook expressly recognizes only the Connecticut exception, and the policy’s clarity and consistency of application across facilities is unverified. These are at-risk (yellow) rather than clear violations, but H&amp;C recommends confirming that the forfeiture is clearly and consistently communicated and that final paychecks in NJ and NY do not omit any wages owed.</w:t>
      </w:r>
    </w:p>
    <w:p>
      <w:pPr>
        <w:numPr>
          <w:ilvl w:val="0"/>
          <w:numId w:val="1003"/>
        </w:numPr>
      </w:pPr>
      <w:r>
        <w:rPr>
          <w:b/>
          <w:bCs/>
        </w:rPr>
        <w:t xml:space="preserve">PTO carryover cap in NJ, NY, and CT — at risk.</w:t>
      </w:r>
      <w:r>
        <w:t xml:space="preserve"> </w:t>
      </w:r>
      <w:r>
        <w:t xml:space="preserve">The 5-day carryover cap and March 31 forfeiture are permissible in NJ and NY if clearly stated, but in Connecticut (where accrued vacation is wages) the forfeiture of accrued vacation is at risk. H&amp;C recommends reviewing the carryover/forfeiture mechanism against each state’s wage treatment of vacation.</w:t>
      </w:r>
    </w:p>
    <w:p>
      <w:pPr>
        <w:numPr>
          <w:ilvl w:val="0"/>
          <w:numId w:val="1003"/>
        </w:numPr>
      </w:pPr>
      <w:r>
        <w:rPr>
          <w:b/>
          <w:bCs/>
        </w:rPr>
        <w:t xml:space="preserve">Bereavement leave.</w:t>
      </w:r>
      <w:r>
        <w:t xml:space="preserve"> </w:t>
      </w:r>
      <w:r>
        <w:t xml:space="preserve">The Company’s policy does not address bereavement. The provided record is silent on whether bereavement is a covered use under each state’s sick leave or paid family leave program (some states address bereavement through paid family leave or separate statutes). H&amp;C flags this for verification against current statute in each jurisdiction rather than rendering a guessed conclusion.</w:t>
      </w:r>
    </w:p>
    <w:p>
      <w:pPr>
        <w:numPr>
          <w:ilvl w:val="0"/>
          <w:numId w:val="1003"/>
        </w:numPr>
      </w:pPr>
      <w:r>
        <w:rPr>
          <w:b/>
          <w:bCs/>
        </w:rPr>
        <w:t xml:space="preserve">Employee confusion regarding self-funded plan vs. state programs.</w:t>
      </w:r>
      <w:r>
        <w:t xml:space="preserve"> </w:t>
      </w:r>
      <w:r>
        <w:t xml:space="preserve">Connecticut employees have asked whether they are covered by the state program or the Company’s self-funded benefit, and at least two have asked whether the Company’s benefit matches the state program. This confusion is a symptom of the dual structure (Critical Finding 2) and should be resolved through clear employee communications once the structural approach is determined.</w:t>
      </w:r>
    </w:p>
    <w:p>
      <w:pPr>
        <w:numPr>
          <w:ilvl w:val="0"/>
          <w:numId w:val="1003"/>
        </w:numPr>
      </w:pPr>
      <w:r>
        <w:rPr>
          <w:b/>
          <w:bCs/>
        </w:rPr>
        <w:t xml:space="preserve">Inconsistent policy application across facilities.</w:t>
      </w:r>
      <w:r>
        <w:t xml:space="preserve"> </w:t>
      </w:r>
      <w:r>
        <w:t xml:space="preserve">The internal record indicates that NJ and NY HR leads have been</w:t>
      </w:r>
      <w:r>
        <w:t xml:space="preserve"> </w:t>
      </w:r>
      <w:r>
        <w:t xml:space="preserve">“</w:t>
      </w:r>
      <w:r>
        <w:t xml:space="preserve">making judgment calls without a framework</w:t>
      </w:r>
      <w:r>
        <w:t xml:space="preserve">”</w:t>
      </w:r>
      <w:r>
        <w:t xml:space="preserve"> </w:t>
      </w:r>
      <w:r>
        <w:t xml:space="preserve">on the 30-day notice requirement, with some sites strict and others flexible. Inconsistent administration of a uniform policy can support disparate-treatment claims and should be corrected through written, state-specific procedures and manager training.</w:t>
      </w:r>
    </w:p>
    <w:p>
      <w:pPr>
        <w:numPr>
          <w:ilvl w:val="0"/>
          <w:numId w:val="1003"/>
        </w:numPr>
      </w:pPr>
      <w:r>
        <w:rPr>
          <w:b/>
          <w:bCs/>
        </w:rPr>
        <w:t xml:space="preserve">Outdated Handbook and facility-address discrepancies.</w:t>
      </w:r>
      <w:r>
        <w:t xml:space="preserve"> </w:t>
      </w:r>
      <w:r>
        <w:t xml:space="preserve">The Handbook was last revised January 15, 2022, was designed around NJ/NY, gave only</w:t>
      </w:r>
      <w:r>
        <w:t xml:space="preserve"> </w:t>
      </w:r>
      <w:r>
        <w:t xml:space="preserve">“</w:t>
      </w:r>
      <w:r>
        <w:t xml:space="preserve">informal consideration</w:t>
      </w:r>
      <w:r>
        <w:t xml:space="preserve">”</w:t>
      </w:r>
      <w:r>
        <w:t xml:space="preserve"> </w:t>
      </w:r>
      <w:r>
        <w:t xml:space="preserve">to Connecticut, and contains no reference to MA, CO, OR, or WA. The July 1, 2025 revision target is appropriate but leaves limited runway before the August 1, 2025 Massachusetts opening. Notably, the Handbook’s facility directory is also inconsistent with the Company’s current records: the Handbook lists the Newark facility at</w:t>
      </w:r>
      <w:r>
        <w:t xml:space="preserve"> </w:t>
      </w:r>
      <w:r>
        <w:t xml:space="preserve">“</w:t>
      </w:r>
      <w:r>
        <w:t xml:space="preserve">1275 Raymond Boulevard, Building C, Newark, NJ 07102,</w:t>
      </w:r>
      <w:r>
        <w:t xml:space="preserve">”</w:t>
      </w:r>
      <w:r>
        <w:t xml:space="preserve"> </w:t>
      </w:r>
      <w:r>
        <w:t xml:space="preserve">the Queens facility at</w:t>
      </w:r>
      <w:r>
        <w:t xml:space="preserve"> </w:t>
      </w:r>
      <w:r>
        <w:t xml:space="preserve">“</w:t>
      </w:r>
      <w:r>
        <w:t xml:space="preserve">56-10 Grand Avenue,</w:t>
      </w:r>
      <w:r>
        <w:t xml:space="preserve">”</w:t>
      </w:r>
      <w:r>
        <w:t xml:space="preserve"> </w:t>
      </w:r>
      <w:r>
        <w:t xml:space="preserve">the White Plains office at</w:t>
      </w:r>
      <w:r>
        <w:t xml:space="preserve"> </w:t>
      </w:r>
      <w:r>
        <w:t xml:space="preserve">“</w:t>
      </w:r>
      <w:r>
        <w:t xml:space="preserve">200 Hamilton Avenue, Suite 410,</w:t>
      </w:r>
      <w:r>
        <w:t xml:space="preserve">”</w:t>
      </w:r>
      <w:r>
        <w:t xml:space="preserve"> </w:t>
      </w:r>
      <w:r>
        <w:t xml:space="preserve">and the Bridgeport facility at</w:t>
      </w:r>
      <w:r>
        <w:t xml:space="preserve"> </w:t>
      </w:r>
      <w:r>
        <w:t xml:space="preserve">“</w:t>
      </w:r>
      <w:r>
        <w:t xml:space="preserve">825 East Main Street,</w:t>
      </w:r>
      <w:r>
        <w:t xml:space="preserve">”</w:t>
      </w:r>
      <w:r>
        <w:t xml:space="preserve"> </w:t>
      </w:r>
      <w:r>
        <w:t xml:space="preserve">whereas the HR expansion memo and NJ DOL correspondence identify the Newark facility at</w:t>
      </w:r>
      <w:r>
        <w:t xml:space="preserve"> </w:t>
      </w:r>
      <w:r>
        <w:t xml:space="preserve">“</w:t>
      </w:r>
      <w:r>
        <w:t xml:space="preserve">78 Doremus Avenue, Newark, NJ 07105,</w:t>
      </w:r>
      <w:r>
        <w:t xml:space="preserve">”</w:t>
      </w:r>
      <w:r>
        <w:t xml:space="preserve"> </w:t>
      </w:r>
      <w:r>
        <w:t xml:space="preserve">Queens at</w:t>
      </w:r>
      <w:r>
        <w:t xml:space="preserve"> </w:t>
      </w:r>
      <w:r>
        <w:t xml:space="preserve">“</w:t>
      </w:r>
      <w:r>
        <w:t xml:space="preserve">55-20 Grand Avenue,</w:t>
      </w:r>
      <w:r>
        <w:t xml:space="preserve">”</w:t>
      </w:r>
      <w:r>
        <w:t xml:space="preserve"> </w:t>
      </w:r>
      <w:r>
        <w:t xml:space="preserve">White Plains at</w:t>
      </w:r>
      <w:r>
        <w:t xml:space="preserve"> </w:t>
      </w:r>
      <w:r>
        <w:t xml:space="preserve">“</w:t>
      </w:r>
      <w:r>
        <w:t xml:space="preserve">1200 Westchester Avenue, Suite 400,</w:t>
      </w:r>
      <w:r>
        <w:t xml:space="preserve">”</w:t>
      </w:r>
      <w:r>
        <w:t xml:space="preserve"> </w:t>
      </w:r>
      <w:r>
        <w:t xml:space="preserve">and Bridgeport at</w:t>
      </w:r>
      <w:r>
        <w:t xml:space="preserve"> </w:t>
      </w:r>
      <w:r>
        <w:t xml:space="preserve">“</w:t>
      </w:r>
      <w:r>
        <w:t xml:space="preserve">300 Seaview Avenue.</w:t>
      </w:r>
      <w:r>
        <w:t xml:space="preserve">”</w:t>
      </w:r>
      <w:r>
        <w:t xml:space="preserve"> </w:t>
      </w:r>
      <w:r>
        <w:t xml:space="preserve">These discrepancies confirm the Handbook is stale and should be reconciled as part of the July 1, 2025 revision.</w:t>
      </w:r>
    </w:p>
    <w:p>
      <w:pPr>
        <w:numPr>
          <w:ilvl w:val="0"/>
          <w:numId w:val="1003"/>
        </w:numPr>
      </w:pPr>
      <w:r>
        <w:rPr>
          <w:b/>
          <w:bCs/>
        </w:rPr>
        <w:t xml:space="preserve">Washington registration timing.</w:t>
      </w:r>
      <w:r>
        <w:t xml:space="preserve"> </w:t>
      </w:r>
      <w:r>
        <w:t xml:space="preserve">The Kent facility opens May 1, 2026; registration with WA PFML should be completed by approximately March 1, 2026. This is the least urgent of the four expansion-state registrations but should be calendared now to avoid a late-stage repeat of the Massachusetts/Colorado compression.</w:t>
      </w:r>
    </w:p>
    <w:p>
      <w:pPr>
        <w:numPr>
          <w:ilvl w:val="0"/>
          <w:numId w:val="1003"/>
        </w:numPr>
      </w:pPr>
      <w:r>
        <w:rPr>
          <w:b/>
          <w:bCs/>
        </w:rPr>
        <w:t xml:space="preserve">Waiting-time penalties.</w:t>
      </w:r>
      <w:r>
        <w:t xml:space="preserve"> </w:t>
      </w:r>
      <w:r>
        <w:t xml:space="preserve">In the wage states (MA, CO, OR, WA), failure to include accrued vacation in the final paycheck exposes the Company to wage-payment penalties (MA: treble damages + fees; OR: up to 30 days’ wages; WA: double damages; CO: Wage Claim Act penalties). In NJ, NY, and CT the exposure is lower but should be verified. This is Moderate for the current states and is captured as Critical/High for the wage states above.</w:t>
      </w:r>
    </w:p>
    <w:p>
      <w:pPr>
        <w:numPr>
          <w:ilvl w:val="0"/>
          <w:numId w:val="1003"/>
        </w:numPr>
      </w:pPr>
      <w:r>
        <w:rPr>
          <w:b/>
          <w:bCs/>
        </w:rPr>
        <w:t xml:space="preserve">“</w:t>
      </w:r>
      <w:r>
        <w:rPr>
          <w:b/>
          <w:bCs/>
        </w:rPr>
        <w:t xml:space="preserve">Key employee</w:t>
      </w:r>
      <w:r>
        <w:rPr>
          <w:b/>
          <w:bCs/>
        </w:rPr>
        <w:t xml:space="preserve">”</w:t>
      </w:r>
      <w:r>
        <w:rPr>
          <w:b/>
          <w:bCs/>
        </w:rPr>
        <w:t xml:space="preserve"> </w:t>
      </w:r>
      <w:r>
        <w:rPr>
          <w:b/>
          <w:bCs/>
        </w:rPr>
        <w:t xml:space="preserve">reinstatement exception.</w:t>
      </w:r>
      <w:r>
        <w:t xml:space="preserve"> </w:t>
      </w:r>
      <w:r>
        <w:t xml:space="preserve">The Company’s PFL reinstatement provision is</w:t>
      </w:r>
      <w:r>
        <w:t xml:space="preserve"> </w:t>
      </w:r>
      <w:r>
        <w:t xml:space="preserve">“</w:t>
      </w:r>
      <w:r>
        <w:t xml:space="preserve">subject to the same limitations applicable to reinstatement from FMLA leave, including the exception for</w:t>
      </w:r>
      <w:r>
        <w:t xml:space="preserve"> </w:t>
      </w:r>
      <w:r>
        <w:t xml:space="preserve">‘</w:t>
      </w:r>
      <w:r>
        <w:t xml:space="preserve">key employees</w:t>
      </w:r>
      <w:r>
        <w:t xml:space="preserve">’</w:t>
      </w:r>
      <w:r>
        <w:t xml:space="preserve"> </w:t>
      </w:r>
      <w:r>
        <w:t xml:space="preserve">as defined under the FMLA</w:t>
      </w:r>
      <w:r>
        <w:t xml:space="preserve">”</w:t>
      </w:r>
      <w:r>
        <w:t xml:space="preserve"> </w:t>
      </w:r>
      <w:r>
        <w:t xml:space="preserve">(Handbook §6.3.8). State paid family leave programs generally provide job protection that is not subject to the FMLA key-employee exception; relying on the FMLA exception for state-program-protected leave may be non-compliant. H&amp;C recommends removing or narrowing the key-employee carve-out for state-program leave.</w:t>
      </w:r>
    </w:p>
    <w:p>
      <w:pPr>
        <w:numPr>
          <w:ilvl w:val="0"/>
          <w:numId w:val="1003"/>
        </w:numPr>
      </w:pPr>
      <w:r>
        <w:rPr>
          <w:b/>
          <w:bCs/>
        </w:rPr>
        <w:t xml:space="preserve">Keystone voluntary STD extension to expansion states.</w:t>
      </w:r>
      <w:r>
        <w:t xml:space="preserve"> </w:t>
      </w:r>
      <w:r>
        <w:t xml:space="preserve">The voluntary short-term disability plan administered by Keystone Benefit Administrators will need to be extended to employees in the four expansion states, which may require state-specific regulatory approvals or product filings (HR memo §5.2). This is a lower-priority item relative to the mandatory paid leave compliance issues but should be confirmed before each facility opens so that the voluntary STD plan is correctly positioned as supplemental to (not a substitute for) the state medical-leave programs.</w:t>
      </w:r>
    </w:p>
    <w:p>
      <w:pPr>
        <w:numPr>
          <w:ilvl w:val="0"/>
          <w:numId w:val="1003"/>
        </w:numPr>
      </w:pPr>
      <w:r>
        <w:rPr>
          <w:b/>
          <w:bCs/>
        </w:rPr>
        <w:t xml:space="preserve">PinnacleHR configuration dependency.</w:t>
      </w:r>
      <w:r>
        <w:t xml:space="preserve"> </w:t>
      </w:r>
      <w:r>
        <w:t xml:space="preserve">PinnacleHR has confirmed it already maintains configurations for the MA PFML, CO FAMLI, Paid Leave Oregon, and WA PFML programs (it services other employer clients in those states) and can configure withholding for either state-program participation or an approved private/voluntary plan once the Company provides registration confirmation. The sole blocker to operational withholding in the expansion states is therefore the Company’s own registration — there is no vendor-capability constraint. This is a Moderate (operational) note rather than a compliance deficiency, but it confirms that the registration action items in Section VIII are the critical-path items.</w:t>
      </w:r>
    </w:p>
    <w:bookmarkEnd w:id="46"/>
    <w:bookmarkStart w:id="50" w:name="vii.-cross-cutting-structural-issues"/>
    <w:p>
      <w:pPr>
        <w:pStyle w:val="Heading2"/>
      </w:pPr>
      <w:r>
        <w:t xml:space="preserve">VII. Cross-Cutting Structural Issues</w:t>
      </w:r>
    </w:p>
    <w:bookmarkStart w:id="47" w:name="Xd19531870cc5a31e2431b60e6f1396412cd0bbf"/>
    <w:p>
      <w:pPr>
        <w:pStyle w:val="Heading3"/>
      </w:pPr>
      <w:r>
        <w:t xml:space="preserve">A. The Self-Funded Plan Must Be Restructured</w:t>
      </w:r>
    </w:p>
    <w:p>
      <w:pPr>
        <w:pStyle w:val="FirstParagraph"/>
      </w:pPr>
      <w:r>
        <w:t xml:space="preserve">The self-funded paid family leave benefit cannot be retained in its current form in any state. H&amp;C recommends that the Company select one of the following structural approaches, in priority order, and that the selection be made promptly because it drives registration, withholding, and policy-drafting decisions in all seven states:</w:t>
      </w:r>
    </w:p>
    <w:p>
      <w:pPr>
        <w:pStyle w:val="Compact"/>
        <w:numPr>
          <w:ilvl w:val="0"/>
          <w:numId w:val="1004"/>
        </w:numPr>
      </w:pPr>
      <w:r>
        <w:rPr>
          <w:b/>
          <w:bCs/>
        </w:rPr>
        <w:t xml:space="preserve">(a) Participate in all state programs and treat the self-funded benefit as supplemental (or discontinue it).</w:t>
      </w:r>
      <w:r>
        <w:t xml:space="preserve"> </w:t>
      </w:r>
      <w:r>
        <w:t xml:space="preserve">This is the lowest-risk approach. The Company would register and remit contributions in all seven states, employees would access the full statutory benefit through the state programs, and the self-funded benefit would either be discontinued (to eliminate the dual-structure confusion) or restructured as a clearly-labeled supplemental top-up. In Colorado this is the</w:t>
      </w:r>
      <w:r>
        <w:t xml:space="preserve"> </w:t>
      </w:r>
      <w:r>
        <w:rPr>
          <w:i/>
          <w:iCs/>
        </w:rPr>
        <w:t xml:space="preserve">only</w:t>
      </w:r>
      <w:r>
        <w:t xml:space="preserve"> </w:t>
      </w:r>
      <w:r>
        <w:t xml:space="preserve">available approach (no private opt-out).</w:t>
      </w:r>
    </w:p>
    <w:p>
      <w:pPr>
        <w:pStyle w:val="Compact"/>
        <w:numPr>
          <w:ilvl w:val="0"/>
          <w:numId w:val="1004"/>
        </w:numPr>
      </w:pPr>
      <w:r>
        <w:rPr>
          <w:b/>
          <w:bCs/>
        </w:rPr>
        <w:t xml:space="preserve">(b) Seek approved private/voluntary plans in the six states that permit them (NJ, NY, CT, MA, OR, WA), with benefits enhanced to meet or exceed the statutory minimums in all respects.</w:t>
      </w:r>
      <w:r>
        <w:t xml:space="preserve"> </w:t>
      </w:r>
      <w:r>
        <w:t xml:space="preserve">This requires materially increasing the replacement rate, weekly cap, and duration, correcting the AWW calculation methodology (High Finding 14), adding coverage for the employee’s own medical condition where applicable, broadening family-member definitions and qualifying reasons, and obtaining agency approval in each state. This is more complex and costlier than (a) and is not available in Colorado.</w:t>
      </w:r>
    </w:p>
    <w:p>
      <w:pPr>
        <w:pStyle w:val="Compact"/>
        <w:numPr>
          <w:ilvl w:val="0"/>
          <w:numId w:val="1004"/>
        </w:numPr>
      </w:pPr>
      <w:r>
        <w:rPr>
          <w:b/>
          <w:bCs/>
        </w:rPr>
        <w:t xml:space="preserve">(c) A hybrid</w:t>
      </w:r>
      <w:r>
        <w:t xml:space="preserve"> </w:t>
      </w:r>
      <w:r>
        <w:t xml:space="preserve">— participate in the state program in Colorado (mandatory) and in any state where the Company does not wish to enhance the self-funded benefit, and pursue approved private plans only where the Company concludes the enhanced benefit is cost-justified.</w:t>
      </w:r>
    </w:p>
    <w:p>
      <w:pPr>
        <w:pStyle w:val="FirstParagraph"/>
      </w:pPr>
      <w:r>
        <w:t xml:space="preserve">H&amp;C’s preliminary recommendation is approach (a) for Colorado (mandatory) and a state-by-state cost/benefit analysis for the remaining six, with a default to participation unless the Company affirmatively elects to enhance and seek approval. The decision should be made before the Massachusetts registration is filed so that PinnacleHR can be configured for the correct approach.</w:t>
      </w:r>
    </w:p>
    <w:bookmarkEnd w:id="47"/>
    <w:bookmarkStart w:id="48" w:name="Xa0e34f4f46f66fb9d7dea9ef40ee0fc52e41ea0"/>
    <w:p>
      <w:pPr>
        <w:pStyle w:val="Heading3"/>
      </w:pPr>
      <w:r>
        <w:t xml:space="preserve">B. The Manual Leave-Tracking System Must Be Replaced</w:t>
      </w:r>
    </w:p>
    <w:p>
      <w:pPr>
        <w:pStyle w:val="FirstParagraph"/>
      </w:pPr>
      <w:r>
        <w:t xml:space="preserve">The current spreadsheet system is inadequate for seven-state operations and is a root-cause risk for the accrual, cap, carryover, and recordkeeping deficiencies identified above. Mr. Delgado estimates a dedicated leave-management software solution (integrating with WorkBridge Pro and ClockSync Enterprise, configurable with state-specific rules) at $40,000–$75,000 and three to six months to implement. Given the $175,000 compliance remediation budget and the competing demands of legal fees and policy redrafting, H&amp;C recommends that the Company (i) treat the software investment as a priority capital item, (ii) issue an RFP and conduct vendor demonstrations by July 1, 2025, and (iii) target system go-live for all seven states by Q1 2026, in time to support the Oregon and Washington launches. In the interim, H&amp;C recommends implementing documented, state-specific accrual/carryover/cap calculation procedures, a balance-change audit log, and a monthly reconciliation to reduce error rates. WorkBridge Pro (HRIS) is not yet configured for MA, CO, OR, or WA (estimated two to three weeks of configuration per state), and ClockSync Enterprise hardware must be procured and installed at each new facility (estimated four to six weeks lead time per facility); both should be sequenced to align with each facility’s opening timeline, with Worcester (ClockSync) procurement initiated immediately.</w:t>
      </w:r>
    </w:p>
    <w:bookmarkEnd w:id="48"/>
    <w:bookmarkStart w:id="49" w:name="X9b98f93a2660cb8f6001ec7111b1d9afb824065"/>
    <w:p>
      <w:pPr>
        <w:pStyle w:val="Heading3"/>
      </w:pPr>
      <w:r>
        <w:t xml:space="preserve">C. The NJ DOL Complaint Informs the Remediation Posture</w:t>
      </w:r>
    </w:p>
    <w:p>
      <w:pPr>
        <w:pStyle w:val="FirstParagraph"/>
      </w:pPr>
      <w:r>
        <w:t xml:space="preserve">Although representation in</w:t>
      </w:r>
      <w:r>
        <w:t xml:space="preserve"> </w:t>
      </w:r>
      <w:r>
        <w:rPr>
          <w:i/>
          <w:iCs/>
        </w:rPr>
        <w:t xml:space="preserve">Muñoz</w:t>
      </w:r>
      <w:r>
        <w:t xml:space="preserve"> </w:t>
      </w:r>
      <w:r>
        <w:t xml:space="preserve">is outside this engagement, the compliance review findings directly inform the Company’s response posture. The Company’s February 21, 2025 response acknowledged that the policy</w:t>
      </w:r>
      <w:r>
        <w:t xml:space="preserve"> </w:t>
      </w:r>
      <w:r>
        <w:t xml:space="preserve">“</w:t>
      </w:r>
      <w:r>
        <w:t xml:space="preserve">may not fully reflect</w:t>
      </w:r>
      <w:r>
        <w:t xml:space="preserve">”</w:t>
      </w:r>
      <w:r>
        <w:t xml:space="preserve"> </w:t>
      </w:r>
      <w:r>
        <w:t xml:space="preserve">the Act and committed to a policy review and supervisor training by July 1, 2025. The findings here confirm that the family-member definition and covered-uses list are non-compliant not only in New Jersey but in all seven states, and that the Company should be positioned to demonstrate good-faith, comprehensive remediation. H&amp;C recommends that the remediation steps in Section VIII be documented and, where appropriate, referenced in the NJ DOL matter to support the Company’s request that the Department allow remediation through the July 1, 2025 Handbook revision before enforcement. Separately, the Department’s reservation of a broader investigation means the Company’s recordkeeping and accrual practices (High Finding 13) are themselves at issue.</w:t>
      </w:r>
    </w:p>
    <w:bookmarkEnd w:id="49"/>
    <w:bookmarkEnd w:id="50"/>
    <w:bookmarkStart w:id="58" w:name="viii.-prioritized-remediation-plan"/>
    <w:p>
      <w:pPr>
        <w:pStyle w:val="Heading2"/>
      </w:pPr>
      <w:r>
        <w:t xml:space="preserve">VIII. Prioritized Remediation Plan</w:t>
      </w:r>
    </w:p>
    <w:p>
      <w:pPr>
        <w:pStyle w:val="FirstParagraph"/>
      </w:pPr>
      <w:r>
        <w:t xml:space="preserve">The following plan sets out action items, responsible parties, and recommended deadlines tied to the facility-opening schedule and the July 1, 2025 revised-Handbook target. Items are ordered by urgency.</w:t>
      </w:r>
    </w:p>
    <w:bookmarkStart w:id="51" w:name="Xaea4e9518ea1be1d802087c8a1658fbcc360b03"/>
    <w:p>
      <w:pPr>
        <w:pStyle w:val="Heading3"/>
      </w:pPr>
      <w:r>
        <w:t xml:space="preserve">A. Immediate (initiate within 1–2 weeks of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Initiate MA PFML employer registration</w:t>
            </w:r>
            <w:r>
              <w:t xml:space="preserve"> </w:t>
            </w:r>
            <w:r>
              <w:t xml:space="preserve">with the MA Department of Family and Medical Leave; provide registration confirmation to PinnacleHR immediately upon receipt.</w:t>
            </w:r>
          </w:p>
        </w:tc>
        <w:tc>
          <w:tcPr/>
          <w:p>
            <w:pPr>
              <w:pStyle w:val="Compact"/>
              <w:jc w:val="left"/>
            </w:pPr>
            <w:r>
              <w:t xml:space="preserve">HR (Delgado) + Legal (Thorsen); PinnacleHR (Samuelson)</w:t>
            </w:r>
          </w:p>
        </w:tc>
        <w:tc>
          <w:tcPr/>
          <w:p>
            <w:pPr>
              <w:pStyle w:val="Compact"/>
              <w:jc w:val="left"/>
            </w:pPr>
            <w:r>
              <w:rPr>
                <w:b/>
                <w:bCs/>
              </w:rPr>
              <w:t xml:space="preserve">No later than June 1, 2025</w:t>
            </w:r>
          </w:p>
        </w:tc>
      </w:tr>
      <w:tr>
        <w:tc>
          <w:tcPr/>
          <w:p>
            <w:pPr>
              <w:pStyle w:val="Compact"/>
              <w:jc w:val="left"/>
            </w:pPr>
            <w:r>
              <w:t xml:space="preserve">2</w:t>
            </w:r>
          </w:p>
        </w:tc>
        <w:tc>
          <w:tcPr/>
          <w:p>
            <w:pPr>
              <w:pStyle w:val="Compact"/>
              <w:jc w:val="left"/>
            </w:pPr>
            <w:r>
              <w:rPr>
                <w:b/>
                <w:bCs/>
              </w:rPr>
              <w:t xml:space="preserve">Initiate CO FAMLI employer registration</w:t>
            </w:r>
            <w:r>
              <w:t xml:space="preserve"> </w:t>
            </w:r>
            <w:r>
              <w:t xml:space="preserve">immediately (treat as overdue given April remote hires); confirm trigger-date analysis with H&amp;C.</w:t>
            </w:r>
          </w:p>
        </w:tc>
        <w:tc>
          <w:tcPr/>
          <w:p>
            <w:pPr>
              <w:pStyle w:val="Compact"/>
              <w:jc w:val="left"/>
            </w:pPr>
            <w:r>
              <w:t xml:space="preserve">Legal (Thorsen) + HR</w:t>
            </w:r>
          </w:p>
        </w:tc>
        <w:tc>
          <w:tcPr/>
          <w:p>
            <w:pPr>
              <w:pStyle w:val="Compact"/>
              <w:jc w:val="left"/>
            </w:pPr>
            <w:r>
              <w:rPr>
                <w:b/>
                <w:bCs/>
              </w:rPr>
              <w:t xml:space="preserve">Immediately / no later than June 2025</w:t>
            </w:r>
          </w:p>
        </w:tc>
      </w:tr>
      <w:tr>
        <w:tc>
          <w:tcPr/>
          <w:p>
            <w:pPr>
              <w:pStyle w:val="Compact"/>
              <w:jc w:val="left"/>
            </w:pPr>
            <w:r>
              <w:t xml:space="preserve">3</w:t>
            </w:r>
          </w:p>
        </w:tc>
        <w:tc>
          <w:tcPr/>
          <w:p>
            <w:pPr>
              <w:pStyle w:val="Compact"/>
              <w:jc w:val="left"/>
            </w:pPr>
            <w:r>
              <w:rPr>
                <w:b/>
                <w:bCs/>
              </w:rPr>
              <w:t xml:space="preserve">Select structural approach</w:t>
            </w:r>
            <w:r>
              <w:t xml:space="preserve"> </w:t>
            </w:r>
            <w:r>
              <w:t xml:space="preserve">for self-funded PFL (participate vs. enhanced private plan) for each state; default to mandatory participation in CO.</w:t>
            </w:r>
          </w:p>
        </w:tc>
        <w:tc>
          <w:tcPr/>
          <w:p>
            <w:pPr>
              <w:pStyle w:val="Compact"/>
              <w:jc w:val="left"/>
            </w:pPr>
            <w:r>
              <w:t xml:space="preserve">Legal (Thorsen) with H&amp;C</w:t>
            </w:r>
          </w:p>
        </w:tc>
        <w:tc>
          <w:tcPr/>
          <w:p>
            <w:pPr>
              <w:pStyle w:val="Compact"/>
              <w:jc w:val="left"/>
            </w:pPr>
            <w:r>
              <w:t xml:space="preserve">Before MA registration filing</w:t>
            </w:r>
          </w:p>
        </w:tc>
      </w:tr>
      <w:tr>
        <w:tc>
          <w:tcPr/>
          <w:p>
            <w:pPr>
              <w:pStyle w:val="Compact"/>
              <w:jc w:val="left"/>
            </w:pPr>
            <w:r>
              <w:t xml:space="preserve">4</w:t>
            </w:r>
          </w:p>
        </w:tc>
        <w:tc>
          <w:tcPr/>
          <w:p>
            <w:pPr>
              <w:pStyle w:val="Compact"/>
              <w:jc w:val="left"/>
            </w:pPr>
            <w:r>
              <w:rPr>
                <w:b/>
                <w:bCs/>
              </w:rPr>
              <w:t xml:space="preserve">Issue interim HR guidance</w:t>
            </w:r>
            <w:r>
              <w:t xml:space="preserve"> </w:t>
            </w:r>
            <w:r>
              <w:t xml:space="preserve">(already directed by GC): do not deny/delay leave for unforeseeable situations; do not route paid-medical-leave inquiries to Keystone without checking state program eligibility; escalate uncertain cases to Delgado/Thorsen.</w:t>
            </w:r>
          </w:p>
        </w:tc>
        <w:tc>
          <w:tcPr/>
          <w:p>
            <w:pPr>
              <w:pStyle w:val="Compact"/>
              <w:jc w:val="left"/>
            </w:pPr>
            <w:r>
              <w:t xml:space="preserve">HR (Delgado)</w:t>
            </w:r>
          </w:p>
        </w:tc>
        <w:tc>
          <w:tcPr/>
          <w:p>
            <w:pPr>
              <w:pStyle w:val="Compact"/>
              <w:jc w:val="left"/>
            </w:pPr>
            <w:r>
              <w:t xml:space="preserve">Immediately (in place)</w:t>
            </w:r>
          </w:p>
        </w:tc>
      </w:tr>
      <w:tr>
        <w:tc>
          <w:tcPr/>
          <w:p>
            <w:pPr>
              <w:pStyle w:val="Compact"/>
              <w:jc w:val="left"/>
            </w:pPr>
            <w:r>
              <w:t xml:space="preserve">5</w:t>
            </w:r>
          </w:p>
        </w:tc>
        <w:tc>
          <w:tcPr/>
          <w:p>
            <w:pPr>
              <w:pStyle w:val="Compact"/>
              <w:jc w:val="left"/>
            </w:pPr>
            <w:r>
              <w:rPr>
                <w:b/>
                <w:bCs/>
              </w:rPr>
              <w:t xml:space="preserve">Compile the CT/NJ/NY paid-medical-leave inquiry log</w:t>
            </w:r>
            <w:r>
              <w:t xml:space="preserve"> </w:t>
            </w:r>
            <w:r>
              <w:t xml:space="preserve">(dates, names, HR responses) for H&amp;C review and to assess retroactive-claim exposure.</w:t>
            </w:r>
          </w:p>
        </w:tc>
        <w:tc>
          <w:tcPr/>
          <w:p>
            <w:pPr>
              <w:pStyle w:val="Compact"/>
              <w:jc w:val="left"/>
            </w:pPr>
            <w:r>
              <w:t xml:space="preserve">HR (Delgado)</w:t>
            </w:r>
          </w:p>
        </w:tc>
        <w:tc>
          <w:tcPr/>
          <w:p>
            <w:pPr>
              <w:pStyle w:val="Compact"/>
              <w:jc w:val="left"/>
            </w:pPr>
            <w:r>
              <w:t xml:space="preserve">By May 30, 2025</w:t>
            </w:r>
          </w:p>
        </w:tc>
      </w:tr>
    </w:tbl>
    <w:bookmarkEnd w:id="51"/>
    <w:bookmarkStart w:id="52" w:name="X8bf17141abb70ebdcb7e5f37797cee96da71584"/>
    <w:p>
      <w:pPr>
        <w:pStyle w:val="Heading3"/>
      </w:pPr>
      <w:r>
        <w:t xml:space="preserve">B. By July 1, 2025 (revised Handbook target)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6</w:t>
            </w:r>
          </w:p>
        </w:tc>
        <w:tc>
          <w:tcPr/>
          <w:p>
            <w:pPr>
              <w:pStyle w:val="Compact"/>
              <w:jc w:val="left"/>
            </w:pPr>
            <w:r>
              <w:rPr>
                <w:b/>
                <w:bCs/>
              </w:rPr>
              <w:t xml:space="preserve">Publish revised Employee Handbook</w:t>
            </w:r>
            <w:r>
              <w:t xml:space="preserve"> </w:t>
            </w:r>
            <w:r>
              <w:t xml:space="preserve">with state-specific leave policies for all seven jurisdictions: corrected sick leave accrual (1/30 where required), caps (56 NY / 48 CO / no-cap WA / 40 elsewhere, no FT-PT distinction), 90-day or no waiting period where required, mandatory carryover, expanded covered uses (family care, safe leave, public health, school), expanded family-member definitions, foreseeable/unforeseeable notice rules, corrected AWW methodology and intermittent-leave terms, and PTO payout/carryover compliance for MA/CO/OR/WA. Reconcile the facility-address discrepancies.</w:t>
            </w:r>
          </w:p>
        </w:tc>
        <w:tc>
          <w:tcPr/>
          <w:p>
            <w:pPr>
              <w:pStyle w:val="Compact"/>
              <w:jc w:val="left"/>
            </w:pPr>
            <w:r>
              <w:t xml:space="preserve">HR (Delgado) with H&amp;C input; Legal approval</w:t>
            </w:r>
          </w:p>
        </w:tc>
        <w:tc>
          <w:tcPr/>
          <w:p>
            <w:pPr>
              <w:pStyle w:val="Compact"/>
              <w:jc w:val="left"/>
            </w:pPr>
            <w:r>
              <w:rPr>
                <w:b/>
                <w:bCs/>
              </w:rPr>
              <w:t xml:space="preserve">July 1, 2025</w:t>
            </w:r>
          </w:p>
        </w:tc>
      </w:tr>
      <w:tr>
        <w:tc>
          <w:tcPr/>
          <w:p>
            <w:pPr>
              <w:pStyle w:val="Compact"/>
              <w:jc w:val="left"/>
            </w:pPr>
            <w:r>
              <w:t xml:space="preserve">7</w:t>
            </w:r>
          </w:p>
        </w:tc>
        <w:tc>
          <w:tcPr/>
          <w:p>
            <w:pPr>
              <w:pStyle w:val="Compact"/>
              <w:jc w:val="left"/>
            </w:pPr>
            <w:r>
              <w:rPr>
                <w:b/>
                <w:bCs/>
              </w:rPr>
              <w:t xml:space="preserve">Conduct supervisor and HR training</w:t>
            </w:r>
            <w:r>
              <w:t xml:space="preserve"> </w:t>
            </w:r>
            <w:r>
              <w:t xml:space="preserve">on corrected sick leave administration, covered family members, permissible uses, and notice rules, at Edison, Newark, Queens, White Plains, and Bridgeport facilities.</w:t>
            </w:r>
          </w:p>
        </w:tc>
        <w:tc>
          <w:tcPr/>
          <w:p>
            <w:pPr>
              <w:pStyle w:val="Compact"/>
              <w:jc w:val="left"/>
            </w:pPr>
            <w:r>
              <w:t xml:space="preserve">HR (Delgado)</w:t>
            </w:r>
          </w:p>
        </w:tc>
        <w:tc>
          <w:tcPr/>
          <w:p>
            <w:pPr>
              <w:pStyle w:val="Compact"/>
              <w:jc w:val="left"/>
            </w:pPr>
            <w:r>
              <w:t xml:space="preserve">By July 1, 2025</w:t>
            </w:r>
          </w:p>
        </w:tc>
      </w:tr>
      <w:tr>
        <w:tc>
          <w:tcPr/>
          <w:p>
            <w:pPr>
              <w:pStyle w:val="Compact"/>
              <w:jc w:val="left"/>
            </w:pPr>
            <w:r>
              <w:t xml:space="preserve">8</w:t>
            </w:r>
          </w:p>
        </w:tc>
        <w:tc>
          <w:tcPr/>
          <w:p>
            <w:pPr>
              <w:pStyle w:val="Compact"/>
              <w:jc w:val="left"/>
            </w:pPr>
            <w:r>
              <w:rPr>
                <w:b/>
                <w:bCs/>
              </w:rPr>
              <w:t xml:space="preserve">Issue RFP / conduct vendor demos</w:t>
            </w:r>
            <w:r>
              <w:t xml:space="preserve"> </w:t>
            </w:r>
            <w:r>
              <w:t xml:space="preserve">for dedicated leave-management software.</w:t>
            </w:r>
          </w:p>
        </w:tc>
        <w:tc>
          <w:tcPr/>
          <w:p>
            <w:pPr>
              <w:pStyle w:val="Compact"/>
              <w:jc w:val="left"/>
            </w:pPr>
            <w:r>
              <w:t xml:space="preserve">HR (Delgado) + IT</w:t>
            </w:r>
          </w:p>
        </w:tc>
        <w:tc>
          <w:tcPr/>
          <w:p>
            <w:pPr>
              <w:pStyle w:val="Compact"/>
              <w:jc w:val="left"/>
            </w:pPr>
            <w:r>
              <w:t xml:space="preserve">By July 1, 2025</w:t>
            </w:r>
          </w:p>
        </w:tc>
      </w:tr>
      <w:tr>
        <w:tc>
          <w:tcPr/>
          <w:p>
            <w:pPr>
              <w:pStyle w:val="Compact"/>
              <w:jc w:val="left"/>
            </w:pPr>
            <w:r>
              <w:t xml:space="preserve">9</w:t>
            </w:r>
          </w:p>
        </w:tc>
        <w:tc>
          <w:tcPr/>
          <w:p>
            <w:pPr>
              <w:pStyle w:val="Compact"/>
              <w:jc w:val="left"/>
            </w:pPr>
            <w:r>
              <w:rPr>
                <w:b/>
                <w:bCs/>
              </w:rPr>
              <w:t xml:space="preserve">Conduct workplace posting audit</w:t>
            </w:r>
            <w:r>
              <w:t xml:space="preserve"> </w:t>
            </w:r>
            <w:r>
              <w:t xml:space="preserve">at all current facilities; obtain current paid leave posters for all seven states.</w:t>
            </w:r>
          </w:p>
        </w:tc>
        <w:tc>
          <w:tcPr/>
          <w:p>
            <w:pPr>
              <w:pStyle w:val="Compact"/>
              <w:jc w:val="left"/>
            </w:pPr>
            <w:r>
              <w:t xml:space="preserve">HR (Delgado)</w:t>
            </w:r>
          </w:p>
        </w:tc>
        <w:tc>
          <w:tcPr/>
          <w:p>
            <w:pPr>
              <w:pStyle w:val="Compact"/>
              <w:jc w:val="left"/>
            </w:pPr>
            <w:r>
              <w:t xml:space="preserve">By July 1, 2025</w:t>
            </w:r>
          </w:p>
        </w:tc>
      </w:tr>
      <w:tr>
        <w:tc>
          <w:tcPr/>
          <w:p>
            <w:pPr>
              <w:pStyle w:val="Compact"/>
              <w:jc w:val="left"/>
            </w:pPr>
            <w:r>
              <w:t xml:space="preserve">10</w:t>
            </w:r>
          </w:p>
        </w:tc>
        <w:tc>
          <w:tcPr/>
          <w:p>
            <w:pPr>
              <w:pStyle w:val="Compact"/>
              <w:jc w:val="left"/>
            </w:pPr>
            <w:r>
              <w:rPr>
                <w:b/>
                <w:bCs/>
              </w:rPr>
              <w:t xml:space="preserve">Correct CO offer letters</w:t>
            </w:r>
            <w:r>
              <w:t xml:space="preserve"> </w:t>
            </w:r>
            <w:r>
              <w:t xml:space="preserve">(remove blanket no-payout language; reference CO law) — already directed by GC; confirm MA, OR, WA offer-letter language before those hires.</w:t>
            </w:r>
          </w:p>
        </w:tc>
        <w:tc>
          <w:tcPr/>
          <w:p>
            <w:pPr>
              <w:pStyle w:val="Compact"/>
              <w:jc w:val="left"/>
            </w:pPr>
            <w:r>
              <w:t xml:space="preserve">HR (Delgado) + Legal</w:t>
            </w:r>
          </w:p>
        </w:tc>
        <w:tc>
          <w:tcPr/>
          <w:p>
            <w:pPr>
              <w:pStyle w:val="Compact"/>
              <w:jc w:val="left"/>
            </w:pPr>
            <w:r>
              <w:t xml:space="preserve">Before first hire in each state</w:t>
            </w:r>
          </w:p>
        </w:tc>
      </w:tr>
    </w:tbl>
    <w:bookmarkEnd w:id="52"/>
    <w:bookmarkStart w:id="53" w:name="X0b0b3fd0382463ab848ed9383555fbd8bceb50c"/>
    <w:p>
      <w:pPr>
        <w:pStyle w:val="Heading3"/>
      </w:pPr>
      <w:r>
        <w:t xml:space="preserve">C. By August 1, 2025 (Massachusetts facility opening)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w:t>
            </w:r>
          </w:p>
        </w:tc>
        <w:tc>
          <w:tcPr/>
          <w:p>
            <w:pPr>
              <w:pStyle w:val="Compact"/>
              <w:jc w:val="left"/>
            </w:pPr>
            <w:r>
              <w:rPr>
                <w:b/>
                <w:bCs/>
              </w:rPr>
              <w:t xml:space="preserve">Confirm MA PFML withholding operational</w:t>
            </w:r>
            <w:r>
              <w:t xml:space="preserve"> </w:t>
            </w:r>
            <w:r>
              <w:t xml:space="preserve">via PinnacleHR; confirm MA Earned Sick Time policy (1/30, 40 hrs, 90-day use, carryover) and MA PTO payout/carryover compliance in effect.</w:t>
            </w:r>
          </w:p>
        </w:tc>
        <w:tc>
          <w:tcPr/>
          <w:p>
            <w:pPr>
              <w:pStyle w:val="Compact"/>
              <w:jc w:val="left"/>
            </w:pPr>
            <w:r>
              <w:t xml:space="preserve">HR + PinnacleHR</w:t>
            </w:r>
          </w:p>
        </w:tc>
        <w:tc>
          <w:tcPr/>
          <w:p>
            <w:pPr>
              <w:pStyle w:val="Compact"/>
              <w:jc w:val="left"/>
            </w:pPr>
            <w:r>
              <w:rPr>
                <w:b/>
                <w:bCs/>
              </w:rPr>
              <w:t xml:space="preserve">August 1, 2025</w:t>
            </w:r>
          </w:p>
        </w:tc>
      </w:tr>
      <w:tr>
        <w:tc>
          <w:tcPr/>
          <w:p>
            <w:pPr>
              <w:pStyle w:val="Compact"/>
              <w:jc w:val="left"/>
            </w:pPr>
            <w:r>
              <w:t xml:space="preserve">12</w:t>
            </w:r>
          </w:p>
        </w:tc>
        <w:tc>
          <w:tcPr/>
          <w:p>
            <w:pPr>
              <w:pStyle w:val="Compact"/>
              <w:jc w:val="left"/>
            </w:pPr>
            <w:r>
              <w:rPr>
                <w:b/>
                <w:bCs/>
              </w:rPr>
              <w:t xml:space="preserve">Configure WorkBridge Pro and deploy ClockSync</w:t>
            </w:r>
            <w:r>
              <w:t xml:space="preserve"> </w:t>
            </w:r>
            <w:r>
              <w:t xml:space="preserve">for Worcester facility (initiate ClockSync hardware procurement immediately).</w:t>
            </w:r>
          </w:p>
        </w:tc>
        <w:tc>
          <w:tcPr/>
          <w:p>
            <w:pPr>
              <w:pStyle w:val="Compact"/>
              <w:jc w:val="left"/>
            </w:pPr>
            <w:r>
              <w:t xml:space="preserve">HR + IT</w:t>
            </w:r>
          </w:p>
        </w:tc>
        <w:tc>
          <w:tcPr/>
          <w:p>
            <w:pPr>
              <w:pStyle w:val="Compact"/>
              <w:jc w:val="left"/>
            </w:pPr>
            <w:r>
              <w:t xml:space="preserve">By August 1, 2025</w:t>
            </w:r>
          </w:p>
        </w:tc>
      </w:tr>
    </w:tbl>
    <w:bookmarkEnd w:id="53"/>
    <w:bookmarkStart w:id="54" w:name="X5550f6b884e2f8d6623a69c547868ee6dc5d0ea"/>
    <w:p>
      <w:pPr>
        <w:pStyle w:val="Heading3"/>
      </w:pPr>
      <w:r>
        <w:t xml:space="preserve">D. By November 1, 2025 (Colorado facility opening)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13</w:t>
            </w:r>
          </w:p>
        </w:tc>
        <w:tc>
          <w:tcPr/>
          <w:p>
            <w:pPr>
              <w:pStyle w:val="Compact"/>
              <w:jc w:val="left"/>
            </w:pPr>
            <w:r>
              <w:rPr>
                <w:b/>
                <w:bCs/>
              </w:rPr>
              <w:t xml:space="preserve">Confirm CO FAMLI withholding operational</w:t>
            </w:r>
            <w:r>
              <w:t xml:space="preserve">; confirm CO HFWA sick leave (1/30, 48 hrs, no waiting period, carryover, supplemental public-health-emergency leave up to 80 hrs) and CO PTO payout compliance in effect.</w:t>
            </w:r>
          </w:p>
        </w:tc>
        <w:tc>
          <w:tcPr/>
          <w:p>
            <w:pPr>
              <w:pStyle w:val="Compact"/>
              <w:jc w:val="left"/>
            </w:pPr>
            <w:r>
              <w:t xml:space="preserve">HR + PinnacleHR</w:t>
            </w:r>
          </w:p>
        </w:tc>
        <w:tc>
          <w:tcPr/>
          <w:p>
            <w:pPr>
              <w:pStyle w:val="Compact"/>
              <w:jc w:val="left"/>
            </w:pPr>
            <w:r>
              <w:rPr>
                <w:b/>
                <w:bCs/>
              </w:rPr>
              <w:t xml:space="preserve">November 1, 2025</w:t>
            </w:r>
          </w:p>
        </w:tc>
      </w:tr>
    </w:tbl>
    <w:bookmarkEnd w:id="54"/>
    <w:bookmarkStart w:id="55" w:name="X42307933439fa56549fdcb4cb5d6333400d0298"/>
    <w:p>
      <w:pPr>
        <w:pStyle w:val="Heading3"/>
      </w:pPr>
      <w:r>
        <w:t xml:space="preserve">E. By December 1, 2025 / February 1, 2026 (Oregon)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14</w:t>
            </w:r>
          </w:p>
        </w:tc>
        <w:tc>
          <w:tcPr/>
          <w:p>
            <w:pPr>
              <w:pStyle w:val="Compact"/>
              <w:jc w:val="left"/>
            </w:pPr>
            <w:r>
              <w:rPr>
                <w:b/>
                <w:bCs/>
              </w:rPr>
              <w:t xml:space="preserve">Complete Paid Leave Oregon registration</w:t>
            </w:r>
            <w:r>
              <w:t xml:space="preserve"> </w:t>
            </w:r>
            <w:r>
              <w:t xml:space="preserve">(no later than ~Dec 1, 2025); confirm PLO withholding operational and OR Sick Time policy (1/30, 40 hrs, 90-day use, carryover, safe leave) in effect by February 1, 2026.</w:t>
            </w:r>
          </w:p>
        </w:tc>
        <w:tc>
          <w:tcPr/>
          <w:p>
            <w:pPr>
              <w:pStyle w:val="Compact"/>
              <w:jc w:val="left"/>
            </w:pPr>
            <w:r>
              <w:t xml:space="preserve">HR + Legal + PinnacleHR</w:t>
            </w:r>
          </w:p>
        </w:tc>
        <w:tc>
          <w:tcPr/>
          <w:p>
            <w:pPr>
              <w:pStyle w:val="Compact"/>
              <w:jc w:val="left"/>
            </w:pPr>
            <w:r>
              <w:t xml:space="preserve">Registration by Dec 1, 2025; live by Feb 1, 2026</w:t>
            </w:r>
          </w:p>
        </w:tc>
      </w:tr>
    </w:tbl>
    <w:bookmarkEnd w:id="55"/>
    <w:bookmarkStart w:id="56" w:name="f.-by-march-1-2026-may-1-2026-washington"/>
    <w:p>
      <w:pPr>
        <w:pStyle w:val="Heading3"/>
      </w:pPr>
      <w:r>
        <w:t xml:space="preserve">F. By March 1, 2026 / May 1, 2026 (Washington)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15</w:t>
            </w:r>
          </w:p>
        </w:tc>
        <w:tc>
          <w:tcPr/>
          <w:p>
            <w:pPr>
              <w:pStyle w:val="Compact"/>
              <w:jc w:val="left"/>
            </w:pPr>
            <w:r>
              <w:rPr>
                <w:b/>
                <w:bCs/>
              </w:rPr>
              <w:t xml:space="preserve">Complete WA PFML registration</w:t>
            </w:r>
            <w:r>
              <w:t xml:space="preserve"> </w:t>
            </w:r>
            <w:r>
              <w:t xml:space="preserve">(no later than ~March 1, 2026); confirm WA PFML withholding operational and WA Paid Sick Leave policy (1/40, no accrual cap, 90-day use, year-to-year carryover) in effect by May 1, 2026.</w:t>
            </w:r>
          </w:p>
        </w:tc>
        <w:tc>
          <w:tcPr/>
          <w:p>
            <w:pPr>
              <w:pStyle w:val="Compact"/>
              <w:jc w:val="left"/>
            </w:pPr>
            <w:r>
              <w:t xml:space="preserve">HR + Legal + PinnacleHR</w:t>
            </w:r>
          </w:p>
        </w:tc>
        <w:tc>
          <w:tcPr/>
          <w:p>
            <w:pPr>
              <w:pStyle w:val="Compact"/>
              <w:jc w:val="left"/>
            </w:pPr>
            <w:r>
              <w:t xml:space="preserve">Registration by Mar 1, 2026; live by May 1, 2026</w:t>
            </w:r>
          </w:p>
        </w:tc>
      </w:tr>
      <w:tr>
        <w:tc>
          <w:tcPr/>
          <w:p>
            <w:pPr>
              <w:pStyle w:val="Compact"/>
              <w:jc w:val="left"/>
            </w:pPr>
            <w:r>
              <w:t xml:space="preserve">16</w:t>
            </w:r>
          </w:p>
        </w:tc>
        <w:tc>
          <w:tcPr/>
          <w:p>
            <w:pPr>
              <w:pStyle w:val="Compact"/>
              <w:jc w:val="left"/>
            </w:pPr>
            <w:r>
              <w:rPr>
                <w:b/>
                <w:bCs/>
              </w:rPr>
              <w:t xml:space="preserve">Implement leave-management software</w:t>
            </w:r>
            <w:r>
              <w:t xml:space="preserve"> </w:t>
            </w:r>
            <w:r>
              <w:t xml:space="preserve">go-live for all seven states; conduct post-launch audit within 30 days of WA opening.</w:t>
            </w:r>
          </w:p>
        </w:tc>
        <w:tc>
          <w:tcPr/>
          <w:p>
            <w:pPr>
              <w:pStyle w:val="Compact"/>
              <w:jc w:val="left"/>
            </w:pPr>
            <w:r>
              <w:t xml:space="preserve">HR (Delgado) + IT</w:t>
            </w:r>
          </w:p>
        </w:tc>
        <w:tc>
          <w:tcPr/>
          <w:p>
            <w:pPr>
              <w:pStyle w:val="Compact"/>
              <w:jc w:val="left"/>
            </w:pPr>
            <w:r>
              <w:t xml:space="preserve">By Q1 2026 / within 30 days of May 1, 2026</w:t>
            </w:r>
          </w:p>
        </w:tc>
      </w:tr>
    </w:tbl>
    <w:bookmarkEnd w:id="56"/>
    <w:bookmarkStart w:id="57" w:name="g.-ongoing"/>
    <w:p>
      <w:pPr>
        <w:pStyle w:val="Heading3"/>
      </w:pPr>
      <w:r>
        <w:t xml:space="preserve">G.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17</w:t>
            </w:r>
          </w:p>
        </w:tc>
        <w:tc>
          <w:tcPr/>
          <w:p>
            <w:pPr>
              <w:pStyle w:val="Compact"/>
              <w:jc w:val="left"/>
            </w:pPr>
            <w:r>
              <w:rPr>
                <w:b/>
                <w:bCs/>
              </w:rPr>
              <w:t xml:space="preserve">Resolve paid-medical-leave misdirection</w:t>
            </w:r>
            <w:r>
              <w:t xml:space="preserve">: once structural approach is set, communicate to all HR staff the correct claims-routing for each state program (NJ TDI, NY DBL, CT PL, MA PFML, CO FAMLI, PLO, WA PFML); assess and address any retroactive claims for employees previously misdirected to Keystone.</w:t>
            </w:r>
          </w:p>
        </w:tc>
        <w:tc>
          <w:tcPr/>
          <w:p>
            <w:pPr>
              <w:pStyle w:val="Compact"/>
              <w:jc w:val="left"/>
            </w:pPr>
            <w:r>
              <w:t xml:space="preserve">HR + Legal + H&amp;C</w:t>
            </w:r>
          </w:p>
        </w:tc>
        <w:tc>
          <w:tcPr/>
          <w:p>
            <w:pPr>
              <w:pStyle w:val="Compact"/>
              <w:jc w:val="left"/>
            </w:pPr>
            <w:r>
              <w:t xml:space="preserve">Concurrent with structural decision</w:t>
            </w:r>
          </w:p>
        </w:tc>
      </w:tr>
      <w:tr>
        <w:tc>
          <w:tcPr/>
          <w:p>
            <w:pPr>
              <w:pStyle w:val="Compact"/>
              <w:jc w:val="left"/>
            </w:pPr>
            <w:r>
              <w:t xml:space="preserve">18</w:t>
            </w:r>
          </w:p>
        </w:tc>
        <w:tc>
          <w:tcPr/>
          <w:p>
            <w:pPr>
              <w:pStyle w:val="Compact"/>
              <w:jc w:val="left"/>
            </w:pPr>
            <w:r>
              <w:rPr>
                <w:b/>
                <w:bCs/>
              </w:rPr>
              <w:t xml:space="preserve">NJ DOL complaint posture</w:t>
            </w:r>
            <w:r>
              <w:t xml:space="preserve">: reference remediation progress in the</w:t>
            </w:r>
            <w:r>
              <w:t xml:space="preserve"> </w:t>
            </w:r>
            <w:r>
              <w:rPr>
                <w:i/>
                <w:iCs/>
              </w:rPr>
              <w:t xml:space="preserve">Muñoz</w:t>
            </w:r>
            <w:r>
              <w:t xml:space="preserve"> </w:t>
            </w:r>
            <w:r>
              <w:t xml:space="preserve">matter to support the request for remediation through July 1, 2025; coordinate with H&amp;C’s separate engagement on that matter.</w:t>
            </w:r>
          </w:p>
        </w:tc>
        <w:tc>
          <w:tcPr/>
          <w:p>
            <w:pPr>
              <w:pStyle w:val="Compact"/>
              <w:jc w:val="left"/>
            </w:pPr>
            <w:r>
              <w:t xml:space="preserve">Legal (Thorsen) + H&amp;C</w:t>
            </w:r>
          </w:p>
        </w:tc>
        <w:tc>
          <w:tcPr/>
          <w:p>
            <w:pPr>
              <w:pStyle w:val="Compact"/>
              <w:jc w:val="left"/>
            </w:pPr>
            <w:r>
              <w:t xml:space="preserve">Ongoing</w:t>
            </w:r>
          </w:p>
        </w:tc>
      </w:tr>
      <w:tr>
        <w:tc>
          <w:tcPr/>
          <w:p>
            <w:pPr>
              <w:pStyle w:val="Compact"/>
              <w:jc w:val="left"/>
            </w:pPr>
            <w:r>
              <w:t xml:space="preserve">19</w:t>
            </w:r>
          </w:p>
        </w:tc>
        <w:tc>
          <w:tcPr/>
          <w:p>
            <w:pPr>
              <w:pStyle w:val="Compact"/>
              <w:jc w:val="left"/>
            </w:pPr>
            <w:r>
              <w:rPr>
                <w:b/>
                <w:bCs/>
              </w:rPr>
              <w:t xml:space="preserve">Periodic re-review</w:t>
            </w:r>
            <w:r>
              <w:t xml:space="preserve"> </w:t>
            </w:r>
            <w:r>
              <w:t xml:space="preserve">of compliance posture as each expansion phase completes and as new legislation takes effect.</w:t>
            </w:r>
          </w:p>
        </w:tc>
        <w:tc>
          <w:tcPr/>
          <w:p>
            <w:pPr>
              <w:pStyle w:val="Compact"/>
              <w:jc w:val="left"/>
            </w:pPr>
            <w:r>
              <w:t xml:space="preserve">Legal + H&amp;C</w:t>
            </w:r>
          </w:p>
        </w:tc>
        <w:tc>
          <w:tcPr/>
          <w:p>
            <w:pPr>
              <w:pStyle w:val="Compact"/>
              <w:jc w:val="left"/>
            </w:pPr>
            <w:r>
              <w:t xml:space="preserve">After each facility opening; annually</w:t>
            </w:r>
          </w:p>
        </w:tc>
      </w:tr>
      <w:tr>
        <w:tc>
          <w:tcPr/>
          <w:p>
            <w:pPr>
              <w:pStyle w:val="Compact"/>
              <w:jc w:val="left"/>
            </w:pPr>
            <w:r>
              <w:t xml:space="preserve">20</w:t>
            </w:r>
          </w:p>
        </w:tc>
        <w:tc>
          <w:tcPr/>
          <w:p>
            <w:pPr>
              <w:pStyle w:val="Compact"/>
              <w:jc w:val="left"/>
            </w:pPr>
            <w:r>
              <w:rPr>
                <w:b/>
                <w:bCs/>
              </w:rPr>
              <w:t xml:space="preserve">Extend Keystone voluntary STD</w:t>
            </w:r>
            <w:r>
              <w:t xml:space="preserve"> </w:t>
            </w:r>
            <w:r>
              <w:t xml:space="preserve">to expansion states and confirm any state-specific regulatory approvals/product filings; position the plan as supplemental to state medical-leave programs.</w:t>
            </w:r>
          </w:p>
        </w:tc>
        <w:tc>
          <w:tcPr/>
          <w:p>
            <w:pPr>
              <w:pStyle w:val="Compact"/>
              <w:jc w:val="left"/>
            </w:pPr>
            <w:r>
              <w:t xml:space="preserve">HR (Delgado) + Keystone</w:t>
            </w:r>
          </w:p>
        </w:tc>
        <w:tc>
          <w:tcPr/>
          <w:p>
            <w:pPr>
              <w:pStyle w:val="Compact"/>
              <w:jc w:val="left"/>
            </w:pPr>
            <w:r>
              <w:t xml:space="preserve">Before each facility opening</w:t>
            </w:r>
          </w:p>
        </w:tc>
      </w:tr>
    </w:tbl>
    <w:bookmarkEnd w:id="57"/>
    <w:bookmarkEnd w:id="58"/>
    <w:bookmarkStart w:id="59" w:name="ix.-registration-timeline-summary"/>
    <w:p>
      <w:pPr>
        <w:pStyle w:val="Heading2"/>
      </w:pPr>
      <w:r>
        <w:t xml:space="preserve">IX. Registration Timeline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Facility opening</w:t>
            </w:r>
          </w:p>
        </w:tc>
        <w:tc>
          <w:tcPr/>
          <w:p>
            <w:pPr>
              <w:pStyle w:val="Compact"/>
              <w:jc w:val="left"/>
            </w:pPr>
            <w:r>
              <w:t xml:space="preserve">PinnacleHR lead time</w:t>
            </w:r>
          </w:p>
        </w:tc>
        <w:tc>
          <w:tcPr/>
          <w:p>
            <w:pPr>
              <w:pStyle w:val="Compact"/>
              <w:jc w:val="left"/>
            </w:pPr>
            <w:r>
              <w:t xml:space="preserve">Latest registration</w:t>
            </w:r>
          </w:p>
        </w:tc>
        <w:tc>
          <w:tcPr/>
          <w:p>
            <w:pPr>
              <w:pStyle w:val="Compact"/>
              <w:jc w:val="left"/>
            </w:pPr>
            <w:r>
              <w:t xml:space="preserve">Current status</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Aug 1, 2025</w:t>
            </w:r>
          </w:p>
        </w:tc>
        <w:tc>
          <w:tcPr/>
          <w:p>
            <w:pPr>
              <w:pStyle w:val="Compact"/>
              <w:jc w:val="left"/>
            </w:pPr>
            <w:r>
              <w:t xml:space="preserve">6–8 wks</w:t>
            </w:r>
          </w:p>
        </w:tc>
        <w:tc>
          <w:tcPr/>
          <w:p>
            <w:pPr>
              <w:pStyle w:val="Compact"/>
              <w:jc w:val="left"/>
            </w:pPr>
            <w:r>
              <w:rPr>
                <w:b/>
                <w:bCs/>
              </w:rPr>
              <w:t xml:space="preserve">~June 1, 2025</w:t>
            </w:r>
          </w:p>
        </w:tc>
        <w:tc>
          <w:tcPr/>
          <w:p>
            <w:pPr>
              <w:pStyle w:val="Compact"/>
              <w:jc w:val="left"/>
            </w:pPr>
            <w:r>
              <w:t xml:space="preserve">NOT REGISTERED — Critical</w:t>
            </w:r>
          </w:p>
        </w:tc>
      </w:tr>
      <w:tr>
        <w:tc>
          <w:tcPr/>
          <w:p>
            <w:pPr>
              <w:pStyle w:val="Compact"/>
              <w:jc w:val="left"/>
            </w:pPr>
            <w:r>
              <w:t xml:space="preserve">Colorado</w:t>
            </w:r>
          </w:p>
        </w:tc>
        <w:tc>
          <w:tcPr/>
          <w:p>
            <w:pPr>
              <w:pStyle w:val="Compact"/>
              <w:jc w:val="left"/>
            </w:pPr>
            <w:r>
              <w:t xml:space="preserve">CO FAMLI</w:t>
            </w:r>
          </w:p>
        </w:tc>
        <w:tc>
          <w:tcPr/>
          <w:p>
            <w:pPr>
              <w:pStyle w:val="Compact"/>
              <w:jc w:val="left"/>
            </w:pPr>
            <w:r>
              <w:t xml:space="preserve">Nov 1, 2025 (3 remote hires Apr 2025)</w:t>
            </w:r>
          </w:p>
        </w:tc>
        <w:tc>
          <w:tcPr/>
          <w:p>
            <w:pPr>
              <w:pStyle w:val="Compact"/>
              <w:jc w:val="left"/>
            </w:pPr>
            <w:r>
              <w:t xml:space="preserve">6–8 wks</w:t>
            </w:r>
          </w:p>
        </w:tc>
        <w:tc>
          <w:tcPr/>
          <w:p>
            <w:pPr>
              <w:pStyle w:val="Compact"/>
              <w:jc w:val="left"/>
            </w:pPr>
            <w:r>
              <w:rPr>
                <w:b/>
                <w:bCs/>
              </w:rPr>
              <w:t xml:space="preserve">Immediately</w:t>
            </w:r>
            <w:r>
              <w:t xml:space="preserve"> </w:t>
            </w:r>
            <w:r>
              <w:t xml:space="preserve">(remote hires) / ~Sept 1, 2025 (facility)</w:t>
            </w:r>
          </w:p>
        </w:tc>
        <w:tc>
          <w:tcPr/>
          <w:p>
            <w:pPr>
              <w:pStyle w:val="Compact"/>
              <w:jc w:val="left"/>
            </w:pPr>
            <w:r>
              <w:t xml:space="preserve">NOT REGISTERED — Critical</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Feb 1, 2026</w:t>
            </w:r>
          </w:p>
        </w:tc>
        <w:tc>
          <w:tcPr/>
          <w:p>
            <w:pPr>
              <w:pStyle w:val="Compact"/>
              <w:jc w:val="left"/>
            </w:pPr>
            <w:r>
              <w:t xml:space="preserve">6–8 wks</w:t>
            </w:r>
          </w:p>
        </w:tc>
        <w:tc>
          <w:tcPr/>
          <w:p>
            <w:pPr>
              <w:pStyle w:val="Compact"/>
              <w:jc w:val="left"/>
            </w:pPr>
            <w:r>
              <w:t xml:space="preserve">~Dec 1, 2025</w:t>
            </w:r>
          </w:p>
        </w:tc>
        <w:tc>
          <w:tcPr/>
          <w:p>
            <w:pPr>
              <w:pStyle w:val="Compact"/>
              <w:jc w:val="left"/>
            </w:pPr>
            <w:r>
              <w:t xml:space="preserve">NOT REGISTERED — High</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t xml:space="preserve">May 1, 2026</w:t>
            </w:r>
          </w:p>
        </w:tc>
        <w:tc>
          <w:tcPr/>
          <w:p>
            <w:pPr>
              <w:pStyle w:val="Compact"/>
              <w:jc w:val="left"/>
            </w:pPr>
            <w:r>
              <w:t xml:space="preserve">6–8 wks</w:t>
            </w:r>
          </w:p>
        </w:tc>
        <w:tc>
          <w:tcPr/>
          <w:p>
            <w:pPr>
              <w:pStyle w:val="Compact"/>
              <w:jc w:val="left"/>
            </w:pPr>
            <w:r>
              <w:t xml:space="preserve">~Mar 1, 2026</w:t>
            </w:r>
          </w:p>
        </w:tc>
        <w:tc>
          <w:tcPr/>
          <w:p>
            <w:pPr>
              <w:pStyle w:val="Compact"/>
              <w:jc w:val="left"/>
            </w:pPr>
            <w:r>
              <w:t xml:space="preserve">NOT REGISTERED — Moderate</w:t>
            </w:r>
          </w:p>
        </w:tc>
      </w:tr>
    </w:tbl>
    <w:bookmarkEnd w:id="59"/>
    <w:bookmarkStart w:id="60" w:name="x.-budget-considerations"/>
    <w:p>
      <w:pPr>
        <w:pStyle w:val="Heading2"/>
      </w:pPr>
      <w:r>
        <w:t xml:space="preserve">X. Budget Considerations</w:t>
      </w:r>
    </w:p>
    <w:p>
      <w:pPr>
        <w:pStyle w:val="FirstParagraph"/>
      </w:pPr>
      <w:r>
        <w:t xml:space="preserve">The Company has allocated a $175,000 compliance remediation budget covering legal fees, system updates, and policy redrafting. H&amp;C’s estimated professional fees for this engagement are $28,000–$42,000. The competing demands include the leave-management software investment ($40,000–$75,000), WorkBridge Pro/ClockSync deployment ($15,000–$25,000), and two additional HR generalists ($120,000–$140,000 annual, separate budget). H&amp;C recommends that the Company (i) reserve a portion of the remediation budget for the legal work associated with the structural self-funded-plan decision, state registrations, and policy redrafting; (ii) pursue the leave-management software as a separate capital expenditure where possible; and (iii) confirm budget allocation priorities with Finance before the July 1, 2025 Handbook revision. The registration filings themselves carry no filing fee but trigger ongoing contribution obligations — estimated total annual contributions across all seven states of approximately $815,170 once all programs are active (current states $605,330; expansion states ~$209,840), per the PinnacleHR summary (see the</w:t>
      </w:r>
      <w:r>
        <w:t xml:space="preserve"> </w:t>
      </w:r>
      <w:r>
        <w:rPr>
          <w:i/>
          <w:iCs/>
        </w:rPr>
        <w:t xml:space="preserve">Contribution Summary</w:t>
      </w:r>
      <w:r>
        <w:t xml:space="preserve"> </w:t>
      </w:r>
      <w:r>
        <w:t xml:space="preserve">tab of the compliance matrix).</w:t>
      </w:r>
    </w:p>
    <w:bookmarkEnd w:id="60"/>
    <w:bookmarkStart w:id="61" w:name="xi.-limitations-and-next-steps"/>
    <w:p>
      <w:pPr>
        <w:pStyle w:val="Heading2"/>
      </w:pPr>
      <w:r>
        <w:t xml:space="preserve">XI. Limitations and Next Steps</w:t>
      </w:r>
    </w:p>
    <w:p>
      <w:pPr>
        <w:pStyle w:val="FirstParagraph"/>
      </w:pPr>
      <w:r>
        <w:t xml:space="preserve">This analysis is based on the laws, regulations, and agency guidance in effect as of May 19, 2025, and on the accuracy and completeness of the information and representations provided by the Company. State paid leave law is a rapidly evolving area; legislative or regulatory changes after delivery may affect the accuracy or completeness of the analysis, and H&amp;C recommends periodic re-review, particularly as each expansion phase completes. Where the provided record was silent on a specific point, H&amp;C has flagged the item for verification rather than rendering a guessed conclusion.</w:t>
      </w:r>
    </w:p>
    <w:p>
      <w:pPr>
        <w:pStyle w:val="BodyText"/>
      </w:pPr>
      <w:r>
        <w:t xml:space="preserve">H&amp;C is available to present these findings to the Company’s legal and HR teams in a working session, to assist with the structural self-funded-plan decision and the state registration filings, and to discuss any additional engagement scope the Company may wish to pursue — including, if requested, drafting of the revised Handbook leave policies, which is outside the current engagement.</w:t>
      </w:r>
    </w:p>
    <w:p>
      <w:pPr>
        <w:pStyle w:val="BodyText"/>
      </w:pPr>
      <w:r>
        <w:t xml:space="preserve">Given the urgency of the Massachusetts and Colorado registration deadlines, H&amp;C recommends that the Company treat Action Items 1–3 in Section VIII.A as immediate priorities and confirm initiation before the interim status update (on or about May 2, 2025).</w:t>
      </w:r>
    </w:p>
    <w:p>
      <w:pPr>
        <w:pStyle w:val="BodyText"/>
      </w:pPr>
      <w:r>
        <w:t xml:space="preserve">Respectfully submitted,</w:t>
      </w:r>
    </w:p>
    <w:p>
      <w:pPr>
        <w:pStyle w:val="BodyText"/>
      </w:pPr>
      <w:r>
        <w:rPr>
          <w:b/>
          <w:bCs/>
        </w:rPr>
        <w:t xml:space="preserve">HARTWELL &amp; CABOT LLP</w:t>
      </w:r>
    </w:p>
    <w:p>
      <w:pPr>
        <w:pStyle w:val="BodyText"/>
      </w:pPr>
      <w:r>
        <w:t xml:space="preserve">Catherine Ng, Partner</w:t>
      </w:r>
    </w:p>
    <w:p>
      <w:pPr>
        <w:pStyle w:val="BodyText"/>
      </w:pPr>
      <w:r>
        <w:t xml:space="preserve">Daniel Ikeda, Senior Associate</w:t>
      </w:r>
    </w:p>
    <w:p>
      <w:pPr>
        <w:pStyle w:val="BodyText"/>
      </w:pPr>
      <w:r>
        <w:rPr>
          <w:i/>
          <w:iCs/>
        </w:rPr>
        <w:t xml:space="preserve">Enclosure: Multi-State Compliance Matrix (multi-state-compliance-matrix.xlsx)</w:t>
      </w:r>
    </w:p>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Logistics Group, Inc. — Multi-State Paid Leave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Cabot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Multi-State Paid Leave Compliance Review</dc:title>
  <dc:creator/>
  <cp:keywords/>
  <dcterms:created xsi:type="dcterms:W3CDTF">2026-06-27T01:46:42Z</dcterms:created>
  <dcterms:modified xsi:type="dcterms:W3CDTF">2026-06-27T01:46:42Z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Gap Analysis and Remediation Memorandum</vt:lpwstr>
  </property>
</Properties>
</file>