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mpliance-requirements-matrix"/>
    <w:p>
      <w:pPr>
        <w:pStyle w:val="Heading1"/>
      </w:pPr>
      <w:r>
        <w:t xml:space="preserve">Compliance Requirements Matrix</w:t>
      </w:r>
    </w:p>
    <w:bookmarkStart w:id="20" w:name="Xa273adf40d32301c5f1da5519727dd2ba2e056d"/>
    <w:p>
      <w:pPr>
        <w:pStyle w:val="Heading2"/>
      </w:pPr>
      <w:r>
        <w:t xml:space="preserve">City of Evanston Cannabis Dispensary Permit Application — Greenleaf Therapeutics LLC</w:t>
      </w:r>
    </w:p>
    <w:p>
      <w:pPr>
        <w:pStyle w:val="FirstParagraph"/>
      </w:pPr>
      <w:r>
        <w:rPr>
          <w:b/>
          <w:bCs/>
        </w:rPr>
        <w:t xml:space="preserve">Prepared by:</w:t>
      </w:r>
      <w:r>
        <w:t xml:space="preserve"> </w:t>
      </w:r>
      <w:r>
        <w:t xml:space="preserve">Permit Compliance Review</w:t>
      </w:r>
      <w:r>
        <w:t xml:space="preserve"> </w:t>
      </w:r>
      <w:r>
        <w:rPr>
          <w:b/>
          <w:bCs/>
        </w:rPr>
        <w:t xml:space="preserve">Subject Application:</w:t>
      </w:r>
      <w:r>
        <w:t xml:space="preserve"> </w:t>
      </w:r>
      <w:r>
        <w:t xml:space="preserve">Greenleaf Therapeutics LLC — Proposed Dispensary at 1420 Sherman Ave., Unit B, Evanston, IL 60201</w:t>
      </w:r>
      <w:r>
        <w:t xml:space="preserve"> </w:t>
      </w:r>
      <w:r>
        <w:rPr>
          <w:b/>
          <w:bCs/>
        </w:rPr>
        <w:t xml:space="preserve">State Conditional License:</w:t>
      </w:r>
      <w:r>
        <w:t xml:space="preserve"> </w:t>
      </w:r>
      <w:r>
        <w:t xml:space="preserve">ADC-285-0147 (issued September 22, 2023; expires September 21, 2024)</w:t>
      </w:r>
      <w:r>
        <w:t xml:space="preserve"> </w:t>
      </w:r>
      <w:r>
        <w:rPr>
          <w:b/>
          <w:bCs/>
        </w:rPr>
        <w:t xml:space="preserve">Target Submission Date:</w:t>
      </w:r>
      <w:r>
        <w:t xml:space="preserve"> </w:t>
      </w:r>
      <w:r>
        <w:t xml:space="preserve">May 15, 2024 (within the February 1 – May 31, 2024 application window)</w:t>
      </w:r>
      <w:r>
        <w:t xml:space="preserve"> </w:t>
      </w:r>
      <w:r>
        <w:rPr>
          <w:b/>
          <w:bCs/>
        </w:rPr>
        <w:t xml:space="preserve">Governing Authority:</w:t>
      </w:r>
      <w:r>
        <w:t xml:space="preserve"> </w:t>
      </w:r>
      <w:r>
        <w:t xml:space="preserve">Evanston Municipal Code, Title 9, Chapter 9, Article 5 (</w:t>
      </w:r>
      <w:r>
        <w:t xml:space="preserve">“</w:t>
      </w:r>
      <w:r>
        <w:t xml:space="preserve">Cannabis Business Establishments</w:t>
      </w:r>
      <w:r>
        <w:t xml:space="preserve">”</w:t>
      </w:r>
      <w:r>
        <w:t xml:space="preserve">)</w:t>
      </w:r>
      <w:r>
        <w:t xml:space="preserve"> </w:t>
      </w:r>
      <w:r>
        <w:rPr>
          <w:b/>
          <w:bCs/>
        </w:rPr>
        <w:t xml:space="preserve">Reference Guide:</w:t>
      </w:r>
      <w:r>
        <w:t xml:space="preserve"> </w:t>
      </w:r>
      <w:r>
        <w:t xml:space="preserve">City of Evanston Cannabis Dispensary Permit Application Checklist and Submission Guide (published January 15, 2024)</w:t>
      </w:r>
    </w:p>
    <w:p>
      <w:r>
        <w:pict>
          <v:rect style="width:0;height:1.5pt" o:hralign="center" o:hrstd="t" o:hr="t"/>
        </w:pict>
      </w:r>
    </w:p>
    <w:bookmarkEnd w:id="20"/>
    <w:bookmarkStart w:id="22" w:name="executive-summary"/>
    <w:p>
      <w:pPr>
        <w:pStyle w:val="Heading2"/>
      </w:pPr>
      <w:r>
        <w:t xml:space="preserve">1. Executive Summary</w:t>
      </w:r>
    </w:p>
    <w:p>
      <w:pPr>
        <w:pStyle w:val="FirstParagraph"/>
      </w:pPr>
      <w:r>
        <w:t xml:space="preserve">This matrix evaluates the Greenleaf Therapeutics LLC (</w:t>
      </w:r>
      <w:r>
        <w:t xml:space="preserve">“</w:t>
      </w:r>
      <w:r>
        <w:t xml:space="preserve">Greenleaf</w:t>
      </w:r>
      <w:r>
        <w:t xml:space="preserve">”</w:t>
      </w:r>
      <w:r>
        <w:t xml:space="preserve">) dispensary permit application package against the requirements of Evanston Municipal Code Chapter 9, Article 5 (the</w:t>
      </w:r>
      <w:r>
        <w:t xml:space="preserve"> </w:t>
      </w:r>
      <w:r>
        <w:t xml:space="preserve">“</w:t>
      </w:r>
      <w:r>
        <w:t xml:space="preserve">Code</w:t>
      </w:r>
      <w:r>
        <w:t xml:space="preserve">”</w:t>
      </w:r>
      <w:r>
        <w:t xml:space="preserve">) and the City’s Application Checklist and Submission Guide (the</w:t>
      </w:r>
      <w:r>
        <w:t xml:space="preserve"> </w:t>
      </w:r>
      <w:r>
        <w:t xml:space="preserve">“</w:t>
      </w:r>
      <w:r>
        <w:t xml:space="preserve">Guide</w:t>
      </w:r>
      <w:r>
        <w:t xml:space="preserve">”</w:t>
      </w:r>
      <w:r>
        <w:t xml:space="preserve">). The review covers the application form, the State conditional license, the business plan summary, the lease summary, the insurance and bonding status memorandum, and the community engagement sessions report.</w:t>
      </w:r>
    </w:p>
    <w:p>
      <w:pPr>
        <w:pStyle w:val="BodyText"/>
      </w:pPr>
      <w:r>
        <w:t xml:space="preserve">Greenleaf has assembled a substantively strong application. The business plan is comprehensive, the lease satisfies site-control requirements, the State conditional license and social equity designation are in hand, and the community engagement process generated meaningful participation. The ownership structure (60% / 40%) comfortably satisfies the 51% social equity threshold, and the proposed location meets all buffer distances on a straight-line basis.</w:t>
      </w:r>
    </w:p>
    <w:p>
      <w:pPr>
        <w:pStyle w:val="BodyText"/>
      </w:pPr>
      <w:r>
        <w:rPr>
          <w:b/>
          <w:bCs/>
        </w:rPr>
        <w:t xml:space="preserve">However, the package is not yet submission-ready.</w:t>
      </w:r>
      <w:r>
        <w:t xml:space="preserve"> </w:t>
      </w:r>
      <w:r>
        <w:t xml:space="preserve">Several required items are incomplete, missing, or carry material risk of being deemed deficient. The most serious issues are:</w:t>
      </w:r>
    </w:p>
    <w:p>
      <w:pPr>
        <w:numPr>
          <w:ilvl w:val="0"/>
          <w:numId w:val="1001"/>
        </w:numPr>
      </w:pPr>
      <w:r>
        <w:rPr>
          <w:b/>
          <w:bCs/>
        </w:rPr>
        <w:t xml:space="preserve">Odor Mitigation Plan lacks the required Professional Engineer (P.E.) certification</w:t>
      </w:r>
      <w:r>
        <w:t xml:space="preserve"> </w:t>
      </w:r>
      <w:r>
        <w:t xml:space="preserve">(Item 10). The application form expressly states that applications submitted without the P.E. certification</w:t>
      </w:r>
      <w:r>
        <w:t xml:space="preserve"> </w:t>
      </w:r>
      <w:r>
        <w:t xml:space="preserve">“</w:t>
      </w:r>
      <w:r>
        <w:t xml:space="preserve">will be deemed incomplete and will not proceed to scoring.</w:t>
      </w:r>
      <w:r>
        <w:t xml:space="preserve">”</w:t>
      </w:r>
      <w:r>
        <w:t xml:space="preserve"> </w:t>
      </w:r>
      <w:r>
        <w:t xml:space="preserve">System specifications are also not finalized. This is a hard blocker.</w:t>
      </w:r>
    </w:p>
    <w:p>
      <w:pPr>
        <w:numPr>
          <w:ilvl w:val="0"/>
          <w:numId w:val="1001"/>
        </w:numPr>
      </w:pPr>
      <w:r>
        <w:rPr>
          <w:b/>
          <w:bCs/>
        </w:rPr>
        <w:t xml:space="preserve">Community Engagement Session 2 was noticed only 12 days in advance</w:t>
      </w:r>
      <w:r>
        <w:t xml:space="preserve"> </w:t>
      </w:r>
      <w:r>
        <w:t xml:space="preserve">(Item 12), below the 14-day minimum required by Code § 9-5-8(B) and the Guide. The Code provides that no waiver of the two-session minimum is available, so Session 2 is at risk of being deemed non-qualifying — potentially leaving Greenleaf with only one qualifying session.</w:t>
      </w:r>
    </w:p>
    <w:p>
      <w:pPr>
        <w:numPr>
          <w:ilvl w:val="0"/>
          <w:numId w:val="1001"/>
        </w:numPr>
      </w:pPr>
      <w:r>
        <w:rPr>
          <w:b/>
          <w:bCs/>
        </w:rPr>
        <w:t xml:space="preserve">No bonding capacity commitment letter has been obtained</w:t>
      </w:r>
      <w:r>
        <w:t xml:space="preserve"> </w:t>
      </w:r>
      <w:r>
        <w:t xml:space="preserve">(Item 17). Only a preliminary verbal inquiry exists. The Guide and scoring rubric require a formal commitment letter at the time of application; its absence forfeits 10 Financial Viability points and fails the application’s evidence-of-bonding-capacity requirement.</w:t>
      </w:r>
    </w:p>
    <w:p>
      <w:pPr>
        <w:numPr>
          <w:ilvl w:val="0"/>
          <w:numId w:val="1001"/>
        </w:numPr>
      </w:pPr>
      <w:r>
        <w:rPr>
          <w:b/>
          <w:bCs/>
        </w:rPr>
        <w:t xml:space="preserve">Cannabis-specific crime/theft insurance is not bound</w:t>
      </w:r>
      <w:r>
        <w:t xml:space="preserve"> </w:t>
      </w:r>
      <w:r>
        <w:t xml:space="preserve">(Item 16) and is blocked pending finalization of the security plan. No commitment letter is in hand.</w:t>
      </w:r>
    </w:p>
    <w:p>
      <w:pPr>
        <w:numPr>
          <w:ilvl w:val="0"/>
          <w:numId w:val="1001"/>
        </w:numPr>
      </w:pPr>
      <w:r>
        <w:rPr>
          <w:b/>
          <w:bCs/>
        </w:rPr>
        <w:t xml:space="preserve">The application form itself is blank and unexecuted</w:t>
      </w:r>
      <w:r>
        <w:t xml:space="preserve"> </w:t>
      </w:r>
      <w:r>
        <w:t xml:space="preserve">(Item 1). All entity, ownership, location, and certification fields are empty; the form is not signed or notarized.</w:t>
      </w:r>
    </w:p>
    <w:p>
      <w:pPr>
        <w:numPr>
          <w:ilvl w:val="0"/>
          <w:numId w:val="1001"/>
        </w:numPr>
      </w:pPr>
      <w:r>
        <w:rPr>
          <w:b/>
          <w:bCs/>
        </w:rPr>
        <w:t xml:space="preserve">The buffer-distance survey is stale and uses the wrong measurement method</w:t>
      </w:r>
      <w:r>
        <w:t xml:space="preserve"> </w:t>
      </w:r>
      <w:r>
        <w:t xml:space="preserve">(Item 8). The survey is dated December 15, 2023 (outside the 60-day recency window for a May 15 submission) and uses straight-line measurements, whereas the application form requires pedestrian-route measurements.</w:t>
      </w:r>
    </w:p>
    <w:p>
      <w:pPr>
        <w:numPr>
          <w:ilvl w:val="0"/>
          <w:numId w:val="1001"/>
        </w:numPr>
      </w:pPr>
      <w:r>
        <w:rPr>
          <w:b/>
          <w:bCs/>
        </w:rPr>
        <w:t xml:space="preserve">The State conditional license expires September 21, 2024</w:t>
      </w:r>
      <w:r>
        <w:t xml:space="preserve">, which may precede local permit issuance given the City’s 120–150 day processing timeline. An extension petition (due ~July 23, 2024) should be considered.</w:t>
      </w:r>
    </w:p>
    <w:bookmarkStart w:id="21" w:name="status-summary"/>
    <w:p>
      <w:pPr>
        <w:pStyle w:val="Heading3"/>
      </w:pPr>
      <w:r>
        <w:t xml:space="preserve">Status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Items</w:t>
            </w:r>
          </w:p>
        </w:tc>
      </w:tr>
      <w:tr>
        <w:tc>
          <w:tcPr/>
          <w:p>
            <w:pPr>
              <w:pStyle w:val="Compact"/>
              <w:jc w:val="left"/>
            </w:pPr>
            <w:r>
              <w:rPr>
                <w:b/>
                <w:bCs/>
              </w:rPr>
              <w:t xml:space="preserve">Met</w:t>
            </w:r>
          </w:p>
        </w:tc>
        <w:tc>
          <w:tcPr/>
          <w:p>
            <w:pPr>
              <w:pStyle w:val="Compact"/>
              <w:jc w:val="left"/>
            </w:pPr>
            <w:r>
              <w:t xml:space="preserve">2</w:t>
            </w:r>
          </w:p>
        </w:tc>
        <w:tc>
          <w:tcPr/>
          <w:p>
            <w:pPr>
              <w:pStyle w:val="Compact"/>
              <w:jc w:val="left"/>
            </w:pPr>
            <w:r>
              <w:t xml:space="preserve">3 (State License), 11 (Business Plan)</w:t>
            </w:r>
          </w:p>
        </w:tc>
      </w:tr>
      <w:tr>
        <w:tc>
          <w:tcPr/>
          <w:p>
            <w:pPr>
              <w:pStyle w:val="Compact"/>
              <w:jc w:val="left"/>
            </w:pPr>
            <w:r>
              <w:rPr>
                <w:b/>
                <w:bCs/>
              </w:rPr>
              <w:t xml:space="preserve">Met — Substantive / Documentation Outstanding</w:t>
            </w:r>
          </w:p>
        </w:tc>
        <w:tc>
          <w:tcPr/>
          <w:p>
            <w:pPr>
              <w:pStyle w:val="Compact"/>
              <w:jc w:val="left"/>
            </w:pPr>
            <w:r>
              <w:t xml:space="preserve">2</w:t>
            </w:r>
          </w:p>
        </w:tc>
        <w:tc>
          <w:tcPr/>
          <w:p>
            <w:pPr>
              <w:pStyle w:val="Compact"/>
              <w:jc w:val="left"/>
            </w:pPr>
            <w:r>
              <w:t xml:space="preserve">6 (Lease), 13 (Community Benefits Plan)</w:t>
            </w:r>
          </w:p>
        </w:tc>
      </w:tr>
      <w:tr>
        <w:tc>
          <w:tcPr/>
          <w:p>
            <w:pPr>
              <w:pStyle w:val="Compact"/>
              <w:jc w:val="left"/>
            </w:pPr>
            <w:r>
              <w:rPr>
                <w:b/>
                <w:bCs/>
              </w:rPr>
              <w:t xml:space="preserve">Partially Met</w:t>
            </w:r>
          </w:p>
        </w:tc>
        <w:tc>
          <w:tcPr/>
          <w:p>
            <w:pPr>
              <w:pStyle w:val="Compact"/>
              <w:jc w:val="left"/>
            </w:pPr>
            <w:r>
              <w:t xml:space="preserve">9</w:t>
            </w:r>
          </w:p>
        </w:tc>
        <w:tc>
          <w:tcPr/>
          <w:p>
            <w:pPr>
              <w:pStyle w:val="Compact"/>
              <w:jc w:val="left"/>
            </w:pPr>
            <w:r>
              <w:t xml:space="preserve">4, 5, 7, 9, 14, 15, 16, 18, 19</w:t>
            </w:r>
          </w:p>
        </w:tc>
      </w:tr>
      <w:tr>
        <w:tc>
          <w:tcPr/>
          <w:p>
            <w:pPr>
              <w:pStyle w:val="Compact"/>
              <w:jc w:val="left"/>
            </w:pPr>
            <w:r>
              <w:rPr>
                <w:b/>
                <w:bCs/>
              </w:rPr>
              <w:t xml:space="preserve">Not Met / Critical</w:t>
            </w:r>
          </w:p>
        </w:tc>
        <w:tc>
          <w:tcPr/>
          <w:p>
            <w:pPr>
              <w:pStyle w:val="Compact"/>
              <w:jc w:val="left"/>
            </w:pPr>
            <w:r>
              <w:t xml:space="preserve">3</w:t>
            </w:r>
          </w:p>
        </w:tc>
        <w:tc>
          <w:tcPr/>
          <w:p>
            <w:pPr>
              <w:pStyle w:val="Compact"/>
              <w:jc w:val="left"/>
            </w:pPr>
            <w:r>
              <w:t xml:space="preserve">1 (Application Form), 10 (Odor/PE Cert.), 12 (Community Engagement)</w:t>
            </w:r>
          </w:p>
        </w:tc>
      </w:tr>
      <w:tr>
        <w:tc>
          <w:tcPr/>
          <w:p>
            <w:pPr>
              <w:pStyle w:val="Compact"/>
              <w:jc w:val="left"/>
            </w:pPr>
            <w:r>
              <w:rPr>
                <w:b/>
                <w:bCs/>
              </w:rPr>
              <w:t xml:space="preserve">Partially Met — At Risk</w:t>
            </w:r>
          </w:p>
        </w:tc>
        <w:tc>
          <w:tcPr/>
          <w:p>
            <w:pPr>
              <w:pStyle w:val="Compact"/>
              <w:jc w:val="left"/>
            </w:pPr>
            <w:r>
              <w:t xml:space="preserve">2</w:t>
            </w:r>
          </w:p>
        </w:tc>
        <w:tc>
          <w:tcPr/>
          <w:p>
            <w:pPr>
              <w:pStyle w:val="Compact"/>
              <w:jc w:val="left"/>
            </w:pPr>
            <w:r>
              <w:t xml:space="preserve">8 (Buffer Survey), 17 (Bonding)</w:t>
            </w:r>
          </w:p>
        </w:tc>
      </w:tr>
      <w:tr>
        <w:tc>
          <w:tcPr/>
          <w:p>
            <w:pPr>
              <w:pStyle w:val="Compact"/>
              <w:jc w:val="left"/>
            </w:pPr>
            <w:r>
              <w:rPr>
                <w:b/>
                <w:bCs/>
              </w:rPr>
              <w:t xml:space="preserve">Outstanding</w:t>
            </w:r>
          </w:p>
        </w:tc>
        <w:tc>
          <w:tcPr/>
          <w:p>
            <w:pPr>
              <w:pStyle w:val="Compact"/>
              <w:jc w:val="left"/>
            </w:pPr>
            <w:r>
              <w:t xml:space="preserve">2</w:t>
            </w:r>
          </w:p>
        </w:tc>
        <w:tc>
          <w:tcPr/>
          <w:p>
            <w:pPr>
              <w:pStyle w:val="Compact"/>
              <w:jc w:val="left"/>
            </w:pPr>
            <w:r>
              <w:t xml:space="preserve">2 (Application Fee), 20 (Zoning/Special Use)</w:t>
            </w:r>
          </w:p>
        </w:tc>
      </w:tr>
    </w:tbl>
    <w:p>
      <w:pPr>
        <w:pStyle w:val="BodyText"/>
      </w:pPr>
      <w:r>
        <w:t xml:space="preserve">In addition, the review identified</w:t>
      </w:r>
      <w:r>
        <w:t xml:space="preserve"> </w:t>
      </w:r>
      <w:r>
        <w:rPr>
          <w:b/>
          <w:bCs/>
        </w:rPr>
        <w:t xml:space="preserve">nine cross-cutting discrepancies</w:t>
      </w:r>
      <w:r>
        <w:t xml:space="preserve"> </w:t>
      </w:r>
      <w:r>
        <w:t xml:space="preserve">between the Code, the Guide, and the application form, and</w:t>
      </w:r>
      <w:r>
        <w:t xml:space="preserve"> </w:t>
      </w:r>
      <w:r>
        <w:rPr>
          <w:b/>
          <w:bCs/>
        </w:rPr>
        <w:t xml:space="preserve">one timing risk</w:t>
      </w:r>
      <w:r>
        <w:t xml:space="preserve"> </w:t>
      </w:r>
      <w:r>
        <w:t xml:space="preserve">(conditional license expiration) that warrant applicant attention.</w:t>
      </w:r>
    </w:p>
    <w:p>
      <w:r>
        <w:pict>
          <v:rect style="width:0;height:1.5pt" o:hralign="center" o:hrstd="t" o:hr="t"/>
        </w:pict>
      </w:r>
    </w:p>
    <w:bookmarkEnd w:id="21"/>
    <w:bookmarkEnd w:id="22"/>
    <w:bookmarkStart w:id="23" w:name="scope-and-methodology"/>
    <w:p>
      <w:pPr>
        <w:pStyle w:val="Heading2"/>
      </w:pPr>
      <w:r>
        <w:t xml:space="preserve">2. Scope and Methodology</w:t>
      </w:r>
    </w:p>
    <w:p>
      <w:pPr>
        <w:pStyle w:val="FirstParagraph"/>
      </w:pPr>
      <w:r>
        <w:rPr>
          <w:b/>
          <w:bCs/>
        </w:rPr>
        <w:t xml:space="preserve">Documents reviewed (application package):</w:t>
      </w:r>
    </w:p>
    <w:p>
      <w:pPr>
        <w:pStyle w:val="Compact"/>
        <w:numPr>
          <w:ilvl w:val="0"/>
          <w:numId w:val="1002"/>
        </w:numPr>
      </w:pPr>
      <w:r>
        <w:t xml:space="preserve">Evanston Cannabis Dispensary Permit Application (Form Version 3.2) — the application form</w:t>
      </w:r>
    </w:p>
    <w:p>
      <w:pPr>
        <w:pStyle w:val="Compact"/>
        <w:numPr>
          <w:ilvl w:val="0"/>
          <w:numId w:val="1002"/>
        </w:numPr>
      </w:pPr>
      <w:r>
        <w:t xml:space="preserve">State of Illinois Conditional Adult-Use Dispensing Organization License No. ADC-285-0147</w:t>
      </w:r>
    </w:p>
    <w:p>
      <w:pPr>
        <w:pStyle w:val="Compact"/>
        <w:numPr>
          <w:ilvl w:val="0"/>
          <w:numId w:val="1002"/>
        </w:numPr>
      </w:pPr>
      <w:r>
        <w:t xml:space="preserve">Greenleaf Therapeutics LLC — Business Plan: Executive Summary and Operations Plan</w:t>
      </w:r>
    </w:p>
    <w:p>
      <w:pPr>
        <w:pStyle w:val="Compact"/>
        <w:numPr>
          <w:ilvl w:val="0"/>
          <w:numId w:val="1002"/>
        </w:numPr>
      </w:pPr>
      <w:r>
        <w:t xml:space="preserve">Summary of Key Lease Terms (Commercial Lease Agreement dated January 8, 2024)</w:t>
      </w:r>
    </w:p>
    <w:p>
      <w:pPr>
        <w:pStyle w:val="Compact"/>
        <w:numPr>
          <w:ilvl w:val="0"/>
          <w:numId w:val="1002"/>
        </w:numPr>
      </w:pPr>
      <w:r>
        <w:t xml:space="preserve">Insurance and Bonding Status Memorandum (dated April 22, 2024)</w:t>
      </w:r>
    </w:p>
    <w:p>
      <w:pPr>
        <w:pStyle w:val="Compact"/>
        <w:numPr>
          <w:ilvl w:val="0"/>
          <w:numId w:val="1002"/>
        </w:numPr>
      </w:pPr>
      <w:r>
        <w:t xml:space="preserve">Community Engagement Session Documentation (dated April 15, 2024)</w:t>
      </w:r>
    </w:p>
    <w:p>
      <w:pPr>
        <w:pStyle w:val="FirstParagraph"/>
      </w:pPr>
      <w:r>
        <w:rPr>
          <w:b/>
          <w:bCs/>
        </w:rPr>
        <w:t xml:space="preserve">Authoritative references:</w:t>
      </w:r>
    </w:p>
    <w:p>
      <w:pPr>
        <w:pStyle w:val="Compact"/>
        <w:numPr>
          <w:ilvl w:val="0"/>
          <w:numId w:val="1003"/>
        </w:numPr>
      </w:pPr>
      <w:r>
        <w:t xml:space="preserve">Evanston Municipal Code, Title 9, Chapter 9, Article 5 (the</w:t>
      </w:r>
      <w:r>
        <w:t xml:space="preserve"> </w:t>
      </w:r>
      <w:r>
        <w:t xml:space="preserve">“</w:t>
      </w:r>
      <w:r>
        <w:t xml:space="preserve">Code</w:t>
      </w:r>
      <w:r>
        <w:t xml:space="preserve">”</w:t>
      </w:r>
      <w:r>
        <w:t xml:space="preserve">)</w:t>
      </w:r>
    </w:p>
    <w:p>
      <w:pPr>
        <w:pStyle w:val="Compact"/>
        <w:numPr>
          <w:ilvl w:val="0"/>
          <w:numId w:val="1003"/>
        </w:numPr>
      </w:pPr>
      <w:r>
        <w:t xml:space="preserve">City of Evanston Cannabis Dispensary Permit Application Checklist and Submission Guide (the</w:t>
      </w:r>
      <w:r>
        <w:t xml:space="preserve"> </w:t>
      </w:r>
      <w:r>
        <w:t xml:space="preserve">“</w:t>
      </w:r>
      <w:r>
        <w:t xml:space="preserve">Guide</w:t>
      </w:r>
      <w:r>
        <w:t xml:space="preserve">”</w:t>
      </w:r>
      <w:r>
        <w:t xml:space="preserve">)</w:t>
      </w:r>
    </w:p>
    <w:p>
      <w:pPr>
        <w:pStyle w:val="FirstParagraph"/>
      </w:pPr>
      <w:r>
        <w:rPr>
          <w:b/>
          <w:bCs/>
        </w:rPr>
        <w:t xml:space="preserve">Method.</w:t>
      </w:r>
      <w:r>
        <w:t xml:space="preserve"> </w:t>
      </w:r>
      <w:r>
        <w:t xml:space="preserve">Each of the 20 items in the Guide’s Master Checklist (Section 3) was evaluated against (a) the corresponding Code provision, (b) the Guide’s stated requirements, and (c) the evidence present in the application package. Each item receives a status assessment and remediation notes. Items required only at the pre-issuance stage (marked</w:t>
      </w:r>
      <w:r>
        <w:t xml:space="preserve"> </w:t>
      </w:r>
      <w:r>
        <w:t xml:space="preserve">“</w:t>
      </w:r>
      <w:r>
        <w:t xml:space="preserve">†</w:t>
      </w:r>
      <w:r>
        <w:t xml:space="preserve">”</w:t>
      </w:r>
      <w:r>
        <w:t xml:space="preserve"> </w:t>
      </w:r>
      <w:r>
        <w:t xml:space="preserve">in the Guide) are noted as outstanding where the application-stage evidence is incomplete. Cross-cutting issues — internal inconsistencies among the Code, Guide, and form — are reported separately in Section 5.</w:t>
      </w:r>
    </w:p>
    <w:p>
      <w:pPr>
        <w:pStyle w:val="BodyText"/>
      </w:pPr>
      <w:r>
        <w:rPr>
          <w:b/>
          <w:bCs/>
        </w:rPr>
        <w:t xml:space="preserve">Status legend:</w:t>
      </w:r>
    </w:p>
    <w:p>
      <w:pPr>
        <w:pStyle w:val="Compact"/>
        <w:numPr>
          <w:ilvl w:val="0"/>
          <w:numId w:val="1004"/>
        </w:numPr>
      </w:pPr>
      <w:r>
        <w:rPr>
          <w:b/>
          <w:bCs/>
        </w:rPr>
        <w:t xml:space="preserve">Met</w:t>
      </w:r>
      <w:r>
        <w:t xml:space="preserve"> </w:t>
      </w:r>
      <w:r>
        <w:t xml:space="preserve">— Requirement fully satisfied by evidence in the package.</w:t>
      </w:r>
    </w:p>
    <w:p>
      <w:pPr>
        <w:pStyle w:val="Compact"/>
        <w:numPr>
          <w:ilvl w:val="0"/>
          <w:numId w:val="1004"/>
        </w:numPr>
      </w:pPr>
      <w:r>
        <w:rPr>
          <w:b/>
          <w:bCs/>
        </w:rPr>
        <w:t xml:space="preserve">Met — Substantive / Documentation Outstanding</w:t>
      </w:r>
      <w:r>
        <w:t xml:space="preserve"> </w:t>
      </w:r>
      <w:r>
        <w:t xml:space="preserve">— The underlying requirement is satisfied in substance, but the formal document/exhibit must still be included in the submission.</w:t>
      </w:r>
    </w:p>
    <w:p>
      <w:pPr>
        <w:pStyle w:val="Compact"/>
        <w:numPr>
          <w:ilvl w:val="0"/>
          <w:numId w:val="1004"/>
        </w:numPr>
      </w:pPr>
      <w:r>
        <w:rPr>
          <w:b/>
          <w:bCs/>
        </w:rPr>
        <w:t xml:space="preserve">Partially Met</w:t>
      </w:r>
      <w:r>
        <w:t xml:space="preserve"> </w:t>
      </w:r>
      <w:r>
        <w:t xml:space="preserve">— Some required elements are present; identifiable gaps remain.</w:t>
      </w:r>
    </w:p>
    <w:p>
      <w:pPr>
        <w:pStyle w:val="Compact"/>
        <w:numPr>
          <w:ilvl w:val="0"/>
          <w:numId w:val="1004"/>
        </w:numPr>
      </w:pPr>
      <w:r>
        <w:rPr>
          <w:b/>
          <w:bCs/>
        </w:rPr>
        <w:t xml:space="preserve">Not Met / Critical</w:t>
      </w:r>
      <w:r>
        <w:t xml:space="preserve"> </w:t>
      </w:r>
      <w:r>
        <w:t xml:space="preserve">— A required element is absent or non-compliant such that the application would be deemed incomplete or would not proceed to scoring.</w:t>
      </w:r>
    </w:p>
    <w:p>
      <w:pPr>
        <w:pStyle w:val="Compact"/>
        <w:numPr>
          <w:ilvl w:val="0"/>
          <w:numId w:val="1004"/>
        </w:numPr>
      </w:pPr>
      <w:r>
        <w:rPr>
          <w:b/>
          <w:bCs/>
        </w:rPr>
        <w:t xml:space="preserve">Partially Met — At Risk</w:t>
      </w:r>
      <w:r>
        <w:t xml:space="preserve"> </w:t>
      </w:r>
      <w:r>
        <w:t xml:space="preserve">— Substantively addressed but with a material timing, verification, or methodology risk.</w:t>
      </w:r>
    </w:p>
    <w:p>
      <w:pPr>
        <w:pStyle w:val="Compact"/>
        <w:numPr>
          <w:ilvl w:val="0"/>
          <w:numId w:val="1004"/>
        </w:numPr>
      </w:pPr>
      <w:r>
        <w:rPr>
          <w:b/>
          <w:bCs/>
        </w:rPr>
        <w:t xml:space="preserve">Outstanding</w:t>
      </w:r>
      <w:r>
        <w:t xml:space="preserve"> </w:t>
      </w:r>
      <w:r>
        <w:t xml:space="preserve">— Not yet due at the application stage (pre-issuance item) or not yet actioned; flagged for follow-through.</w:t>
      </w:r>
    </w:p>
    <w:p>
      <w:r>
        <w:pict>
          <v:rect style="width:0;height:1.5pt" o:hralign="center" o:hrstd="t" o:hr="t"/>
        </w:pict>
      </w:r>
    </w:p>
    <w:bookmarkEnd w:id="23"/>
    <w:bookmarkStart w:id="24" w:name="master-compliance-summary-table"/>
    <w:p>
      <w:pPr>
        <w:pStyle w:val="Heading2"/>
      </w:pPr>
      <w:r>
        <w:t xml:space="preserve">3. Master Compliance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 (Guide Item)</w:t>
            </w:r>
          </w:p>
        </w:tc>
        <w:tc>
          <w:tcPr/>
          <w:p>
            <w:pPr>
              <w:pStyle w:val="Compact"/>
              <w:jc w:val="left"/>
            </w:pPr>
            <w:r>
              <w:t xml:space="preserve">Code Reference</w:t>
            </w:r>
          </w:p>
        </w:tc>
        <w:tc>
          <w:tcPr/>
          <w:p>
            <w:pPr>
              <w:pStyle w:val="Compact"/>
              <w:jc w:val="left"/>
            </w:pPr>
            <w:r>
              <w:t xml:space="preserve">Status</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Completed Application Form (signed, notarized)</w:t>
            </w:r>
          </w:p>
        </w:tc>
        <w:tc>
          <w:tcPr/>
          <w:p>
            <w:pPr>
              <w:pStyle w:val="Compact"/>
              <w:jc w:val="left"/>
            </w:pPr>
            <w:r>
              <w:t xml:space="preserve">§ 9-5-5(A),(B)(1)</w:t>
            </w:r>
          </w:p>
        </w:tc>
        <w:tc>
          <w:tcPr/>
          <w:p>
            <w:pPr>
              <w:pStyle w:val="Compact"/>
              <w:jc w:val="left"/>
            </w:pPr>
            <w:r>
              <w:t xml:space="preserve">Not Met / Critical</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Application Fee ($5,000)</w:t>
            </w:r>
          </w:p>
        </w:tc>
        <w:tc>
          <w:tcPr/>
          <w:p>
            <w:pPr>
              <w:pStyle w:val="Compact"/>
              <w:jc w:val="left"/>
            </w:pPr>
            <w:r>
              <w:t xml:space="preserve">§ 9-5-6</w:t>
            </w:r>
          </w:p>
        </w:tc>
        <w:tc>
          <w:tcPr/>
          <w:p>
            <w:pPr>
              <w:pStyle w:val="Compact"/>
              <w:jc w:val="left"/>
            </w:pPr>
            <w:r>
              <w:t xml:space="preserve">Outstanding</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State Cannabis License (certified copy)</w:t>
            </w:r>
          </w:p>
        </w:tc>
        <w:tc>
          <w:tcPr/>
          <w:p>
            <w:pPr>
              <w:pStyle w:val="Compact"/>
              <w:jc w:val="left"/>
            </w:pPr>
            <w:r>
              <w:t xml:space="preserve">§ 9-5-5(B)(2); § 9-5-3</w:t>
            </w:r>
          </w:p>
        </w:tc>
        <w:tc>
          <w:tcPr/>
          <w:p>
            <w:pPr>
              <w:pStyle w:val="Compact"/>
              <w:jc w:val="left"/>
            </w:pPr>
            <w:r>
              <w:t xml:space="preserve">Met (timing risk)</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Entity Formation &amp; Organizational Documents</w:t>
            </w:r>
          </w:p>
        </w:tc>
        <w:tc>
          <w:tcPr/>
          <w:p>
            <w:pPr>
              <w:pStyle w:val="Compact"/>
              <w:jc w:val="left"/>
            </w:pPr>
            <w:r>
              <w:t xml:space="preserve">§ 9-5-5(B)(3)</w:t>
            </w:r>
          </w:p>
        </w:tc>
        <w:tc>
          <w:tcPr/>
          <w:p>
            <w:pPr>
              <w:pStyle w:val="Compact"/>
              <w:jc w:val="left"/>
            </w:pPr>
            <w:r>
              <w:t xml:space="preserve">Partially Met</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Principal Officer &amp; Owner Disclosures (all 5%+ owners)</w:t>
            </w:r>
          </w:p>
        </w:tc>
        <w:tc>
          <w:tcPr/>
          <w:p>
            <w:pPr>
              <w:pStyle w:val="Compact"/>
              <w:jc w:val="left"/>
            </w:pPr>
            <w:r>
              <w:t xml:space="preserve">§ 9-5-5(B)(4); § 9-5-22</w:t>
            </w:r>
          </w:p>
        </w:tc>
        <w:tc>
          <w:tcPr/>
          <w:p>
            <w:pPr>
              <w:pStyle w:val="Compact"/>
              <w:jc w:val="left"/>
            </w:pPr>
            <w:r>
              <w:t xml:space="preserve">Partially Met</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Proof of Right to Occupy Proposed Location</w:t>
            </w:r>
          </w:p>
        </w:tc>
        <w:tc>
          <w:tcPr/>
          <w:p>
            <w:pPr>
              <w:pStyle w:val="Compact"/>
              <w:jc w:val="left"/>
            </w:pPr>
            <w:r>
              <w:t xml:space="preserve">§ 9-5-5(B)(5)</w:t>
            </w:r>
          </w:p>
        </w:tc>
        <w:tc>
          <w:tcPr/>
          <w:p>
            <w:pPr>
              <w:pStyle w:val="Compact"/>
              <w:jc w:val="left"/>
            </w:pPr>
            <w:r>
              <w:t xml:space="preserve">Met — Substantive / Docs Outstanding</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Site Plan and Floor Plan (architect/engineer certified)</w:t>
            </w:r>
          </w:p>
        </w:tc>
        <w:tc>
          <w:tcPr/>
          <w:p>
            <w:pPr>
              <w:pStyle w:val="Compact"/>
              <w:jc w:val="left"/>
            </w:pPr>
            <w:r>
              <w:t xml:space="preserve">§ 9-5-5(B)(6)</w:t>
            </w:r>
          </w:p>
        </w:tc>
        <w:tc>
          <w:tcPr/>
          <w:p>
            <w:pPr>
              <w:pStyle w:val="Compact"/>
              <w:jc w:val="left"/>
            </w:pPr>
            <w:r>
              <w:t xml:space="preserve">Partially Met</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Buffer Distance Certification (survey/measurement)</w:t>
            </w:r>
          </w:p>
        </w:tc>
        <w:tc>
          <w:tcPr/>
          <w:p>
            <w:pPr>
              <w:pStyle w:val="Compact"/>
              <w:jc w:val="left"/>
            </w:pPr>
            <w:r>
              <w:t xml:space="preserve">§ 9-5-5(B)(7); § 9-5-9</w:t>
            </w:r>
          </w:p>
        </w:tc>
        <w:tc>
          <w:tcPr/>
          <w:p>
            <w:pPr>
              <w:pStyle w:val="Compact"/>
              <w:jc w:val="left"/>
            </w:pPr>
            <w:r>
              <w:t xml:space="preserve">Partially Met — At Risk</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Security Plan (consultant prepared/reviewed)</w:t>
            </w:r>
          </w:p>
        </w:tc>
        <w:tc>
          <w:tcPr/>
          <w:p>
            <w:pPr>
              <w:pStyle w:val="Compact"/>
              <w:jc w:val="left"/>
            </w:pPr>
            <w:r>
              <w:t xml:space="preserve">§ 9-5-5(B)(9); § 9-5-13</w:t>
            </w:r>
          </w:p>
        </w:tc>
        <w:tc>
          <w:tcPr/>
          <w:p>
            <w:pPr>
              <w:pStyle w:val="Compact"/>
              <w:jc w:val="left"/>
            </w:pPr>
            <w:r>
              <w:t xml:space="preserve">Partially Met</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Odor Mitigation Plan (with P.E. certification)</w:t>
            </w:r>
          </w:p>
        </w:tc>
        <w:tc>
          <w:tcPr/>
          <w:p>
            <w:pPr>
              <w:pStyle w:val="Compact"/>
              <w:jc w:val="left"/>
            </w:pPr>
            <w:r>
              <w:t xml:space="preserve">§ 9-5-5(B)(10); § 9-5-13(G)</w:t>
            </w:r>
          </w:p>
        </w:tc>
        <w:tc>
          <w:tcPr/>
          <w:p>
            <w:pPr>
              <w:pStyle w:val="Compact"/>
              <w:jc w:val="left"/>
            </w:pPr>
            <w:r>
              <w:t xml:space="preserve">Not Met / Critical</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Business Plan (3-yr projections, COMPASS)</w:t>
            </w:r>
          </w:p>
        </w:tc>
        <w:tc>
          <w:tcPr/>
          <w:p>
            <w:pPr>
              <w:pStyle w:val="Compact"/>
              <w:jc w:val="left"/>
            </w:pPr>
            <w:r>
              <w:t xml:space="preserve">§ 9-5-5(B)(8)</w:t>
            </w:r>
          </w:p>
        </w:tc>
        <w:tc>
          <w:tcPr/>
          <w:p>
            <w:pPr>
              <w:pStyle w:val="Compact"/>
              <w:jc w:val="left"/>
            </w:pPr>
            <w:r>
              <w:t xml:space="preserve">Met</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Community Engagement Documentation (2 sessions, 14-day notice)</w:t>
            </w:r>
          </w:p>
        </w:tc>
        <w:tc>
          <w:tcPr/>
          <w:p>
            <w:pPr>
              <w:pStyle w:val="Compact"/>
              <w:jc w:val="left"/>
            </w:pPr>
            <w:r>
              <w:t xml:space="preserve">§ 9-5-5(B)(14); § 9-5-8</w:t>
            </w:r>
          </w:p>
        </w:tc>
        <w:tc>
          <w:tcPr/>
          <w:p>
            <w:pPr>
              <w:pStyle w:val="Compact"/>
              <w:jc w:val="left"/>
            </w:pPr>
            <w:r>
              <w:t xml:space="preserve">Not Met / Critical</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Community Benefits Plan (min. $25,000 or 1% revenue)</w:t>
            </w:r>
          </w:p>
        </w:tc>
        <w:tc>
          <w:tcPr/>
          <w:p>
            <w:pPr>
              <w:pStyle w:val="Compact"/>
              <w:jc w:val="left"/>
            </w:pPr>
            <w:r>
              <w:t xml:space="preserve">§ 9-5-5(B)(12); § 9-5-15</w:t>
            </w:r>
          </w:p>
        </w:tc>
        <w:tc>
          <w:tcPr/>
          <w:p>
            <w:pPr>
              <w:pStyle w:val="Compact"/>
              <w:jc w:val="left"/>
            </w:pPr>
            <w:r>
              <w:t xml:space="preserve">Met — Substantive / Docs Outstanding</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Diversity and Inclusion Plan</w:t>
            </w:r>
          </w:p>
        </w:tc>
        <w:tc>
          <w:tcPr/>
          <w:p>
            <w:pPr>
              <w:pStyle w:val="Compact"/>
              <w:jc w:val="left"/>
            </w:pPr>
            <w:r>
              <w:t xml:space="preserve">§ 9-5-5(B)(13); § 9-5-20</w:t>
            </w:r>
          </w:p>
        </w:tc>
        <w:tc>
          <w:tcPr/>
          <w:p>
            <w:pPr>
              <w:pStyle w:val="Compact"/>
              <w:jc w:val="left"/>
            </w:pPr>
            <w:r>
              <w:t xml:space="preserve">Partially Met</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Environmental Sustainability Plan</w:t>
            </w:r>
          </w:p>
        </w:tc>
        <w:tc>
          <w:tcPr/>
          <w:p>
            <w:pPr>
              <w:pStyle w:val="Compact"/>
              <w:jc w:val="left"/>
            </w:pPr>
            <w:r>
              <w:t xml:space="preserve">§ 9-5-5(B)(11)</w:t>
            </w:r>
          </w:p>
        </w:tc>
        <w:tc>
          <w:tcPr/>
          <w:p>
            <w:pPr>
              <w:pStyle w:val="Compact"/>
              <w:jc w:val="left"/>
            </w:pPr>
            <w:r>
              <w:t xml:space="preserve">Partially Met</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Insurance Documentation (certificates or commitment letters)</w:t>
            </w:r>
          </w:p>
        </w:tc>
        <w:tc>
          <w:tcPr/>
          <w:p>
            <w:pPr>
              <w:pStyle w:val="Compact"/>
              <w:jc w:val="left"/>
            </w:pPr>
            <w:r>
              <w:t xml:space="preserve">§ 9-5-5(B)(15); § 9-5-16</w:t>
            </w:r>
          </w:p>
        </w:tc>
        <w:tc>
          <w:tcPr/>
          <w:p>
            <w:pPr>
              <w:pStyle w:val="Compact"/>
              <w:jc w:val="left"/>
            </w:pPr>
            <w:r>
              <w:t xml:space="preserve">Partially Met</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Financial Viability / Bonding Capacity Evidence</w:t>
            </w:r>
          </w:p>
        </w:tc>
        <w:tc>
          <w:tcPr/>
          <w:p>
            <w:pPr>
              <w:pStyle w:val="Compact"/>
              <w:jc w:val="left"/>
            </w:pPr>
            <w:r>
              <w:t xml:space="preserve">§ 9-5-5(B)(16); § 9-5-17</w:t>
            </w:r>
          </w:p>
        </w:tc>
        <w:tc>
          <w:tcPr/>
          <w:p>
            <w:pPr>
              <w:pStyle w:val="Compact"/>
              <w:jc w:val="left"/>
            </w:pPr>
            <w:r>
              <w:t xml:space="preserve">Partially Met — At Risk</w:t>
            </w:r>
          </w:p>
        </w:tc>
        <w:tc>
          <w:tcPr/>
          <w:p>
            <w:pPr>
              <w:pStyle w:val="Compact"/>
              <w:jc w:val="left"/>
            </w:pPr>
            <w:r>
              <w:t xml:space="preserve">Critical</w:t>
            </w:r>
          </w:p>
        </w:tc>
      </w:tr>
      <w:tr>
        <w:tc>
          <w:tcPr/>
          <w:p>
            <w:pPr>
              <w:pStyle w:val="Compact"/>
              <w:jc w:val="left"/>
            </w:pPr>
            <w:r>
              <w:t xml:space="preserve">18</w:t>
            </w:r>
          </w:p>
        </w:tc>
        <w:tc>
          <w:tcPr/>
          <w:p>
            <w:pPr>
              <w:pStyle w:val="Compact"/>
              <w:jc w:val="left"/>
            </w:pPr>
            <w:r>
              <w:t xml:space="preserve">Social Equity Documentation (if applicable)</w:t>
            </w:r>
          </w:p>
        </w:tc>
        <w:tc>
          <w:tcPr/>
          <w:p>
            <w:pPr>
              <w:pStyle w:val="Compact"/>
              <w:jc w:val="left"/>
            </w:pPr>
            <w:r>
              <w:t xml:space="preserve">§ 9-5-5(B)(13); § 9-5-19</w:t>
            </w:r>
          </w:p>
        </w:tc>
        <w:tc>
          <w:tcPr/>
          <w:p>
            <w:pPr>
              <w:pStyle w:val="Compact"/>
              <w:jc w:val="left"/>
            </w:pPr>
            <w:r>
              <w:t xml:space="preserve">Partially Met</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Agent-in-Charge Designation</w:t>
            </w:r>
          </w:p>
        </w:tc>
        <w:tc>
          <w:tcPr/>
          <w:p>
            <w:pPr>
              <w:pStyle w:val="Compact"/>
              <w:jc w:val="left"/>
            </w:pPr>
            <w:r>
              <w:t xml:space="preserve">§ 9-5-13(I)</w:t>
            </w:r>
          </w:p>
        </w:tc>
        <w:tc>
          <w:tcPr/>
          <w:p>
            <w:pPr>
              <w:pStyle w:val="Compact"/>
              <w:jc w:val="left"/>
            </w:pPr>
            <w:r>
              <w:t xml:space="preserve">Partially Met</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Zoning Confirmation / Special Use Application</w:t>
            </w:r>
          </w:p>
        </w:tc>
        <w:tc>
          <w:tcPr/>
          <w:p>
            <w:pPr>
              <w:pStyle w:val="Compact"/>
              <w:jc w:val="left"/>
            </w:pPr>
            <w:r>
              <w:t xml:space="preserve">§ 9-5-9(A),(D)</w:t>
            </w:r>
          </w:p>
        </w:tc>
        <w:tc>
          <w:tcPr/>
          <w:p>
            <w:pPr>
              <w:pStyle w:val="Compact"/>
              <w:jc w:val="left"/>
            </w:pPr>
            <w:r>
              <w:t xml:space="preserve">Outstanding</w:t>
            </w:r>
          </w:p>
        </w:tc>
        <w:tc>
          <w:tcPr/>
          <w:p>
            <w:pPr>
              <w:pStyle w:val="Compact"/>
              <w:jc w:val="left"/>
            </w:pPr>
            <w:r>
              <w:t xml:space="preserve">High</w:t>
            </w:r>
          </w:p>
        </w:tc>
      </w:tr>
    </w:tbl>
    <w:p>
      <w:r>
        <w:pict>
          <v:rect style="width:0;height:1.5pt" o:hralign="center" o:hrstd="t" o:hr="t"/>
        </w:pict>
      </w:r>
    </w:p>
    <w:bookmarkEnd w:id="24"/>
    <w:bookmarkStart w:id="45" w:name="detailed-compliance-requirements-matrix"/>
    <w:p>
      <w:pPr>
        <w:pStyle w:val="Heading2"/>
      </w:pPr>
      <w:r>
        <w:t xml:space="preserve">4. Detailed Compliance Requirements Matrix</w:t>
      </w:r>
    </w:p>
    <w:bookmarkStart w:id="25" w:name="X0b2d7f63a3fc9c88850b8d147d7279ec8682bae"/>
    <w:p>
      <w:pPr>
        <w:pStyle w:val="Heading3"/>
      </w:pPr>
      <w:r>
        <w:t xml:space="preserve">Item 1 — Completed Application Form (signed, notarized)</w:t>
      </w:r>
    </w:p>
    <w:p>
      <w:pPr>
        <w:pStyle w:val="Compact"/>
        <w:numPr>
          <w:ilvl w:val="0"/>
          <w:numId w:val="1005"/>
        </w:numPr>
      </w:pPr>
      <w:r>
        <w:rPr>
          <w:b/>
          <w:bCs/>
        </w:rPr>
        <w:t xml:space="preserve">Authority:</w:t>
      </w:r>
      <w:r>
        <w:t xml:space="preserve"> </w:t>
      </w:r>
      <w:r>
        <w:t xml:space="preserve">Code § 9-5-5(A), (B)(1); Guide Item 1; Application Form Sections 1–14.</w:t>
      </w:r>
    </w:p>
    <w:p>
      <w:pPr>
        <w:pStyle w:val="Compact"/>
        <w:numPr>
          <w:ilvl w:val="0"/>
          <w:numId w:val="1005"/>
        </w:numPr>
      </w:pPr>
      <w:r>
        <w:rPr>
          <w:b/>
          <w:bCs/>
        </w:rPr>
        <w:t xml:space="preserve">Requirement:</w:t>
      </w:r>
      <w:r>
        <w:t xml:space="preserve"> </w:t>
      </w:r>
      <w:r>
        <w:t xml:space="preserve">A completed City application form with all sections and fields completed (or marked</w:t>
      </w:r>
      <w:r>
        <w:t xml:space="preserve"> </w:t>
      </w:r>
      <w:r>
        <w:t xml:space="preserve">“</w:t>
      </w:r>
      <w:r>
        <w:t xml:space="preserve">N/A</w:t>
      </w:r>
      <w:r>
        <w:t xml:space="preserve">”</w:t>
      </w:r>
      <w:r>
        <w:t xml:space="preserve">), signed by an authorized representative of the applicant entity, and notarized. The form instructions state that applications with blank fields will be returned without processing.</w:t>
      </w:r>
    </w:p>
    <w:p>
      <w:pPr>
        <w:pStyle w:val="Compact"/>
        <w:numPr>
          <w:ilvl w:val="0"/>
          <w:numId w:val="1005"/>
        </w:numPr>
      </w:pPr>
      <w:r>
        <w:rPr>
          <w:b/>
          <w:bCs/>
        </w:rPr>
        <w:t xml:space="preserve">Evidence in package:</w:t>
      </w:r>
      <w:r>
        <w:t xml:space="preserve"> </w:t>
      </w:r>
      <w:r>
        <w:t xml:space="preserve">The application form provided is the</w:t>
      </w:r>
      <w:r>
        <w:t xml:space="preserve"> </w:t>
      </w:r>
      <w:r>
        <w:rPr>
          <w:b/>
          <w:bCs/>
        </w:rPr>
        <w:t xml:space="preserve">blank template</w:t>
      </w:r>
      <w:r>
        <w:t xml:space="preserve"> </w:t>
      </w:r>
      <w:r>
        <w:t xml:space="preserve">(Form Version 3.2). No fields are completed. The ownership tables (Q11, Q12), Agent-in-Charge designation (Q13), location details (Section 3), state license information (Q9), hours/occupancy (Section 5), social equity claims (Section 6), community engagement (Q22), financial information (Section 8), background check authorizations (Q14A–C), and the certification/notarization block (Section 14) are all empty. No signature or notarization is present.</w:t>
      </w:r>
    </w:p>
    <w:p>
      <w:pPr>
        <w:pStyle w:val="Compact"/>
        <w:numPr>
          <w:ilvl w:val="0"/>
          <w:numId w:val="1005"/>
        </w:numPr>
      </w:pPr>
      <w:r>
        <w:rPr>
          <w:b/>
          <w:bCs/>
        </w:rPr>
        <w:t xml:space="preserve">Status: Not Met / Critical.</w:t>
      </w:r>
      <w:r>
        <w:t xml:space="preserve"> </w:t>
      </w:r>
      <w:r>
        <w:t xml:space="preserve">The substantive information needed to complete the form exists across the supporting documents, but the form itself has not been prepared.</w:t>
      </w:r>
    </w:p>
    <w:p>
      <w:pPr>
        <w:pStyle w:val="Compact"/>
        <w:numPr>
          <w:ilvl w:val="0"/>
          <w:numId w:val="1005"/>
        </w:numPr>
      </w:pPr>
      <w:r>
        <w:rPr>
          <w:b/>
          <w:bCs/>
        </w:rPr>
        <w:t xml:space="preserve">Remediation:</w:t>
      </w:r>
      <w:r>
        <w:t xml:space="preserve"> </w:t>
      </w:r>
      <w:r>
        <w:t xml:space="preserve">Populate every field of the application form using the information documented in the business plan, lease summary, state license, and community engagement report. Particular attention to: Section 1 (entity information — note registered agent discrepancy, see Section 5); Section 2 (ownership table for Okonkwo 60% and Ramachandran 40%, with DOB, SSN, addresses); Section 3 (location, square-footage breakdown, zoning, lease details, buffer tables); Section 4 (state license ADC-285-0147); Section 5 (hours 6:00 AM–10:00 PM; occupancy = 40 based on retail floor area); Section 6 (social equity claim and R3 tract 8092.02); Section 7 (two sessions); Section 8 (capitalization $1,850,000; bonding; insurance); Section 10 (background check authorizations for both owners); Section 14 (authorized signature and notarization). Obtain notarization before submission.</w:t>
      </w:r>
    </w:p>
    <w:bookmarkEnd w:id="25"/>
    <w:bookmarkStart w:id="26" w:name="item-2-application-fee-5000"/>
    <w:p>
      <w:pPr>
        <w:pStyle w:val="Heading3"/>
      </w:pPr>
      <w:r>
        <w:t xml:space="preserve">Item 2 — Application Fee ($5,000)</w:t>
      </w:r>
    </w:p>
    <w:p>
      <w:pPr>
        <w:pStyle w:val="Compact"/>
        <w:numPr>
          <w:ilvl w:val="0"/>
          <w:numId w:val="1006"/>
        </w:numPr>
      </w:pPr>
      <w:r>
        <w:rPr>
          <w:b/>
          <w:bCs/>
        </w:rPr>
        <w:t xml:space="preserve">Authority:</w:t>
      </w:r>
      <w:r>
        <w:t xml:space="preserve"> </w:t>
      </w:r>
      <w:r>
        <w:t xml:space="preserve">Code § 9-5-6; Guide Item 2; Application Form Section 13.</w:t>
      </w:r>
    </w:p>
    <w:p>
      <w:pPr>
        <w:pStyle w:val="Compact"/>
        <w:numPr>
          <w:ilvl w:val="0"/>
          <w:numId w:val="1006"/>
        </w:numPr>
      </w:pPr>
      <w:r>
        <w:rPr>
          <w:b/>
          <w:bCs/>
        </w:rPr>
        <w:t xml:space="preserve">Requirement:</w:t>
      </w:r>
      <w:r>
        <w:t xml:space="preserve"> </w:t>
      </w:r>
      <w:r>
        <w:t xml:space="preserve">Non-refundable application fee of $5,000.00.</w:t>
      </w:r>
      <w:r>
        <w:t xml:space="preserve"> </w:t>
      </w:r>
      <w:r>
        <w:rPr>
          <w:b/>
          <w:bCs/>
        </w:rPr>
        <w:t xml:space="preserve">Code § 9-5-6(C)</w:t>
      </w:r>
      <w:r>
        <w:t xml:space="preserve"> </w:t>
      </w:r>
      <w:r>
        <w:t xml:space="preserve">permits payment by</w:t>
      </w:r>
      <w:r>
        <w:t xml:space="preserve"> </w:t>
      </w:r>
      <w:r>
        <w:rPr>
          <w:b/>
          <w:bCs/>
        </w:rPr>
        <w:t xml:space="preserve">certified check or electronic funds transfer (EFT)</w:t>
      </w:r>
      <w:r>
        <w:t xml:space="preserve"> </w:t>
      </w:r>
      <w:r>
        <w:t xml:space="preserve">only; personal checks, cash, and credit cards are not accepted. (Note: the Guide states</w:t>
      </w:r>
      <w:r>
        <w:t xml:space="preserve"> </w:t>
      </w:r>
      <w:r>
        <w:t xml:space="preserve">“</w:t>
      </w:r>
      <w:r>
        <w:t xml:space="preserve">cashier’s check or money order,</w:t>
      </w:r>
      <w:r>
        <w:t xml:space="preserve">”</w:t>
      </w:r>
      <w:r>
        <w:t xml:space="preserve"> </w:t>
      </w:r>
      <w:r>
        <w:t xml:space="preserve">and the form states</w:t>
      </w:r>
      <w:r>
        <w:t xml:space="preserve"> </w:t>
      </w:r>
      <w:r>
        <w:t xml:space="preserve">“</w:t>
      </w:r>
      <w:r>
        <w:t xml:space="preserve">certified check, cashier’s check, or wire transfer</w:t>
      </w:r>
      <w:r>
        <w:t xml:space="preserve">”</w:t>
      </w:r>
      <w:r>
        <w:t xml:space="preserve"> </w:t>
      </w:r>
      <w:r>
        <w:t xml:space="preserve">— see discrepancy D-4 in Section 5.)</w:t>
      </w:r>
    </w:p>
    <w:p>
      <w:pPr>
        <w:pStyle w:val="Compact"/>
        <w:numPr>
          <w:ilvl w:val="0"/>
          <w:numId w:val="1006"/>
        </w:numPr>
      </w:pPr>
      <w:r>
        <w:rPr>
          <w:b/>
          <w:bCs/>
        </w:rPr>
        <w:t xml:space="preserve">Evidence in package:</w:t>
      </w:r>
      <w:r>
        <w:t xml:space="preserve"> </w:t>
      </w:r>
      <w:r>
        <w:t xml:space="preserve">No evidence of payment. The fee payment block in the form (Section 13) is blank.</w:t>
      </w:r>
    </w:p>
    <w:p>
      <w:pPr>
        <w:pStyle w:val="Compact"/>
        <w:numPr>
          <w:ilvl w:val="0"/>
          <w:numId w:val="1006"/>
        </w:numPr>
      </w:pPr>
      <w:r>
        <w:rPr>
          <w:b/>
          <w:bCs/>
        </w:rPr>
        <w:t xml:space="preserve">Status: Outstanding.</w:t>
      </w:r>
      <w:r>
        <w:t xml:space="preserve"> </w:t>
      </w:r>
      <w:r>
        <w:t xml:space="preserve">The fee must accompany the submission; no application is deemed complete until the fee is received (Code § 9-5-6(D)).</w:t>
      </w:r>
    </w:p>
    <w:p>
      <w:pPr>
        <w:pStyle w:val="Compact"/>
        <w:numPr>
          <w:ilvl w:val="0"/>
          <w:numId w:val="1006"/>
        </w:numPr>
      </w:pPr>
      <w:r>
        <w:rPr>
          <w:b/>
          <w:bCs/>
        </w:rPr>
        <w:t xml:space="preserve">Remediation:</w:t>
      </w:r>
      <w:r>
        <w:t xml:space="preserve"> </w:t>
      </w:r>
      <w:r>
        <w:t xml:space="preserve">Remit $5,000 by certified check or EFT payable to the City of Evanston (per the Code, the controlling authority). Document the payment method and reference number in the form. Reconcile the payment-method discrepancy with the Coordinator in advance (Section 5, D-4).</w:t>
      </w:r>
    </w:p>
    <w:bookmarkEnd w:id="26"/>
    <w:bookmarkStart w:id="27" w:name="Xb5d111b53fc3880bc201988e5dd46ec614e9e8b"/>
    <w:p>
      <w:pPr>
        <w:pStyle w:val="Heading3"/>
      </w:pPr>
      <w:r>
        <w:t xml:space="preserve">Item 3 — State Cannabis License (certified copy)</w:t>
      </w:r>
    </w:p>
    <w:p>
      <w:pPr>
        <w:pStyle w:val="Compact"/>
        <w:numPr>
          <w:ilvl w:val="0"/>
          <w:numId w:val="1007"/>
        </w:numPr>
      </w:pPr>
      <w:r>
        <w:rPr>
          <w:b/>
          <w:bCs/>
        </w:rPr>
        <w:t xml:space="preserve">Authority:</w:t>
      </w:r>
      <w:r>
        <w:t xml:space="preserve"> </w:t>
      </w:r>
      <w:r>
        <w:t xml:space="preserve">Code § 9-5-5(B)(2); § 9-5-3; Guide Item 3; Application Form Section 4 (Q9).</w:t>
      </w:r>
    </w:p>
    <w:p>
      <w:pPr>
        <w:pStyle w:val="Compact"/>
        <w:numPr>
          <w:ilvl w:val="0"/>
          <w:numId w:val="1007"/>
        </w:numPr>
      </w:pPr>
      <w:r>
        <w:rPr>
          <w:b/>
          <w:bCs/>
        </w:rPr>
        <w:t xml:space="preserve">Requirement:</w:t>
      </w:r>
      <w:r>
        <w:t xml:space="preserve"> </w:t>
      </w:r>
      <w:r>
        <w:t xml:space="preserve">Proof of a valid State of Illinois conditional or permanent adult-use dispensing organization license, with license number, issuance date, and expiration date. Conditional licensees must also document the timeline and conditions for conversion to permanent status.</w:t>
      </w:r>
    </w:p>
    <w:p>
      <w:pPr>
        <w:pStyle w:val="Compact"/>
        <w:numPr>
          <w:ilvl w:val="0"/>
          <w:numId w:val="1007"/>
        </w:numPr>
      </w:pPr>
      <w:r>
        <w:rPr>
          <w:b/>
          <w:bCs/>
        </w:rPr>
        <w:t xml:space="preserve">Evidence in package:</w:t>
      </w:r>
      <w:r>
        <w:t xml:space="preserve"> </w:t>
      </w:r>
      <w:r>
        <w:t xml:space="preserve">Conditional Adult-Use Dispensing Organization License No. ADC-285-0147 is provided in full. Issued September 22, 2023; expires September 21, 2024. Licensee: Greenleaf Therapeutics LLC. Proposed location: 1420 Sherman Ave., Unit B. The license documents the 180-day conversion requirement (Condition 2), the 12-month validity (Condition 3), and the extension-petition mechanism (Condition 4). The business plan (Section 9.1) addresses the conversion timeline.</w:t>
      </w:r>
    </w:p>
    <w:p>
      <w:pPr>
        <w:pStyle w:val="Compact"/>
        <w:numPr>
          <w:ilvl w:val="0"/>
          <w:numId w:val="1007"/>
        </w:numPr>
      </w:pPr>
      <w:r>
        <w:rPr>
          <w:b/>
          <w:bCs/>
        </w:rPr>
        <w:t xml:space="preserve">Status: Met — with a material timing risk.</w:t>
      </w:r>
      <w:r>
        <w:t xml:space="preserve"> </w:t>
      </w:r>
      <w:r>
        <w:t xml:space="preserve">The license is valid and properly documented. However, the conditional license</w:t>
      </w:r>
      <w:r>
        <w:t xml:space="preserve"> </w:t>
      </w:r>
      <w:r>
        <w:rPr>
          <w:b/>
          <w:bCs/>
        </w:rPr>
        <w:t xml:space="preserve">expires September 21, 2024</w:t>
      </w:r>
      <w:r>
        <w:t xml:space="preserve">, and the City’s 120–150 day processing timeline from a May 15, 2024 submission projects permit issuance in approximately mid-September to mid-October 2024 — at or after the license expiration. Code § 9-5-27(D) requires a valid State license at all times; lapse of the State license automatically suspends the local permit.</w:t>
      </w:r>
    </w:p>
    <w:p>
      <w:pPr>
        <w:pStyle w:val="Compact"/>
        <w:numPr>
          <w:ilvl w:val="0"/>
          <w:numId w:val="1007"/>
        </w:numPr>
      </w:pPr>
      <w:r>
        <w:rPr>
          <w:b/>
          <w:bCs/>
        </w:rPr>
        <w:t xml:space="preserve">Remediation:</w:t>
      </w:r>
      <w:r>
        <w:t xml:space="preserve"> </w:t>
      </w:r>
      <w:r>
        <w:t xml:space="preserve">Closely monitor the conversion timeline.</w:t>
      </w:r>
      <w:r>
        <w:t xml:space="preserve"> </w:t>
      </w:r>
      <w:r>
        <w:rPr>
          <w:b/>
          <w:bCs/>
        </w:rPr>
        <w:t xml:space="preserve">Strongly consider petitioning IDFPR for a single 6-month extension</w:t>
      </w:r>
      <w:r>
        <w:t xml:space="preserve"> </w:t>
      </w:r>
      <w:r>
        <w:t xml:space="preserve">under License Condition 4, which requires the petition to be filed no later than 60 days before expiration (i.e., by approximately July 23, 2024). Document the conversion plan and any extension in the application. Ensure the application form (Q9) is completed with the license details and any conditions/restrictions noted.</w:t>
      </w:r>
    </w:p>
    <w:bookmarkEnd w:id="27"/>
    <w:bookmarkStart w:id="28" w:name="X8effbed312e9b45954de1b846a718af7465a8b8"/>
    <w:p>
      <w:pPr>
        <w:pStyle w:val="Heading3"/>
      </w:pPr>
      <w:r>
        <w:t xml:space="preserve">Item 4 — Entity Formation and Organizational Documents</w:t>
      </w:r>
    </w:p>
    <w:p>
      <w:pPr>
        <w:pStyle w:val="Compact"/>
        <w:numPr>
          <w:ilvl w:val="0"/>
          <w:numId w:val="1008"/>
        </w:numPr>
      </w:pPr>
      <w:r>
        <w:rPr>
          <w:b/>
          <w:bCs/>
        </w:rPr>
        <w:t xml:space="preserve">Authority:</w:t>
      </w:r>
      <w:r>
        <w:t xml:space="preserve"> </w:t>
      </w:r>
      <w:r>
        <w:t xml:space="preserve">Code § 9-5-5(B)(3); Guide Item 4; Application Form checklist.</w:t>
      </w:r>
    </w:p>
    <w:p>
      <w:pPr>
        <w:pStyle w:val="Compact"/>
        <w:numPr>
          <w:ilvl w:val="0"/>
          <w:numId w:val="1008"/>
        </w:numPr>
      </w:pPr>
      <w:r>
        <w:rPr>
          <w:b/>
          <w:bCs/>
        </w:rPr>
        <w:t xml:space="preserve">Requirement:</w:t>
      </w:r>
      <w:r>
        <w:t xml:space="preserve"> </w:t>
      </w:r>
      <w:r>
        <w:t xml:space="preserve">Articles of Organization/Incorporation; Operating Agreement or Bylaws; Certificate of Good Standing from the Illinois Secretary of State (Code: within preceding 60 days; Form checklist: within 30 days); EIN verification letter from the IRS; and an ownership chart identifying all members, managers, officers, and directors with ownership percentages.</w:t>
      </w:r>
    </w:p>
    <w:p>
      <w:pPr>
        <w:pStyle w:val="Compact"/>
        <w:numPr>
          <w:ilvl w:val="0"/>
          <w:numId w:val="1008"/>
        </w:numPr>
      </w:pPr>
      <w:r>
        <w:rPr>
          <w:b/>
          <w:bCs/>
        </w:rPr>
        <w:t xml:space="preserve">Evidence in package:</w:t>
      </w:r>
      <w:r>
        <w:t xml:space="preserve"> </w:t>
      </w:r>
      <w:r>
        <w:t xml:space="preserve">The business plan (Section 2.1) documents: Illinois LLC formed March 14, 2023; EIN 88-3921047; ILSOS File Number LLC-07842319; governing statute 805 ILCS 180/. It states the Company is in good standing and that</w:t>
      </w:r>
      <w:r>
        <w:t xml:space="preserve"> </w:t>
      </w:r>
      <w:r>
        <w:t xml:space="preserve">“</w:t>
      </w:r>
      <w:r>
        <w:t xml:space="preserve">Articles of Organization and Operating Agreement are on file and available for regulatory review upon request.</w:t>
      </w:r>
      <w:r>
        <w:t xml:space="preserve">”</w:t>
      </w:r>
      <w:r>
        <w:t xml:space="preserve"> </w:t>
      </w:r>
      <w:r>
        <w:t xml:space="preserve">The actual formation documents, Certificate of Good Standing, IRS EIN verification letter, and ownership chart are</w:t>
      </w:r>
      <w:r>
        <w:t xml:space="preserve"> </w:t>
      </w:r>
      <w:r>
        <w:rPr>
          <w:b/>
          <w:bCs/>
        </w:rPr>
        <w:t xml:space="preserve">not included</w:t>
      </w:r>
      <w:r>
        <w:t xml:space="preserve"> </w:t>
      </w:r>
      <w:r>
        <w:t xml:space="preserve">in the package — only referenced.</w:t>
      </w:r>
    </w:p>
    <w:p>
      <w:pPr>
        <w:pStyle w:val="Compact"/>
        <w:numPr>
          <w:ilvl w:val="0"/>
          <w:numId w:val="1008"/>
        </w:numPr>
      </w:pPr>
      <w:r>
        <w:rPr>
          <w:b/>
          <w:bCs/>
        </w:rPr>
        <w:t xml:space="preserve">Status: Partially Met.</w:t>
      </w:r>
      <w:r>
        <w:t xml:space="preserve"> </w:t>
      </w:r>
      <w:r>
        <w:t xml:space="preserve">Entity identity and good standing are attested in the business plan, but the required documentary exhibits are absent.</w:t>
      </w:r>
    </w:p>
    <w:p>
      <w:pPr>
        <w:pStyle w:val="Compact"/>
        <w:numPr>
          <w:ilvl w:val="0"/>
          <w:numId w:val="1008"/>
        </w:numPr>
      </w:pPr>
      <w:r>
        <w:rPr>
          <w:b/>
          <w:bCs/>
        </w:rPr>
        <w:t xml:space="preserve">Remediation:</w:t>
      </w:r>
      <w:r>
        <w:t xml:space="preserve"> </w:t>
      </w:r>
      <w:r>
        <w:t xml:space="preserve">Obtain and include: (a) filed Articles of Organization; (b) fully executed Operating Agreement; (c) Certificate of Good Standing from the Illinois Secretary of State dated</w:t>
      </w:r>
      <w:r>
        <w:t xml:space="preserve"> </w:t>
      </w:r>
      <w:r>
        <w:rPr>
          <w:b/>
          <w:bCs/>
        </w:rPr>
        <w:t xml:space="preserve">within 30 days of submission</w:t>
      </w:r>
      <w:r>
        <w:t xml:space="preserve"> </w:t>
      </w:r>
      <w:r>
        <w:t xml:space="preserve">(the most restrictive standard — see discrepancy D-6); (d) IRS EIN verification letter (CP 575 or 147C); (e) an ownership chart showing Okonkwo (60%, Managing Member) and Ramachandran (40%, Silent Member).</w:t>
      </w:r>
      <w:r>
        <w:t xml:space="preserve"> </w:t>
      </w:r>
      <w:r>
        <w:rPr>
          <w:b/>
          <w:bCs/>
        </w:rPr>
        <w:t xml:space="preserve">Reconcile the registered-agent discrepancy</w:t>
      </w:r>
      <w:r>
        <w:t xml:space="preserve"> </w:t>
      </w:r>
      <w:r>
        <w:t xml:space="preserve">(D-1): the State license lists</w:t>
      </w:r>
      <w:r>
        <w:t xml:space="preserve"> </w:t>
      </w:r>
      <w:r>
        <w:t xml:space="preserve">“</w:t>
      </w:r>
      <w:r>
        <w:t xml:space="preserve">Keystone Statutory Services,</w:t>
      </w:r>
      <w:r>
        <w:t xml:space="preserve">”</w:t>
      </w:r>
      <w:r>
        <w:t xml:space="preserve"> </w:t>
      </w:r>
      <w:r>
        <w:t xml:space="preserve">while the business plan and lease summary list</w:t>
      </w:r>
      <w:r>
        <w:t xml:space="preserve"> </w:t>
      </w:r>
      <w:r>
        <w:t xml:space="preserve">“</w:t>
      </w:r>
      <w:r>
        <w:t xml:space="preserve">Northwest Statutory Services.</w:t>
      </w:r>
      <w:r>
        <w:t xml:space="preserve">”</w:t>
      </w:r>
    </w:p>
    <w:bookmarkEnd w:id="28"/>
    <w:bookmarkStart w:id="29" w:name="Xc0b54eb2b3c198ba6e31ab50deec32a911508a6"/>
    <w:p>
      <w:pPr>
        <w:pStyle w:val="Heading3"/>
      </w:pPr>
      <w:r>
        <w:t xml:space="preserve">Item 5 — Principal Officer and Owner Disclosures (all 5%+ owners)</w:t>
      </w:r>
    </w:p>
    <w:p>
      <w:pPr>
        <w:pStyle w:val="Compact"/>
        <w:numPr>
          <w:ilvl w:val="0"/>
          <w:numId w:val="1009"/>
        </w:numPr>
      </w:pPr>
      <w:r>
        <w:rPr>
          <w:b/>
          <w:bCs/>
        </w:rPr>
        <w:t xml:space="preserve">Authority:</w:t>
      </w:r>
      <w:r>
        <w:t xml:space="preserve"> </w:t>
      </w:r>
      <w:r>
        <w:t xml:space="preserve">Code § 9-5-5(B)(4); § 9-5-22; Guide Item 5; Application Form Sections 2 (Q11, Q12) and 10 (Q14A–C).</w:t>
      </w:r>
    </w:p>
    <w:p>
      <w:pPr>
        <w:pStyle w:val="Compact"/>
        <w:numPr>
          <w:ilvl w:val="0"/>
          <w:numId w:val="1009"/>
        </w:numPr>
      </w:pPr>
      <w:r>
        <w:rPr>
          <w:b/>
          <w:bCs/>
        </w:rPr>
        <w:t xml:space="preserve">Requirement:</w:t>
      </w:r>
      <w:r>
        <w:t xml:space="preserve"> </w:t>
      </w:r>
      <w:r>
        <w:t xml:space="preserve">For each principal officer, board member, and person holding 5%+ ownership: (a) completed Individual Disclosure Form; (b) government-issued photo ID; (c) proof of residency dated within 90 days; (d) fingerprint-based background check authorization (IL State Police + FBI); (e) criminal history disclosure. Code § 9-5-5(B)(4) requires full legal name, date of birth, current home address, ownership percentage, role/title, and Social Security number. Background check results must be received before the application is deemed complete (§ 9-5-22(E)).</w:t>
      </w:r>
    </w:p>
    <w:p>
      <w:pPr>
        <w:pStyle w:val="Compact"/>
        <w:numPr>
          <w:ilvl w:val="0"/>
          <w:numId w:val="1009"/>
        </w:numPr>
      </w:pPr>
      <w:r>
        <w:rPr>
          <w:b/>
          <w:bCs/>
        </w:rPr>
        <w:t xml:space="preserve">Evidence in package:</w:t>
      </w:r>
      <w:r>
        <w:t xml:space="preserve"> </w:t>
      </w:r>
      <w:r>
        <w:t xml:space="preserve">Two principal officers are identified in the State license and business plan:</w:t>
      </w:r>
      <w:r>
        <w:t xml:space="preserve"> </w:t>
      </w:r>
      <w:r>
        <w:rPr>
          <w:b/>
          <w:bCs/>
        </w:rPr>
        <w:t xml:space="preserve">Dara Okonkwo</w:t>
      </w:r>
      <w:r>
        <w:t xml:space="preserve"> </w:t>
      </w:r>
      <w:r>
        <w:t xml:space="preserve">(60%, Managing Member, Agent-in-Charge, Evanston resident, IL Pharmacist License 051-302887, age 38) and</w:t>
      </w:r>
      <w:r>
        <w:t xml:space="preserve"> </w:t>
      </w:r>
      <w:r>
        <w:rPr>
          <w:b/>
          <w:bCs/>
        </w:rPr>
        <w:t xml:space="preserve">Felix Ramachandran</w:t>
      </w:r>
      <w:r>
        <w:t xml:space="preserve"> </w:t>
      </w:r>
      <w:r>
        <w:t xml:space="preserve">(40%, Silent Member, Wilmette resident, age 44, no criminal history). Okonkwo’s prior 2016 misdemeanor cannabis-possession conviction (expunged 2020) is disclosed in the business plan. The application form’s ownership tables (Q11, Q12), background check authorization (Q14A), criminal history disclosure (Q14B), and supplemental disclosure (Q14C) are all</w:t>
      </w:r>
      <w:r>
        <w:t xml:space="preserve"> </w:t>
      </w:r>
      <w:r>
        <w:rPr>
          <w:b/>
          <w:bCs/>
        </w:rPr>
        <w:t xml:space="preserve">blank</w:t>
      </w:r>
      <w:r>
        <w:t xml:space="preserve">. No Individual Disclosure Forms, photo IDs, proof-of-residency documents, signed background check authorizations, or fingerprint receipts are included.</w:t>
      </w:r>
    </w:p>
    <w:p>
      <w:pPr>
        <w:pStyle w:val="Compact"/>
        <w:numPr>
          <w:ilvl w:val="0"/>
          <w:numId w:val="1009"/>
        </w:numPr>
      </w:pPr>
      <w:r>
        <w:rPr>
          <w:b/>
          <w:bCs/>
        </w:rPr>
        <w:t xml:space="preserve">Status: Partially Met.</w:t>
      </w:r>
      <w:r>
        <w:t xml:space="preserve"> </w:t>
      </w:r>
      <w:r>
        <w:t xml:space="preserve">The principal officers are identified and their backgrounds are described, but none of the required per-individual disclosure forms, identity/residency documents, background check authorizations, or fingerprint receipts are present.</w:t>
      </w:r>
    </w:p>
    <w:p>
      <w:pPr>
        <w:pStyle w:val="Compact"/>
        <w:numPr>
          <w:ilvl w:val="0"/>
          <w:numId w:val="1009"/>
        </w:numPr>
      </w:pPr>
      <w:r>
        <w:rPr>
          <w:b/>
          <w:bCs/>
        </w:rPr>
        <w:t xml:space="preserve">Remediation:</w:t>
      </w:r>
      <w:r>
        <w:t xml:space="preserve"> </w:t>
      </w:r>
      <w:r>
        <w:t xml:space="preserve">For</w:t>
      </w:r>
      <w:r>
        <w:t xml:space="preserve"> </w:t>
      </w:r>
      <w:r>
        <w:rPr>
          <w:b/>
          <w:bCs/>
        </w:rPr>
        <w:t xml:space="preserve">both</w:t>
      </w:r>
      <w:r>
        <w:t xml:space="preserve"> </w:t>
      </w:r>
      <w:r>
        <w:t xml:space="preserve">Okonkwo and Ramachandran, prepare and include: (a) completed Individual Disclosure Forms (Appendix A); (b) copies of government-issued photo ID; (c) proof of residency (utility bill, bank statement, or lease dated within 90 days); (d) signed background check authorization forms (Q14A) with full SSN (Code requires full SSN; the form requests last four only — see D-7); (e) completed criminal history disclosures (Q14B) — Okonkwo must disclose the 2016 conviction and 2020 expungement with court order number; (f) schedule fingerprinting at an approved Live Scan vendor and include fingerprint receipts. Note: Okonkwo’s expunged conviction is</w:t>
      </w:r>
      <w:r>
        <w:t xml:space="preserve"> </w:t>
      </w:r>
      <w:r>
        <w:rPr>
          <w:b/>
          <w:bCs/>
        </w:rPr>
        <w:t xml:space="preserve">not disqualifying</w:t>
      </w:r>
      <w:r>
        <w:t xml:space="preserve"> </w:t>
      </w:r>
      <w:r>
        <w:t xml:space="preserve">under § 9-5-22(D)(3) but must still be disclosed.</w:t>
      </w:r>
    </w:p>
    <w:bookmarkEnd w:id="29"/>
    <w:bookmarkStart w:id="30" w:name="X9e49a96636805942fe354aef87e21791e827c95"/>
    <w:p>
      <w:pPr>
        <w:pStyle w:val="Heading3"/>
      </w:pPr>
      <w:r>
        <w:t xml:space="preserve">Item 6 — Proof of Right to Occupy Proposed Location</w:t>
      </w:r>
    </w:p>
    <w:p>
      <w:pPr>
        <w:pStyle w:val="Compact"/>
        <w:numPr>
          <w:ilvl w:val="0"/>
          <w:numId w:val="1010"/>
        </w:numPr>
      </w:pPr>
      <w:r>
        <w:rPr>
          <w:b/>
          <w:bCs/>
        </w:rPr>
        <w:t xml:space="preserve">Authority:</w:t>
      </w:r>
      <w:r>
        <w:t xml:space="preserve"> </w:t>
      </w:r>
      <w:r>
        <w:t xml:space="preserve">Code § 9-5-5(B)(5); Guide Item 6; Application Form Section 3 (Q4).</w:t>
      </w:r>
    </w:p>
    <w:p>
      <w:pPr>
        <w:pStyle w:val="Compact"/>
        <w:numPr>
          <w:ilvl w:val="0"/>
          <w:numId w:val="1010"/>
        </w:numPr>
      </w:pPr>
      <w:r>
        <w:rPr>
          <w:b/>
          <w:bCs/>
        </w:rPr>
        <w:t xml:space="preserve">Requirement:</w:t>
      </w:r>
      <w:r>
        <w:t xml:space="preserve"> </w:t>
      </w:r>
      <w:r>
        <w:t xml:space="preserve">Executed lease with a remaining term of not less than 3 years from the anticipated date of permit issuance (Code) / from the date of application submission inclusive of renewal options (Guide), containing an express provision permitting cannabis dispensary operations, plus a signed Landlord Acknowledgment and Consent Form.</w:t>
      </w:r>
    </w:p>
    <w:p>
      <w:pPr>
        <w:pStyle w:val="Compact"/>
        <w:numPr>
          <w:ilvl w:val="0"/>
          <w:numId w:val="1010"/>
        </w:numPr>
      </w:pPr>
      <w:r>
        <w:rPr>
          <w:b/>
          <w:bCs/>
        </w:rPr>
        <w:t xml:space="preserve">Evidence in package:</w:t>
      </w:r>
      <w:r>
        <w:t xml:space="preserve"> </w:t>
      </w:r>
      <w:r>
        <w:t xml:space="preserve">A detailed Summary of Key Lease Terms is provided. The Commercial Lease Agreement was executed January 8, 2024, between Kimball Properties Inc. (Landlord) and Greenleaf (Tenant). Initial term: 7 years (January 8, 2024 – January 7, 2031), plus two 3-year renewal options (total potential 13 years). The lease expressly permits cannabis dispensary use (Section 5), and the Landlord’s Cannabis Use Acknowledgment and Consent is executed as Exhibit D. The remaining term from a May 2024 submission is approximately 6.7 years — well above the 3-year minimum.</w:t>
      </w:r>
    </w:p>
    <w:p>
      <w:pPr>
        <w:pStyle w:val="Compact"/>
        <w:numPr>
          <w:ilvl w:val="0"/>
          <w:numId w:val="1010"/>
        </w:numPr>
      </w:pPr>
      <w:r>
        <w:rPr>
          <w:b/>
          <w:bCs/>
        </w:rPr>
        <w:t xml:space="preserve">Status: Met — Substantive / Documentation Outstanding.</w:t>
      </w:r>
      <w:r>
        <w:t xml:space="preserve"> </w:t>
      </w:r>
      <w:r>
        <w:t xml:space="preserve">The lease terms fully satisfy the Code and Guide requirements. However, only a</w:t>
      </w:r>
      <w:r>
        <w:t xml:space="preserve"> </w:t>
      </w:r>
      <w:r>
        <w:rPr>
          <w:b/>
          <w:bCs/>
        </w:rPr>
        <w:t xml:space="preserve">summary</w:t>
      </w:r>
      <w:r>
        <w:t xml:space="preserve"> </w:t>
      </w:r>
      <w:r>
        <w:t xml:space="preserve">is included; the full executed lease agreement and its exhibits (A–E) are stated to be</w:t>
      </w:r>
      <w:r>
        <w:t xml:space="preserve"> </w:t>
      </w:r>
      <w:r>
        <w:t xml:space="preserve">“</w:t>
      </w:r>
      <w:r>
        <w:t xml:space="preserve">available upon request</w:t>
      </w:r>
      <w:r>
        <w:t xml:space="preserve">”</w:t>
      </w:r>
      <w:r>
        <w:t xml:space="preserve"> </w:t>
      </w:r>
      <w:r>
        <w:t xml:space="preserve">and</w:t>
      </w:r>
      <w:r>
        <w:t xml:space="preserve"> </w:t>
      </w:r>
      <w:r>
        <w:t xml:space="preserve">“</w:t>
      </w:r>
      <w:r>
        <w:t xml:space="preserve">will be included in the full application package.</w:t>
      </w:r>
      <w:r>
        <w:t xml:space="preserve">”</w:t>
      </w:r>
    </w:p>
    <w:p>
      <w:pPr>
        <w:pStyle w:val="Compact"/>
        <w:numPr>
          <w:ilvl w:val="0"/>
          <w:numId w:val="1010"/>
        </w:numPr>
      </w:pPr>
      <w:r>
        <w:rPr>
          <w:b/>
          <w:bCs/>
        </w:rPr>
        <w:t xml:space="preserve">Remediation:</w:t>
      </w:r>
      <w:r>
        <w:t xml:space="preserve"> </w:t>
      </w:r>
      <w:r>
        <w:t xml:space="preserve">Include the</w:t>
      </w:r>
      <w:r>
        <w:t xml:space="preserve"> </w:t>
      </w:r>
      <w:r>
        <w:rPr>
          <w:b/>
          <w:bCs/>
        </w:rPr>
        <w:t xml:space="preserve">full executed lease agreement and all exhibits</w:t>
      </w:r>
      <w:r>
        <w:t xml:space="preserve"> </w:t>
      </w:r>
      <w:r>
        <w:t xml:space="preserve">in the submission, particularly Exhibit A (floor plan), Exhibit C (survey), and Exhibit D (Landlord’s Cannabis Use Acknowledgment and Consent). Complete the lease-information fields in Application Form Section 3 (Q4), including landlord name, execution/start/end dates, renewal options, and the cannabis-use confirmation.</w:t>
      </w:r>
    </w:p>
    <w:bookmarkEnd w:id="30"/>
    <w:bookmarkStart w:id="31" w:name="X0be84c03201def04eaf35f7c072d096b8c75431"/>
    <w:p>
      <w:pPr>
        <w:pStyle w:val="Heading3"/>
      </w:pPr>
      <w:r>
        <w:t xml:space="preserve">Item 7 — Site Plan and Floor Plan (architect/engineer certified)</w:t>
      </w:r>
    </w:p>
    <w:p>
      <w:pPr>
        <w:pStyle w:val="Compact"/>
        <w:numPr>
          <w:ilvl w:val="0"/>
          <w:numId w:val="1011"/>
        </w:numPr>
      </w:pPr>
      <w:r>
        <w:rPr>
          <w:b/>
          <w:bCs/>
        </w:rPr>
        <w:t xml:space="preserve">Authority:</w:t>
      </w:r>
      <w:r>
        <w:t xml:space="preserve"> </w:t>
      </w:r>
      <w:r>
        <w:t xml:space="preserve">Code § 9-5-5(B)(6); Guide Item 7; Application Form Section 3 (Q5).</w:t>
      </w:r>
    </w:p>
    <w:p>
      <w:pPr>
        <w:pStyle w:val="Compact"/>
        <w:numPr>
          <w:ilvl w:val="0"/>
          <w:numId w:val="1011"/>
        </w:numPr>
      </w:pPr>
      <w:r>
        <w:rPr>
          <w:b/>
          <w:bCs/>
        </w:rPr>
        <w:t xml:space="preserve">Requirement:</w:t>
      </w:r>
      <w:r>
        <w:t xml:space="preserve"> </w:t>
      </w:r>
      <w:r>
        <w:t xml:space="preserve">Professionally prepared, scaled site plan and floor plan showing: property boundaries and dispensary footprint; interior layout with square footage for each functional area (retail, secure storage, office/employee, vestibule/waiting, other); all entry/exit points; security camera locations; POS area; secure storage vault; ADA features; parking; signage. Plans must be prepared or certified by a licensed architect or engineer.</w:t>
      </w:r>
    </w:p>
    <w:p>
      <w:pPr>
        <w:pStyle w:val="Compact"/>
        <w:numPr>
          <w:ilvl w:val="0"/>
          <w:numId w:val="1011"/>
        </w:numPr>
      </w:pPr>
      <w:r>
        <w:rPr>
          <w:b/>
          <w:bCs/>
        </w:rPr>
        <w:t xml:space="preserve">Evidence in package:</w:t>
      </w:r>
      <w:r>
        <w:t xml:space="preserve"> </w:t>
      </w:r>
      <w:r>
        <w:t xml:space="preserve">The business plan (Section 3.1) and lease summary (Section 2) describe the floor plan: 3,200 sq ft total — retail 1,600, secure storage 800, office/employee 600, vestibule 200. The floor plan is referenced as Appendix D to the business plan and Exhibit A to the lease. The</w:t>
      </w:r>
      <w:r>
        <w:t xml:space="preserve"> </w:t>
      </w:r>
      <w:r>
        <w:rPr>
          <w:b/>
          <w:bCs/>
        </w:rPr>
        <w:t xml:space="preserve">actual architect/engineer-certified drawings are not included</w:t>
      </w:r>
      <w:r>
        <w:t xml:space="preserve"> </w:t>
      </w:r>
      <w:r>
        <w:t xml:space="preserve">in the package.</w:t>
      </w:r>
    </w:p>
    <w:p>
      <w:pPr>
        <w:pStyle w:val="Compact"/>
        <w:numPr>
          <w:ilvl w:val="0"/>
          <w:numId w:val="1011"/>
        </w:numPr>
      </w:pPr>
      <w:r>
        <w:rPr>
          <w:b/>
          <w:bCs/>
        </w:rPr>
        <w:t xml:space="preserve">Status: Partially Met.</w:t>
      </w:r>
      <w:r>
        <w:t xml:space="preserve"> </w:t>
      </w:r>
      <w:r>
        <w:t xml:space="preserve">The layout and square-footage breakdown are documented, but the required certified drawings are absent.</w:t>
      </w:r>
    </w:p>
    <w:p>
      <w:pPr>
        <w:pStyle w:val="Compact"/>
        <w:numPr>
          <w:ilvl w:val="0"/>
          <w:numId w:val="1011"/>
        </w:numPr>
      </w:pPr>
      <w:r>
        <w:rPr>
          <w:b/>
          <w:bCs/>
        </w:rPr>
        <w:t xml:space="preserve">Remediation:</w:t>
      </w:r>
      <w:r>
        <w:t xml:space="preserve"> </w:t>
      </w:r>
      <w:r>
        <w:t xml:space="preserve">Include the professionally prepared, scaled site plan and floor plan, certified by a licensed Illinois architect or engineer, depicting all required elements (boundaries, interior layout with square footage, entries/exits, camera locations, POS, secure storage, ADA features, parking, signage). Complete the square-footage table in Application Form Section 3 (Q2) and reference the site plan exhibit in Q5.</w:t>
      </w:r>
    </w:p>
    <w:bookmarkEnd w:id="31"/>
    <w:bookmarkStart w:id="32" w:name="Xa3901af8826766a8b0878c6876f59299f899d40"/>
    <w:p>
      <w:pPr>
        <w:pStyle w:val="Heading3"/>
      </w:pPr>
      <w:r>
        <w:t xml:space="preserve">Item 8 — Buffer Distance Certification (survey/measurement)</w:t>
      </w:r>
    </w:p>
    <w:p>
      <w:pPr>
        <w:pStyle w:val="Compact"/>
        <w:numPr>
          <w:ilvl w:val="0"/>
          <w:numId w:val="1012"/>
        </w:numPr>
      </w:pPr>
      <w:r>
        <w:rPr>
          <w:b/>
          <w:bCs/>
        </w:rPr>
        <w:t xml:space="preserve">Authority:</w:t>
      </w:r>
      <w:r>
        <w:t xml:space="preserve"> </w:t>
      </w:r>
      <w:r>
        <w:t xml:space="preserve">Code § 9-5-5(B)(7); § 9-5-9(B),(C); Guide Item 8; Application Form Section 3 (Q6, Q7, Q8).</w:t>
      </w:r>
    </w:p>
    <w:p>
      <w:pPr>
        <w:pStyle w:val="Compact"/>
        <w:numPr>
          <w:ilvl w:val="0"/>
          <w:numId w:val="1012"/>
        </w:numPr>
      </w:pPr>
      <w:r>
        <w:rPr>
          <w:b/>
          <w:bCs/>
        </w:rPr>
        <w:t xml:space="preserve">Requirement:</w:t>
      </w:r>
      <w:r>
        <w:t xml:space="preserve"> </w:t>
      </w:r>
      <w:r>
        <w:t xml:space="preserve">A certified survey or professional measurement report by a licensed Illinois land surveyor or professional engineer demonstrating compliance with buffer distances: ≥1,000 ft from any K-12 school; ≥500 ft from any licensed daycare center; ≥1,500 ft from any other licensed cannabis dispensary. Distances measured from nearest property line to nearest property line (Code § 9-5-9(C)). The application form (Q7) additionally requires distances measured</w:t>
      </w:r>
      <w:r>
        <w:t xml:space="preserve"> </w:t>
      </w:r>
      <w:r>
        <w:rPr>
          <w:b/>
          <w:bCs/>
        </w:rPr>
        <w:t xml:space="preserve">along the nearest pedestrian route</w:t>
      </w:r>
      <w:r>
        <w:t xml:space="preserve"> </w:t>
      </w:r>
      <w:r>
        <w:t xml:space="preserve">and states that</w:t>
      </w:r>
      <w:r>
        <w:t xml:space="preserve"> </w:t>
      </w:r>
      <w:r>
        <w:t xml:space="preserve">“</w:t>
      </w:r>
      <w:r>
        <w:t xml:space="preserve">straight-line or</w:t>
      </w:r>
      <w:r>
        <w:t xml:space="preserve"> </w:t>
      </w:r>
      <w:r>
        <w:t xml:space="preserve">‘</w:t>
      </w:r>
      <w:r>
        <w:t xml:space="preserve">as the crow flies</w:t>
      </w:r>
      <w:r>
        <w:t xml:space="preserve">’</w:t>
      </w:r>
      <w:r>
        <w:t xml:space="preserve"> </w:t>
      </w:r>
      <w:r>
        <w:t xml:space="preserve">measurements are not acceptable.</w:t>
      </w:r>
      <w:r>
        <w:t xml:space="preserve">”</w:t>
      </w:r>
      <w:r>
        <w:t xml:space="preserve"> </w:t>
      </w:r>
      <w:r>
        <w:t xml:space="preserve">The form requires the survey to be dated within 60 days of submission.</w:t>
      </w:r>
    </w:p>
    <w:p>
      <w:pPr>
        <w:pStyle w:val="Compact"/>
        <w:numPr>
          <w:ilvl w:val="0"/>
          <w:numId w:val="1012"/>
        </w:numPr>
      </w:pPr>
      <w:r>
        <w:rPr>
          <w:b/>
          <w:bCs/>
        </w:rPr>
        <w:t xml:space="preserve">Evidence in package:</w:t>
      </w:r>
      <w:r>
        <w:t xml:space="preserve"> </w:t>
      </w:r>
      <w:r>
        <w:t xml:space="preserve">The lease summary (Section 6) includes a survey by Meridian Land Surveyors LLC (IPLS License #035-004728), dated</w:t>
      </w:r>
      <w:r>
        <w:t xml:space="preserve"> </w:t>
      </w:r>
      <w:r>
        <w:rPr>
          <w:b/>
          <w:bCs/>
        </w:rPr>
        <w:t xml:space="preserve">December 15, 2023</w:t>
      </w:r>
      <w:r>
        <w:t xml:space="preserve">. Reported straight-line distances: Chute Middle School — 1,180 ft (req. 1,000); Tiny Acorns Learning Center (daycare) — 890 ft (req. 500); Prairie Wellness Dispensary — 2,100 ft (req. 1,500). All exceed the minimums on a straight-line basis. The lease summary itself flags that the survey uses straight-line measurements while the application form requires pedestrian-route measurements.</w:t>
      </w:r>
    </w:p>
    <w:p>
      <w:pPr>
        <w:pStyle w:val="Compact"/>
        <w:numPr>
          <w:ilvl w:val="0"/>
          <w:numId w:val="1012"/>
        </w:numPr>
      </w:pPr>
      <w:r>
        <w:rPr>
          <w:b/>
          <w:bCs/>
        </w:rPr>
        <w:t xml:space="preserve">Status: Partially Met — At Risk.</w:t>
      </w:r>
      <w:r>
        <w:t xml:space="preserve"> </w:t>
      </w:r>
      <w:r>
        <w:t xml:space="preserve">Three issues: (1)</w:t>
      </w:r>
      <w:r>
        <w:t xml:space="preserve"> </w:t>
      </w:r>
      <w:r>
        <w:rPr>
          <w:b/>
          <w:bCs/>
        </w:rPr>
        <w:t xml:space="preserve">Measurement methodology</w:t>
      </w:r>
      <w:r>
        <w:t xml:space="preserve"> </w:t>
      </w:r>
      <w:r>
        <w:t xml:space="preserve">— the survey uses straight-line (Euclidean) distances, but the application form (Q7) expressly requires pedestrian-route measurements and rejects straight-line measurements. The Guide (Item 8) incorporates the form’s methodology by reference. (2)</w:t>
      </w:r>
      <w:r>
        <w:t xml:space="preserve"> </w:t>
      </w:r>
      <w:r>
        <w:rPr>
          <w:b/>
          <w:bCs/>
        </w:rPr>
        <w:t xml:space="preserve">Survey recency</w:t>
      </w:r>
      <w:r>
        <w:t xml:space="preserve"> </w:t>
      </w:r>
      <w:r>
        <w:t xml:space="preserve">— the survey is dated December 15, 2023; for a May 15, 2024 submission, it is approximately 5 months old, exceeding the 60-day recency requirement. (3) The survey was commissioned by the Landlord, not the applicant (acceptable, but the applicant must independently verify and submit pedestrian-route measurements).</w:t>
      </w:r>
    </w:p>
    <w:p>
      <w:pPr>
        <w:pStyle w:val="Compact"/>
        <w:numPr>
          <w:ilvl w:val="0"/>
          <w:numId w:val="1012"/>
        </w:numPr>
      </w:pPr>
      <w:r>
        <w:rPr>
          <w:b/>
          <w:bCs/>
        </w:rPr>
        <w:t xml:space="preserve">Remediation:</w:t>
      </w:r>
      <w:r>
        <w:t xml:space="preserve"> </w:t>
      </w:r>
      <w:r>
        <w:t xml:space="preserve">Obtain a</w:t>
      </w:r>
      <w:r>
        <w:t xml:space="preserve"> </w:t>
      </w:r>
      <w:r>
        <w:rPr>
          <w:b/>
          <w:bCs/>
        </w:rPr>
        <w:t xml:space="preserve">new or updated survey/certification dated within 60 days of submission</w:t>
      </w:r>
      <w:r>
        <w:t xml:space="preserve">, prepared by a licensed Illinois land surveyor or professional engineer, providing</w:t>
      </w:r>
      <w:r>
        <w:t xml:space="preserve"> </w:t>
      </w:r>
      <w:r>
        <w:rPr>
          <w:b/>
          <w:bCs/>
        </w:rPr>
        <w:t xml:space="preserve">pedestrian-route measurements</w:t>
      </w:r>
      <w:r>
        <w:t xml:space="preserve"> </w:t>
      </w:r>
      <w:r>
        <w:t xml:space="preserve">from the nearest property line of the dispensary to the nearest property line of each sensitive use, identifying each use by name and address. Re-verify the school distance in particular: the straight-line margin is only 180 ft (1,180 vs. 1,000), and pedestrian-route distances are generally longer. Complete the buffer tables in Application Form Section 3 (Q6, Q7, Q8). Note: the Code itself (§ 9-5-9(C)) specifies property-line-to-property-line measurement without mandating a pedestrian route; the pedestrian-route requirement originates in the application form. Confirm the applicable methodology with the Coordinator if the form and Code appear to conflict.</w:t>
      </w:r>
    </w:p>
    <w:bookmarkEnd w:id="32"/>
    <w:bookmarkStart w:id="33" w:name="Xbf44869c9bc70d65b8bf5ac5731c44b6d671e1f"/>
    <w:p>
      <w:pPr>
        <w:pStyle w:val="Heading3"/>
      </w:pPr>
      <w:r>
        <w:t xml:space="preserve">Item 9 — Security Plan (consultant prepared/reviewed)</w:t>
      </w:r>
    </w:p>
    <w:p>
      <w:pPr>
        <w:pStyle w:val="Compact"/>
        <w:numPr>
          <w:ilvl w:val="0"/>
          <w:numId w:val="1013"/>
        </w:numPr>
      </w:pPr>
      <w:r>
        <w:rPr>
          <w:b/>
          <w:bCs/>
        </w:rPr>
        <w:t xml:space="preserve">Authority:</w:t>
      </w:r>
      <w:r>
        <w:t xml:space="preserve"> </w:t>
      </w:r>
      <w:r>
        <w:t xml:space="preserve">Code § 9-5-5(B)(9); § 9-5-13; Guide Item 9; Application Form Section 5 (Q15).</w:t>
      </w:r>
    </w:p>
    <w:p>
      <w:pPr>
        <w:pStyle w:val="Compact"/>
        <w:numPr>
          <w:ilvl w:val="0"/>
          <w:numId w:val="1013"/>
        </w:numPr>
      </w:pPr>
      <w:r>
        <w:rPr>
          <w:b/>
          <w:bCs/>
        </w:rPr>
        <w:t xml:space="preserve">Requirement:</w:t>
      </w:r>
      <w:r>
        <w:t xml:space="preserve"> </w:t>
      </w:r>
      <w:r>
        <w:t xml:space="preserve">A comprehensive security plan addressing: 24/7 video surveillance (min. 1080p, 30-day retention); camera placement map; panic alarm connected to EPD; secure vestibule with ID verification; cash handling/transport; after-hours security; employee security training. Prepared or reviewed by a qualified security consultant. Code § 9-5-13(A) requires camera coverage of all entrances/exits, retail floor, all POS, all secure storage, all cannabis-handling areas,</w:t>
      </w:r>
      <w:r>
        <w:t xml:space="preserve"> </w:t>
      </w:r>
      <w:r>
        <w:rPr>
          <w:b/>
          <w:bCs/>
        </w:rPr>
        <w:t xml:space="preserve">exterior including parking areas and loading zones, and any adjacent alleyways</w:t>
      </w:r>
      <w:r>
        <w:t xml:space="preserve">. § 9-5-13(B) requires panic alarm points at each POS, the main entrance, and the secure storage area, tested quarterly.</w:t>
      </w:r>
    </w:p>
    <w:p>
      <w:pPr>
        <w:pStyle w:val="Compact"/>
        <w:numPr>
          <w:ilvl w:val="0"/>
          <w:numId w:val="1013"/>
        </w:numPr>
      </w:pPr>
      <w:r>
        <w:rPr>
          <w:b/>
          <w:bCs/>
        </w:rPr>
        <w:t xml:space="preserve">Evidence in package:</w:t>
      </w:r>
      <w:r>
        <w:t xml:space="preserve"> </w:t>
      </w:r>
      <w:r>
        <w:t xml:space="preserve">The business plan (Section 5.3) provides a security plan overview prepared by Pinnacle Compliance Advisors LLC (Marcus Wren, Principal). It addresses 24/7 surveillance (1080p, 30-day retention), panic alarm connected to EPD, secure vestibule, access control, cash handling, and ID verification. Panic alarm points are listed at each POS, the vestibule ID station, the Dispensary Manager’s office, and the secure storage area.</w:t>
      </w:r>
      <w:r>
        <w:t xml:space="preserve"> </w:t>
      </w:r>
      <w:r>
        <w:rPr>
          <w:b/>
          <w:bCs/>
        </w:rPr>
        <w:t xml:space="preserve">However</w:t>
      </w:r>
      <w:r>
        <w:t xml:space="preserve">, the insurance memorandum reveals that</w:t>
      </w:r>
      <w:r>
        <w:t xml:space="preserve"> </w:t>
      </w:r>
      <w:r>
        <w:t xml:space="preserve">“</w:t>
      </w:r>
      <w:r>
        <w:t xml:space="preserve">the final security plan is still being finalized by Pinnacle Compliance Advisors LLC and has not yet been delivered.</w:t>
      </w:r>
      <w:r>
        <w:t xml:space="preserve">”</w:t>
      </w:r>
      <w:r>
        <w:t xml:space="preserve"> </w:t>
      </w:r>
      <w:r>
        <w:t xml:space="preserve">The standalone security plan document is</w:t>
      </w:r>
      <w:r>
        <w:t xml:space="preserve"> </w:t>
      </w:r>
      <w:r>
        <w:rPr>
          <w:b/>
          <w:bCs/>
        </w:rPr>
        <w:t xml:space="preserve">not included</w:t>
      </w:r>
      <w:r>
        <w:t xml:space="preserve">. Camera coverage is described for entrances/exits, vestibule, retail floor, secure storage, office, and hallways, but does</w:t>
      </w:r>
      <w:r>
        <w:t xml:space="preserve"> </w:t>
      </w:r>
      <w:r>
        <w:rPr>
          <w:b/>
          <w:bCs/>
        </w:rPr>
        <w:t xml:space="preserve">not explicitly address parking areas, loading zones, or adjacent alleyways</w:t>
      </w:r>
      <w:r>
        <w:t xml:space="preserve"> </w:t>
      </w:r>
      <w:r>
        <w:t xml:space="preserve">(the lease notes a rear service-alley entrance).</w:t>
      </w:r>
    </w:p>
    <w:p>
      <w:pPr>
        <w:pStyle w:val="Compact"/>
        <w:numPr>
          <w:ilvl w:val="0"/>
          <w:numId w:val="1013"/>
        </w:numPr>
      </w:pPr>
      <w:r>
        <w:rPr>
          <w:b/>
          <w:bCs/>
        </w:rPr>
        <w:t xml:space="preserve">Status: Partially Met.</w:t>
      </w:r>
      <w:r>
        <w:t xml:space="preserve"> </w:t>
      </w:r>
      <w:r>
        <w:t xml:space="preserve">A substantive overview is provided and the consultant is identified, but the finalized standalone security plan is incomplete and not included, and certain Code-required camera coverage areas are not explicitly addressed.</w:t>
      </w:r>
    </w:p>
    <w:p>
      <w:pPr>
        <w:pStyle w:val="Compact"/>
        <w:numPr>
          <w:ilvl w:val="0"/>
          <w:numId w:val="1013"/>
        </w:numPr>
      </w:pPr>
      <w:r>
        <w:rPr>
          <w:b/>
          <w:bCs/>
        </w:rPr>
        <w:t xml:space="preserve">Remediation:</w:t>
      </w:r>
      <w:r>
        <w:t xml:space="preserve"> </w:t>
      </w:r>
      <w:r>
        <w:t xml:space="preserve">Finalize and include the complete standalone security plan prepared by Pinnacle Compliance Advisors. Ensure explicit camera coverage of</w:t>
      </w:r>
      <w:r>
        <w:t xml:space="preserve"> </w:t>
      </w:r>
      <w:r>
        <w:rPr>
          <w:b/>
          <w:bCs/>
        </w:rPr>
        <w:t xml:space="preserve">parking areas, loading zones, and adjacent alleyways</w:t>
      </w:r>
      <w:r>
        <w:t xml:space="preserve"> </w:t>
      </w:r>
      <w:r>
        <w:t xml:space="preserve">per § 9-5-13(A). Confirm panic alarm activation points at</w:t>
      </w:r>
      <w:r>
        <w:t xml:space="preserve"> </w:t>
      </w:r>
      <w:r>
        <w:rPr>
          <w:b/>
          <w:bCs/>
        </w:rPr>
        <w:t xml:space="preserve">each POS, the main entrance, and the secure storage area</w:t>
      </w:r>
      <w:r>
        <w:t xml:space="preserve"> </w:t>
      </w:r>
      <w:r>
        <w:t xml:space="preserve">per § 9-5-13(B), and document the quarterly testing protocol. Include the camera placement map, equipment specifications, and emergency response SOPs. Completing this plan is also a prerequisite to binding the cannabis crime/theft insurance (Item 16).</w:t>
      </w:r>
    </w:p>
    <w:bookmarkEnd w:id="33"/>
    <w:bookmarkStart w:id="34" w:name="Xa134fad0a6f4c2c8a91cca450d73e3776b4c4fc"/>
    <w:p>
      <w:pPr>
        <w:pStyle w:val="Heading3"/>
      </w:pPr>
      <w:r>
        <w:t xml:space="preserve">Item 10 — Odor Mitigation Plan (with P.E. certification)</w:t>
      </w:r>
    </w:p>
    <w:p>
      <w:pPr>
        <w:pStyle w:val="Compact"/>
        <w:numPr>
          <w:ilvl w:val="0"/>
          <w:numId w:val="1014"/>
        </w:numPr>
      </w:pPr>
      <w:r>
        <w:rPr>
          <w:b/>
          <w:bCs/>
        </w:rPr>
        <w:t xml:space="preserve">Authority:</w:t>
      </w:r>
      <w:r>
        <w:t xml:space="preserve"> </w:t>
      </w:r>
      <w:r>
        <w:t xml:space="preserve">Code § 9-5-5(B)(10); § 9-5-13(G); Guide Item 10; Application Form Section 5 (Q16).</w:t>
      </w:r>
    </w:p>
    <w:p>
      <w:pPr>
        <w:pStyle w:val="Compact"/>
        <w:numPr>
          <w:ilvl w:val="0"/>
          <w:numId w:val="1014"/>
        </w:numPr>
      </w:pPr>
      <w:r>
        <w:rPr>
          <w:b/>
          <w:bCs/>
        </w:rPr>
        <w:t xml:space="preserve">Requirement:</w:t>
      </w:r>
      <w:r>
        <w:t xml:space="preserve"> </w:t>
      </w:r>
      <w:r>
        <w:t xml:space="preserve">An odor mitigation plan including HVAC specifications, carbon filtration details (manufacturer, model, capacity, maintenance schedule), additional odor control measures, and</w:t>
      </w:r>
      <w:r>
        <w:t xml:space="preserve"> </w:t>
      </w:r>
      <w:r>
        <w:rPr>
          <w:b/>
          <w:bCs/>
        </w:rPr>
        <w:t xml:space="preserve">a certification signed and sealed by a licensed Illinois Professional Engineer (P.E.)</w:t>
      </w:r>
      <w:r>
        <w:t xml:space="preserve"> </w:t>
      </w:r>
      <w:r>
        <w:t xml:space="preserve">that the system is adequate to prevent detectable cannabis odors at the property line. The application form states:</w:t>
      </w:r>
      <w:r>
        <w:t xml:space="preserve"> </w:t>
      </w:r>
      <w:r>
        <w:t xml:space="preserve">“</w:t>
      </w:r>
      <w:r>
        <w:t xml:space="preserve">Applications submitted without the required P.E. certification will be deemed incomplete and will not proceed to scoring.</w:t>
      </w:r>
      <w:r>
        <w:t xml:space="preserve">”</w:t>
      </w:r>
    </w:p>
    <w:p>
      <w:pPr>
        <w:pStyle w:val="Compact"/>
        <w:numPr>
          <w:ilvl w:val="0"/>
          <w:numId w:val="1014"/>
        </w:numPr>
      </w:pPr>
      <w:r>
        <w:rPr>
          <w:b/>
          <w:bCs/>
        </w:rPr>
        <w:t xml:space="preserve">Evidence in package:</w:t>
      </w:r>
      <w:r>
        <w:t xml:space="preserve"> </w:t>
      </w:r>
      <w:r>
        <w:t xml:space="preserve">The business plan (Section 5.4) describes the odor mitigation approach conceptually: commercial HVAC with activated carbon filtration on all exhaust pathways, negative air pressure in the secure storage and retail display zones, sealed product packaging, and filter replacement every 6–12 months. It states that</w:t>
      </w:r>
      <w:r>
        <w:t xml:space="preserve"> </w:t>
      </w:r>
      <w:r>
        <w:t xml:space="preserve">“</w:t>
      </w:r>
      <w:r>
        <w:t xml:space="preserve">detailed HVAC specifications and filtration system designs will be finalized during the build-out engineering phase</w:t>
      </w:r>
      <w:r>
        <w:t xml:space="preserve">”</w:t>
      </w:r>
      <w:r>
        <w:t xml:space="preserve"> </w:t>
      </w:r>
      <w:r>
        <w:t xml:space="preserve">and that</w:t>
      </w:r>
      <w:r>
        <w:t xml:space="preserve"> </w:t>
      </w:r>
      <w:r>
        <w:t xml:space="preserve">“</w:t>
      </w:r>
      <w:r>
        <w:t xml:space="preserve">Greenleaf has identified several commercial carbon filtration vendors and will finalize specifications during the build-out engineering phase.</w:t>
      </w:r>
      <w:r>
        <w:t xml:space="preserve">”</w:t>
      </w:r>
      <w:r>
        <w:t xml:space="preserve"> </w:t>
      </w:r>
      <w:r>
        <w:rPr>
          <w:b/>
          <w:bCs/>
        </w:rPr>
        <w:t xml:space="preserve">No manufacturer, model, or capacity is specified. No P.E. certification is included.</w:t>
      </w:r>
    </w:p>
    <w:p>
      <w:pPr>
        <w:pStyle w:val="Compact"/>
        <w:numPr>
          <w:ilvl w:val="0"/>
          <w:numId w:val="1014"/>
        </w:numPr>
      </w:pPr>
      <w:r>
        <w:rPr>
          <w:b/>
          <w:bCs/>
        </w:rPr>
        <w:t xml:space="preserve">Status: Not Met / Critical.</w:t>
      </w:r>
      <w:r>
        <w:t xml:space="preserve"> </w:t>
      </w:r>
      <w:r>
        <w:t xml:space="preserve">The plan is conceptual only. The required P.E. certification — a hard prerequisite to completeness and scoring — is absent, and the system specifications are not finalized.</w:t>
      </w:r>
    </w:p>
    <w:p>
      <w:pPr>
        <w:pStyle w:val="Compact"/>
        <w:numPr>
          <w:ilvl w:val="0"/>
          <w:numId w:val="1014"/>
        </w:numPr>
      </w:pPr>
      <w:r>
        <w:rPr>
          <w:b/>
          <w:bCs/>
        </w:rPr>
        <w:t xml:space="preserve">Remediation (critical path):</w:t>
      </w:r>
      <w:r>
        <w:t xml:space="preserve"> </w:t>
      </w:r>
      <w:r>
        <w:t xml:space="preserve">Finalize the HVAC and carbon filtration system design with specific manufacturer, model, rated capacity, air exchange rates, and maintenance schedule. Engage a licensed Illinois Professional Engineer to inspect/review the design and issue the signed, sealed certification that the system will prevent detectable cannabis odors at the property line and in adjacent units.</w:t>
      </w:r>
      <w:r>
        <w:t xml:space="preserve"> </w:t>
      </w:r>
      <w:r>
        <w:rPr>
          <w:b/>
          <w:bCs/>
        </w:rPr>
        <w:t xml:space="preserve">This certification must be obtained and included before submission</w:t>
      </w:r>
      <w:r>
        <w:t xml:space="preserve">, or the application will be deemed incomplete. Begin this work immediately, as it is on the critical path.</w:t>
      </w:r>
    </w:p>
    <w:bookmarkEnd w:id="34"/>
    <w:bookmarkStart w:id="35" w:name="Xa77a12d167573025c616b8df6770125fb18a3b6"/>
    <w:p>
      <w:pPr>
        <w:pStyle w:val="Heading3"/>
      </w:pPr>
      <w:r>
        <w:t xml:space="preserve">Item 11 — Business Plan (3-yr projections, COMPASS)</w:t>
      </w:r>
    </w:p>
    <w:p>
      <w:pPr>
        <w:pStyle w:val="Compact"/>
        <w:numPr>
          <w:ilvl w:val="0"/>
          <w:numId w:val="1015"/>
        </w:numPr>
      </w:pPr>
      <w:r>
        <w:rPr>
          <w:b/>
          <w:bCs/>
        </w:rPr>
        <w:t xml:space="preserve">Authority:</w:t>
      </w:r>
      <w:r>
        <w:t xml:space="preserve"> </w:t>
      </w:r>
      <w:r>
        <w:t xml:space="preserve">Code § 9-5-5(B)(8); Guide Item 11; Application Form Section 8 (Q25).</w:t>
      </w:r>
    </w:p>
    <w:p>
      <w:pPr>
        <w:pStyle w:val="Compact"/>
        <w:numPr>
          <w:ilvl w:val="0"/>
          <w:numId w:val="1015"/>
        </w:numPr>
      </w:pPr>
      <w:r>
        <w:rPr>
          <w:b/>
          <w:bCs/>
        </w:rPr>
        <w:t xml:space="preserve">Requirement:</w:t>
      </w:r>
      <w:r>
        <w:t xml:space="preserve"> </w:t>
      </w:r>
      <w:r>
        <w:t xml:space="preserve">A comprehensive business plan including market analysis, financial projections for a minimum of 3 years, staffing model (FT/PT), management structure and organizational chart, operational plan, inventory/seed-to-sale tracking (COMPASS integration), customer flow/queue management, and employee training.</w:t>
      </w:r>
    </w:p>
    <w:p>
      <w:pPr>
        <w:pStyle w:val="Compact"/>
        <w:numPr>
          <w:ilvl w:val="0"/>
          <w:numId w:val="1015"/>
        </w:numPr>
      </w:pPr>
      <w:r>
        <w:rPr>
          <w:b/>
          <w:bCs/>
        </w:rPr>
        <w:t xml:space="preserve">Evidence in package:</w:t>
      </w:r>
      <w:r>
        <w:t xml:space="preserve"> </w:t>
      </w:r>
      <w:r>
        <w:t xml:space="preserve">A comprehensive business plan is provided, covering: executive summary; company overview and organizational structure (with ownership and management detail); proposed location and facility; market analysis; operations plan (hours, customer flow, occupancy, inventory/COMPASS, security overview, odor, employee training); financial plan (capitalization $1,850,000; use of funds; 3-year pro forma with a 5-year outlook; break-even analysis); social equity and diversity; community engagement; regulatory compliance framework; and risk factors. Staffing model: 12 FTEs. Organizational chart described (Appendix A). COMPASS integration addressed (Section 5.2).</w:t>
      </w:r>
    </w:p>
    <w:p>
      <w:pPr>
        <w:pStyle w:val="Compact"/>
        <w:numPr>
          <w:ilvl w:val="0"/>
          <w:numId w:val="1015"/>
        </w:numPr>
      </w:pPr>
      <w:r>
        <w:rPr>
          <w:b/>
          <w:bCs/>
        </w:rPr>
        <w:t xml:space="preserve">Status: Met.</w:t>
      </w:r>
      <w:r>
        <w:t xml:space="preserve"> </w:t>
      </w:r>
      <w:r>
        <w:t xml:space="preserve">The business plan is thorough and addresses all required elements.</w:t>
      </w:r>
    </w:p>
    <w:p>
      <w:pPr>
        <w:pStyle w:val="Compact"/>
        <w:numPr>
          <w:ilvl w:val="0"/>
          <w:numId w:val="1015"/>
        </w:numPr>
      </w:pPr>
      <w:r>
        <w:rPr>
          <w:b/>
          <w:bCs/>
        </w:rPr>
        <w:t xml:space="preserve">Remediation (minor):</w:t>
      </w:r>
      <w:r>
        <w:t xml:space="preserve"> </w:t>
      </w:r>
      <w:r>
        <w:t xml:space="preserve">Ensure the organizational chart (Appendix A) and principal officer resumes (Appendix B) are included as attachments, as they are referenced but not present in the package. Confirm the seed-to-sale vendor confirmation letter (Application Form Q14) is obtained, as the business plan names Pinnacle as the integrator but does not include a vendor letter confirming COMPASS integration capability.</w:t>
      </w:r>
    </w:p>
    <w:bookmarkEnd w:id="35"/>
    <w:bookmarkStart w:id="36" w:name="X292592ea49826176a770c67da1c5d741753ea8c"/>
    <w:p>
      <w:pPr>
        <w:pStyle w:val="Heading3"/>
      </w:pPr>
      <w:r>
        <w:t xml:space="preserve">Item 12 — Community Engagement Documentation (2 sessions, 14-day notice)</w:t>
      </w:r>
    </w:p>
    <w:p>
      <w:pPr>
        <w:pStyle w:val="Compact"/>
        <w:numPr>
          <w:ilvl w:val="0"/>
          <w:numId w:val="1016"/>
        </w:numPr>
      </w:pPr>
      <w:r>
        <w:rPr>
          <w:b/>
          <w:bCs/>
        </w:rPr>
        <w:t xml:space="preserve">Authority:</w:t>
      </w:r>
      <w:r>
        <w:t xml:space="preserve"> </w:t>
      </w:r>
      <w:r>
        <w:t xml:space="preserve">Code § 9-5-5(B)(14); § 9-5-8; Guide Item 12; Application Form Section 7 (Q22, Q23).</w:t>
      </w:r>
    </w:p>
    <w:p>
      <w:pPr>
        <w:pStyle w:val="Compact"/>
        <w:numPr>
          <w:ilvl w:val="0"/>
          <w:numId w:val="1016"/>
        </w:numPr>
      </w:pPr>
      <w:r>
        <w:rPr>
          <w:b/>
          <w:bCs/>
        </w:rPr>
        <w:t xml:space="preserve">Requirement:</w:t>
      </w:r>
      <w:r>
        <w:t xml:space="preserve"> </w:t>
      </w:r>
      <w:r>
        <w:t xml:space="preserve">A minimum of two community engagement sessions held within Evanston city limits before application submission. Each session publicly noticed at least</w:t>
      </w:r>
      <w:r>
        <w:t xml:space="preserve"> </w:t>
      </w:r>
      <w:r>
        <w:rPr>
          <w:b/>
          <w:bCs/>
        </w:rPr>
        <w:t xml:space="preserve">14 calendar days</w:t>
      </w:r>
      <w:r>
        <w:t xml:space="preserve"> </w:t>
      </w:r>
      <w:r>
        <w:t xml:space="preserve">in advance by (1) publication in a newspaper of general circulation and (2) posting on the City’s website. Notice content must include: applicant’s full legal name and establishment name; proposed street address; date/time/location (with venue name and address); brief description including whether adult-use/medical/both; and contact information including</w:t>
      </w:r>
      <w:r>
        <w:t xml:space="preserve"> </w:t>
      </w:r>
      <w:r>
        <w:rPr>
          <w:b/>
          <w:bCs/>
        </w:rPr>
        <w:t xml:space="preserve">a telephone number and email address</w:t>
      </w:r>
      <w:r>
        <w:t xml:space="preserve"> </w:t>
      </w:r>
      <w:r>
        <w:t xml:space="preserve">(§ 9-5-8(C)). At least one session must be held after 5:00 PM (§ 9-5-8(D)). Documentation must include published notices with proof of publication (publisher’s affidavit or copy), website posting evidence with date, sign-in sheets, written summaries (date/time/location/duration/topics/questions/responses), and any written public comments.</w:t>
      </w:r>
      <w:r>
        <w:t xml:space="preserve"> </w:t>
      </w:r>
      <w:r>
        <w:rPr>
          <w:b/>
          <w:bCs/>
        </w:rPr>
        <w:t xml:space="preserve">Code § 9-5-8(F): no waiver of the two-session minimum is available.</w:t>
      </w:r>
    </w:p>
    <w:p>
      <w:pPr>
        <w:pStyle w:val="Compact"/>
        <w:numPr>
          <w:ilvl w:val="0"/>
          <w:numId w:val="1016"/>
        </w:numPr>
      </w:pPr>
      <w:r>
        <w:rPr>
          <w:b/>
          <w:bCs/>
        </w:rPr>
        <w:t xml:space="preserve">Evidence in package:</w:t>
      </w:r>
      <w:r>
        <w:t xml:space="preserve"> </w:t>
      </w:r>
      <w:r>
        <w:t xml:space="preserve">A community engagement report is provided documenting two sessions:</w:t>
      </w:r>
      <w:r>
        <w:t xml:space="preserve"> </w:t>
      </w:r>
      <w:r>
        <w:rPr>
          <w:b/>
          <w:bCs/>
        </w:rPr>
        <w:t xml:space="preserve">Session 1</w:t>
      </w:r>
      <w:r>
        <w:t xml:space="preserve"> </w:t>
      </w:r>
      <w:r>
        <w:t xml:space="preserve">(March 12, 2024, 6:30 PM, Evanston Public Library, 22 attendees; notice published February 25, 2024 = 15 days advance) and</w:t>
      </w:r>
      <w:r>
        <w:t xml:space="preserve"> </w:t>
      </w:r>
      <w:r>
        <w:rPr>
          <w:b/>
          <w:bCs/>
        </w:rPr>
        <w:t xml:space="preserve">Session 2</w:t>
      </w:r>
      <w:r>
        <w:t xml:space="preserve"> </w:t>
      </w:r>
      <w:r>
        <w:t xml:space="preserve">(April 9, 2024, 6:30 PM, Evanston Public Library, 31 attendees; notice published March 28, 2024). Attendance sheets (Exhibits A, B) and copies of published notices (Exhibit C) are included. Both sessions were held after 5:00 PM.</w:t>
      </w:r>
    </w:p>
    <w:p>
      <w:pPr>
        <w:pStyle w:val="Compact"/>
        <w:numPr>
          <w:ilvl w:val="0"/>
          <w:numId w:val="1016"/>
        </w:numPr>
      </w:pPr>
      <w:r>
        <w:rPr>
          <w:b/>
          <w:bCs/>
        </w:rPr>
        <w:t xml:space="preserve">Status: Not Met / Critical.</w:t>
      </w:r>
      <w:r>
        <w:t xml:space="preserve"> </w:t>
      </w:r>
      <w:r>
        <w:t xml:space="preserve">Multiple deficiencies:</w:t>
      </w:r>
    </w:p>
    <w:p>
      <w:pPr>
        <w:pStyle w:val="Compact"/>
        <w:numPr>
          <w:ilvl w:val="1"/>
          <w:numId w:val="1017"/>
        </w:numPr>
      </w:pPr>
      <w:r>
        <w:rPr>
          <w:b/>
          <w:bCs/>
        </w:rPr>
        <w:t xml:space="preserve">Session 2 notice provided only 12 days advance notice</w:t>
      </w:r>
      <w:r>
        <w:t xml:space="preserve"> </w:t>
      </w:r>
      <w:r>
        <w:t xml:space="preserve">(March 28 → April 9 = 12 days), below the 14-day minimum. The report itself states</w:t>
      </w:r>
      <w:r>
        <w:t xml:space="preserve"> </w:t>
      </w:r>
      <w:r>
        <w:t xml:space="preserve">“</w:t>
      </w:r>
      <w:r>
        <w:t xml:space="preserve">Days of Advance Notice: 12 days.</w:t>
      </w:r>
      <w:r>
        <w:t xml:space="preserve">”</w:t>
      </w:r>
      <w:r>
        <w:t xml:space="preserve"> </w:t>
      </w:r>
      <w:r>
        <w:t xml:space="preserve">Under § 9-5-8(F), failure to comply with notice requirements renders the application incomplete, and</w:t>
      </w:r>
      <w:r>
        <w:t xml:space="preserve"> </w:t>
      </w:r>
      <w:r>
        <w:rPr>
          <w:b/>
          <w:bCs/>
        </w:rPr>
        <w:t xml:space="preserve">no waiver of the two-session minimum is available</w:t>
      </w:r>
      <w:r>
        <w:t xml:space="preserve">. Session 2 is at material risk of being deemed non-qualifying, which would leave Greenleaf with only one qualifying session.</w:t>
      </w:r>
    </w:p>
    <w:p>
      <w:pPr>
        <w:pStyle w:val="Compact"/>
        <w:numPr>
          <w:ilvl w:val="1"/>
          <w:numId w:val="1017"/>
        </w:numPr>
      </w:pPr>
      <w:r>
        <w:rPr>
          <w:b/>
          <w:bCs/>
        </w:rPr>
        <w:t xml:space="preserve">Notice content gaps:</w:t>
      </w:r>
      <w:r>
        <w:t xml:space="preserve"> </w:t>
      </w:r>
      <w:r>
        <w:t xml:space="preserve">The published notices (Exhibit C) include the applicant name, address, date/time/location, and an email address, but</w:t>
      </w:r>
      <w:r>
        <w:t xml:space="preserve"> </w:t>
      </w:r>
      <w:r>
        <w:rPr>
          <w:b/>
          <w:bCs/>
        </w:rPr>
        <w:t xml:space="preserve">omit a telephone number</w:t>
      </w:r>
      <w:r>
        <w:t xml:space="preserve"> </w:t>
      </w:r>
      <w:r>
        <w:t xml:space="preserve">(§ 9-5-8(C)(5) requires both telephone and email) and do not explicitly state the establishment name or whether the dispensary will serve adult-use, medical, or both customers (§ 9-5-8(C)(4)).</w:t>
      </w:r>
    </w:p>
    <w:p>
      <w:pPr>
        <w:pStyle w:val="Compact"/>
        <w:numPr>
          <w:ilvl w:val="1"/>
          <w:numId w:val="1017"/>
        </w:numPr>
      </w:pPr>
      <w:r>
        <w:rPr>
          <w:b/>
          <w:bCs/>
        </w:rPr>
        <w:t xml:space="preserve">Documentation gaps:</w:t>
      </w:r>
      <w:r>
        <w:t xml:space="preserve"> </w:t>
      </w:r>
      <w:r>
        <w:t xml:space="preserve">No publisher’s affidavit is included (only</w:t>
      </w:r>
      <w:r>
        <w:t xml:space="preserve"> </w:t>
      </w:r>
      <w:r>
        <w:t xml:space="preserve">“</w:t>
      </w:r>
      <w:r>
        <w:t xml:space="preserve">copies of the original published notices</w:t>
      </w:r>
      <w:r>
        <w:t xml:space="preserve">”</w:t>
      </w:r>
      <w:r>
        <w:t xml:space="preserve">); website posting confirmations are referenced as</w:t>
      </w:r>
      <w:r>
        <w:t xml:space="preserve"> </w:t>
      </w:r>
      <w:r>
        <w:t xml:space="preserve">“</w:t>
      </w:r>
      <w:r>
        <w:t xml:space="preserve">received via email</w:t>
      </w:r>
      <w:r>
        <w:t xml:space="preserve">”</w:t>
      </w:r>
      <w:r>
        <w:t xml:space="preserve"> </w:t>
      </w:r>
      <w:r>
        <w:t xml:space="preserve">but are not included as exhibits; no written public comments/correspondence are documented (feedback was verbal).</w:t>
      </w:r>
    </w:p>
    <w:p>
      <w:pPr>
        <w:pStyle w:val="Compact"/>
        <w:numPr>
          <w:ilvl w:val="0"/>
          <w:numId w:val="1016"/>
        </w:numPr>
      </w:pPr>
      <w:r>
        <w:rPr>
          <w:b/>
          <w:bCs/>
        </w:rPr>
        <w:t xml:space="preserve">Remediation (critical):</w:t>
      </w:r>
    </w:p>
    <w:p>
      <w:pPr>
        <w:pStyle w:val="Compact"/>
        <w:numPr>
          <w:ilvl w:val="1"/>
          <w:numId w:val="1018"/>
        </w:numPr>
      </w:pPr>
      <w:r>
        <w:rPr>
          <w:b/>
          <w:bCs/>
        </w:rPr>
        <w:t xml:space="preserve">Hold a third community engagement session</w:t>
      </w:r>
      <w:r>
        <w:t xml:space="preserve"> </w:t>
      </w:r>
      <w:r>
        <w:t xml:space="preserve">with full 14-day advance notice (newspaper publication + City website posting) to guarantee two qualifying sessions, given that Session 2’s 12-day notice is non-compliant. Alternatively, seek written confirmation from the Coordinator that Session 2 qualifies — but the Code’s no-waiver provision makes this uncertain.</w:t>
      </w:r>
    </w:p>
    <w:p>
      <w:pPr>
        <w:pStyle w:val="Compact"/>
        <w:numPr>
          <w:ilvl w:val="1"/>
          <w:numId w:val="1018"/>
        </w:numPr>
      </w:pPr>
      <w:r>
        <w:t xml:space="preserve">Correct notice content to include a telephone number, the establishment name, and an explicit adult-use/medical designation.</w:t>
      </w:r>
    </w:p>
    <w:p>
      <w:pPr>
        <w:pStyle w:val="Compact"/>
        <w:numPr>
          <w:ilvl w:val="1"/>
          <w:numId w:val="1018"/>
        </w:numPr>
      </w:pPr>
      <w:r>
        <w:t xml:space="preserve">Obtain publisher’s affidavits for all notices; include the City website posting confirmations as exhibits; document any written public comments received.</w:t>
      </w:r>
    </w:p>
    <w:p>
      <w:pPr>
        <w:pStyle w:val="Compact"/>
        <w:numPr>
          <w:ilvl w:val="1"/>
          <w:numId w:val="1018"/>
        </w:numPr>
      </w:pPr>
      <w:r>
        <w:t xml:space="preserve">Complete Application Form Q22 (session details) and Q23 (community feedback summary) and attach all documentation.</w:t>
      </w:r>
    </w:p>
    <w:bookmarkEnd w:id="36"/>
    <w:bookmarkStart w:id="37" w:name="X7de09af7ab90188b816aff5cf57d3124e490653"/>
    <w:p>
      <w:pPr>
        <w:pStyle w:val="Heading3"/>
      </w:pPr>
      <w:r>
        <w:t xml:space="preserve">Item 13 — Community Benefits Plan (min. $25,000 or 1% revenue)</w:t>
      </w:r>
    </w:p>
    <w:p>
      <w:pPr>
        <w:pStyle w:val="Compact"/>
        <w:numPr>
          <w:ilvl w:val="0"/>
          <w:numId w:val="1019"/>
        </w:numPr>
      </w:pPr>
      <w:r>
        <w:rPr>
          <w:b/>
          <w:bCs/>
        </w:rPr>
        <w:t xml:space="preserve">Authority:</w:t>
      </w:r>
      <w:r>
        <w:t xml:space="preserve"> </w:t>
      </w:r>
      <w:r>
        <w:t xml:space="preserve">Code § 9-5-5(B)(12); § 9-5-15; Guide Item 13; Application Form Section 8 (Q28).</w:t>
      </w:r>
    </w:p>
    <w:p>
      <w:pPr>
        <w:pStyle w:val="Compact"/>
        <w:numPr>
          <w:ilvl w:val="0"/>
          <w:numId w:val="1019"/>
        </w:numPr>
      </w:pPr>
      <w:r>
        <w:rPr>
          <w:b/>
          <w:bCs/>
        </w:rPr>
        <w:t xml:space="preserve">Requirement:</w:t>
      </w:r>
      <w:r>
        <w:t xml:space="preserve"> </w:t>
      </w:r>
      <w:r>
        <w:t xml:space="preserve">A community benefits plan describing the proposed annual contribution (greater of $25,000 or 1% of gross annual revenue), proposed beneficiary organizations/programs, and additional community benefits. A signed community benefit agreement is required at pre-issuance (§ 9-5-11(H)).</w:t>
      </w:r>
    </w:p>
    <w:p>
      <w:pPr>
        <w:pStyle w:val="Compact"/>
        <w:numPr>
          <w:ilvl w:val="0"/>
          <w:numId w:val="1019"/>
        </w:numPr>
      </w:pPr>
      <w:r>
        <w:rPr>
          <w:b/>
          <w:bCs/>
        </w:rPr>
        <w:t xml:space="preserve">Evidence in package:</w:t>
      </w:r>
      <w:r>
        <w:t xml:space="preserve"> </w:t>
      </w:r>
      <w:r>
        <w:t xml:space="preserve">The business plan (Section 7.4) documents the contribution formula and projected amounts: Year 1 = $32,000 (1% of $3,200,000 &gt; $25,000 minimum); Year 2 = $41,000; Year 3 = $48,000. Beneficiary categories are identified (youth/education, substance abuse prevention, R3-area development, local nonprofits). The community report notes a commitment to direct at least 50% of contributions toward R3 workforce development.</w:t>
      </w:r>
    </w:p>
    <w:p>
      <w:pPr>
        <w:pStyle w:val="Compact"/>
        <w:numPr>
          <w:ilvl w:val="0"/>
          <w:numId w:val="1019"/>
        </w:numPr>
      </w:pPr>
      <w:r>
        <w:rPr>
          <w:b/>
          <w:bCs/>
        </w:rPr>
        <w:t xml:space="preserve">Status: Met — Substantive / Documentation Outstanding.</w:t>
      </w:r>
      <w:r>
        <w:t xml:space="preserve"> </w:t>
      </w:r>
      <w:r>
        <w:t xml:space="preserve">The plan satisfies the contribution requirement and identifies beneficiary categories. Specific beneficiary organizations are not yet identified (</w:t>
      </w:r>
      <w:r>
        <w:t xml:space="preserve">“</w:t>
      </w:r>
      <w:r>
        <w:t xml:space="preserve">Greenleaf will work with the City to identify specific beneficiary organizations</w:t>
      </w:r>
      <w:r>
        <w:t xml:space="preserve">”</w:t>
      </w:r>
      <w:r>
        <w:t xml:space="preserve">). The signed community benefit agreement is a pre-issuance item.</w:t>
      </w:r>
    </w:p>
    <w:p>
      <w:pPr>
        <w:pStyle w:val="Compact"/>
        <w:numPr>
          <w:ilvl w:val="0"/>
          <w:numId w:val="1019"/>
        </w:numPr>
      </w:pPr>
      <w:r>
        <w:rPr>
          <w:b/>
          <w:bCs/>
        </w:rPr>
        <w:t xml:space="preserve">Remediation:</w:t>
      </w:r>
      <w:r>
        <w:t xml:space="preserve"> </w:t>
      </w:r>
      <w:r>
        <w:t xml:space="preserve">Identify specific beneficiary organizations/programs to strengthen the plan. Execute the community benefit agreement prior to permit issuance (§ 9-5-11(H)). Complete Application Form Q28 with the Year 1 contribution estimate and allocation plan.</w:t>
      </w:r>
    </w:p>
    <w:bookmarkEnd w:id="37"/>
    <w:bookmarkStart w:id="38" w:name="item-14-diversity-and-inclusion-plan"/>
    <w:p>
      <w:pPr>
        <w:pStyle w:val="Heading3"/>
      </w:pPr>
      <w:r>
        <w:t xml:space="preserve">Item 14 — Diversity and Inclusion Plan</w:t>
      </w:r>
    </w:p>
    <w:p>
      <w:pPr>
        <w:pStyle w:val="Compact"/>
        <w:numPr>
          <w:ilvl w:val="0"/>
          <w:numId w:val="1020"/>
        </w:numPr>
      </w:pPr>
      <w:r>
        <w:rPr>
          <w:b/>
          <w:bCs/>
        </w:rPr>
        <w:t xml:space="preserve">Authority:</w:t>
      </w:r>
      <w:r>
        <w:t xml:space="preserve"> </w:t>
      </w:r>
      <w:r>
        <w:t xml:space="preserve">Code § 9-5-5(B)(13); § 9-5-20; Guide Item 14; Application Form Section 11 (Q31, Q32).</w:t>
      </w:r>
    </w:p>
    <w:p>
      <w:pPr>
        <w:pStyle w:val="Compact"/>
        <w:numPr>
          <w:ilvl w:val="0"/>
          <w:numId w:val="1020"/>
        </w:numPr>
      </w:pPr>
      <w:r>
        <w:rPr>
          <w:b/>
          <w:bCs/>
        </w:rPr>
        <w:t xml:space="preserve">Requirement:</w:t>
      </w:r>
      <w:r>
        <w:t xml:space="preserve"> </w:t>
      </w:r>
      <w:r>
        <w:t xml:space="preserve">A diversity and inclusion plan describing hiring practices, specific measurable hiring goals (including R3 residents and expunged-conviction individuals), vendor/contractor diversity, DEI training, and measurement/reporting.</w:t>
      </w:r>
      <w:r>
        <w:t xml:space="preserve"> </w:t>
      </w:r>
      <w:r>
        <w:rPr>
          <w:b/>
          <w:bCs/>
        </w:rPr>
        <w:t xml:space="preserve">For social equity applicants (§ 9-5-20(C)):</w:t>
      </w:r>
      <w:r>
        <w:t xml:space="preserve"> </w:t>
      </w:r>
      <w:r>
        <w:t xml:space="preserve">a detailed hiring pipeline for the 50% R3 workforce requirement, identifying specific workforce development partners, recruitment methods, timeline, and contingency plans. The Guide calls for a standalone 3–5 page plan exhibit.</w:t>
      </w:r>
    </w:p>
    <w:p>
      <w:pPr>
        <w:pStyle w:val="Compact"/>
        <w:numPr>
          <w:ilvl w:val="0"/>
          <w:numId w:val="1020"/>
        </w:numPr>
      </w:pPr>
      <w:r>
        <w:rPr>
          <w:b/>
          <w:bCs/>
        </w:rPr>
        <w:t xml:space="preserve">Evidence in package:</w:t>
      </w:r>
      <w:r>
        <w:t xml:space="preserve"> </w:t>
      </w:r>
      <w:r>
        <w:t xml:space="preserve">The business plan (Sections 7.2, 7.5) addresses workforce diversity, the 50% R3 hiring commitment (6 of 12 FTEs), recruitment strategies (community job fairs, workforce agency partnerships, community postings), and vendor diversity.</w:t>
      </w:r>
      <w:r>
        <w:t xml:space="preserve"> </w:t>
      </w:r>
      <w:r>
        <w:rPr>
          <w:b/>
          <w:bCs/>
        </w:rPr>
        <w:t xml:space="preserve">However</w:t>
      </w:r>
      <w:r>
        <w:t xml:space="preserve">, it explicitly states that</w:t>
      </w:r>
      <w:r>
        <w:t xml:space="preserve"> </w:t>
      </w:r>
      <w:r>
        <w:t xml:space="preserve">“</w:t>
      </w:r>
      <w:r>
        <w:t xml:space="preserve">specific partnerships with workforce development organizations have not yet been formalized</w:t>
      </w:r>
      <w:r>
        <w:t xml:space="preserve">”</w:t>
      </w:r>
      <w:r>
        <w:t xml:space="preserve"> </w:t>
      </w:r>
      <w:r>
        <w:t xml:space="preserve">and that these</w:t>
      </w:r>
      <w:r>
        <w:t xml:space="preserve"> </w:t>
      </w:r>
      <w:r>
        <w:t xml:space="preserve">“</w:t>
      </w:r>
      <w:r>
        <w:t xml:space="preserve">will be formalized during the pre-opening phase following permit issuance.</w:t>
      </w:r>
      <w:r>
        <w:t xml:space="preserve">”</w:t>
      </w:r>
      <w:r>
        <w:t xml:space="preserve"> </w:t>
      </w:r>
      <w:r>
        <w:t xml:space="preserve">The standalone Diversity and Inclusion Plan exhibit (3–5 pages) is</w:t>
      </w:r>
      <w:r>
        <w:t xml:space="preserve"> </w:t>
      </w:r>
      <w:r>
        <w:rPr>
          <w:b/>
          <w:bCs/>
        </w:rPr>
        <w:t xml:space="preserve">not included</w:t>
      </w:r>
      <w:r>
        <w:t xml:space="preserve"> </w:t>
      </w:r>
      <w:r>
        <w:t xml:space="preserve">— only referenced in the application form (Q32).</w:t>
      </w:r>
    </w:p>
    <w:p>
      <w:pPr>
        <w:pStyle w:val="Compact"/>
        <w:numPr>
          <w:ilvl w:val="0"/>
          <w:numId w:val="1020"/>
        </w:numPr>
      </w:pPr>
      <w:r>
        <w:rPr>
          <w:b/>
          <w:bCs/>
        </w:rPr>
        <w:t xml:space="preserve">Status: Partially Met.</w:t>
      </w:r>
      <w:r>
        <w:t xml:space="preserve"> </w:t>
      </w:r>
      <w:r>
        <w:t xml:space="preserve">Diversity commitments are described, but the standalone plan exhibit is absent, and the Code’s requirement for social equity applicants to identify</w:t>
      </w:r>
      <w:r>
        <w:t xml:space="preserve"> </w:t>
      </w:r>
      <w:r>
        <w:rPr>
          <w:b/>
          <w:bCs/>
        </w:rPr>
        <w:t xml:space="preserve">specific</w:t>
      </w:r>
      <w:r>
        <w:t xml:space="preserve"> </w:t>
      </w:r>
      <w:r>
        <w:t xml:space="preserve">workforce development partners (§ 9-5-20(C)) is not yet satisfied.</w:t>
      </w:r>
    </w:p>
    <w:p>
      <w:pPr>
        <w:pStyle w:val="Compact"/>
        <w:numPr>
          <w:ilvl w:val="0"/>
          <w:numId w:val="1020"/>
        </w:numPr>
      </w:pPr>
      <w:r>
        <w:rPr>
          <w:b/>
          <w:bCs/>
        </w:rPr>
        <w:t xml:space="preserve">Remediation:</w:t>
      </w:r>
      <w:r>
        <w:t xml:space="preserve"> </w:t>
      </w:r>
      <w:r>
        <w:t xml:space="preserve">Prepare and include the standalone 3–5 page Diversity and Inclusion Plan exhibit addressing all § 9-5-20(B) elements.</w:t>
      </w:r>
      <w:r>
        <w:t xml:space="preserve"> </w:t>
      </w:r>
      <w:r>
        <w:rPr>
          <w:b/>
          <w:bCs/>
        </w:rPr>
        <w:t xml:space="preserve">Formalize and name specific workforce development partnerships</w:t>
      </w:r>
      <w:r>
        <w:t xml:space="preserve"> </w:t>
      </w:r>
      <w:r>
        <w:t xml:space="preserve">and provide the detailed R3 hiring pipeline with identified partners, recruitment methods, timeline for achieving the 50% threshold, and contingency plans (§ 9-5-20(C)). Complete Application Form Q31 and Q32.</w:t>
      </w:r>
    </w:p>
    <w:bookmarkEnd w:id="38"/>
    <w:bookmarkStart w:id="39" w:name="X96c6687366b398c09582af272d8259cd5745e6a"/>
    <w:p>
      <w:pPr>
        <w:pStyle w:val="Heading3"/>
      </w:pPr>
      <w:r>
        <w:t xml:space="preserve">Item 15 — Environmental Sustainability Plan</w:t>
      </w:r>
    </w:p>
    <w:p>
      <w:pPr>
        <w:pStyle w:val="Compact"/>
        <w:numPr>
          <w:ilvl w:val="0"/>
          <w:numId w:val="1021"/>
        </w:numPr>
      </w:pPr>
      <w:r>
        <w:rPr>
          <w:b/>
          <w:bCs/>
        </w:rPr>
        <w:t xml:space="preserve">Authority:</w:t>
      </w:r>
      <w:r>
        <w:t xml:space="preserve"> </w:t>
      </w:r>
      <w:r>
        <w:t xml:space="preserve">Code § 9-5-5(B)(11); Guide Item 15; Application Form Section 12 (Q33).</w:t>
      </w:r>
    </w:p>
    <w:p>
      <w:pPr>
        <w:pStyle w:val="Compact"/>
        <w:numPr>
          <w:ilvl w:val="0"/>
          <w:numId w:val="1021"/>
        </w:numPr>
      </w:pPr>
      <w:r>
        <w:rPr>
          <w:b/>
          <w:bCs/>
        </w:rPr>
        <w:t xml:space="preserve">Requirement:</w:t>
      </w:r>
      <w:r>
        <w:t xml:space="preserve"> </w:t>
      </w:r>
      <w:r>
        <w:t xml:space="preserve">An environmental sustainability plan addressing energy efficiency, waste reduction/recycling, cannabis waste disposal (consistent with IEPA and State cannabis regulations), and water conservation.</w:t>
      </w:r>
    </w:p>
    <w:p>
      <w:pPr>
        <w:pStyle w:val="Compact"/>
        <w:numPr>
          <w:ilvl w:val="0"/>
          <w:numId w:val="1021"/>
        </w:numPr>
      </w:pPr>
      <w:r>
        <w:rPr>
          <w:b/>
          <w:bCs/>
        </w:rPr>
        <w:t xml:space="preserve">Evidence in package:</w:t>
      </w:r>
      <w:r>
        <w:t xml:space="preserve"> </w:t>
      </w:r>
      <w:r>
        <w:t xml:space="preserve">The business plan discusses environmental measures within the operations plan (LED lighting, Energy Star equipment, programmable thermostats, recycling, cannabis waste disposal per IEPA, water conservation, sustainable packaging). The standalone Environmental and Sustainability Plan exhibit is</w:t>
      </w:r>
      <w:r>
        <w:t xml:space="preserve"> </w:t>
      </w:r>
      <w:r>
        <w:rPr>
          <w:b/>
          <w:bCs/>
        </w:rPr>
        <w:t xml:space="preserve">not included</w:t>
      </w:r>
      <w:r>
        <w:t xml:space="preserve"> </w:t>
      </w:r>
      <w:r>
        <w:t xml:space="preserve">— only referenced in the application form (Q33).</w:t>
      </w:r>
    </w:p>
    <w:p>
      <w:pPr>
        <w:pStyle w:val="Compact"/>
        <w:numPr>
          <w:ilvl w:val="0"/>
          <w:numId w:val="1021"/>
        </w:numPr>
      </w:pPr>
      <w:r>
        <w:rPr>
          <w:b/>
          <w:bCs/>
        </w:rPr>
        <w:t xml:space="preserve">Status: Partially Met.</w:t>
      </w:r>
      <w:r>
        <w:t xml:space="preserve"> </w:t>
      </w:r>
      <w:r>
        <w:t xml:space="preserve">The substantive elements are discussed in the business plan, but the standalone exhibit required by the Guide and form is absent.</w:t>
      </w:r>
    </w:p>
    <w:p>
      <w:pPr>
        <w:pStyle w:val="Compact"/>
        <w:numPr>
          <w:ilvl w:val="0"/>
          <w:numId w:val="1021"/>
        </w:numPr>
      </w:pPr>
      <w:r>
        <w:rPr>
          <w:b/>
          <w:bCs/>
        </w:rPr>
        <w:t xml:space="preserve">Remediation:</w:t>
      </w:r>
      <w:r>
        <w:t xml:space="preserve"> </w:t>
      </w:r>
      <w:r>
        <w:t xml:space="preserve">Prepare and include the standalone Environmental Sustainability Plan exhibit addressing all required elements (energy efficiency, waste reduction/recycling, cannabis waste disposal per IEPA, water conservation). Complete Application Form Q33.</w:t>
      </w:r>
    </w:p>
    <w:bookmarkEnd w:id="39"/>
    <w:bookmarkStart w:id="40" w:name="X5895faad3295614a40066848e2cd82b685b35da"/>
    <w:p>
      <w:pPr>
        <w:pStyle w:val="Heading3"/>
      </w:pPr>
      <w:r>
        <w:t xml:space="preserve">Item 16 — Insurance Documentation (certificates or commitment letters)</w:t>
      </w:r>
    </w:p>
    <w:p>
      <w:pPr>
        <w:pStyle w:val="Compact"/>
        <w:numPr>
          <w:ilvl w:val="0"/>
          <w:numId w:val="1022"/>
        </w:numPr>
      </w:pPr>
      <w:r>
        <w:rPr>
          <w:b/>
          <w:bCs/>
        </w:rPr>
        <w:t xml:space="preserve">Authority:</w:t>
      </w:r>
      <w:r>
        <w:t xml:space="preserve"> </w:t>
      </w:r>
      <w:r>
        <w:t xml:space="preserve">Code § 9-5-5(B)(15); § 9-5-16; Guide Item 16; Application Form Section 8 (Q27).</w:t>
      </w:r>
    </w:p>
    <w:p>
      <w:pPr>
        <w:pStyle w:val="Compact"/>
        <w:numPr>
          <w:ilvl w:val="0"/>
          <w:numId w:val="1022"/>
        </w:numPr>
      </w:pPr>
      <w:r>
        <w:rPr>
          <w:b/>
          <w:bCs/>
        </w:rPr>
        <w:t xml:space="preserve">Requirement:</w:t>
      </w:r>
      <w:r>
        <w:t xml:space="preserve"> </w:t>
      </w:r>
      <w:r>
        <w:t xml:space="preserve">Evidence of insurance meeting minimum limits, or binding commitment letters, at the time of application; final certificates at pre-issuance. Required coverages: Commercial General Liability ($2M occ. / $4M agg.); Product Liability ($2M occ. / $4M agg.); Workers’ Compensation (IL statutory)</w:t>
      </w:r>
      <w:r>
        <w:t xml:space="preserve"> </w:t>
      </w:r>
      <w:r>
        <w:rPr>
          <w:b/>
          <w:bCs/>
        </w:rPr>
        <w:t xml:space="preserve">with Employer’s Liability ≥ $1M per accident</w:t>
      </w:r>
      <w:r>
        <w:t xml:space="preserve"> </w:t>
      </w:r>
      <w:r>
        <w:t xml:space="preserve">(§ 9-5-16(A)(3)); Cannabis-Specific Crime/Theft ($500,000). City named as additional insured on GL and Product Liability. Insurers rated A- or better by AM Best. 30-day cancellation notice. (Application stage: certificates or commitment letters acceptable.)</w:t>
      </w:r>
    </w:p>
    <w:p>
      <w:pPr>
        <w:pStyle w:val="Compact"/>
        <w:numPr>
          <w:ilvl w:val="0"/>
          <w:numId w:val="1022"/>
        </w:numPr>
      </w:pPr>
      <w:r>
        <w:rPr>
          <w:b/>
          <w:bCs/>
        </w:rPr>
        <w:t xml:space="preserve">Evidence in package:</w:t>
      </w:r>
      <w:r>
        <w:t xml:space="preserve"> </w:t>
      </w:r>
      <w:r>
        <w:t xml:space="preserve">The insurance memorandum (dated April 22, 2024) reports:</w:t>
      </w:r>
      <w:r>
        <w:t xml:space="preserve"> </w:t>
      </w:r>
      <w:r>
        <w:rPr>
          <w:b/>
          <w:bCs/>
        </w:rPr>
        <w:t xml:space="preserve">General Liability</w:t>
      </w:r>
      <w:r>
        <w:t xml:space="preserve"> </w:t>
      </w:r>
      <w:r>
        <w:t xml:space="preserve">— obtained, $2M/$4M, effective January 15, 2024, with cannabis operations endorsement (compliant);</w:t>
      </w:r>
      <w:r>
        <w:t xml:space="preserve"> </w:t>
      </w:r>
      <w:r>
        <w:rPr>
          <w:b/>
          <w:bCs/>
        </w:rPr>
        <w:t xml:space="preserve">Product Liability</w:t>
      </w:r>
      <w:r>
        <w:t xml:space="preserve"> </w:t>
      </w:r>
      <w:r>
        <w:t xml:space="preserve">— obtained, bundled with GL, $2M/$4M (compliant);</w:t>
      </w:r>
      <w:r>
        <w:t xml:space="preserve"> </w:t>
      </w:r>
      <w:r>
        <w:rPr>
          <w:b/>
          <w:bCs/>
        </w:rPr>
        <w:t xml:space="preserve">Workers’ Compensation</w:t>
      </w:r>
      <w:r>
        <w:t xml:space="preserve"> </w:t>
      </w:r>
      <w:r>
        <w:t xml:space="preserve">— quoted, to be bound upon first hire (acceptable posture for application stage);</w:t>
      </w:r>
      <w:r>
        <w:t xml:space="preserve"> </w:t>
      </w:r>
      <w:r>
        <w:rPr>
          <w:b/>
          <w:bCs/>
        </w:rPr>
        <w:t xml:space="preserve">Cannabis-Specific Crime/Theft</w:t>
      </w:r>
      <w:r>
        <w:t xml:space="preserve"> </w:t>
      </w:r>
      <w:r>
        <w:t xml:space="preserve">—</w:t>
      </w:r>
      <w:r>
        <w:t xml:space="preserve"> </w:t>
      </w:r>
      <w:r>
        <w:rPr>
          <w:b/>
          <w:bCs/>
        </w:rPr>
        <w:t xml:space="preserve">under negotiation with Canopy Risk Underwriters, not bound</w:t>
      </w:r>
      <w:r>
        <w:t xml:space="preserve">, blocked pending finalization of the security plan. The memorandum does not address AM Best ratings, the additional-insured endorsement (GL</w:t>
      </w:r>
      <w:r>
        <w:t xml:space="preserve"> </w:t>
      </w:r>
      <w:r>
        <w:t xml:space="preserve">“</w:t>
      </w:r>
      <w:r>
        <w:t xml:space="preserve">can be endorsed to name the City upon request</w:t>
      </w:r>
      <w:r>
        <w:t xml:space="preserve">”</w:t>
      </w:r>
      <w:r>
        <w:t xml:space="preserve"> </w:t>
      </w:r>
      <w:r>
        <w:t xml:space="preserve">but is not yet endorsed), the 30-day cancellation notice provision, or Employer’s Liability limits.</w:t>
      </w:r>
    </w:p>
    <w:p>
      <w:pPr>
        <w:pStyle w:val="Compact"/>
        <w:numPr>
          <w:ilvl w:val="0"/>
          <w:numId w:val="1022"/>
        </w:numPr>
      </w:pPr>
      <w:r>
        <w:rPr>
          <w:b/>
          <w:bCs/>
        </w:rPr>
        <w:t xml:space="preserve">Status: Partially Met.</w:t>
      </w:r>
      <w:r>
        <w:t xml:space="preserve"> </w:t>
      </w:r>
      <w:r>
        <w:t xml:space="preserve">GL and Product Liability are obtained and meet limits. Workers’ Compensation is quoted (acceptable at application stage).</w:t>
      </w:r>
      <w:r>
        <w:t xml:space="preserve"> </w:t>
      </w:r>
      <w:r>
        <w:rPr>
          <w:b/>
          <w:bCs/>
        </w:rPr>
        <w:t xml:space="preserve">Cannabis Crime/Theft is not bound and not at commitment-letter stage</w:t>
      </w:r>
      <w:r>
        <w:t xml:space="preserve"> </w:t>
      </w:r>
      <w:r>
        <w:t xml:space="preserve">— a significant gap. Additional-insured endorsements, AM Best ratings, Employer’s Liability limits, and cancellation-notice provisions are unconfirmed.</w:t>
      </w:r>
    </w:p>
    <w:p>
      <w:pPr>
        <w:pStyle w:val="Compact"/>
        <w:numPr>
          <w:ilvl w:val="0"/>
          <w:numId w:val="1022"/>
        </w:numPr>
      </w:pPr>
      <w:r>
        <w:rPr>
          <w:b/>
          <w:bCs/>
        </w:rPr>
        <w:t xml:space="preserve">Remediation:</w:t>
      </w:r>
      <w:r>
        <w:t xml:space="preserve"> </w:t>
      </w:r>
      <w:r>
        <w:t xml:space="preserve">(1)</w:t>
      </w:r>
      <w:r>
        <w:t xml:space="preserve"> </w:t>
      </w:r>
      <w:r>
        <w:rPr>
          <w:b/>
          <w:bCs/>
        </w:rPr>
        <w:t xml:space="preserve">Prioritize finalizing the security plan</w:t>
      </w:r>
      <w:r>
        <w:t xml:space="preserve"> </w:t>
      </w:r>
      <w:r>
        <w:t xml:space="preserve">to unblock Canopy Risk underwriting; obtain the cannabis crime/theft policy or, at minimum, a binding commitment letter before submission. (2) Identify a contingency specialty carrier in case Canopy declines. (3) Obtain additional-insured endorsements naming the City of Evanston on GL and Product Liability. (4) Confirm all carriers are rated A- or better by AM Best. (5) Confirm Employer’s Liability limits of ≥ $1M per accident. (6) Confirm 30-day cancellation-notice provisions on all policies. (7) Include certificates/commitment letters in the submission and complete Application Form Q27.</w:t>
      </w:r>
    </w:p>
    <w:bookmarkEnd w:id="40"/>
    <w:bookmarkStart w:id="41" w:name="X01b6f2839c7c795ecba46bbd687d5c38baf9c83"/>
    <w:p>
      <w:pPr>
        <w:pStyle w:val="Heading3"/>
      </w:pPr>
      <w:r>
        <w:t xml:space="preserve">Item 17 — Financial Viability / Bonding Capacity Evidence</w:t>
      </w:r>
    </w:p>
    <w:p>
      <w:pPr>
        <w:pStyle w:val="Compact"/>
        <w:numPr>
          <w:ilvl w:val="0"/>
          <w:numId w:val="1023"/>
        </w:numPr>
      </w:pPr>
      <w:r>
        <w:rPr>
          <w:b/>
          <w:bCs/>
        </w:rPr>
        <w:t xml:space="preserve">Authority:</w:t>
      </w:r>
      <w:r>
        <w:t xml:space="preserve"> </w:t>
      </w:r>
      <w:r>
        <w:t xml:space="preserve">Code § 9-5-5(B)(16); § 9-5-17; Guide Item 17; Application Form Section 8 (Q24, Q26).</w:t>
      </w:r>
    </w:p>
    <w:p>
      <w:pPr>
        <w:pStyle w:val="Compact"/>
        <w:numPr>
          <w:ilvl w:val="0"/>
          <w:numId w:val="1023"/>
        </w:numPr>
      </w:pPr>
      <w:r>
        <w:rPr>
          <w:b/>
          <w:bCs/>
        </w:rPr>
        <w:t xml:space="preserve">Requirement:</w:t>
      </w:r>
      <w:r>
        <w:t xml:space="preserve"> </w:t>
      </w:r>
      <w:r>
        <w:t xml:space="preserve">At application: proof of capitalization (bank statements, contribution documentation), sources-and-uses statement,</w:t>
      </w:r>
      <w:r>
        <w:t xml:space="preserve"> </w:t>
      </w:r>
      <w:r>
        <w:rPr>
          <w:b/>
          <w:bCs/>
        </w:rPr>
        <w:t xml:space="preserve">evidence of secured bonding capacity</w:t>
      </w:r>
      <w:r>
        <w:t xml:space="preserve"> </w:t>
      </w:r>
      <w:r>
        <w:t xml:space="preserve">(commitment letter or preliminary approval from a surety/financial institution for the $50,000 bond/LOC), and financial projections. The $50,000 bond/LOC itself is a pre-issuance item. The scoring rubric awards</w:t>
      </w:r>
      <w:r>
        <w:t xml:space="preserve"> </w:t>
      </w:r>
      <w:r>
        <w:rPr>
          <w:b/>
          <w:bCs/>
        </w:rPr>
        <w:t xml:space="preserve">10 Financial Viability points</w:t>
      </w:r>
      <w:r>
        <w:t xml:space="preserve"> </w:t>
      </w:r>
      <w:r>
        <w:t xml:space="preserve">for evidence of secured bonding capacity and states that applicants who do not provide such evidence</w:t>
      </w:r>
      <w:r>
        <w:t xml:space="preserve"> </w:t>
      </w:r>
      <w:r>
        <w:t xml:space="preserve">“</w:t>
      </w:r>
      <w:r>
        <w:t xml:space="preserve">will receive zero (0) points in this sub-category.</w:t>
      </w:r>
      <w:r>
        <w:t xml:space="preserve">”</w:t>
      </w:r>
      <w:r>
        <w:t xml:space="preserve"> </w:t>
      </w:r>
      <w:r>
        <w:t xml:space="preserve">The commitment letter must be on letterhead, signed by an authorized officer, and dated within 60 days of submission.</w:t>
      </w:r>
    </w:p>
    <w:p>
      <w:pPr>
        <w:pStyle w:val="Compact"/>
        <w:numPr>
          <w:ilvl w:val="0"/>
          <w:numId w:val="1023"/>
        </w:numPr>
      </w:pPr>
      <w:r>
        <w:rPr>
          <w:b/>
          <w:bCs/>
        </w:rPr>
        <w:t xml:space="preserve">Evidence in package:</w:t>
      </w:r>
      <w:r>
        <w:t xml:space="preserve"> </w:t>
      </w:r>
      <w:r>
        <w:t xml:space="preserve">The business plan (Section 6) documents capitalization of $1,850,000 in equity ($1,110,000 Okonkwo + $740,000 Ramachandran), no debt, a banking relationship with Ridgeline Community Bank, a detailed use-of-funds statement, and 3-year (5-year) projections.</w:t>
      </w:r>
      <w:r>
        <w:t xml:space="preserve"> </w:t>
      </w:r>
      <w:r>
        <w:rPr>
          <w:b/>
          <w:bCs/>
        </w:rPr>
        <w:t xml:space="preserve">However</w:t>
      </w:r>
      <w:r>
        <w:t xml:space="preserve">, the insurance memorandum states that bonding is at</w:t>
      </w:r>
      <w:r>
        <w:t xml:space="preserve"> </w:t>
      </w:r>
      <w:r>
        <w:t xml:space="preserve">“</w:t>
      </w:r>
      <w:r>
        <w:t xml:space="preserve">preliminary inquiry only</w:t>
      </w:r>
      <w:r>
        <w:t xml:space="preserve">”</w:t>
      </w:r>
      <w:r>
        <w:t xml:space="preserve"> </w:t>
      </w:r>
      <w:r>
        <w:t xml:space="preserve">— Thornfield Surety Group has indicated verbally that Greenleaf would likely qualify, but</w:t>
      </w:r>
      <w:r>
        <w:t xml:space="preserve"> </w:t>
      </w:r>
      <w:r>
        <w:t xml:space="preserve">“</w:t>
      </w:r>
      <w:r>
        <w:t xml:space="preserve">no formal commitment letter or bonding capacity letter has been obtained to date.</w:t>
      </w:r>
      <w:r>
        <w:t xml:space="preserve">”</w:t>
      </w:r>
      <w:r>
        <w:t xml:space="preserve"> </w:t>
      </w:r>
      <w:r>
        <w:t xml:space="preserve">The business plan says a formal commitment letter is</w:t>
      </w:r>
      <w:r>
        <w:t xml:space="preserve"> </w:t>
      </w:r>
      <w:r>
        <w:t xml:space="preserve">“</w:t>
      </w:r>
      <w:r>
        <w:t xml:space="preserve">expected prior to application submission.</w:t>
      </w:r>
      <w:r>
        <w:t xml:space="preserve">”</w:t>
      </w:r>
      <w:r>
        <w:t xml:space="preserve"> </w:t>
      </w:r>
      <w:r>
        <w:t xml:space="preserve">Actual proof-of-funds documentation (bank statements, contribution records) is not included in the package.</w:t>
      </w:r>
    </w:p>
    <w:p>
      <w:pPr>
        <w:pStyle w:val="Compact"/>
        <w:numPr>
          <w:ilvl w:val="0"/>
          <w:numId w:val="1023"/>
        </w:numPr>
      </w:pPr>
      <w:r>
        <w:rPr>
          <w:b/>
          <w:bCs/>
        </w:rPr>
        <w:t xml:space="preserve">Status: Partially Met — At Risk.</w:t>
      </w:r>
      <w:r>
        <w:t xml:space="preserve"> </w:t>
      </w:r>
      <w:r>
        <w:t xml:space="preserve">Capitalization is well-documented in the business plan, but (1)</w:t>
      </w:r>
      <w:r>
        <w:t xml:space="preserve"> </w:t>
      </w:r>
      <w:r>
        <w:rPr>
          <w:b/>
          <w:bCs/>
        </w:rPr>
        <w:t xml:space="preserve">no bonding capacity commitment letter has been obtained</w:t>
      </w:r>
      <w:r>
        <w:t xml:space="preserve"> </w:t>
      </w:r>
      <w:r>
        <w:t xml:space="preserve">— only a preliminary verbal inquiry — which fails the application-stage evidence requirement and forfeits 10 scoring points; and (2) proof-of-funds documentation is not included.</w:t>
      </w:r>
    </w:p>
    <w:p>
      <w:pPr>
        <w:pStyle w:val="Compact"/>
        <w:numPr>
          <w:ilvl w:val="0"/>
          <w:numId w:val="1023"/>
        </w:numPr>
      </w:pPr>
      <w:r>
        <w:rPr>
          <w:b/>
          <w:bCs/>
        </w:rPr>
        <w:t xml:space="preserve">Remediation (critical for completeness and scoring):</w:t>
      </w:r>
      <w:r>
        <w:t xml:space="preserve"> </w:t>
      </w:r>
      <w:r>
        <w:t xml:space="preserve">(1)</w:t>
      </w:r>
      <w:r>
        <w:t xml:space="preserve"> </w:t>
      </w:r>
      <w:r>
        <w:rPr>
          <w:b/>
          <w:bCs/>
        </w:rPr>
        <w:t xml:space="preserve">Obtain a formal bonding commitment letter</w:t>
      </w:r>
      <w:r>
        <w:t xml:space="preserve"> </w:t>
      </w:r>
      <w:r>
        <w:t xml:space="preserve">from Thornfield Surety Group (or an irrevocable LOC commitment from Ridgeline Community Bank) on letterhead, signed by an authorized officer, dated within 60 days of submission, confirming the ability to obtain the $50,000 bond/LOC naming the City as obligee/beneficiary. This is required at application and is worth 10 Financial Viability points. (2) Include proof-of-funds documentation (bank statements dated within 30 days, member contribution records). (3) Complete Application Form Q24 (capitalization/sources) and Q26 (bonding).</w:t>
      </w:r>
    </w:p>
    <w:bookmarkEnd w:id="41"/>
    <w:bookmarkStart w:id="42" w:name="Xa57b21e69d443063ab7fd8bb63d574a9b566d72"/>
    <w:p>
      <w:pPr>
        <w:pStyle w:val="Heading3"/>
      </w:pPr>
      <w:r>
        <w:t xml:space="preserve">Item 18 — Social Equity Documentation (if applicable)</w:t>
      </w:r>
    </w:p>
    <w:p>
      <w:pPr>
        <w:pStyle w:val="Compact"/>
        <w:numPr>
          <w:ilvl w:val="0"/>
          <w:numId w:val="1024"/>
        </w:numPr>
      </w:pPr>
      <w:r>
        <w:rPr>
          <w:b/>
          <w:bCs/>
        </w:rPr>
        <w:t xml:space="preserve">Authority:</w:t>
      </w:r>
      <w:r>
        <w:t xml:space="preserve"> </w:t>
      </w:r>
      <w:r>
        <w:t xml:space="preserve">Code § 9-5-5(B)(13); § 9-5-19; Guide Item 18; Application Form Section 6 (Q19–Q21).</w:t>
      </w:r>
    </w:p>
    <w:p>
      <w:pPr>
        <w:pStyle w:val="Compact"/>
        <w:numPr>
          <w:ilvl w:val="0"/>
          <w:numId w:val="1024"/>
        </w:numPr>
      </w:pPr>
      <w:r>
        <w:rPr>
          <w:b/>
          <w:bCs/>
        </w:rPr>
        <w:t xml:space="preserve">Requirement:</w:t>
      </w:r>
      <w:r>
        <w:t xml:space="preserve"> </w:t>
      </w:r>
      <w:r>
        <w:t xml:space="preserve">If claiming social equity status: (a) documentation of qualifying individual’s R3 residency (utility bills, lease, or ID with census tract verification); (b) documentation of prior cannabis-related arrest/conviction with expungement/sealing/pardon records; (c) signed commitment to the Cannabis Business Mentorship Program (2 years); (d) signed commitment to hire ≥50% of workforce from R3 tracts. Code § 9-5-19(B)(1) requires R3 residency for a continuous 24 months preceding application; (B)(2) recognizes a principal officer’s own expunged cannabis conviction; the qualifying individual must hold a majority ownership interest.</w:t>
      </w:r>
    </w:p>
    <w:p>
      <w:pPr>
        <w:pStyle w:val="Compact"/>
        <w:numPr>
          <w:ilvl w:val="0"/>
          <w:numId w:val="1024"/>
        </w:numPr>
      </w:pPr>
      <w:r>
        <w:rPr>
          <w:b/>
          <w:bCs/>
        </w:rPr>
        <w:t xml:space="preserve">Evidence in package:</w:t>
      </w:r>
      <w:r>
        <w:t xml:space="preserve"> </w:t>
      </w:r>
      <w:r>
        <w:t xml:space="preserve">The State license confirms Social Equity designation based on Dara Okonkwo (60% ownership): (a) residency in a Disproportionately Impacted Area (5 of 10 years) and (b) a prior cannabis-related arrest/conviction. The business plan (Section 7.1) details: R3 census tract 8092.02 residency (tract 8092.02 is on the City’s designated R3 list, § 9-5-19(G)); a 2016 misdemeanor cannabis possession conviction (&lt;30g), expunged 2020 in Cook County; 60% ownership &gt; 51% threshold. Okonkwo qualifies under § 9-5-19(B)(2) (own expunged conviction) and potentially (B)(1) (R3 residency).</w:t>
      </w:r>
      <w:r>
        <w:t xml:space="preserve"> </w:t>
      </w:r>
      <w:r>
        <w:rPr>
          <w:b/>
          <w:bCs/>
        </w:rPr>
        <w:t xml:space="preserve">However</w:t>
      </w:r>
      <w:r>
        <w:t xml:space="preserve">, the actual supporting documentation is not in the package: no R3 residency proof with census tract verification, no expungement court order/records, no signed mentorship commitment, and the Q21 social equity commitments signature block is blank. The 24-month continuous R3 residency duration is not explicitly documented (the State license references 5-of-10-years DIA residency, which is a State standard distinct from the City’s 24-month R3 requirement).</w:t>
      </w:r>
    </w:p>
    <w:p>
      <w:pPr>
        <w:pStyle w:val="Compact"/>
        <w:numPr>
          <w:ilvl w:val="0"/>
          <w:numId w:val="1024"/>
        </w:numPr>
      </w:pPr>
      <w:r>
        <w:rPr>
          <w:b/>
          <w:bCs/>
        </w:rPr>
        <w:t xml:space="preserve">Status: Partially Met.</w:t>
      </w:r>
      <w:r>
        <w:t xml:space="preserve"> </w:t>
      </w:r>
      <w:r>
        <w:t xml:space="preserve">Social equity qualification is well-supported in the State license and business plan, and the ownership threshold is satisfied. The required supporting documentation and signed commitments are absent, and the 24-month R3 residency duration is unverified (though qualification via (B)(2) — own expunged conviction — does not require a residency duration).</w:t>
      </w:r>
    </w:p>
    <w:p>
      <w:pPr>
        <w:pStyle w:val="Compact"/>
        <w:numPr>
          <w:ilvl w:val="0"/>
          <w:numId w:val="1024"/>
        </w:numPr>
      </w:pPr>
      <w:r>
        <w:rPr>
          <w:b/>
          <w:bCs/>
        </w:rPr>
        <w:t xml:space="preserve">Remediation:</w:t>
      </w:r>
      <w:r>
        <w:t xml:space="preserve"> </w:t>
      </w:r>
      <w:r>
        <w:t xml:space="preserve">(1) Include R3 residency documentation (utility bills/lease/ID dated within 90 days + census tract verification) demonstrating 24-month continuous residency in tract 8092.02 if relying on (B)(1). (2) Include the expungement court order/records for the 2016 conviction. (3) Obtain and include the signed Cannabis Business Mentorship Program commitment (2 years). (4) Complete and sign the Q21 social equity commitments (50% R3 hiring) in the application form. (5) Complete Q19 (social equity claim and qualifying bases) and Q20 (R3 census tract verification with two forms of proof).</w:t>
      </w:r>
    </w:p>
    <w:bookmarkEnd w:id="42"/>
    <w:bookmarkStart w:id="43" w:name="item-19-agent-in-charge-designation"/>
    <w:p>
      <w:pPr>
        <w:pStyle w:val="Heading3"/>
      </w:pPr>
      <w:r>
        <w:t xml:space="preserve">Item 19 — Agent-in-Charge Designation</w:t>
      </w:r>
    </w:p>
    <w:p>
      <w:pPr>
        <w:pStyle w:val="Compact"/>
        <w:numPr>
          <w:ilvl w:val="0"/>
          <w:numId w:val="1025"/>
        </w:numPr>
      </w:pPr>
      <w:r>
        <w:rPr>
          <w:b/>
          <w:bCs/>
        </w:rPr>
        <w:t xml:space="preserve">Authority:</w:t>
      </w:r>
      <w:r>
        <w:t xml:space="preserve"> </w:t>
      </w:r>
      <w:r>
        <w:t xml:space="preserve">Code § 9-5-13(I); Guide Item 19; Application Form Section 2 (Q13).</w:t>
      </w:r>
    </w:p>
    <w:p>
      <w:pPr>
        <w:pStyle w:val="Compact"/>
        <w:numPr>
          <w:ilvl w:val="0"/>
          <w:numId w:val="1025"/>
        </w:numPr>
      </w:pPr>
      <w:r>
        <w:rPr>
          <w:b/>
          <w:bCs/>
        </w:rPr>
        <w:t xml:space="preserve">Requirement:</w:t>
      </w:r>
      <w:r>
        <w:t xml:space="preserve"> </w:t>
      </w:r>
      <w:r>
        <w:t xml:space="preserve">Designation of the Agent-in-Charge, including name/title, proof of an Illinois Cannabis Dispensing Organization Agent ID Card (or pending application), and a signed statement accepting responsibility for day-to-day compliance. Code § 9-5-13(I) requires the Agent-in-Charge to be present during all operating hours or available to return within 30 minutes. The form requires the Agent-in-Charge to reside within 30 miles of the dispensary.</w:t>
      </w:r>
    </w:p>
    <w:p>
      <w:pPr>
        <w:pStyle w:val="Compact"/>
        <w:numPr>
          <w:ilvl w:val="0"/>
          <w:numId w:val="1025"/>
        </w:numPr>
      </w:pPr>
      <w:r>
        <w:rPr>
          <w:b/>
          <w:bCs/>
        </w:rPr>
        <w:t xml:space="preserve">Evidence in package:</w:t>
      </w:r>
      <w:r>
        <w:t xml:space="preserve"> </w:t>
      </w:r>
      <w:r>
        <w:t xml:space="preserve">Dara Okonkwo is designated as Agent-in-Charge in the State license (</w:t>
      </w:r>
      <w:r>
        <w:t xml:space="preserve">“</w:t>
      </w:r>
      <w:r>
        <w:t xml:space="preserve">Designated Agent-in-Charge</w:t>
      </w:r>
      <w:r>
        <w:t xml:space="preserve">”</w:t>
      </w:r>
      <w:r>
        <w:t xml:space="preserve">) and the business plan. She resides in Evanston (within 30 miles of the dispensary). She holds an Illinois</w:t>
      </w:r>
      <w:r>
        <w:t xml:space="preserve"> </w:t>
      </w:r>
      <w:r>
        <w:rPr>
          <w:b/>
          <w:bCs/>
        </w:rPr>
        <w:t xml:space="preserve">Pharmacist</w:t>
      </w:r>
      <w:r>
        <w:t xml:space="preserve"> </w:t>
      </w:r>
      <w:r>
        <w:t xml:space="preserve">License (051-302887), which is distinct from the required Illinois Cannabis Dispensing Organization</w:t>
      </w:r>
      <w:r>
        <w:t xml:space="preserve"> </w:t>
      </w:r>
      <w:r>
        <w:rPr>
          <w:b/>
          <w:bCs/>
        </w:rPr>
        <w:t xml:space="preserve">Agent Identification Card</w:t>
      </w:r>
      <w:r>
        <w:t xml:space="preserve">. The application form Q13 (including the Agent ID Card number and signed acceptance statement) is</w:t>
      </w:r>
      <w:r>
        <w:t xml:space="preserve"> </w:t>
      </w:r>
      <w:r>
        <w:rPr>
          <w:b/>
          <w:bCs/>
        </w:rPr>
        <w:t xml:space="preserve">blank</w:t>
      </w:r>
      <w:r>
        <w:t xml:space="preserve">.</w:t>
      </w:r>
    </w:p>
    <w:p>
      <w:pPr>
        <w:pStyle w:val="Compact"/>
        <w:numPr>
          <w:ilvl w:val="0"/>
          <w:numId w:val="1025"/>
        </w:numPr>
      </w:pPr>
      <w:r>
        <w:rPr>
          <w:b/>
          <w:bCs/>
        </w:rPr>
        <w:t xml:space="preserve">Status: Partially Met.</w:t>
      </w:r>
      <w:r>
        <w:t xml:space="preserve"> </w:t>
      </w:r>
      <w:r>
        <w:t xml:space="preserve">Okonkwo is designated and meets the residency requirement, but proof of the required Cannabis Dispensing Organization Agent ID Card (or a pending application) is not documented, and the signed acceptance statement is not included.</w:t>
      </w:r>
    </w:p>
    <w:p>
      <w:pPr>
        <w:pStyle w:val="Compact"/>
        <w:numPr>
          <w:ilvl w:val="0"/>
          <w:numId w:val="1025"/>
        </w:numPr>
      </w:pPr>
      <w:r>
        <w:rPr>
          <w:b/>
          <w:bCs/>
        </w:rPr>
        <w:t xml:space="preserve">Remediation:</w:t>
      </w:r>
      <w:r>
        <w:t xml:space="preserve"> </w:t>
      </w:r>
      <w:r>
        <w:t xml:space="preserve">Obtain or document Okonkwo’s Illinois Cannabis Dispensing Organization Agent Identification Card (or a pending application). Complete and sign Application Form Q13, including the Agent ID Card number and the signed statement accepting compliance responsibility. Note: all employees who handle cannabis must also hold Agent ID Cards before opening (§ 9-5-13(E); § 9-5-11(G)).</w:t>
      </w:r>
    </w:p>
    <w:bookmarkEnd w:id="43"/>
    <w:bookmarkStart w:id="44" w:name="Xa27f40e7f52c708244ab0298a24ccade20e3f6f"/>
    <w:p>
      <w:pPr>
        <w:pStyle w:val="Heading3"/>
      </w:pPr>
      <w:r>
        <w:t xml:space="preserve">Item 20 — Zoning Confirmation / Special Use Application</w:t>
      </w:r>
    </w:p>
    <w:p>
      <w:pPr>
        <w:pStyle w:val="Compact"/>
        <w:numPr>
          <w:ilvl w:val="0"/>
          <w:numId w:val="1026"/>
        </w:numPr>
      </w:pPr>
      <w:r>
        <w:rPr>
          <w:b/>
          <w:bCs/>
        </w:rPr>
        <w:t xml:space="preserve">Authority:</w:t>
      </w:r>
      <w:r>
        <w:t xml:space="preserve"> </w:t>
      </w:r>
      <w:r>
        <w:t xml:space="preserve">Code § 9-5-9(A),(D); Guide Item 20; Application Form Section 3 (Q3).</w:t>
      </w:r>
    </w:p>
    <w:p>
      <w:pPr>
        <w:pStyle w:val="Compact"/>
        <w:numPr>
          <w:ilvl w:val="0"/>
          <w:numId w:val="1026"/>
        </w:numPr>
      </w:pPr>
      <w:r>
        <w:rPr>
          <w:b/>
          <w:bCs/>
        </w:rPr>
        <w:t xml:space="preserve">Requirement:</w:t>
      </w:r>
      <w:r>
        <w:t xml:space="preserve"> </w:t>
      </w:r>
      <w:r>
        <w:t xml:space="preserve">Confirmation of zoning compliance from the City’s Zoning Division, or a pending special use application. Cannabis dispensaries are permitted as a special use in the C1a, C2, and oC1 districts (§ 9-5-9(A)). Special use approval by the ZBA and City Council is required before permit issuance. If not yet obtained, evidence that a special use application has been filed or will be filed concurrently must be submitted.</w:t>
      </w:r>
    </w:p>
    <w:p>
      <w:pPr>
        <w:pStyle w:val="Compact"/>
        <w:numPr>
          <w:ilvl w:val="0"/>
          <w:numId w:val="1026"/>
        </w:numPr>
      </w:pPr>
      <w:r>
        <w:rPr>
          <w:b/>
          <w:bCs/>
        </w:rPr>
        <w:t xml:space="preserve">Evidence in package:</w:t>
      </w:r>
      <w:r>
        <w:t xml:space="preserve"> </w:t>
      </w:r>
      <w:r>
        <w:t xml:space="preserve">The business plan (Section 3.1) and lease summary (Section 2) confirm the proposed location is in the</w:t>
      </w:r>
      <w:r>
        <w:t xml:space="preserve"> </w:t>
      </w:r>
      <w:r>
        <w:rPr>
          <w:b/>
          <w:bCs/>
        </w:rPr>
        <w:t xml:space="preserve">C1a Commercial Mixed-Use</w:t>
      </w:r>
      <w:r>
        <w:t xml:space="preserve"> </w:t>
      </w:r>
      <w:r>
        <w:t xml:space="preserve">zoning district, in which cannabis dispensaries are permitted as a special use.</w:t>
      </w:r>
      <w:r>
        <w:t xml:space="preserve"> </w:t>
      </w:r>
      <w:r>
        <w:rPr>
          <w:b/>
          <w:bCs/>
        </w:rPr>
        <w:t xml:space="preserve">No evidence of a filed special use application or zoning confirmation from the Zoning Division is included.</w:t>
      </w:r>
      <w:r>
        <w:t xml:space="preserve"> </w:t>
      </w:r>
      <w:r>
        <w:t xml:space="preserve">Application Form Q3 (zoning classification and special use status) is blank.</w:t>
      </w:r>
    </w:p>
    <w:p>
      <w:pPr>
        <w:pStyle w:val="Compact"/>
        <w:numPr>
          <w:ilvl w:val="0"/>
          <w:numId w:val="1026"/>
        </w:numPr>
      </w:pPr>
      <w:r>
        <w:rPr>
          <w:b/>
          <w:bCs/>
        </w:rPr>
        <w:t xml:space="preserve">Status: Outstanding.</w:t>
      </w:r>
      <w:r>
        <w:t xml:space="preserve"> </w:t>
      </w:r>
      <w:r>
        <w:t xml:space="preserve">The C1a zoning is confirmed, but no special use application filing or zoning confirmation is documented.</w:t>
      </w:r>
    </w:p>
    <w:p>
      <w:pPr>
        <w:pStyle w:val="Compact"/>
        <w:numPr>
          <w:ilvl w:val="0"/>
          <w:numId w:val="1026"/>
        </w:numPr>
      </w:pPr>
      <w:r>
        <w:rPr>
          <w:b/>
          <w:bCs/>
        </w:rPr>
        <w:t xml:space="preserve">Remediation:</w:t>
      </w:r>
      <w:r>
        <w:t xml:space="preserve"> </w:t>
      </w:r>
      <w:r>
        <w:t xml:space="preserve">File the special use application with the Zoning Board of Appeals concurrently with the permit application and include evidence of filing. Obtain zoning confirmation from the City’s Zoning Division. Complete Application Form Q3.</w:t>
      </w:r>
      <w:r>
        <w:t xml:space="preserve"> </w:t>
      </w:r>
      <w:r>
        <w:rPr>
          <w:b/>
          <w:bCs/>
        </w:rPr>
        <w:t xml:space="preserve">Note the form’s zoning-district list is incorrect</w:t>
      </w:r>
      <w:r>
        <w:t xml:space="preserve"> </w:t>
      </w:r>
      <w:r>
        <w:t xml:space="preserve">(see discrepancy D-8): the form lists</w:t>
      </w:r>
      <w:r>
        <w:t xml:space="preserve"> </w:t>
      </w:r>
      <w:r>
        <w:t xml:space="preserve">“</w:t>
      </w:r>
      <w:r>
        <w:t xml:space="preserve">C1a, C1, and B2,</w:t>
      </w:r>
      <w:r>
        <w:t xml:space="preserve">”</w:t>
      </w:r>
      <w:r>
        <w:t xml:space="preserve"> </w:t>
      </w:r>
      <w:r>
        <w:t xml:space="preserve">but the Code (§ 9-5-9(A)) permits dispensaries only in C1a, C2, and oC1. Verify the correct classification with the Zoning Division; the C1a designation for this location is consistent with the Code.</w:t>
      </w:r>
    </w:p>
    <w:p>
      <w:r>
        <w:pict>
          <v:rect style="width:0;height:1.5pt" o:hralign="center" o:hrstd="t" o:hr="t"/>
        </w:pict>
      </w:r>
    </w:p>
    <w:bookmarkEnd w:id="44"/>
    <w:bookmarkEnd w:id="45"/>
    <w:bookmarkStart w:id="46" w:name="Xeab89795638d4b21099aecb4292fa3b1892aab8"/>
    <w:p>
      <w:pPr>
        <w:pStyle w:val="Heading2"/>
      </w:pPr>
      <w:r>
        <w:t xml:space="preserve">5. Cross-Cutting Issues and Document Discrepancies</w:t>
      </w:r>
    </w:p>
    <w:p>
      <w:pPr>
        <w:pStyle w:val="FirstParagraph"/>
      </w:pPr>
      <w:r>
        <w:t xml:space="preserve">The review identified several inconsistencies among the Code, the Guide, and the application form, plus internal inconsistencies within the application package. These do not necessarily reflect applicant error, but they affect how the applicant should prepare the submission and may create confusion during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Detail</w:t>
            </w:r>
          </w:p>
        </w:tc>
        <w:tc>
          <w:tcPr/>
          <w:p>
            <w:pPr>
              <w:pStyle w:val="Compact"/>
              <w:jc w:val="left"/>
            </w:pPr>
            <w:r>
              <w:t xml:space="preserve">Recommendation</w:t>
            </w:r>
          </w:p>
        </w:tc>
      </w:tr>
      <w:tr>
        <w:tc>
          <w:tcPr/>
          <w:p>
            <w:pPr>
              <w:pStyle w:val="Compact"/>
              <w:jc w:val="left"/>
            </w:pPr>
            <w:r>
              <w:t xml:space="preserve">D-1</w:t>
            </w:r>
          </w:p>
        </w:tc>
        <w:tc>
          <w:tcPr/>
          <w:p>
            <w:pPr>
              <w:pStyle w:val="Compact"/>
              <w:jc w:val="left"/>
            </w:pPr>
            <w:r>
              <w:t xml:space="preserve">Registered agent name conflict</w:t>
            </w:r>
          </w:p>
        </w:tc>
        <w:tc>
          <w:tcPr/>
          <w:p>
            <w:pPr>
              <w:pStyle w:val="Compact"/>
              <w:jc w:val="left"/>
            </w:pPr>
            <w:r>
              <w:t xml:space="preserve">State license lists</w:t>
            </w:r>
            <w:r>
              <w:t xml:space="preserve"> </w:t>
            </w:r>
            <w:r>
              <w:t xml:space="preserve">“</w:t>
            </w:r>
            <w:r>
              <w:t xml:space="preserve">Keystone Statutory Services</w:t>
            </w:r>
            <w:r>
              <w:t xml:space="preserve">”</w:t>
            </w:r>
            <w:r>
              <w:t xml:space="preserve">; business plan and lease summary list</w:t>
            </w:r>
            <w:r>
              <w:t xml:space="preserve"> </w:t>
            </w:r>
            <w:r>
              <w:t xml:space="preserve">“</w:t>
            </w:r>
            <w:r>
              <w:t xml:space="preserve">Northwest Statutory Services</w:t>
            </w:r>
            <w:r>
              <w:t xml:space="preserve">”</w:t>
            </w:r>
            <w:r>
              <w:t xml:space="preserve"> </w:t>
            </w:r>
            <w:r>
              <w:t xml:space="preserve">(both at 205 N. Michigan Ave., Suite 810, Chicago).</w:t>
            </w:r>
          </w:p>
        </w:tc>
        <w:tc>
          <w:tcPr/>
          <w:p>
            <w:pPr>
              <w:pStyle w:val="Compact"/>
              <w:jc w:val="left"/>
            </w:pPr>
            <w:r>
              <w:t xml:space="preserve">Reconcile and correct across all documents. Confirm the current registered agent with the Illinois Secretary of State.</w:t>
            </w:r>
          </w:p>
        </w:tc>
      </w:tr>
      <w:tr>
        <w:tc>
          <w:tcPr/>
          <w:p>
            <w:pPr>
              <w:pStyle w:val="Compact"/>
              <w:jc w:val="left"/>
            </w:pPr>
            <w:r>
              <w:t xml:space="preserve">D-2</w:t>
            </w:r>
          </w:p>
        </w:tc>
        <w:tc>
          <w:tcPr/>
          <w:p>
            <w:pPr>
              <w:pStyle w:val="Compact"/>
              <w:jc w:val="left"/>
            </w:pPr>
            <w:r>
              <w:t xml:space="preserve">Coordinator phone number conflict</w:t>
            </w:r>
          </w:p>
        </w:tc>
        <w:tc>
          <w:tcPr/>
          <w:p>
            <w:pPr>
              <w:pStyle w:val="Compact"/>
              <w:jc w:val="left"/>
            </w:pPr>
            <w:r>
              <w:t xml:space="preserve">Application form header: (847) 448-8163. Guide: (847) 448-4311.</w:t>
            </w:r>
          </w:p>
        </w:tc>
        <w:tc>
          <w:tcPr/>
          <w:p>
            <w:pPr>
              <w:pStyle w:val="Compact"/>
              <w:jc w:val="left"/>
            </w:pPr>
            <w:r>
              <w:t xml:space="preserve">Confirm the correct Coordinator phone number with the Department of Community Development and use it consistently.</w:t>
            </w:r>
          </w:p>
        </w:tc>
      </w:tr>
      <w:tr>
        <w:tc>
          <w:tcPr/>
          <w:p>
            <w:pPr>
              <w:pStyle w:val="Compact"/>
              <w:jc w:val="left"/>
            </w:pPr>
            <w:r>
              <w:t xml:space="preserve">D-3</w:t>
            </w:r>
          </w:p>
        </w:tc>
        <w:tc>
          <w:tcPr/>
          <w:p>
            <w:pPr>
              <w:pStyle w:val="Compact"/>
              <w:jc w:val="left"/>
            </w:pPr>
            <w:r>
              <w:t xml:space="preserve">Coordinator email format conflict</w:t>
            </w:r>
          </w:p>
        </w:tc>
        <w:tc>
          <w:tcPr/>
          <w:p>
            <w:pPr>
              <w:pStyle w:val="Compact"/>
              <w:jc w:val="left"/>
            </w:pPr>
            <w:r>
              <w:t xml:space="preserve">Form: rvasquez-morris@cityofevanston.org. Guide: rvasquezmorris@cityofevanston.org (no hyphen).</w:t>
            </w:r>
          </w:p>
        </w:tc>
        <w:tc>
          <w:tcPr/>
          <w:p>
            <w:pPr>
              <w:pStyle w:val="Compact"/>
              <w:jc w:val="left"/>
            </w:pPr>
            <w:r>
              <w:t xml:space="preserve">Confirm the correct email address.</w:t>
            </w:r>
          </w:p>
        </w:tc>
      </w:tr>
      <w:tr>
        <w:tc>
          <w:tcPr/>
          <w:p>
            <w:pPr>
              <w:pStyle w:val="Compact"/>
              <w:jc w:val="left"/>
            </w:pPr>
            <w:r>
              <w:t xml:space="preserve">D-4</w:t>
            </w:r>
          </w:p>
        </w:tc>
        <w:tc>
          <w:tcPr/>
          <w:p>
            <w:pPr>
              <w:pStyle w:val="Compact"/>
              <w:jc w:val="left"/>
            </w:pPr>
            <w:r>
              <w:t xml:space="preserve">Application fee payment method conflict</w:t>
            </w:r>
          </w:p>
        </w:tc>
        <w:tc>
          <w:tcPr/>
          <w:p>
            <w:pPr>
              <w:pStyle w:val="Compact"/>
              <w:jc w:val="left"/>
            </w:pPr>
            <w:r>
              <w:t xml:space="preserve">Code § 9-5-6(C): certified check or EFT. Guide: cashier’s check or money order. Form: certified check, cashier’s check, or wire transfer.</w:t>
            </w:r>
          </w:p>
        </w:tc>
        <w:tc>
          <w:tcPr/>
          <w:p>
            <w:pPr>
              <w:pStyle w:val="Compact"/>
              <w:jc w:val="left"/>
            </w:pPr>
            <w:r>
              <w:t xml:space="preserve">The Code is the controlling authority. Use certified check or EFT.</w:t>
            </w:r>
            <w:r>
              <w:t xml:space="preserve"> </w:t>
            </w:r>
            <w:r>
              <w:t xml:space="preserve">“</w:t>
            </w:r>
            <w:r>
              <w:t xml:space="preserve">Money order</w:t>
            </w:r>
            <w:r>
              <w:t xml:space="preserve">”</w:t>
            </w:r>
            <w:r>
              <w:t xml:space="preserve"> </w:t>
            </w:r>
            <w:r>
              <w:t xml:space="preserve">(Guide) is not authorized by the Code. Clarify with the Coordinator in advance.</w:t>
            </w:r>
          </w:p>
        </w:tc>
      </w:tr>
      <w:tr>
        <w:tc>
          <w:tcPr/>
          <w:p>
            <w:pPr>
              <w:pStyle w:val="Compact"/>
              <w:jc w:val="left"/>
            </w:pPr>
            <w:r>
              <w:t xml:space="preserve">D-5</w:t>
            </w:r>
          </w:p>
        </w:tc>
        <w:tc>
          <w:tcPr/>
          <w:p>
            <w:pPr>
              <w:pStyle w:val="Compact"/>
              <w:jc w:val="left"/>
            </w:pPr>
            <w:r>
              <w:t xml:space="preserve">Deficiency cure period conflict</w:t>
            </w:r>
          </w:p>
        </w:tc>
        <w:tc>
          <w:tcPr/>
          <w:p>
            <w:pPr>
              <w:pStyle w:val="Compact"/>
              <w:jc w:val="left"/>
            </w:pPr>
            <w:r>
              <w:t xml:space="preserve">Code § 9-5-7(C): 30 calendar days to cure. Guide and Form: 14 calendar days to cure.</w:t>
            </w:r>
          </w:p>
        </w:tc>
        <w:tc>
          <w:tcPr/>
          <w:p>
            <w:pPr>
              <w:pStyle w:val="Compact"/>
              <w:jc w:val="left"/>
            </w:pPr>
            <w:r>
              <w:t xml:space="preserve">The Code provides 30 days — more generous than the Guide/Form’s 14 days. The applicant should be aware of its statutory right to 30 days, but should plan to cure within 14 days to satisfy the Guide/Form expectations. Seek clarification from the Coordinator.</w:t>
            </w:r>
          </w:p>
        </w:tc>
      </w:tr>
      <w:tr>
        <w:tc>
          <w:tcPr/>
          <w:p>
            <w:pPr>
              <w:pStyle w:val="Compact"/>
              <w:jc w:val="left"/>
            </w:pPr>
            <w:r>
              <w:t xml:space="preserve">D-6</w:t>
            </w:r>
          </w:p>
        </w:tc>
        <w:tc>
          <w:tcPr/>
          <w:p>
            <w:pPr>
              <w:pStyle w:val="Compact"/>
              <w:jc w:val="left"/>
            </w:pPr>
            <w:r>
              <w:t xml:space="preserve">Certificate of Good Standing recency conflict</w:t>
            </w:r>
          </w:p>
        </w:tc>
        <w:tc>
          <w:tcPr/>
          <w:p>
            <w:pPr>
              <w:pStyle w:val="Compact"/>
              <w:jc w:val="left"/>
            </w:pPr>
            <w:r>
              <w:t xml:space="preserve">Code § 9-5-5(B)(3): within preceding 60 days. Guide: within 60 days. Form checklist: within 30 days.</w:t>
            </w:r>
          </w:p>
        </w:tc>
        <w:tc>
          <w:tcPr/>
          <w:p>
            <w:pPr>
              <w:pStyle w:val="Compact"/>
              <w:jc w:val="left"/>
            </w:pPr>
            <w:r>
              <w:t xml:space="preserve">Obtain the Certificate of Good Standing within 30 days of submission to satisfy the most restrictive standard (the form).</w:t>
            </w:r>
          </w:p>
        </w:tc>
      </w:tr>
      <w:tr>
        <w:tc>
          <w:tcPr/>
          <w:p>
            <w:pPr>
              <w:pStyle w:val="Compact"/>
              <w:jc w:val="left"/>
            </w:pPr>
            <w:r>
              <w:t xml:space="preserve">D-7</w:t>
            </w:r>
          </w:p>
        </w:tc>
        <w:tc>
          <w:tcPr/>
          <w:p>
            <w:pPr>
              <w:pStyle w:val="Compact"/>
              <w:jc w:val="left"/>
            </w:pPr>
            <w:r>
              <w:t xml:space="preserve">Social Security number disclosure conflict</w:t>
            </w:r>
          </w:p>
        </w:tc>
        <w:tc>
          <w:tcPr/>
          <w:p>
            <w:pPr>
              <w:pStyle w:val="Compact"/>
              <w:jc w:val="left"/>
            </w:pPr>
            <w:r>
              <w:t xml:space="preserve">Code § 9-5-5(B)(4) requires the Social Security number. Form Q14A requests</w:t>
            </w:r>
            <w:r>
              <w:t xml:space="preserve"> </w:t>
            </w:r>
            <w:r>
              <w:t xml:space="preserve">“</w:t>
            </w:r>
            <w:r>
              <w:t xml:space="preserve">last 4 digits only.</w:t>
            </w:r>
            <w:r>
              <w:t xml:space="preserve">”</w:t>
            </w:r>
          </w:p>
        </w:tc>
        <w:tc>
          <w:tcPr/>
          <w:p>
            <w:pPr>
              <w:pStyle w:val="Compact"/>
              <w:jc w:val="left"/>
            </w:pPr>
            <w:r>
              <w:t xml:space="preserve">Complete the form as written (last four digits), but be prepared to provide the full SSN if requested by the Coordinator under the Code.</w:t>
            </w:r>
          </w:p>
        </w:tc>
      </w:tr>
      <w:tr>
        <w:tc>
          <w:tcPr/>
          <w:p>
            <w:pPr>
              <w:pStyle w:val="Compact"/>
              <w:jc w:val="left"/>
            </w:pPr>
            <w:r>
              <w:t xml:space="preserve">D-8</w:t>
            </w:r>
          </w:p>
        </w:tc>
        <w:tc>
          <w:tcPr/>
          <w:p>
            <w:pPr>
              <w:pStyle w:val="Compact"/>
              <w:jc w:val="left"/>
            </w:pPr>
            <w:r>
              <w:t xml:space="preserve">Zoning district list error in form</w:t>
            </w:r>
          </w:p>
        </w:tc>
        <w:tc>
          <w:tcPr/>
          <w:p>
            <w:pPr>
              <w:pStyle w:val="Compact"/>
              <w:jc w:val="left"/>
            </w:pPr>
            <w:r>
              <w:t xml:space="preserve">Application Form Section 3 (Q3) states dispensaries are a special use in</w:t>
            </w:r>
            <w:r>
              <w:t xml:space="preserve"> </w:t>
            </w:r>
            <w:r>
              <w:t xml:space="preserve">“</w:t>
            </w:r>
            <w:r>
              <w:t xml:space="preserve">C1a, C1, and B2</w:t>
            </w:r>
            <w:r>
              <w:t xml:space="preserve">”</w:t>
            </w:r>
            <w:r>
              <w:t xml:space="preserve"> </w:t>
            </w:r>
            <w:r>
              <w:t xml:space="preserve">districts. Code § 9-5-9(A) permits dispensaries only in C1a, C2, and oC1.</w:t>
            </w:r>
          </w:p>
        </w:tc>
        <w:tc>
          <w:tcPr/>
          <w:p>
            <w:pPr>
              <w:pStyle w:val="Compact"/>
              <w:jc w:val="left"/>
            </w:pPr>
            <w:r>
              <w:t xml:space="preserve">The form’s list is incorrect (includes C1 and B2, which are not authorized; omits C2 and oC1). The proposed location’s C1a designation is correct under both. Verify with the Zoning Division; do not rely on the form’s district list.</w:t>
            </w:r>
          </w:p>
        </w:tc>
      </w:tr>
      <w:tr>
        <w:tc>
          <w:tcPr/>
          <w:p>
            <w:pPr>
              <w:pStyle w:val="Compact"/>
              <w:jc w:val="left"/>
            </w:pPr>
            <w:r>
              <w:t xml:space="preserve">D-9</w:t>
            </w:r>
          </w:p>
        </w:tc>
        <w:tc>
          <w:tcPr/>
          <w:p>
            <w:pPr>
              <w:pStyle w:val="Compact"/>
              <w:jc w:val="left"/>
            </w:pPr>
            <w:r>
              <w:t xml:space="preserve">Occupancy formula error in form</w:t>
            </w:r>
          </w:p>
        </w:tc>
        <w:tc>
          <w:tcPr/>
          <w:p>
            <w:pPr>
              <w:pStyle w:val="Compact"/>
              <w:jc w:val="left"/>
            </w:pPr>
            <w:r>
              <w:t xml:space="preserve">Application Form Section 5 (Q12) instructs:</w:t>
            </w:r>
            <w:r>
              <w:t xml:space="preserve"> </w:t>
            </w:r>
            <w:r>
              <w:t xml:space="preserve">“</w:t>
            </w:r>
            <w:r>
              <w:t xml:space="preserve">Total Dispensary Square Footage ÷ 40 = Maximum Customer Occupancy,</w:t>
            </w:r>
            <w:r>
              <w:t xml:space="preserve">”</w:t>
            </w:r>
            <w:r>
              <w:t xml:space="preserve"> </w:t>
            </w:r>
            <w:r>
              <w:t xml:space="preserve">using total square footage (3,200). Code § 9-5-13(J) uses</w:t>
            </w:r>
            <w:r>
              <w:t xml:space="preserve"> </w:t>
            </w:r>
            <w:r>
              <w:rPr>
                <w:b/>
                <w:bCs/>
              </w:rPr>
              <w:t xml:space="preserve">retail floor area</w:t>
            </w:r>
            <w:r>
              <w:t xml:space="preserve"> </w:t>
            </w:r>
            <w:r>
              <w:t xml:space="preserve">(1,600).</w:t>
            </w:r>
          </w:p>
        </w:tc>
        <w:tc>
          <w:tcPr/>
          <w:p>
            <w:pPr>
              <w:pStyle w:val="Compact"/>
              <w:jc w:val="left"/>
            </w:pPr>
            <w:r>
              <w:t xml:space="preserve">The Code controls. The correct occupancy is 1,600 ÷ 40 =</w:t>
            </w:r>
            <w:r>
              <w:t xml:space="preserve"> </w:t>
            </w:r>
            <w:r>
              <w:rPr>
                <w:b/>
                <w:bCs/>
              </w:rPr>
              <w:t xml:space="preserve">40 customers</w:t>
            </w:r>
            <w:r>
              <w:t xml:space="preserve"> </w:t>
            </w:r>
            <w:r>
              <w:t xml:space="preserve">(as correctly calculated in the business plan). Do not use 3,200 ÷ 40 = 80. Flag the form error to the Coordinator.</w:t>
            </w:r>
          </w:p>
        </w:tc>
      </w:tr>
      <w:tr>
        <w:tc>
          <w:tcPr/>
          <w:p>
            <w:pPr>
              <w:pStyle w:val="Compact"/>
              <w:jc w:val="left"/>
            </w:pPr>
            <w:r>
              <w:t xml:space="preserve">D-10</w:t>
            </w:r>
          </w:p>
        </w:tc>
        <w:tc>
          <w:tcPr/>
          <w:p>
            <w:pPr>
              <w:pStyle w:val="Compact"/>
              <w:jc w:val="left"/>
            </w:pPr>
            <w:r>
              <w:t xml:space="preserve">Operating-hours citation error in form</w:t>
            </w:r>
          </w:p>
        </w:tc>
        <w:tc>
          <w:tcPr/>
          <w:p>
            <w:pPr>
              <w:pStyle w:val="Compact"/>
              <w:jc w:val="left"/>
            </w:pPr>
            <w:r>
              <w:t xml:space="preserve">Application Form Section 5 (Q11) cites</w:t>
            </w:r>
            <w:r>
              <w:t xml:space="preserve"> </w:t>
            </w:r>
            <w:r>
              <w:t xml:space="preserve">“</w:t>
            </w:r>
            <w:r>
              <w:t xml:space="preserve">Section 9-5-17</w:t>
            </w:r>
            <w:r>
              <w:t xml:space="preserve">”</w:t>
            </w:r>
            <w:r>
              <w:t xml:space="preserve"> </w:t>
            </w:r>
            <w:r>
              <w:t xml:space="preserve">for operating hours. Operating hours are in § 9-5-13(F); § 9-5-17 governs the performance bond.</w:t>
            </w:r>
          </w:p>
        </w:tc>
        <w:tc>
          <w:tcPr/>
          <w:p>
            <w:pPr>
              <w:pStyle w:val="Compact"/>
              <w:jc w:val="left"/>
            </w:pPr>
            <w:r>
              <w:t xml:space="preserve">Minor form error. The proposed hours (6:00 AM–10:00 PM) are correct under § 9-5-13(F).</w:t>
            </w:r>
          </w:p>
        </w:tc>
      </w:tr>
      <w:tr>
        <w:tc>
          <w:tcPr/>
          <w:p>
            <w:pPr>
              <w:pStyle w:val="Compact"/>
              <w:jc w:val="left"/>
            </w:pPr>
            <w:r>
              <w:t xml:space="preserve">D-11</w:t>
            </w:r>
          </w:p>
        </w:tc>
        <w:tc>
          <w:tcPr/>
          <w:p>
            <w:pPr>
              <w:pStyle w:val="Compact"/>
              <w:jc w:val="left"/>
            </w:pPr>
            <w:r>
              <w:t xml:space="preserve">Conditional license expiration timing risk</w:t>
            </w:r>
          </w:p>
        </w:tc>
        <w:tc>
          <w:tcPr/>
          <w:p>
            <w:pPr>
              <w:pStyle w:val="Compact"/>
              <w:jc w:val="left"/>
            </w:pPr>
            <w:r>
              <w:t xml:space="preserve">State conditional license expires September 21, 2024. City processing (120–150 days from a May 15 submission) projects permit issuance at approximately mid-September to mid-October 2024 — at or after expiration. Code § 9-5-27(D): lapse of the State license automatically suspends the local permit.</w:t>
            </w:r>
          </w:p>
        </w:tc>
        <w:tc>
          <w:tcPr/>
          <w:p>
            <w:pPr>
              <w:pStyle w:val="Compact"/>
              <w:jc w:val="left"/>
            </w:pPr>
            <w:r>
              <w:t xml:space="preserve">Petition IDFPR for a single 6-month extension under License Condition 4, filed no later than ~July 23, 2024 (60 days before expiration). Monitor timelines closely.</w:t>
            </w:r>
          </w:p>
        </w:tc>
      </w:tr>
    </w:tbl>
    <w:p>
      <w:r>
        <w:pict>
          <v:rect style="width:0;height:1.5pt" o:hralign="center" o:hrstd="t" o:hr="t"/>
        </w:pict>
      </w:r>
    </w:p>
    <w:bookmarkEnd w:id="46"/>
    <w:bookmarkStart w:id="51" w:name="priority-remediation-action-plan"/>
    <w:p>
      <w:pPr>
        <w:pStyle w:val="Heading2"/>
      </w:pPr>
      <w:r>
        <w:t xml:space="preserve">6. Priority Remediation Action Plan</w:t>
      </w:r>
    </w:p>
    <w:p>
      <w:pPr>
        <w:pStyle w:val="FirstParagraph"/>
      </w:pPr>
      <w:r>
        <w:t xml:space="preserve">The following actions are ordered by criticality. Items marked</w:t>
      </w:r>
      <w:r>
        <w:t xml:space="preserve"> </w:t>
      </w:r>
      <w:r>
        <w:rPr>
          <w:b/>
          <w:bCs/>
        </w:rPr>
        <w:t xml:space="preserve">Critical</w:t>
      </w:r>
      <w:r>
        <w:t xml:space="preserve"> </w:t>
      </w:r>
      <w:r>
        <w:t xml:space="preserve">must be resolved before submission or the application risks being deemed incomplete or forfeiting scoring points.</w:t>
      </w:r>
    </w:p>
    <w:bookmarkStart w:id="47" w:name="critical-must-resolve-before-submission"/>
    <w:p>
      <w:pPr>
        <w:pStyle w:val="Heading3"/>
      </w:pPr>
      <w:r>
        <w:t xml:space="preserve">Critical (must resolve before submission)</w:t>
      </w:r>
    </w:p>
    <w:p>
      <w:pPr>
        <w:numPr>
          <w:ilvl w:val="0"/>
          <w:numId w:val="1027"/>
        </w:numPr>
      </w:pPr>
      <w:r>
        <w:rPr>
          <w:b/>
          <w:bCs/>
        </w:rPr>
        <w:t xml:space="preserve">Obtain the Odor Mitigation P.E. certification</w:t>
      </w:r>
      <w:r>
        <w:t xml:space="preserve"> </w:t>
      </w:r>
      <w:r>
        <w:t xml:space="preserve">(Item 10). Finalize HVAC/carbon filtration specifications (manufacturer, model, capacity, maintenance schedule) and obtain the signed, sealed Illinois P.E. certification. Without it, the application will not proceed to scoring. Begin immediately — this is on the critical path and also unblocks the security plan and crime/theft insurance.</w:t>
      </w:r>
    </w:p>
    <w:p>
      <w:pPr>
        <w:numPr>
          <w:ilvl w:val="0"/>
          <w:numId w:val="1027"/>
        </w:numPr>
      </w:pPr>
      <w:r>
        <w:rPr>
          <w:b/>
          <w:bCs/>
        </w:rPr>
        <w:t xml:space="preserve">Resolve the Community Engagement notice deficiency</w:t>
      </w:r>
      <w:r>
        <w:t xml:space="preserve"> </w:t>
      </w:r>
      <w:r>
        <w:t xml:space="preserve">(Item 12). Session 2 had only 12 days’ notice (below the 14-day minimum), and the Code allows no waiver of the two-session minimum. Hold a third session with full 14-day notice, or obtain written Coordinator confirmation that two qualifying sessions exist. Correct notice content (add telephone number, establishment name, adult-use/medical designation); obtain publisher’s affidavits and website posting confirmations.</w:t>
      </w:r>
    </w:p>
    <w:p>
      <w:pPr>
        <w:numPr>
          <w:ilvl w:val="0"/>
          <w:numId w:val="1027"/>
        </w:numPr>
      </w:pPr>
      <w:r>
        <w:rPr>
          <w:b/>
          <w:bCs/>
        </w:rPr>
        <w:t xml:space="preserve">Obtain a formal bonding capacity commitment letter</w:t>
      </w:r>
      <w:r>
        <w:t xml:space="preserve"> </w:t>
      </w:r>
      <w:r>
        <w:t xml:space="preserve">(Item 17). Secure a letter from Thornfield Surety Group (or an LOC commitment from Ridgeline Community Bank) on letterhead, signed, dated within 60 days of submission. Required for application completeness and worth 10 Financial Viability points.</w:t>
      </w:r>
    </w:p>
    <w:p>
      <w:pPr>
        <w:numPr>
          <w:ilvl w:val="0"/>
          <w:numId w:val="1027"/>
        </w:numPr>
      </w:pPr>
      <w:r>
        <w:rPr>
          <w:b/>
          <w:bCs/>
        </w:rPr>
        <w:t xml:space="preserve">Bind (or obtain a commitment letter for) cannabis crime/theft insurance</w:t>
      </w:r>
      <w:r>
        <w:t xml:space="preserve"> </w:t>
      </w:r>
      <w:r>
        <w:t xml:space="preserve">(Item 16). Finalize the security plan to unblock Canopy Risk Underwriters; identify a contingency carrier. Without at least a commitment letter, this coverage gap is unresolved.</w:t>
      </w:r>
    </w:p>
    <w:p>
      <w:pPr>
        <w:numPr>
          <w:ilvl w:val="0"/>
          <w:numId w:val="1027"/>
        </w:numPr>
      </w:pPr>
      <w:r>
        <w:rPr>
          <w:b/>
          <w:bCs/>
        </w:rPr>
        <w:t xml:space="preserve">Complete and execute the application form</w:t>
      </w:r>
      <w:r>
        <w:t xml:space="preserve"> </w:t>
      </w:r>
      <w:r>
        <w:t xml:space="preserve">(Item 1). Populate all fields, obtain the authorized signature, and complete notarization.</w:t>
      </w:r>
    </w:p>
    <w:bookmarkEnd w:id="47"/>
    <w:bookmarkStart w:id="48" w:name="high-priority-resolve-before-submission"/>
    <w:p>
      <w:pPr>
        <w:pStyle w:val="Heading3"/>
      </w:pPr>
      <w:r>
        <w:t xml:space="preserve">High priority (resolve before submission)</w:t>
      </w:r>
    </w:p>
    <w:p>
      <w:pPr>
        <w:numPr>
          <w:ilvl w:val="0"/>
          <w:numId w:val="1028"/>
        </w:numPr>
      </w:pPr>
      <w:r>
        <w:rPr>
          <w:b/>
          <w:bCs/>
        </w:rPr>
        <w:t xml:space="preserve">Obtain a current buffer-distance survey with pedestrian-route measurements</w:t>
      </w:r>
      <w:r>
        <w:t xml:space="preserve"> </w:t>
      </w:r>
      <w:r>
        <w:t xml:space="preserve">(Item 8), dated within 60 days of submission, identifying each sensitive use by name and address. Re-verify the school distance (thin 180-ft straight-line margin).</w:t>
      </w:r>
    </w:p>
    <w:p>
      <w:pPr>
        <w:numPr>
          <w:ilvl w:val="0"/>
          <w:numId w:val="1028"/>
        </w:numPr>
      </w:pPr>
      <w:r>
        <w:rPr>
          <w:b/>
          <w:bCs/>
        </w:rPr>
        <w:t xml:space="preserve">Include entity formation documents</w:t>
      </w:r>
      <w:r>
        <w:t xml:space="preserve"> </w:t>
      </w:r>
      <w:r>
        <w:t xml:space="preserve">(Item 4): Articles, Operating Agreement, Certificate of Good Standing (within 30 days), IRS EIN letter, ownership chart. Reconcile the registered-agent name (D-1).</w:t>
      </w:r>
    </w:p>
    <w:p>
      <w:pPr>
        <w:numPr>
          <w:ilvl w:val="0"/>
          <w:numId w:val="1028"/>
        </w:numPr>
      </w:pPr>
      <w:r>
        <w:rPr>
          <w:b/>
          <w:bCs/>
        </w:rPr>
        <w:t xml:space="preserve">Complete principal officer disclosures</w:t>
      </w:r>
      <w:r>
        <w:t xml:space="preserve"> </w:t>
      </w:r>
      <w:r>
        <w:t xml:space="preserve">(Item 5): Individual Disclosure Forms, photo IDs, proof of residency, signed background check authorizations, criminal history disclosures, and fingerprint receipts for both Okonkwo and Ramachandran.</w:t>
      </w:r>
    </w:p>
    <w:p>
      <w:pPr>
        <w:numPr>
          <w:ilvl w:val="0"/>
          <w:numId w:val="1028"/>
        </w:numPr>
      </w:pPr>
      <w:r>
        <w:rPr>
          <w:b/>
          <w:bCs/>
        </w:rPr>
        <w:t xml:space="preserve">Finalize and include the standalone Security Plan</w:t>
      </w:r>
      <w:r>
        <w:t xml:space="preserve"> </w:t>
      </w:r>
      <w:r>
        <w:t xml:space="preserve">(Item 9), with explicit coverage of parking, loading zones, and adjacent alleyways, and panic alarm points at each POS, main entrance, and secure storage.</w:t>
      </w:r>
    </w:p>
    <w:p>
      <w:pPr>
        <w:numPr>
          <w:ilvl w:val="0"/>
          <w:numId w:val="1028"/>
        </w:numPr>
      </w:pPr>
      <w:r>
        <w:rPr>
          <w:b/>
          <w:bCs/>
        </w:rPr>
        <w:t xml:space="preserve">Include architect/engineer-certified site plan and floor plan</w:t>
      </w:r>
      <w:r>
        <w:t xml:space="preserve"> </w:t>
      </w:r>
      <w:r>
        <w:t xml:space="preserve">(Item 7).</w:t>
      </w:r>
    </w:p>
    <w:p>
      <w:pPr>
        <w:numPr>
          <w:ilvl w:val="0"/>
          <w:numId w:val="1028"/>
        </w:numPr>
      </w:pPr>
      <w:r>
        <w:rPr>
          <w:b/>
          <w:bCs/>
        </w:rPr>
        <w:t xml:space="preserve">File the special use application</w:t>
      </w:r>
      <w:r>
        <w:t xml:space="preserve"> </w:t>
      </w:r>
      <w:r>
        <w:t xml:space="preserve">with the ZBA and include evidence of filing; obtain zoning confirmation (Item 20).</w:t>
      </w:r>
    </w:p>
    <w:p>
      <w:pPr>
        <w:numPr>
          <w:ilvl w:val="0"/>
          <w:numId w:val="1028"/>
        </w:numPr>
      </w:pPr>
      <w:r>
        <w:rPr>
          <w:b/>
          <w:bCs/>
        </w:rPr>
        <w:t xml:space="preserve">Remit the $5,000 application fee</w:t>
      </w:r>
      <w:r>
        <w:t xml:space="preserve"> </w:t>
      </w:r>
      <w:r>
        <w:t xml:space="preserve">by certified check or EFT (Item 2; D-4).</w:t>
      </w:r>
    </w:p>
    <w:bookmarkEnd w:id="48"/>
    <w:bookmarkStart w:id="49" w:name="X1e3ab7cd15d3b3ba42e4d79adc65eddaa680a66"/>
    <w:p>
      <w:pPr>
        <w:pStyle w:val="Heading3"/>
      </w:pPr>
      <w:r>
        <w:t xml:space="preserve">Medium priority (resolve before submission)</w:t>
      </w:r>
    </w:p>
    <w:p>
      <w:pPr>
        <w:numPr>
          <w:ilvl w:val="0"/>
          <w:numId w:val="1029"/>
        </w:numPr>
      </w:pPr>
      <w:r>
        <w:rPr>
          <w:b/>
          <w:bCs/>
        </w:rPr>
        <w:t xml:space="preserve">Prepare standalone Diversity &amp; Inclusion Plan and Environmental Sustainability Plan exhibits</w:t>
      </w:r>
      <w:r>
        <w:t xml:space="preserve"> </w:t>
      </w:r>
      <w:r>
        <w:t xml:space="preserve">(Items 14, 15); formalize specific workforce development partnerships for the R3 hiring pipeline.</w:t>
      </w:r>
    </w:p>
    <w:p>
      <w:pPr>
        <w:numPr>
          <w:ilvl w:val="0"/>
          <w:numId w:val="1029"/>
        </w:numPr>
      </w:pPr>
      <w:r>
        <w:rPr>
          <w:b/>
          <w:bCs/>
        </w:rPr>
        <w:t xml:space="preserve">Include social equity supporting documentation</w:t>
      </w:r>
      <w:r>
        <w:t xml:space="preserve"> </w:t>
      </w:r>
      <w:r>
        <w:t xml:space="preserve">(Item 18): R3 residency proof with census tract verification (24-month duration), expungement court records, signed mentorship commitment, and signed Q21 hiring commitment.</w:t>
      </w:r>
    </w:p>
    <w:p>
      <w:pPr>
        <w:numPr>
          <w:ilvl w:val="0"/>
          <w:numId w:val="1029"/>
        </w:numPr>
      </w:pPr>
      <w:r>
        <w:rPr>
          <w:b/>
          <w:bCs/>
        </w:rPr>
        <w:t xml:space="preserve">Confirm Agent-in-Charge Agent ID Card</w:t>
      </w:r>
      <w:r>
        <w:t xml:space="preserve"> </w:t>
      </w:r>
      <w:r>
        <w:t xml:space="preserve">(Item 19) and complete/sign Q13.</w:t>
      </w:r>
    </w:p>
    <w:p>
      <w:pPr>
        <w:numPr>
          <w:ilvl w:val="0"/>
          <w:numId w:val="1029"/>
        </w:numPr>
      </w:pPr>
      <w:r>
        <w:rPr>
          <w:b/>
          <w:bCs/>
        </w:rPr>
        <w:t xml:space="preserve">Include the full executed lease and exhibits</w:t>
      </w:r>
      <w:r>
        <w:t xml:space="preserve"> </w:t>
      </w:r>
      <w:r>
        <w:t xml:space="preserve">(Item 6), particularly the Landlord Cannabis Use Acknowledgment and Consent (Exhibit D).</w:t>
      </w:r>
    </w:p>
    <w:p>
      <w:pPr>
        <w:numPr>
          <w:ilvl w:val="0"/>
          <w:numId w:val="1029"/>
        </w:numPr>
      </w:pPr>
      <w:r>
        <w:rPr>
          <w:b/>
          <w:bCs/>
        </w:rPr>
        <w:t xml:space="preserve">Confirm insurance details</w:t>
      </w:r>
      <w:r>
        <w:t xml:space="preserve"> </w:t>
      </w:r>
      <w:r>
        <w:t xml:space="preserve">(Item 16): additional-insured endorsements, AM Best A- ratings, Employer’s Liability ≥ $1M, 30-day cancellation notice.</w:t>
      </w:r>
    </w:p>
    <w:p>
      <w:pPr>
        <w:numPr>
          <w:ilvl w:val="0"/>
          <w:numId w:val="1029"/>
        </w:numPr>
      </w:pPr>
      <w:r>
        <w:rPr>
          <w:b/>
          <w:bCs/>
        </w:rPr>
        <w:t xml:space="preserve">Petition IDFPR for a conditional license extension</w:t>
      </w:r>
      <w:r>
        <w:t xml:space="preserve"> </w:t>
      </w:r>
      <w:r>
        <w:t xml:space="preserve">(D-11) by ~July 23, 2024, to mitigate the expiration timing risk.</w:t>
      </w:r>
    </w:p>
    <w:bookmarkEnd w:id="49"/>
    <w:bookmarkStart w:id="50" w:name="low-priority-pre-issuance-follow-through"/>
    <w:p>
      <w:pPr>
        <w:pStyle w:val="Heading3"/>
      </w:pPr>
      <w:r>
        <w:t xml:space="preserve">Low priority / pre-issuance follow-through</w:t>
      </w:r>
    </w:p>
    <w:p>
      <w:pPr>
        <w:pStyle w:val="Compact"/>
        <w:numPr>
          <w:ilvl w:val="0"/>
          <w:numId w:val="1030"/>
        </w:numPr>
      </w:pPr>
      <w:r>
        <w:t xml:space="preserve">Identify specific community benefit beneficiary organizations (Item 13); execute the community benefit agreement at pre-issuance.</w:t>
      </w:r>
    </w:p>
    <w:p>
      <w:pPr>
        <w:pStyle w:val="Compact"/>
        <w:numPr>
          <w:ilvl w:val="0"/>
          <w:numId w:val="1030"/>
        </w:numPr>
      </w:pPr>
      <w:r>
        <w:t xml:space="preserve">Include the organizational chart and principal officer resumes with the business plan (Item 11); obtain the seed-to-sale vendor COMPASS integration confirmation letter.</w:t>
      </w:r>
    </w:p>
    <w:p>
      <w:r>
        <w:pict>
          <v:rect style="width:0;height:1.5pt" o:hralign="center" o:hrstd="t" o:hr="t"/>
        </w:pict>
      </w:r>
    </w:p>
    <w:bookmarkEnd w:id="50"/>
    <w:bookmarkEnd w:id="51"/>
    <w:bookmarkStart w:id="52" w:name="application-scoring-implications"/>
    <w:p>
      <w:pPr>
        <w:pStyle w:val="Heading2"/>
      </w:pPr>
      <w:r>
        <w:t xml:space="preserve">7. Application Scoring Implications</w:t>
      </w:r>
    </w:p>
    <w:p>
      <w:pPr>
        <w:pStyle w:val="FirstParagraph"/>
      </w:pPr>
      <w:r>
        <w:t xml:space="preserve">The City scores complete applications on a 250-point base rubric (270 maximum with the 20-point social equity bonus). Based on the package as it currently stands, the following scoring observations apply:</w:t>
      </w:r>
    </w:p>
    <w:p>
      <w:pPr>
        <w:pStyle w:val="Compact"/>
        <w:numPr>
          <w:ilvl w:val="0"/>
          <w:numId w:val="1031"/>
        </w:numPr>
      </w:pPr>
      <w:r>
        <w:rPr>
          <w:b/>
          <w:bCs/>
        </w:rPr>
        <w:t xml:space="preserve">Business Plan (60 pts):</w:t>
      </w:r>
      <w:r>
        <w:t xml:space="preserve"> </w:t>
      </w:r>
      <w:r>
        <w:t xml:space="preserve">Strong. Comprehensive plan with realistic projections, clear staffing model, and COMPASS integration. Minor deductions possible if the organizational chart and resumes are not included.</w:t>
      </w:r>
    </w:p>
    <w:p>
      <w:pPr>
        <w:pStyle w:val="Compact"/>
        <w:numPr>
          <w:ilvl w:val="0"/>
          <w:numId w:val="1031"/>
        </w:numPr>
      </w:pPr>
      <w:r>
        <w:rPr>
          <w:b/>
          <w:bCs/>
        </w:rPr>
        <w:t xml:space="preserve">Security Plan (50 pts):</w:t>
      </w:r>
      <w:r>
        <w:t xml:space="preserve"> </w:t>
      </w:r>
      <w:r>
        <w:t xml:space="preserve">At risk. The plan is not finalized and is not included as a standalone document; coverage of parking/loading/alleyways is not confirmed. Finalization is required to maximize this category.</w:t>
      </w:r>
    </w:p>
    <w:p>
      <w:pPr>
        <w:pStyle w:val="Compact"/>
        <w:numPr>
          <w:ilvl w:val="0"/>
          <w:numId w:val="1031"/>
        </w:numPr>
      </w:pPr>
      <w:r>
        <w:rPr>
          <w:b/>
          <w:bCs/>
        </w:rPr>
        <w:t xml:space="preserve">Community Benefits Plan (40 pts):</w:t>
      </w:r>
      <w:r>
        <w:t xml:space="preserve"> </w:t>
      </w:r>
      <w:r>
        <w:t xml:space="preserve">Strong. Contribution exceeds the minimum; R3 workforce-development allocation is responsive to community feedback. Specific beneficiaries not yet identified.</w:t>
      </w:r>
    </w:p>
    <w:p>
      <w:pPr>
        <w:pStyle w:val="Compact"/>
        <w:numPr>
          <w:ilvl w:val="0"/>
          <w:numId w:val="1031"/>
        </w:numPr>
      </w:pPr>
      <w:r>
        <w:rPr>
          <w:b/>
          <w:bCs/>
        </w:rPr>
        <w:t xml:space="preserve">Financial Viability (30 pts):</w:t>
      </w:r>
      <w:r>
        <w:t xml:space="preserve"> </w:t>
      </w:r>
      <w:r>
        <w:rPr>
          <w:b/>
          <w:bCs/>
        </w:rPr>
        <w:t xml:space="preserve">At material risk.</w:t>
      </w:r>
      <w:r>
        <w:t xml:space="preserve"> </w:t>
      </w:r>
      <w:r>
        <w:t xml:space="preserve">The 10-point bonding-capacity sub-category will score</w:t>
      </w:r>
      <w:r>
        <w:t xml:space="preserve"> </w:t>
      </w:r>
      <w:r>
        <w:rPr>
          <w:b/>
          <w:bCs/>
        </w:rPr>
        <w:t xml:space="preserve">0</w:t>
      </w:r>
      <w:r>
        <w:t xml:space="preserve"> </w:t>
      </w:r>
      <w:r>
        <w:t xml:space="preserve">unless a formal commitment letter is submitted. The remaining 20 points depend on capitalization adequacy (strong: $1.85M equity, no debt) and projection realism.</w:t>
      </w:r>
    </w:p>
    <w:p>
      <w:pPr>
        <w:pStyle w:val="Compact"/>
        <w:numPr>
          <w:ilvl w:val="0"/>
          <w:numId w:val="1031"/>
        </w:numPr>
      </w:pPr>
      <w:r>
        <w:rPr>
          <w:b/>
          <w:bCs/>
        </w:rPr>
        <w:t xml:space="preserve">Diversity &amp; Inclusion Plan (25 pts):</w:t>
      </w:r>
      <w:r>
        <w:t xml:space="preserve"> </w:t>
      </w:r>
      <w:r>
        <w:t xml:space="preserve">At risk. Specific workforce development partnerships are not formalized, weakening the R3 hiring pipeline required of social equity applicants.</w:t>
      </w:r>
    </w:p>
    <w:p>
      <w:pPr>
        <w:pStyle w:val="Compact"/>
        <w:numPr>
          <w:ilvl w:val="0"/>
          <w:numId w:val="1031"/>
        </w:numPr>
      </w:pPr>
      <w:r>
        <w:rPr>
          <w:b/>
          <w:bCs/>
        </w:rPr>
        <w:t xml:space="preserve">Environmental Sustainability Plan (20 pts):</w:t>
      </w:r>
      <w:r>
        <w:t xml:space="preserve"> </w:t>
      </w:r>
      <w:r>
        <w:t xml:space="preserve">At risk. The standalone exhibit is not included; odor mitigation effectiveness (a scored element) depends on the missing P.E. certification.</w:t>
      </w:r>
    </w:p>
    <w:p>
      <w:pPr>
        <w:pStyle w:val="Compact"/>
        <w:numPr>
          <w:ilvl w:val="0"/>
          <w:numId w:val="1031"/>
        </w:numPr>
      </w:pPr>
      <w:r>
        <w:rPr>
          <w:b/>
          <w:bCs/>
        </w:rPr>
        <w:t xml:space="preserve">Experience &amp; Qualifications (25 pts):</w:t>
      </w:r>
      <w:r>
        <w:t xml:space="preserve"> </w:t>
      </w:r>
      <w:r>
        <w:t xml:space="preserve">Strong. Okonkwo is a licensed pharmacist with directly transferable controlled-substance experience; Ramachandran brings operations/logistics expertise.</w:t>
      </w:r>
    </w:p>
    <w:p>
      <w:pPr>
        <w:pStyle w:val="Compact"/>
        <w:numPr>
          <w:ilvl w:val="0"/>
          <w:numId w:val="1031"/>
        </w:numPr>
      </w:pPr>
      <w:r>
        <w:rPr>
          <w:b/>
          <w:bCs/>
        </w:rPr>
        <w:t xml:space="preserve">Social Equity Bonus (20 pts):</w:t>
      </w:r>
      <w:r>
        <w:t xml:space="preserve"> </w:t>
      </w:r>
      <w:r>
        <w:t xml:space="preserve">Likely awarded upon verification. Okonkwo’s 60% ownership and qualifying bases (R3 residency + expunged conviction) are documented in the State license. Verification depends on submitting the supporting documentation (Item 18).</w:t>
      </w:r>
    </w:p>
    <w:p>
      <w:pPr>
        <w:pStyle w:val="FirstParagraph"/>
      </w:pPr>
      <w:r>
        <w:rPr>
          <w:b/>
          <w:bCs/>
        </w:rPr>
        <w:t xml:space="preserve">Net effect of current gaps:</w:t>
      </w:r>
      <w:r>
        <w:t xml:space="preserve"> </w:t>
      </w:r>
      <w:r>
        <w:t xml:space="preserve">Up to</w:t>
      </w:r>
      <w:r>
        <w:t xml:space="preserve"> </w:t>
      </w:r>
      <w:r>
        <w:rPr>
          <w:b/>
          <w:bCs/>
        </w:rPr>
        <w:t xml:space="preserve">30 points</w:t>
      </w:r>
      <w:r>
        <w:t xml:space="preserve"> </w:t>
      </w:r>
      <w:r>
        <w:t xml:space="preserve">are at direct risk (10 bonding + up to 20 environmental, the latter contingent on the P.E. certification), with additional soft risk in Security (50) and Diversity (25) categories pending finalization of the standalone plans. Resolving the critical items above is essential to a competitive score.</w:t>
      </w:r>
    </w:p>
    <w:p>
      <w:r>
        <w:pict>
          <v:rect style="width:0;height:1.5pt" o:hralign="center" o:hrstd="t" o:hr="t"/>
        </w:pict>
      </w:r>
    </w:p>
    <w:bookmarkEnd w:id="52"/>
    <w:bookmarkStart w:id="53" w:name="conclusion"/>
    <w:p>
      <w:pPr>
        <w:pStyle w:val="Heading2"/>
      </w:pPr>
      <w:r>
        <w:t xml:space="preserve">8. Conclusion</w:t>
      </w:r>
    </w:p>
    <w:p>
      <w:pPr>
        <w:pStyle w:val="FirstParagraph"/>
      </w:pPr>
      <w:r>
        <w:t xml:space="preserve">Greenleaf Therapeutics LLC has prepared a substantively robust application with strong fundamentals: a well-capitalized, social-equity-qualified ownership structure; a compliant long-term lease in a permitted zoning district; buffer distances that satisfy the Code on a straight-line basis; a comprehensive business plan; and a genuine community engagement effort. The State conditional license and social equity designation are in hand.</w:t>
      </w:r>
    </w:p>
    <w:p>
      <w:pPr>
        <w:pStyle w:val="BodyText"/>
      </w:pPr>
      <w:r>
        <w:t xml:space="preserve">The application is</w:t>
      </w:r>
      <w:r>
        <w:t xml:space="preserve"> </w:t>
      </w:r>
      <w:r>
        <w:rPr>
          <w:b/>
          <w:bCs/>
        </w:rPr>
        <w:t xml:space="preserve">not yet submission-ready</w:t>
      </w:r>
      <w:r>
        <w:t xml:space="preserve">, however. Three items are critical blockers that would cause the application to be deemed incomplete or to forfeit scoring points if not resolved: the</w:t>
      </w:r>
      <w:r>
        <w:t xml:space="preserve"> </w:t>
      </w:r>
      <w:r>
        <w:rPr>
          <w:b/>
          <w:bCs/>
        </w:rPr>
        <w:t xml:space="preserve">missing Odor Mitigation P.E. certification</w:t>
      </w:r>
      <w:r>
        <w:t xml:space="preserve"> </w:t>
      </w:r>
      <w:r>
        <w:t xml:space="preserve">(Item 10), the</w:t>
      </w:r>
      <w:r>
        <w:t xml:space="preserve"> </w:t>
      </w:r>
      <w:r>
        <w:rPr>
          <w:b/>
          <w:bCs/>
        </w:rPr>
        <w:t xml:space="preserve">Community Engagement Session 2 notice deficiency</w:t>
      </w:r>
      <w:r>
        <w:t xml:space="preserve"> </w:t>
      </w:r>
      <w:r>
        <w:t xml:space="preserve">(Item 12, 12-day notice vs. 14-day minimum with no waiver available), and the</w:t>
      </w:r>
      <w:r>
        <w:t xml:space="preserve"> </w:t>
      </w:r>
      <w:r>
        <w:rPr>
          <w:b/>
          <w:bCs/>
        </w:rPr>
        <w:t xml:space="preserve">missing bonding capacity commitment letter</w:t>
      </w:r>
      <w:r>
        <w:t xml:space="preserve"> </w:t>
      </w:r>
      <w:r>
        <w:t xml:space="preserve">(Item 17). A fourth item — the</w:t>
      </w:r>
      <w:r>
        <w:t xml:space="preserve"> </w:t>
      </w:r>
      <w:r>
        <w:rPr>
          <w:b/>
          <w:bCs/>
        </w:rPr>
        <w:t xml:space="preserve">unbound cannabis crime/theft insurance</w:t>
      </w:r>
      <w:r>
        <w:t xml:space="preserve"> </w:t>
      </w:r>
      <w:r>
        <w:t xml:space="preserve">(Item 16) — is blocked pending security plan finalization. The</w:t>
      </w:r>
      <w:r>
        <w:t xml:space="preserve"> </w:t>
      </w:r>
      <w:r>
        <w:rPr>
          <w:b/>
          <w:bCs/>
        </w:rPr>
        <w:t xml:space="preserve">blank application form</w:t>
      </w:r>
      <w:r>
        <w:t xml:space="preserve"> </w:t>
      </w:r>
      <w:r>
        <w:t xml:space="preserve">(Item 1) and the</w:t>
      </w:r>
      <w:r>
        <w:t xml:space="preserve"> </w:t>
      </w:r>
      <w:r>
        <w:rPr>
          <w:b/>
          <w:bCs/>
        </w:rPr>
        <w:t xml:space="preserve">stale, straight-line buffer survey</w:t>
      </w:r>
      <w:r>
        <w:t xml:space="preserve"> </w:t>
      </w:r>
      <w:r>
        <w:t xml:space="preserve">(Item 8) require prompt attention, and the</w:t>
      </w:r>
      <w:r>
        <w:t xml:space="preserve"> </w:t>
      </w:r>
      <w:r>
        <w:rPr>
          <w:b/>
          <w:bCs/>
        </w:rPr>
        <w:t xml:space="preserve">conditional license expiration</w:t>
      </w:r>
      <w:r>
        <w:t xml:space="preserve"> </w:t>
      </w:r>
      <w:r>
        <w:t xml:space="preserve">(D-11) poses a timing risk that should be mitigated with an extension petition.</w:t>
      </w:r>
    </w:p>
    <w:p>
      <w:pPr>
        <w:pStyle w:val="BodyText"/>
      </w:pPr>
      <w:r>
        <w:t xml:space="preserve">With the critical and high-priority remediation actions in Section 6 completed, the package can be brought into full compliance with the Code and Guide. The applicant should prioritize the critical-path items immediately, as several (P.E. certification, security plan finalization, bonding commitment letter) involve third-party dependencies that require lead time before the targeted May 15, 2024 submission.</w:t>
      </w:r>
    </w:p>
    <w:p>
      <w:r>
        <w:pict>
          <v:rect style="width:0;height:1.5pt" o:hralign="center" o:hrstd="t" o:hr="t"/>
        </w:pict>
      </w:r>
    </w:p>
    <w:p>
      <w:pPr>
        <w:pStyle w:val="FirstParagraph"/>
      </w:pPr>
      <w:r>
        <w:rPr>
          <w:i/>
          <w:iCs/>
        </w:rPr>
        <w:t xml:space="preserve">End of Compliance Requirements Matrix. This document is a compliance review of the application package as provided and does not constitute legal advice or a guarantee of the City’s determination. All status assessments are based on the documents reviewed and the requirements of Evanston Municipal Code Chapter 9, Article 5 and the City’s Application Checklist and Submission Guide.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2026-06-26T23:19:02Z</dcterms:created>
  <dcterms:modified xsi:type="dcterms:W3CDTF">2026-06-26T23:19:02Z</dcterms:modified>
</cp:coreProperties>
</file>

<file path=docProps/custom.xml><?xml version="1.0" encoding="utf-8"?>
<Properties xmlns="http://schemas.openxmlformats.org/officeDocument/2006/custom-properties" xmlns:vt="http://schemas.openxmlformats.org/officeDocument/2006/docPropsVTypes"/>
</file>