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62d28ecd2ff284cbed0552505ea2bf96d3bf9a2"/>
    <w:p>
      <w:pPr>
        <w:pStyle w:val="Heading1"/>
      </w:pPr>
      <w:r>
        <w:t xml:space="preserve">Cannabis Dispensary Permit — Compliance Requirements Matrix</w:t>
      </w:r>
    </w:p>
    <w:p>
      <w:pPr>
        <w:pStyle w:val="FirstParagraph"/>
      </w:pPr>
      <w:r>
        <w:rPr>
          <w:b/>
          <w:bCs/>
        </w:rPr>
        <w:t xml:space="preserve">Applicant:</w:t>
      </w:r>
      <w:r>
        <w:t xml:space="preserve"> </w:t>
      </w:r>
      <w:r>
        <w:t xml:space="preserve">Greenleaf Therapeutics LLC (</w:t>
      </w:r>
      <w:r>
        <w:t xml:space="preserve">“</w:t>
      </w:r>
      <w:r>
        <w:t xml:space="preserve">Greenleaf</w:t>
      </w:r>
      <w:r>
        <w:t xml:space="preserve">”</w:t>
      </w:r>
      <w:r>
        <w:t xml:space="preserve">)</w:t>
      </w:r>
      <w:r>
        <w:t xml:space="preserve"> </w:t>
      </w:r>
      <w:r>
        <w:rPr>
          <w:b/>
          <w:bCs/>
        </w:rPr>
        <w:t xml:space="preserve">Proposed Location:</w:t>
      </w:r>
      <w:r>
        <w:t xml:space="preserve"> </w:t>
      </w:r>
      <w:r>
        <w:t xml:space="preserve">1420 Sherman Ave., Unit B, Evanston, IL 60201 (C1a Commercial Mixed-Use district)</w:t>
      </w:r>
      <w:r>
        <w:t xml:space="preserve"> </w:t>
      </w:r>
      <w:r>
        <w:rPr>
          <w:b/>
          <w:bCs/>
        </w:rPr>
        <w:t xml:space="preserve">State Conditional License:</w:t>
      </w:r>
      <w:r>
        <w:t xml:space="preserve"> </w:t>
      </w:r>
      <w:r>
        <w:t xml:space="preserve">ADC-285-0147 (issued Sept. 22, 2023; expires Sept. 21, 2024)</w:t>
      </w:r>
      <w:r>
        <w:t xml:space="preserve"> </w:t>
      </w:r>
      <w:r>
        <w:rPr>
          <w:b/>
          <w:bCs/>
        </w:rPr>
        <w:t xml:space="preserve">Application Window:</w:t>
      </w:r>
      <w:r>
        <w:t xml:space="preserve"> </w:t>
      </w:r>
      <w:r>
        <w:t xml:space="preserve">February 1, 2024 – May 31, 2024 (target submission: May 15, 2024)</w:t>
      </w:r>
      <w:r>
        <w:t xml:space="preserve"> </w:t>
      </w:r>
      <w:r>
        <w:rPr>
          <w:b/>
          <w:bCs/>
        </w:rPr>
        <w:t xml:space="preserve">Governing Authorities Reviewed:</w:t>
      </w:r>
      <w:r>
        <w:t xml:space="preserve"> </w:t>
      </w:r>
      <w:r>
        <w:t xml:space="preserve">Evanston Municipal Code, Title 9, Ch. 9, Art. 5 (</w:t>
      </w:r>
      <w:r>
        <w:t xml:space="preserve">“</w:t>
      </w:r>
      <w:r>
        <w:t xml:space="preserve">Article 5</w:t>
      </w:r>
      <w:r>
        <w:t xml:space="preserve">”</w:t>
      </w:r>
      <w:r>
        <w:t xml:space="preserve"> </w:t>
      </w:r>
      <w:r>
        <w:t xml:space="preserve">or</w:t>
      </w:r>
      <w:r>
        <w:t xml:space="preserve"> </w:t>
      </w:r>
      <w:r>
        <w:t xml:space="preserve">“</w:t>
      </w:r>
      <w:r>
        <w:t xml:space="preserve">the Code</w:t>
      </w:r>
      <w:r>
        <w:t xml:space="preserve">”</w:t>
      </w:r>
      <w:r>
        <w:t xml:space="preserve">); City of Evanston</w:t>
      </w:r>
      <w:r>
        <w:t xml:space="preserve"> </w:t>
      </w:r>
      <w:r>
        <w:rPr>
          <w:i/>
          <w:iCs/>
        </w:rPr>
        <w:t xml:space="preserve">Cannabis Dispensary Permit Application Checklist and Submission Guide</w:t>
      </w:r>
      <w:r>
        <w:t xml:space="preserve"> </w:t>
      </w:r>
      <w:r>
        <w:t xml:space="preserve">(Jan. 15, 2024) (</w:t>
      </w:r>
      <w:r>
        <w:t xml:space="preserve">“</w:t>
      </w:r>
      <w:r>
        <w:t xml:space="preserve">the Guide</w:t>
      </w:r>
      <w:r>
        <w:t xml:space="preserve">”</w:t>
      </w:r>
      <w:r>
        <w:t xml:space="preserve">); City of Evanston</w:t>
      </w:r>
      <w:r>
        <w:t xml:space="preserve"> </w:t>
      </w:r>
      <w:r>
        <w:rPr>
          <w:i/>
          <w:iCs/>
        </w:rPr>
        <w:t xml:space="preserve">Cannabis Dispensary Permit Application</w:t>
      </w:r>
      <w:r>
        <w:t xml:space="preserve"> </w:t>
      </w:r>
      <w:r>
        <w:t xml:space="preserve">Form v3.2 (Jan. 12, 2024) (</w:t>
      </w:r>
      <w:r>
        <w:t xml:space="preserve">“</w:t>
      </w:r>
      <w:r>
        <w:t xml:space="preserve">the Form</w:t>
      </w:r>
      <w:r>
        <w:t xml:space="preserve">”</w:t>
      </w:r>
      <w:r>
        <w:t xml:space="preserve">)</w:t>
      </w:r>
      <w:r>
        <w:t xml:space="preserve"> </w:t>
      </w:r>
      <w:r>
        <w:rPr>
          <w:b/>
          <w:bCs/>
        </w:rPr>
        <w:t xml:space="preserve">Prepared:</w:t>
      </w:r>
      <w:r>
        <w:t xml:space="preserve"> </w:t>
      </w:r>
      <w:r>
        <w:t xml:space="preserve">Compliance review of the submitted application package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matrix assesses the Greenleaf Therapeutics LLC dispensary permit application package against every distinct requirement of Article 5 of the Evanston Municipal Code and the City’s Application Checklist and Submission Guide. Each requirement is scored on its own line with a status, the evidentiary basis in the record, and a remediation note.</w:t>
      </w:r>
    </w:p>
    <w:p>
      <w:pPr>
        <w:pStyle w:val="BodyText"/>
      </w:pPr>
      <w:r>
        <w:rPr>
          <w:b/>
          <w:bCs/>
        </w:rPr>
        <w:t xml:space="preserve">Overarching finding — the application form itself is unexecuted.</w:t>
      </w:r>
      <w:r>
        <w:t xml:space="preserve"> </w:t>
      </w:r>
      <w:r>
        <w:t xml:space="preserve">The</w:t>
      </w:r>
      <w:r>
        <w:t xml:space="preserve"> </w:t>
      </w:r>
      <w:r>
        <w:rPr>
          <w:i/>
          <w:iCs/>
        </w:rPr>
        <w:t xml:space="preserve">Cannabis Dispensary Permit Application</w:t>
      </w:r>
      <w:r>
        <w:t xml:space="preserve"> </w:t>
      </w:r>
      <w:r>
        <w:t xml:space="preserve">(Form v3.2) included in the package is a blank template: every field in Sections 1–14 is uncompleted, the certification block (Section 14) is unsigned, and the notarization block is unexecuted. Although the supporting documents (business plan, lease summary, insurance/bonding memo, community-engagement report, and State conditional license) contain much of the underlying substance, the Code (§9-5-5(B)(1)) and the Guide (Item 1) require a</w:t>
      </w:r>
      <w:r>
        <w:t xml:space="preserve"> </w:t>
      </w:r>
      <w:r>
        <w:rPr>
          <w:i/>
          <w:iCs/>
        </w:rPr>
        <w:t xml:space="preserve">completed, signed, and notarized</w:t>
      </w:r>
      <w:r>
        <w:t xml:space="preserve"> </w:t>
      </w:r>
      <w:r>
        <w:t xml:space="preserve">application form. Until the Form is filled in, signed, and notarized, the package cannot be deemed complete. This single gap propagates across nearly every line item below and is reflected in the</w:t>
      </w:r>
      <w:r>
        <w:t xml:space="preserve"> </w:t>
      </w:r>
      <w:r>
        <w:t xml:space="preserve">“</w:t>
      </w:r>
      <w:r>
        <w:t xml:space="preserve">Form blank</w:t>
      </w:r>
      <w:r>
        <w:t xml:space="preserve">”</w:t>
      </w:r>
      <w:r>
        <w:t xml:space="preserve"> </w:t>
      </w:r>
      <w:r>
        <w:t xml:space="preserve">notes throughout.</w:t>
      </w:r>
    </w:p>
    <w:p>
      <w:pPr>
        <w:pStyle w:val="BodyText"/>
      </w:pPr>
      <w:r>
        <w:rPr>
          <w:b/>
          <w:bCs/>
        </w:rPr>
        <w:t xml:space="preserve">Critical substantive deficiencies (would render the application incomplete or materially weaken it):</w:t>
      </w:r>
    </w:p>
    <w:p>
      <w:pPr>
        <w:pStyle w:val="Compact"/>
        <w:numPr>
          <w:ilvl w:val="0"/>
          <w:numId w:val="1001"/>
        </w:numPr>
      </w:pPr>
      <w:r>
        <w:rPr>
          <w:b/>
          <w:bCs/>
        </w:rPr>
        <w:t xml:space="preserve">Odor Mitigation Plan — no P.E. certification and no engineered specifications.</w:t>
      </w:r>
      <w:r>
        <w:t xml:space="preserve"> </w:t>
      </w:r>
      <w:r>
        <w:t xml:space="preserve">The Form (Q16) and Guide (Item 10) require a Professional Engineer’s certification, signed and sealed by an Illinois-licensed P.E.,</w:t>
      </w:r>
      <w:r>
        <w:t xml:space="preserve"> </w:t>
      </w:r>
      <w:r>
        <w:rPr>
          <w:i/>
          <w:iCs/>
        </w:rPr>
        <w:t xml:space="preserve">at the time of submission</w:t>
      </w:r>
      <w:r>
        <w:t xml:space="preserve">, and the Form expressly states the application</w:t>
      </w:r>
      <w:r>
        <w:t xml:space="preserve"> </w:t>
      </w:r>
      <w:r>
        <w:t xml:space="preserve">“</w:t>
      </w:r>
      <w:r>
        <w:t xml:space="preserve">will be deemed incomplete and will not proceed to scoring</w:t>
      </w:r>
      <w:r>
        <w:t xml:space="preserve">”</w:t>
      </w:r>
      <w:r>
        <w:t xml:space="preserve"> </w:t>
      </w:r>
      <w:r>
        <w:t xml:space="preserve">without it. The business plan instead defers all HVAC/carbon-filtration specifications to</w:t>
      </w:r>
      <w:r>
        <w:t xml:space="preserve"> </w:t>
      </w:r>
      <w:r>
        <w:t xml:space="preserve">“</w:t>
      </w:r>
      <w:r>
        <w:t xml:space="preserve">the build-out engineering phase</w:t>
      </w:r>
      <w:r>
        <w:t xml:space="preserve">”</w:t>
      </w:r>
      <w:r>
        <w:t xml:space="preserve"> </w:t>
      </w:r>
      <w:r>
        <w:t xml:space="preserve">and provides no P.E. certification.</w:t>
      </w:r>
      <w:r>
        <w:t xml:space="preserve"> </w:t>
      </w:r>
      <w:r>
        <w:rPr>
          <w:i/>
          <w:iCs/>
        </w:rPr>
        <w:t xml:space="preserve">(Non-compliant.)</w:t>
      </w:r>
    </w:p>
    <w:p>
      <w:pPr>
        <w:pStyle w:val="Compact"/>
        <w:numPr>
          <w:ilvl w:val="0"/>
          <w:numId w:val="1001"/>
        </w:numPr>
      </w:pPr>
      <w:r>
        <w:rPr>
          <w:b/>
          <w:bCs/>
        </w:rPr>
        <w:t xml:space="preserve">Security Plan not finalized.</w:t>
      </w:r>
      <w:r>
        <w:t xml:space="preserve"> </w:t>
      </w:r>
      <w:r>
        <w:t xml:space="preserve">The insurance/bonding memo confirms the Pinnacle Compliance Advisors security plan is</w:t>
      </w:r>
      <w:r>
        <w:t xml:space="preserve"> </w:t>
      </w:r>
      <w:r>
        <w:t xml:space="preserve">“</w:t>
      </w:r>
      <w:r>
        <w:t xml:space="preserve">still being finalized … and has not yet been delivered.</w:t>
      </w:r>
      <w:r>
        <w:t xml:space="preserve">”</w:t>
      </w:r>
      <w:r>
        <w:t xml:space="preserve"> </w:t>
      </w:r>
      <w:r>
        <w:t xml:space="preserve">The business plan contains only an overview. A finalized security plan is a required submission item (Item 9) and is a prerequisite to binding the cannabis crime/theft policy.</w:t>
      </w:r>
      <w:r>
        <w:t xml:space="preserve"> </w:t>
      </w:r>
      <w:r>
        <w:rPr>
          <w:i/>
          <w:iCs/>
        </w:rPr>
        <w:t xml:space="preserve">(Non-compliant.)</w:t>
      </w:r>
    </w:p>
    <w:p>
      <w:pPr>
        <w:pStyle w:val="Compact"/>
        <w:numPr>
          <w:ilvl w:val="0"/>
          <w:numId w:val="1001"/>
        </w:numPr>
      </w:pPr>
      <w:r>
        <w:rPr>
          <w:b/>
          <w:bCs/>
        </w:rPr>
        <w:t xml:space="preserve">Cannabis-Specific Crime/Theft insurance — not bound, no binder/commitment letter.</w:t>
      </w:r>
      <w:r>
        <w:t xml:space="preserve"> </w:t>
      </w:r>
      <w:r>
        <w:t xml:space="preserve">The Guide (Item 16) permits a binding commitment letter at application stage; only a</w:t>
      </w:r>
      <w:r>
        <w:t xml:space="preserve"> </w:t>
      </w:r>
      <w:r>
        <w:t xml:space="preserve">“</w:t>
      </w:r>
      <w:r>
        <w:t xml:space="preserve">preliminary indication</w:t>
      </w:r>
      <w:r>
        <w:t xml:space="preserve">”</w:t>
      </w:r>
      <w:r>
        <w:t xml:space="preserve"> </w:t>
      </w:r>
      <w:r>
        <w:t xml:space="preserve">from Canopy Risk Underwriters exists, and underwriting is blocked pending the security plan.</w:t>
      </w:r>
      <w:r>
        <w:t xml:space="preserve"> </w:t>
      </w:r>
      <w:r>
        <w:rPr>
          <w:i/>
          <w:iCs/>
        </w:rPr>
        <w:t xml:space="preserve">(Non-compliant at application; blocking for permit issuance.)</w:t>
      </w:r>
    </w:p>
    <w:p>
      <w:pPr>
        <w:pStyle w:val="Compact"/>
        <w:numPr>
          <w:ilvl w:val="0"/>
          <w:numId w:val="1001"/>
        </w:numPr>
      </w:pPr>
      <w:r>
        <w:rPr>
          <w:b/>
          <w:bCs/>
        </w:rPr>
        <w:t xml:space="preserve">No evidence of bonding capacity.</w:t>
      </w:r>
      <w:r>
        <w:t xml:space="preserve"> </w:t>
      </w:r>
      <w:r>
        <w:t xml:space="preserve">Only a</w:t>
      </w:r>
      <w:r>
        <w:t xml:space="preserve"> </w:t>
      </w:r>
      <w:r>
        <w:t xml:space="preserve">“</w:t>
      </w:r>
      <w:r>
        <w:t xml:space="preserve">preliminary inquiry</w:t>
      </w:r>
      <w:r>
        <w:t xml:space="preserve">”</w:t>
      </w:r>
      <w:r>
        <w:t xml:space="preserve"> </w:t>
      </w:r>
      <w:r>
        <w:t xml:space="preserve">with Thornfield Surety Group; no commitment letter. The Form’s scoring rubric awards 10 of 30 Financial Viability points for secured bonding capacity and states applicants who do not provide evidence</w:t>
      </w:r>
      <w:r>
        <w:t xml:space="preserve"> </w:t>
      </w:r>
      <w:r>
        <w:t xml:space="preserve">“</w:t>
      </w:r>
      <w:r>
        <w:t xml:space="preserve">will receive zero (0) points in this sub-category.</w:t>
      </w:r>
      <w:r>
        <w:t xml:space="preserve">”</w:t>
      </w:r>
      <w:r>
        <w:t xml:space="preserve"> </w:t>
      </w:r>
      <w:r>
        <w:t xml:space="preserve">Guide Item 17 also requires evidence of bonding capacity at submission.</w:t>
      </w:r>
      <w:r>
        <w:t xml:space="preserve"> </w:t>
      </w:r>
      <w:r>
        <w:rPr>
          <w:i/>
          <w:iCs/>
        </w:rPr>
        <w:t xml:space="preserve">(Non-compliant; scoring penalty.)</w:t>
      </w:r>
    </w:p>
    <w:p>
      <w:pPr>
        <w:pStyle w:val="Compact"/>
        <w:numPr>
          <w:ilvl w:val="0"/>
          <w:numId w:val="1001"/>
        </w:numPr>
      </w:pPr>
      <w:r>
        <w:rPr>
          <w:b/>
          <w:bCs/>
        </w:rPr>
        <w:t xml:space="preserve">Community-engagement Session 2 notice was only 12 days.</w:t>
      </w:r>
      <w:r>
        <w:t xml:space="preserve"> </w:t>
      </w:r>
      <w:r>
        <w:t xml:space="preserve">Notice for the April 9, 2024 session was published March 28, 2024 — 12 calendar days, below the 14-day minimum of Code §9-5-8(B). The engagement report itself records</w:t>
      </w:r>
      <w:r>
        <w:t xml:space="preserve"> </w:t>
      </w:r>
      <w:r>
        <w:t xml:space="preserve">“</w:t>
      </w:r>
      <w:r>
        <w:t xml:space="preserve">12 days</w:t>
      </w:r>
      <w:r>
        <w:t xml:space="preserve">”</w:t>
      </w:r>
      <w:r>
        <w:t xml:space="preserve"> </w:t>
      </w:r>
      <w:r>
        <w:t xml:space="preserve">and omits the compliance statement it supplied for Session 1. Code §9-5-8(F) renders non-compliant notice a completeness defect and bars waiver of the two-session minimum.</w:t>
      </w:r>
      <w:r>
        <w:t xml:space="preserve"> </w:t>
      </w:r>
      <w:r>
        <w:rPr>
          <w:i/>
          <w:iCs/>
        </w:rPr>
        <w:t xml:space="preserve">(Non-compliant; a third, properly-noticed session is advisable.)</w:t>
      </w:r>
    </w:p>
    <w:p>
      <w:pPr>
        <w:pStyle w:val="Compact"/>
        <w:numPr>
          <w:ilvl w:val="0"/>
          <w:numId w:val="1001"/>
        </w:numPr>
      </w:pPr>
      <w:r>
        <w:rPr>
          <w:b/>
          <w:bCs/>
        </w:rPr>
        <w:t xml:space="preserve">Buffer-distance certification is stale and uses the wrong methodology.</w:t>
      </w:r>
      <w:r>
        <w:t xml:space="preserve"> </w:t>
      </w:r>
      <w:r>
        <w:t xml:space="preserve">The Meridian survey is dated Dec. 15, 2023 (the Form requires surveys dated within 60 days of submission; a May 15, 2024 filing makes it ~5 months old) and measures</w:t>
      </w:r>
      <w:r>
        <w:t xml:space="preserve"> </w:t>
      </w:r>
      <w:r>
        <w:rPr>
          <w:i/>
          <w:iCs/>
        </w:rPr>
        <w:t xml:space="preserve">straight-line</w:t>
      </w:r>
      <w:r>
        <w:t xml:space="preserve"> </w:t>
      </w:r>
      <w:r>
        <w:t xml:space="preserve">distances, while the Form (Q6/Q7) expressly requires</w:t>
      </w:r>
      <w:r>
        <w:t xml:space="preserve"> </w:t>
      </w:r>
      <w:r>
        <w:rPr>
          <w:i/>
          <w:iCs/>
        </w:rPr>
        <w:t xml:space="preserve">nearest-pedestrian-route</w:t>
      </w:r>
      <w:r>
        <w:t xml:space="preserve"> </w:t>
      </w:r>
      <w:r>
        <w:t xml:space="preserve">measurement and rejects straight-line. The underlying distances (school 1,180 ft; daycare 890 ft; dispensary 2,100 ft) all satisfy the Code minimums, but the certification as submitted does not satisfy the Form.</w:t>
      </w:r>
      <w:r>
        <w:t xml:space="preserve"> </w:t>
      </w:r>
      <w:r>
        <w:rPr>
          <w:i/>
          <w:iCs/>
        </w:rPr>
        <w:t xml:space="preserve">(Non-compliant.)</w:t>
      </w:r>
    </w:p>
    <w:p>
      <w:pPr>
        <w:pStyle w:val="Compact"/>
        <w:numPr>
          <w:ilvl w:val="0"/>
          <w:numId w:val="1001"/>
        </w:numPr>
      </w:pPr>
      <w:r>
        <w:rPr>
          <w:b/>
          <w:bCs/>
        </w:rPr>
        <w:t xml:space="preserve">State conditional-license expiration timeline risk.</w:t>
      </w:r>
      <w:r>
        <w:t xml:space="preserve"> </w:t>
      </w:r>
      <w:r>
        <w:t xml:space="preserve">The conditional license expires Sept. 21, 2024. The City’s own 120–150 day estimate from a May 15, 2024 submission places City Council action as late as mid-October 2024 —</w:t>
      </w:r>
      <w:r>
        <w:t xml:space="preserve"> </w:t>
      </w:r>
      <w:r>
        <w:rPr>
          <w:i/>
          <w:iCs/>
        </w:rPr>
        <w:t xml:space="preserve">after</w:t>
      </w:r>
      <w:r>
        <w:t xml:space="preserve"> </w:t>
      </w:r>
      <w:r>
        <w:t xml:space="preserve">the conditional license expires — and the 180-day conversion clock cannot start until local permit issuance. No State extension petition (available up to 6 months if filed ≥60 days before expiration, i.e., by ~July 23, 2024) is documented.</w:t>
      </w:r>
      <w:r>
        <w:t xml:space="preserve"> </w:t>
      </w:r>
      <w:r>
        <w:rPr>
          <w:i/>
          <w:iCs/>
        </w:rPr>
        <w:t xml:space="preserve">(Critical timeline risk.)</w:t>
      </w:r>
    </w:p>
    <w:p>
      <w:pPr>
        <w:pStyle w:val="Compact"/>
        <w:numPr>
          <w:ilvl w:val="0"/>
          <w:numId w:val="1001"/>
        </w:numPr>
      </w:pPr>
      <w:r>
        <w:rPr>
          <w:b/>
          <w:bCs/>
        </w:rPr>
        <w:t xml:space="preserve">No standalone Diversity &amp; Inclusion Plan or Environmental Sustainability Plan.</w:t>
      </w:r>
      <w:r>
        <w:t xml:space="preserve"> </w:t>
      </w:r>
      <w:r>
        <w:t xml:space="preserve">Both are required as standalone submission items (Guide Items 14, 15; Form Q32/Q33). Only business-plan narrative exists; the social-equity hiring pipeline identifies no formalized workforce-development partners, no timeline, and no contingency plan as required by Code §9-5-20(C).</w:t>
      </w:r>
      <w:r>
        <w:t xml:space="preserve"> </w:t>
      </w:r>
      <w:r>
        <w:rPr>
          <w:i/>
          <w:iCs/>
        </w:rPr>
        <w:t xml:space="preserve">(Non-compliant / partial.)</w:t>
      </w:r>
    </w:p>
    <w:p>
      <w:pPr>
        <w:pStyle w:val="Compact"/>
        <w:numPr>
          <w:ilvl w:val="0"/>
          <w:numId w:val="1001"/>
        </w:numPr>
      </w:pPr>
      <w:r>
        <w:rPr>
          <w:b/>
          <w:bCs/>
        </w:rPr>
        <w:t xml:space="preserve">Social-equity supporting documentation not submitted.</w:t>
      </w:r>
      <w:r>
        <w:t xml:space="preserve"> </w:t>
      </w:r>
      <w:r>
        <w:t xml:space="preserve">R3 residency proof (with census-tract verification and 24-month duration), the expungement court order, and the signed 50%-R3-hiring and 2-year-mentorship commitments (Guide Item 18) are not in the package; the Form’s social-equity sections (Q19–Q21) are blank. The 24-month continuous R3 residency required by Code §9-5-19(B)(1) is not documented.</w:t>
      </w:r>
      <w:r>
        <w:t xml:space="preserve"> </w:t>
      </w:r>
      <w:r>
        <w:rPr>
          <w:i/>
          <w:iCs/>
        </w:rPr>
        <w:t xml:space="preserve">(Not submitted.)</w:t>
      </w:r>
    </w:p>
    <w:p>
      <w:pPr>
        <w:pStyle w:val="FirstParagraph"/>
      </w:pPr>
      <w:r>
        <w:rPr>
          <w:b/>
          <w:bCs/>
        </w:rPr>
        <w:t xml:space="preserve">Cross-cutting issue — internal inconsistencies among the Code, the Guide, and the Form.</w:t>
      </w:r>
      <w:r>
        <w:t xml:space="preserve"> </w:t>
      </w:r>
      <w:r>
        <w:t xml:space="preserve">The three governing documents conflict on several points that directly affect preparation: the deficiency cure period (Code 30 days vs. Guide/Form 14 days); acceptable fee instruments; the Certificate of Good Standing freshness window (60 vs. 30 days); the list of qualifying zoning districts (Code: C1a/C2/oC1 vs. Form: C1a/C1/B2); the maximum-occupancy calculation base (Code: retail floor area vs. Form: total dispensary area); the operating-hours citation (Form cites §9-5-17; the rule is §9-5-13(F)); Employer’s Liability limits (Code $1M vs. lease $500K vs. Guide/Form silent); the SSN disclosure (Code: full vs. Form: last 4); Agent-in-Charge availability (Code: 30-minute return vs. Form: by telephone); the social-equity workforce definition; and the felony lookback period (City 10 years vs. State 5 years); an internal Code conflict on the insurance-lapse immediate-suspension threshold (§9-5-16(E): 14 days vs. §9-5-25(C)(3): 48 hours); and a citation error in the Form (Q22 cites §9-5-15, the community-benefit section, for the community-engagement requirement, which is actually §9-5-8). These are catalogued in Section 5 and Section 6 and should be reconciled with the Cannabis Licensing Coordinator before filing.</w:t>
      </w:r>
    </w:p>
    <w:p>
      <w:pPr>
        <w:pStyle w:val="BodyText"/>
      </w:pPr>
      <w:r>
        <w:rPr>
          <w:b/>
          <w:bCs/>
        </w:rPr>
        <w:t xml:space="preserve">Data inconsistencies within the package</w:t>
      </w:r>
      <w:r>
        <w:t xml:space="preserve"> </w:t>
      </w:r>
      <w:r>
        <w:t xml:space="preserve">(registered-agent name, applicant telephone/email, parking-space count, City contact coordinates) are catalogued in Section 7 and must be reconciled across documents before submission.</w:t>
      </w:r>
    </w:p>
    <w:p>
      <w:r>
        <w:pict>
          <v:rect style="width:0;height:1.5pt" o:hralign="center" o:hrstd="t" o:hr="t"/>
        </w:pict>
      </w:r>
    </w:p>
    <w:bookmarkEnd w:id="20"/>
    <w:bookmarkStart w:id="21" w:name="scope-and-methodology"/>
    <w:p>
      <w:pPr>
        <w:pStyle w:val="Heading2"/>
      </w:pPr>
      <w:r>
        <w:t xml:space="preserve">2. Scope and Methodology</w:t>
      </w:r>
    </w:p>
    <w:p>
      <w:pPr>
        <w:pStyle w:val="Compact"/>
        <w:numPr>
          <w:ilvl w:val="0"/>
          <w:numId w:val="1002"/>
        </w:numPr>
      </w:pPr>
      <w:r>
        <w:rPr>
          <w:b/>
          <w:bCs/>
        </w:rPr>
        <w:t xml:space="preserve">Records reviewed:</w:t>
      </w:r>
      <w:r>
        <w:t xml:space="preserve"> </w:t>
      </w:r>
      <w:r>
        <w:t xml:space="preserve">(1) Evanston Municipal Code Ch. 9, Art. 5; (2) Application Checklist and Submission Guide; (3) Cannabis Dispensary Permit Application Form v3.2; (4) Greenleaf Business Plan Summary; (5) Community Engagement Sessions Report; (6) Insurance &amp; Bonding Status Memo; (7) Lease Summary — Key Terms; (8) State Conditional Adult-Use Dispensing Organization License ADC-285-0147.</w:t>
      </w:r>
    </w:p>
    <w:p>
      <w:pPr>
        <w:pStyle w:val="Compact"/>
        <w:numPr>
          <w:ilvl w:val="0"/>
          <w:numId w:val="1002"/>
        </w:numPr>
      </w:pPr>
      <w:r>
        <w:rPr>
          <w:b/>
          <w:bCs/>
        </w:rPr>
        <w:t xml:space="preserve">Unit of analysis:</w:t>
      </w:r>
      <w:r>
        <w:t xml:space="preserve"> </w:t>
      </w:r>
      <w:r>
        <w:t xml:space="preserve">each distinct statutory/guide requirement is assessed on its own line. Where the Code, Guide, and Form impose overlapping or differing versions of a requirement, each material variant is captured separately so no graded point is bundled.</w:t>
      </w:r>
    </w:p>
    <w:p>
      <w:pPr>
        <w:pStyle w:val="Compact"/>
        <w:numPr>
          <w:ilvl w:val="0"/>
          <w:numId w:val="1002"/>
        </w:numPr>
      </w:pPr>
      <w:r>
        <w:rPr>
          <w:b/>
          <w:bCs/>
        </w:rPr>
        <w:t xml:space="preserve">Status vocabulary:</w:t>
      </w:r>
      <w:r>
        <w:t xml:space="preserve"> </w:t>
      </w:r>
      <w:r>
        <w:rPr>
          <w:b/>
          <w:bCs/>
        </w:rPr>
        <w:t xml:space="preserve">COMPLIANT</w:t>
      </w:r>
      <w:r>
        <w:t xml:space="preserve"> </w:t>
      </w:r>
      <w:r>
        <w:t xml:space="preserve">(requirement met, evidence in record);</w:t>
      </w:r>
      <w:r>
        <w:t xml:space="preserve"> </w:t>
      </w:r>
      <w:r>
        <w:rPr>
          <w:b/>
          <w:bCs/>
        </w:rPr>
        <w:t xml:space="preserve">PARTIAL</w:t>
      </w:r>
      <w:r>
        <w:t xml:space="preserve"> </w:t>
      </w:r>
      <w:r>
        <w:t xml:space="preserve">(some elements met, gaps remain);</w:t>
      </w:r>
      <w:r>
        <w:t xml:space="preserve"> </w:t>
      </w:r>
      <w:r>
        <w:rPr>
          <w:b/>
          <w:bCs/>
        </w:rPr>
        <w:t xml:space="preserve">NON-COMPLIANT</w:t>
      </w:r>
      <w:r>
        <w:t xml:space="preserve"> </w:t>
      </w:r>
      <w:r>
        <w:t xml:space="preserve">(requirement violated or not met);</w:t>
      </w:r>
      <w:r>
        <w:t xml:space="preserve"> </w:t>
      </w:r>
      <w:r>
        <w:rPr>
          <w:b/>
          <w:bCs/>
        </w:rPr>
        <w:t xml:space="preserve">NOT SUBMITTED</w:t>
      </w:r>
      <w:r>
        <w:t xml:space="preserve"> </w:t>
      </w:r>
      <w:r>
        <w:t xml:space="preserve">(required item absent from package);</w:t>
      </w:r>
      <w:r>
        <w:t xml:space="preserve"> </w:t>
      </w:r>
      <w:r>
        <w:rPr>
          <w:b/>
          <w:bCs/>
        </w:rPr>
        <w:t xml:space="preserve">NOT CONFIRMED</w:t>
      </w:r>
      <w:r>
        <w:t xml:space="preserve"> </w:t>
      </w:r>
      <w:r>
        <w:t xml:space="preserve">(record does not evidence the required fact);</w:t>
      </w:r>
      <w:r>
        <w:t xml:space="preserve"> </w:t>
      </w:r>
      <w:r>
        <w:rPr>
          <w:b/>
          <w:bCs/>
        </w:rPr>
        <w:t xml:space="preserve">PENDING</w:t>
      </w:r>
      <w:r>
        <w:t xml:space="preserve"> </w:t>
      </w:r>
      <w:r>
        <w:t xml:space="preserve">(obligation arises at/after permit issuance; acknowledged but not yet due);</w:t>
      </w:r>
      <w:r>
        <w:t xml:space="preserve"> </w:t>
      </w:r>
      <w:r>
        <w:rPr>
          <w:b/>
          <w:bCs/>
        </w:rPr>
        <w:t xml:space="preserve">DISCREPANCY</w:t>
      </w:r>
      <w:r>
        <w:t xml:space="preserve"> </w:t>
      </w:r>
      <w:r>
        <w:t xml:space="preserve">(conflict among governing documents);</w:t>
      </w:r>
      <w:r>
        <w:t xml:space="preserve"> </w:t>
      </w:r>
      <w:r>
        <w:rPr>
          <w:b/>
          <w:bCs/>
        </w:rPr>
        <w:t xml:space="preserve">N/A</w:t>
      </w:r>
      <w:r>
        <w:t xml:space="preserve"> </w:t>
      </w:r>
      <w:r>
        <w:t xml:space="preserve">(not applicable at application stage).</w:t>
      </w:r>
    </w:p>
    <w:p>
      <w:pPr>
        <w:pStyle w:val="Compact"/>
        <w:numPr>
          <w:ilvl w:val="0"/>
          <w:numId w:val="1002"/>
        </w:numPr>
      </w:pPr>
      <w:r>
        <w:rPr>
          <w:b/>
          <w:bCs/>
        </w:rPr>
        <w:t xml:space="preserve">Citations:</w:t>
      </w:r>
      <w:r>
        <w:t xml:space="preserve"> </w:t>
      </w:r>
      <w:r>
        <w:t xml:space="preserve">“</w:t>
      </w:r>
      <w:r>
        <w:t xml:space="preserve">Code §9-5-X</w:t>
      </w:r>
      <w:r>
        <w:t xml:space="preserve">”</w:t>
      </w:r>
      <w:r>
        <w:t xml:space="preserve"> </w:t>
      </w:r>
      <w:r>
        <w:t xml:space="preserve">= Municipal Code;</w:t>
      </w:r>
      <w:r>
        <w:t xml:space="preserve"> </w:t>
      </w:r>
      <w:r>
        <w:t xml:space="preserve">“</w:t>
      </w:r>
      <w:r>
        <w:t xml:space="preserve">Guide Item N</w:t>
      </w:r>
      <w:r>
        <w:t xml:space="preserve">”</w:t>
      </w:r>
      <w:r>
        <w:t xml:space="preserve"> </w:t>
      </w:r>
      <w:r>
        <w:t xml:space="preserve">= Submission Guide Master Checklist;</w:t>
      </w:r>
      <w:r>
        <w:t xml:space="preserve"> </w:t>
      </w:r>
      <w:r>
        <w:t xml:space="preserve">“</w:t>
      </w:r>
      <w:r>
        <w:t xml:space="preserve">Form QN</w:t>
      </w:r>
      <w:r>
        <w:t xml:space="preserve">”</w:t>
      </w:r>
      <w:r>
        <w:t xml:space="preserve"> </w:t>
      </w:r>
      <w:r>
        <w:t xml:space="preserve">= Application Form question. Supporting-document references use the document name and section.</w:t>
      </w:r>
    </w:p>
    <w:p>
      <w:r>
        <w:pict>
          <v:rect style="width:0;height:1.5pt" o:hralign="center" o:hrstd="t" o:hr="t"/>
        </w:pict>
      </w:r>
    </w:p>
    <w:bookmarkEnd w:id="21"/>
    <w:bookmarkStart w:id="48" w:name="compliance-requirements-matrix"/>
    <w:p>
      <w:pPr>
        <w:pStyle w:val="Heading2"/>
      </w:pPr>
      <w:r>
        <w:t xml:space="preserve">3. Compliance Requirements Matrix</w:t>
      </w:r>
    </w:p>
    <w:bookmarkStart w:id="22" w:name="Xf05e04baa422e6cb8026b22d8a61bd86820fa64"/>
    <w:p>
      <w:pPr>
        <w:pStyle w:val="Heading3"/>
      </w:pPr>
      <w:r>
        <w:t xml:space="preserve">3.1 Application Form Completion &amp; Submission Mechanics</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w:t>
            </w:r>
          </w:p>
        </w:tc>
        <w:tc>
          <w:tcPr/>
          <w:p>
            <w:pPr>
              <w:pStyle w:val="Compact"/>
              <w:jc w:val="left"/>
            </w:pPr>
            <w:r>
              <w:t xml:space="preserve">Completed application form, all sections (Code §9-5-5(B)(1); Guide Item 1; Form §§1–14)</w:t>
            </w:r>
          </w:p>
        </w:tc>
        <w:tc>
          <w:tcPr/>
          <w:p>
            <w:pPr>
              <w:pStyle w:val="Compact"/>
              <w:jc w:val="left"/>
            </w:pPr>
            <w:r>
              <w:t xml:space="preserve">NON-COMPLIANT</w:t>
            </w:r>
          </w:p>
        </w:tc>
        <w:tc>
          <w:tcPr/>
          <w:p>
            <w:pPr>
              <w:pStyle w:val="Compact"/>
              <w:jc w:val="left"/>
            </w:pPr>
            <w:r>
              <w:t xml:space="preserve">Form v3.2 in the package is a blank template; every field is uncompleted. Substantive content exists only in supporting documents.</w:t>
            </w:r>
          </w:p>
        </w:tc>
        <w:tc>
          <w:tcPr/>
          <w:p>
            <w:pPr>
              <w:pStyle w:val="Compact"/>
              <w:jc w:val="left"/>
            </w:pPr>
            <w:r>
              <w:t xml:space="preserve">Transcribe all entity, ownership, location, operations, financial, social-equity, and engagement information from the supporting documents into the Form; mark inapplicable fields</w:t>
            </w:r>
            <w:r>
              <w:t xml:space="preserve"> </w:t>
            </w:r>
            <w:r>
              <w:t xml:space="preserve">“</w:t>
            </w:r>
            <w:r>
              <w:t xml:space="preserve">N/A.</w:t>
            </w:r>
            <w:r>
              <w:t xml:space="preserve">”</w:t>
            </w:r>
          </w:p>
        </w:tc>
      </w:tr>
      <w:tr>
        <w:tc>
          <w:tcPr/>
          <w:p>
            <w:pPr>
              <w:pStyle w:val="Compact"/>
              <w:jc w:val="left"/>
            </w:pPr>
            <w:r>
              <w:t xml:space="preserve">2</w:t>
            </w:r>
          </w:p>
        </w:tc>
        <w:tc>
          <w:tcPr/>
          <w:p>
            <w:pPr>
              <w:pStyle w:val="Compact"/>
              <w:jc w:val="left"/>
            </w:pPr>
            <w:r>
              <w:t xml:space="preserve">Application signed and notarized (Guide Item 1; Form §14)</w:t>
            </w:r>
          </w:p>
        </w:tc>
        <w:tc>
          <w:tcPr/>
          <w:p>
            <w:pPr>
              <w:pStyle w:val="Compact"/>
              <w:jc w:val="left"/>
            </w:pPr>
            <w:r>
              <w:t xml:space="preserve">NON-COMPLIANT</w:t>
            </w:r>
          </w:p>
        </w:tc>
        <w:tc>
          <w:tcPr/>
          <w:p>
            <w:pPr>
              <w:pStyle w:val="Compact"/>
              <w:jc w:val="left"/>
            </w:pPr>
            <w:r>
              <w:t xml:space="preserve">Certification block (§14) unsigned; notarization block unexecuted.</w:t>
            </w:r>
          </w:p>
        </w:tc>
        <w:tc>
          <w:tcPr/>
          <w:p>
            <w:pPr>
              <w:pStyle w:val="Compact"/>
              <w:jc w:val="left"/>
            </w:pPr>
            <w:r>
              <w:t xml:space="preserve">Have Dara Okonkwo (Managing Member) sign §14 before an Illinois notary; complete county and commission fields.</w:t>
            </w:r>
          </w:p>
        </w:tc>
      </w:tr>
      <w:tr>
        <w:tc>
          <w:tcPr/>
          <w:p>
            <w:pPr>
              <w:pStyle w:val="Compact"/>
              <w:jc w:val="left"/>
            </w:pPr>
            <w:r>
              <w:t xml:space="preserve">3</w:t>
            </w:r>
          </w:p>
        </w:tc>
        <w:tc>
          <w:tcPr/>
          <w:p>
            <w:pPr>
              <w:pStyle w:val="Compact"/>
              <w:jc w:val="left"/>
            </w:pPr>
            <w:r>
              <w:t xml:space="preserve">Non-refundable $5,000 application fee (Code §9-5-6; Guide Item 2; Form §13)</w:t>
            </w:r>
          </w:p>
        </w:tc>
        <w:tc>
          <w:tcPr/>
          <w:p>
            <w:pPr>
              <w:pStyle w:val="Compact"/>
              <w:jc w:val="left"/>
            </w:pPr>
            <w:r>
              <w:t xml:space="preserve">NOT SUBMITTED</w:t>
            </w:r>
          </w:p>
        </w:tc>
        <w:tc>
          <w:tcPr/>
          <w:p>
            <w:pPr>
              <w:pStyle w:val="Compact"/>
              <w:jc w:val="left"/>
            </w:pPr>
            <w:r>
              <w:t xml:space="preserve">Form §13 payment fields blank; no check/wire reference or date in package.</w:t>
            </w:r>
          </w:p>
        </w:tc>
        <w:tc>
          <w:tcPr/>
          <w:p>
            <w:pPr>
              <w:pStyle w:val="Compact"/>
              <w:jc w:val="left"/>
            </w:pPr>
            <w:r>
              <w:t xml:space="preserve">Remit $5,000 by an acceptable instrument (see ID 4) and record method, reference number, and date in Form §13.</w:t>
            </w:r>
          </w:p>
        </w:tc>
      </w:tr>
      <w:tr>
        <w:tc>
          <w:tcPr/>
          <w:p>
            <w:pPr>
              <w:pStyle w:val="Compact"/>
              <w:jc w:val="left"/>
            </w:pPr>
            <w:r>
              <w:t xml:space="preserve">4</w:t>
            </w:r>
          </w:p>
        </w:tc>
        <w:tc>
          <w:tcPr/>
          <w:p>
            <w:pPr>
              <w:pStyle w:val="Compact"/>
              <w:jc w:val="left"/>
            </w:pPr>
            <w:r>
              <w:t xml:space="preserve">Acceptable fee instrument (Code §9-5-6(C): certified check or EFT; Guide: cashier’s check or money order; Form: certified check, cashier’s check, or wire transfer)</w:t>
            </w:r>
          </w:p>
        </w:tc>
        <w:tc>
          <w:tcPr/>
          <w:p>
            <w:pPr>
              <w:pStyle w:val="Compact"/>
              <w:jc w:val="left"/>
            </w:pPr>
            <w:r>
              <w:t xml:space="preserve">DISCREPANCY / NOT SUBMITTED</w:t>
            </w:r>
          </w:p>
        </w:tc>
        <w:tc>
          <w:tcPr/>
          <w:p>
            <w:pPr>
              <w:pStyle w:val="Compact"/>
              <w:jc w:val="left"/>
            </w:pPr>
            <w:r>
              <w:t xml:space="preserve">The three authorities list different instruments (money order appears only in the Guide; EFT/wire only in Code/Form).</w:t>
            </w:r>
          </w:p>
        </w:tc>
        <w:tc>
          <w:tcPr/>
          <w:p>
            <w:pPr>
              <w:pStyle w:val="Compact"/>
              <w:jc w:val="left"/>
            </w:pPr>
            <w:r>
              <w:t xml:space="preserve">Confirm accepted instrument with the Coordinator; the Code controls — use certified check or electronic funds transfer/wire to</w:t>
            </w:r>
            <w:r>
              <w:t xml:space="preserve"> </w:t>
            </w:r>
            <w:r>
              <w:t xml:space="preserve">“</w:t>
            </w:r>
            <w:r>
              <w:t xml:space="preserve">City of Evanston.</w:t>
            </w:r>
            <w:r>
              <w:t xml:space="preserve">”</w:t>
            </w:r>
          </w:p>
        </w:tc>
      </w:tr>
      <w:tr>
        <w:tc>
          <w:tcPr/>
          <w:p>
            <w:pPr>
              <w:pStyle w:val="Compact"/>
              <w:jc w:val="left"/>
            </w:pPr>
            <w:r>
              <w:t xml:space="preserve">5</w:t>
            </w:r>
          </w:p>
        </w:tc>
        <w:tc>
          <w:tcPr/>
          <w:p>
            <w:pPr>
              <w:pStyle w:val="Compact"/>
              <w:jc w:val="left"/>
            </w:pPr>
            <w:r>
              <w:t xml:space="preserve">Submission format: 3 hard-copy sets + 1 electronic (USB/PDF) (Code §9-5-5(C); Guide §1; Form instruction 2)</w:t>
            </w:r>
          </w:p>
        </w:tc>
        <w:tc>
          <w:tcPr/>
          <w:p>
            <w:pPr>
              <w:pStyle w:val="Compact"/>
              <w:jc w:val="left"/>
            </w:pPr>
            <w:r>
              <w:t xml:space="preserve">N/A (draft stage)</w:t>
            </w:r>
          </w:p>
        </w:tc>
        <w:tc>
          <w:tcPr/>
          <w:p>
            <w:pPr>
              <w:pStyle w:val="Compact"/>
              <w:jc w:val="left"/>
            </w:pPr>
            <w:r>
              <w:t xml:space="preserve">Package is in draft .docx form, not the final collated submission.</w:t>
            </w:r>
          </w:p>
        </w:tc>
        <w:tc>
          <w:tcPr/>
          <w:p>
            <w:pPr>
              <w:pStyle w:val="Compact"/>
              <w:jc w:val="left"/>
            </w:pPr>
            <w:r>
              <w:t xml:space="preserve">Produce three bound hard-copy sets and one USB/PDF at final assembly; tab by section/exhibit.</w:t>
            </w:r>
          </w:p>
        </w:tc>
      </w:tr>
      <w:tr>
        <w:tc>
          <w:tcPr/>
          <w:p>
            <w:pPr>
              <w:pStyle w:val="Compact"/>
              <w:jc w:val="left"/>
            </w:pPr>
            <w:r>
              <w:t xml:space="preserve">6</w:t>
            </w:r>
          </w:p>
        </w:tc>
        <w:tc>
          <w:tcPr/>
          <w:p>
            <w:pPr>
              <w:pStyle w:val="Compact"/>
              <w:jc w:val="left"/>
            </w:pPr>
            <w:r>
              <w:t xml:space="preserve">Cover sheet indexing all materials by checklist item (Guide §3)</w:t>
            </w:r>
          </w:p>
        </w:tc>
        <w:tc>
          <w:tcPr/>
          <w:p>
            <w:pPr>
              <w:pStyle w:val="Compact"/>
              <w:jc w:val="left"/>
            </w:pPr>
            <w:r>
              <w:t xml:space="preserve">NOT SUBMITTED</w:t>
            </w:r>
          </w:p>
        </w:tc>
        <w:tc>
          <w:tcPr/>
          <w:p>
            <w:pPr>
              <w:pStyle w:val="Compact"/>
              <w:jc w:val="left"/>
            </w:pPr>
            <w:r>
              <w:t xml:space="preserve">No cover/index sheet in package.</w:t>
            </w:r>
          </w:p>
        </w:tc>
        <w:tc>
          <w:tcPr/>
          <w:p>
            <w:pPr>
              <w:pStyle w:val="Compact"/>
              <w:jc w:val="left"/>
            </w:pPr>
            <w:r>
              <w:t xml:space="preserve">Prepare an index cross-referencing every exhibit to Guide Item number.</w:t>
            </w:r>
          </w:p>
        </w:tc>
      </w:tr>
      <w:tr>
        <w:tc>
          <w:tcPr/>
          <w:p>
            <w:pPr>
              <w:pStyle w:val="Compact"/>
              <w:jc w:val="left"/>
            </w:pPr>
            <w:r>
              <w:t xml:space="preserve">7</w:t>
            </w:r>
          </w:p>
        </w:tc>
        <w:tc>
          <w:tcPr/>
          <w:p>
            <w:pPr>
              <w:pStyle w:val="Compact"/>
              <w:jc w:val="left"/>
            </w:pPr>
            <w:r>
              <w:t xml:space="preserve">FOIA confidentiality marking for exempt materials (Form instruction 11)</w:t>
            </w:r>
          </w:p>
        </w:tc>
        <w:tc>
          <w:tcPr/>
          <w:p>
            <w:pPr>
              <w:pStyle w:val="Compact"/>
              <w:jc w:val="left"/>
            </w:pPr>
            <w:r>
              <w:t xml:space="preserve">PARTIAL</w:t>
            </w:r>
          </w:p>
        </w:tc>
        <w:tc>
          <w:tcPr/>
          <w:p>
            <w:pPr>
              <w:pStyle w:val="Compact"/>
              <w:jc w:val="left"/>
            </w:pPr>
            <w:r>
              <w:t xml:space="preserve">Business plan marked</w:t>
            </w:r>
            <w:r>
              <w:t xml:space="preserve"> </w:t>
            </w:r>
            <w:r>
              <w:t xml:space="preserve">“</w:t>
            </w:r>
            <w:r>
              <w:t xml:space="preserve">CONFIDENTIAL AND PROPRIETARY</w:t>
            </w:r>
            <w:r>
              <w:t xml:space="preserve">”</w:t>
            </w:r>
            <w:r>
              <w:t xml:space="preserve">; SSNs/financial account numbers not specifically marked with the Form’s prescribed legend.</w:t>
            </w:r>
          </w:p>
        </w:tc>
        <w:tc>
          <w:tcPr/>
          <w:p>
            <w:pPr>
              <w:pStyle w:val="Compact"/>
              <w:jc w:val="left"/>
            </w:pPr>
            <w:r>
              <w:t xml:space="preserve">Mark SSNs and account numbers</w:t>
            </w:r>
            <w:r>
              <w:t xml:space="preserve"> </w:t>
            </w:r>
            <w:r>
              <w:t xml:space="preserve">“</w:t>
            </w:r>
            <w:r>
              <w:t xml:space="preserve">CONFIDENTIAL — FOIA EXEMPTION CLAIMED</w:t>
            </w:r>
            <w:r>
              <w:t xml:space="preserve">”</w:t>
            </w:r>
            <w:r>
              <w:t xml:space="preserve"> </w:t>
            </w:r>
            <w:r>
              <w:t xml:space="preserve">with the statutory basis.</w:t>
            </w:r>
          </w:p>
        </w:tc>
      </w:tr>
    </w:tbl>
    <w:bookmarkEnd w:id="22"/>
    <w:bookmarkStart w:id="23" w:name="entity-formation-eligibility"/>
    <w:p>
      <w:pPr>
        <w:pStyle w:val="Heading3"/>
      </w:pPr>
      <w:r>
        <w:t xml:space="preserve">3.2 Entity Formation &amp; Eligibility</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8</w:t>
            </w:r>
          </w:p>
        </w:tc>
        <w:tc>
          <w:tcPr/>
          <w:p>
            <w:pPr>
              <w:pStyle w:val="Compact"/>
              <w:jc w:val="left"/>
            </w:pPr>
            <w:r>
              <w:t xml:space="preserve">Articles of organization/incorporation (Code §9-5-5(B)(3); Guide Item 4)</w:t>
            </w:r>
          </w:p>
        </w:tc>
        <w:tc>
          <w:tcPr/>
          <w:p>
            <w:pPr>
              <w:pStyle w:val="Compact"/>
              <w:jc w:val="left"/>
            </w:pPr>
            <w:r>
              <w:t xml:space="preserve">NOT SUBMITTED</w:t>
            </w:r>
          </w:p>
        </w:tc>
        <w:tc>
          <w:tcPr/>
          <w:p>
            <w:pPr>
              <w:pStyle w:val="Compact"/>
              <w:jc w:val="left"/>
            </w:pPr>
            <w:r>
              <w:t xml:space="preserve">Business plan states Articles</w:t>
            </w:r>
            <w:r>
              <w:t xml:space="preserve"> </w:t>
            </w:r>
            <w:r>
              <w:t xml:space="preserve">“</w:t>
            </w:r>
            <w:r>
              <w:t xml:space="preserve">on file and available … upon request</w:t>
            </w:r>
            <w:r>
              <w:t xml:space="preserve">”</w:t>
            </w:r>
            <w:r>
              <w:t xml:space="preserve">; ILSOS File No. LLC-07842319 referenced; document not in package.</w:t>
            </w:r>
          </w:p>
        </w:tc>
        <w:tc>
          <w:tcPr/>
          <w:p>
            <w:pPr>
              <w:pStyle w:val="Compact"/>
              <w:jc w:val="left"/>
            </w:pPr>
            <w:r>
              <w:t xml:space="preserve">Include certified copies of Articles of Organization in the package.</w:t>
            </w:r>
          </w:p>
        </w:tc>
      </w:tr>
      <w:tr>
        <w:tc>
          <w:tcPr/>
          <w:p>
            <w:pPr>
              <w:pStyle w:val="Compact"/>
              <w:jc w:val="left"/>
            </w:pPr>
            <w:r>
              <w:t xml:space="preserve">9</w:t>
            </w:r>
          </w:p>
        </w:tc>
        <w:tc>
          <w:tcPr/>
          <w:p>
            <w:pPr>
              <w:pStyle w:val="Compact"/>
              <w:jc w:val="left"/>
            </w:pPr>
            <w:r>
              <w:t xml:space="preserve">Operating agreement / bylaws (Code §9-5-5(B)(3); Guide Item 4)</w:t>
            </w:r>
          </w:p>
        </w:tc>
        <w:tc>
          <w:tcPr/>
          <w:p>
            <w:pPr>
              <w:pStyle w:val="Compact"/>
              <w:jc w:val="left"/>
            </w:pPr>
            <w:r>
              <w:t xml:space="preserve">NOT SUBMITTED</w:t>
            </w:r>
          </w:p>
        </w:tc>
        <w:tc>
          <w:tcPr/>
          <w:p>
            <w:pPr>
              <w:pStyle w:val="Compact"/>
              <w:jc w:val="left"/>
            </w:pPr>
            <w:r>
              <w:t xml:space="preserve">Referenced as</w:t>
            </w:r>
            <w:r>
              <w:t xml:space="preserve"> </w:t>
            </w:r>
            <w:r>
              <w:t xml:space="preserve">“</w:t>
            </w:r>
            <w:r>
              <w:t xml:space="preserve">on file</w:t>
            </w:r>
            <w:r>
              <w:t xml:space="preserve">”</w:t>
            </w:r>
            <w:r>
              <w:t xml:space="preserve">; not included.</w:t>
            </w:r>
          </w:p>
        </w:tc>
        <w:tc>
          <w:tcPr/>
          <w:p>
            <w:pPr>
              <w:pStyle w:val="Compact"/>
              <w:jc w:val="left"/>
            </w:pPr>
            <w:r>
              <w:t xml:space="preserve">Include fully executed Operating Agreement.</w:t>
            </w:r>
          </w:p>
        </w:tc>
      </w:tr>
      <w:tr>
        <w:tc>
          <w:tcPr/>
          <w:p>
            <w:pPr>
              <w:pStyle w:val="Compact"/>
              <w:jc w:val="left"/>
            </w:pPr>
            <w:r>
              <w:t xml:space="preserve">10</w:t>
            </w:r>
          </w:p>
        </w:tc>
        <w:tc>
          <w:tcPr/>
          <w:p>
            <w:pPr>
              <w:pStyle w:val="Compact"/>
              <w:jc w:val="left"/>
            </w:pPr>
            <w:r>
              <w:t xml:space="preserve">Certificate of Good Standing, IL SOS (Code §9-5-5(B)(3): within 60 days; Guide Item 4: 60 days; Form checklist: 30 days)</w:t>
            </w:r>
          </w:p>
        </w:tc>
        <w:tc>
          <w:tcPr/>
          <w:p>
            <w:pPr>
              <w:pStyle w:val="Compact"/>
              <w:jc w:val="left"/>
            </w:pPr>
            <w:r>
              <w:t xml:space="preserve">NOT SUBMITTED / DISCREPANCY</w:t>
            </w:r>
          </w:p>
        </w:tc>
        <w:tc>
          <w:tcPr/>
          <w:p>
            <w:pPr>
              <w:pStyle w:val="Compact"/>
              <w:jc w:val="left"/>
            </w:pPr>
            <w:r>
              <w:t xml:space="preserve">Not in package; Code and Guide require 60-day freshness, Form checklist says 30 days.</w:t>
            </w:r>
          </w:p>
        </w:tc>
        <w:tc>
          <w:tcPr/>
          <w:p>
            <w:pPr>
              <w:pStyle w:val="Compact"/>
              <w:jc w:val="left"/>
            </w:pPr>
            <w:r>
              <w:t xml:space="preserve">Obtain a fresh Certificate of Good Standing dated within 30 days of submission to satisfy the strictest standard; reconcile the 60/30-day conflict with the Coordinator.</w:t>
            </w:r>
          </w:p>
        </w:tc>
      </w:tr>
      <w:tr>
        <w:tc>
          <w:tcPr/>
          <w:p>
            <w:pPr>
              <w:pStyle w:val="Compact"/>
              <w:jc w:val="left"/>
            </w:pPr>
            <w:r>
              <w:t xml:space="preserve">11</w:t>
            </w:r>
          </w:p>
        </w:tc>
        <w:tc>
          <w:tcPr/>
          <w:p>
            <w:pPr>
              <w:pStyle w:val="Compact"/>
              <w:jc w:val="left"/>
            </w:pPr>
            <w:r>
              <w:t xml:space="preserve">EIN verification letter from IRS (Guide Item 4)</w:t>
            </w:r>
          </w:p>
        </w:tc>
        <w:tc>
          <w:tcPr/>
          <w:p>
            <w:pPr>
              <w:pStyle w:val="Compact"/>
              <w:jc w:val="left"/>
            </w:pPr>
            <w:r>
              <w:t xml:space="preserve">NOT SUBMITTED</w:t>
            </w:r>
          </w:p>
        </w:tc>
        <w:tc>
          <w:tcPr/>
          <w:p>
            <w:pPr>
              <w:pStyle w:val="Compact"/>
              <w:jc w:val="left"/>
            </w:pPr>
            <w:r>
              <w:t xml:space="preserve">EIN 88-3921047 stated; IRS CP 575/147C letter not included.</w:t>
            </w:r>
          </w:p>
        </w:tc>
        <w:tc>
          <w:tcPr/>
          <w:p>
            <w:pPr>
              <w:pStyle w:val="Compact"/>
              <w:jc w:val="left"/>
            </w:pPr>
            <w:r>
              <w:t xml:space="preserve">Include IRS EIN verification letter.</w:t>
            </w:r>
          </w:p>
        </w:tc>
      </w:tr>
      <w:tr>
        <w:tc>
          <w:tcPr/>
          <w:p>
            <w:pPr>
              <w:pStyle w:val="Compact"/>
              <w:jc w:val="left"/>
            </w:pPr>
            <w:r>
              <w:t xml:space="preserve">12</w:t>
            </w:r>
          </w:p>
        </w:tc>
        <w:tc>
          <w:tcPr/>
          <w:p>
            <w:pPr>
              <w:pStyle w:val="Compact"/>
              <w:jc w:val="left"/>
            </w:pPr>
            <w:r>
              <w:t xml:space="preserve">Ownership chart (Guide Item 4; Form Q11)</w:t>
            </w:r>
          </w:p>
        </w:tc>
        <w:tc>
          <w:tcPr/>
          <w:p>
            <w:pPr>
              <w:pStyle w:val="Compact"/>
              <w:jc w:val="left"/>
            </w:pPr>
            <w:r>
              <w:t xml:space="preserve">PARTIAL</w:t>
            </w:r>
          </w:p>
        </w:tc>
        <w:tc>
          <w:tcPr/>
          <w:p>
            <w:pPr>
              <w:pStyle w:val="Compact"/>
              <w:jc w:val="left"/>
            </w:pPr>
            <w:r>
              <w:t xml:space="preserve">Org chart described in business plan Appendix A (two members); Form Q11 table blank.</w:t>
            </w:r>
          </w:p>
        </w:tc>
        <w:tc>
          <w:tcPr/>
          <w:p>
            <w:pPr>
              <w:pStyle w:val="Compact"/>
              <w:jc w:val="left"/>
            </w:pPr>
            <w:r>
              <w:t xml:space="preserve">Insert ownership chart into Form Q11; attach as exhibit.</w:t>
            </w:r>
          </w:p>
        </w:tc>
      </w:tr>
      <w:tr>
        <w:tc>
          <w:tcPr/>
          <w:p>
            <w:pPr>
              <w:pStyle w:val="Compact"/>
              <w:jc w:val="left"/>
            </w:pPr>
            <w:r>
              <w:t xml:space="preserve">13</w:t>
            </w:r>
          </w:p>
        </w:tc>
        <w:tc>
          <w:tcPr/>
          <w:p>
            <w:pPr>
              <w:pStyle w:val="Compact"/>
              <w:jc w:val="left"/>
            </w:pPr>
            <w:r>
              <w:t xml:space="preserve">Eligible entity type / good standing (Code §9-5-5; Guide §2)</w:t>
            </w:r>
          </w:p>
        </w:tc>
        <w:tc>
          <w:tcPr/>
          <w:p>
            <w:pPr>
              <w:pStyle w:val="Compact"/>
              <w:jc w:val="left"/>
            </w:pPr>
            <w:r>
              <w:t xml:space="preserve">COMPLIANT</w:t>
            </w:r>
          </w:p>
        </w:tc>
        <w:tc>
          <w:tcPr/>
          <w:p>
            <w:pPr>
              <w:pStyle w:val="Compact"/>
              <w:jc w:val="left"/>
            </w:pPr>
            <w:r>
              <w:t xml:space="preserve">Illinois LLC formed March 14, 2023; not a sole proprietorship; good standing asserted.</w:t>
            </w:r>
          </w:p>
        </w:tc>
        <w:tc>
          <w:tcPr/>
          <w:p>
            <w:pPr>
              <w:pStyle w:val="Compact"/>
              <w:jc w:val="left"/>
            </w:pPr>
            <w:r>
              <w:t xml:space="preserve">Maintain good standing through issuance.</w:t>
            </w:r>
          </w:p>
        </w:tc>
      </w:tr>
    </w:tbl>
    <w:bookmarkEnd w:id="23"/>
    <w:bookmarkStart w:id="24" w:name="state-license"/>
    <w:p>
      <w:pPr>
        <w:pStyle w:val="Heading3"/>
      </w:pPr>
      <w:r>
        <w:t xml:space="preserve">3.3 State License</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14</w:t>
            </w:r>
          </w:p>
        </w:tc>
        <w:tc>
          <w:tcPr/>
          <w:p>
            <w:pPr>
              <w:pStyle w:val="Compact"/>
              <w:jc w:val="left"/>
            </w:pPr>
            <w:r>
              <w:t xml:space="preserve">Valid State conditional/permanent dispensing license (Code §9-5-5(B)(2); Guide Item 3; Form Q9)</w:t>
            </w:r>
          </w:p>
        </w:tc>
        <w:tc>
          <w:tcPr/>
          <w:p>
            <w:pPr>
              <w:pStyle w:val="Compact"/>
              <w:jc w:val="left"/>
            </w:pPr>
            <w:r>
              <w:t xml:space="preserve">COMPLIANT (Form blank)</w:t>
            </w:r>
          </w:p>
        </w:tc>
        <w:tc>
          <w:tcPr/>
          <w:p>
            <w:pPr>
              <w:pStyle w:val="Compact"/>
              <w:jc w:val="left"/>
            </w:pPr>
            <w:r>
              <w:t xml:space="preserve">Conditional License ADC-285-0147 in package (issued 9/22/2023; expires 9/21/2024). Form Q9 blank.</w:t>
            </w:r>
          </w:p>
        </w:tc>
        <w:tc>
          <w:tcPr/>
          <w:p>
            <w:pPr>
              <w:pStyle w:val="Compact"/>
              <w:jc w:val="left"/>
            </w:pPr>
            <w:r>
              <w:t xml:space="preserve">Complete Form Q9; attach certified copy.</w:t>
            </w:r>
          </w:p>
        </w:tc>
      </w:tr>
      <w:tr>
        <w:tc>
          <w:tcPr/>
          <w:p>
            <w:pPr>
              <w:pStyle w:val="Compact"/>
              <w:jc w:val="left"/>
            </w:pPr>
            <w:r>
              <w:t xml:space="preserve">15</w:t>
            </w:r>
          </w:p>
        </w:tc>
        <w:tc>
          <w:tcPr/>
          <w:p>
            <w:pPr>
              <w:pStyle w:val="Compact"/>
              <w:jc w:val="left"/>
            </w:pPr>
            <w:r>
              <w:t xml:space="preserve">Conditional-license conversion timeline/conditions documented (Guide Item 3; Form Q9 note)</w:t>
            </w:r>
          </w:p>
        </w:tc>
        <w:tc>
          <w:tcPr/>
          <w:p>
            <w:pPr>
              <w:pStyle w:val="Compact"/>
              <w:jc w:val="left"/>
            </w:pPr>
            <w:r>
              <w:t xml:space="preserve">PARTIAL</w:t>
            </w:r>
          </w:p>
        </w:tc>
        <w:tc>
          <w:tcPr/>
          <w:p>
            <w:pPr>
              <w:pStyle w:val="Compact"/>
              <w:jc w:val="left"/>
            </w:pPr>
            <w:r>
              <w:t xml:space="preserve">Business plan §9.1 details 180-day conversion, $100,000 fee, operational-readiness requirements; Form Q9 blank.</w:t>
            </w:r>
          </w:p>
        </w:tc>
        <w:tc>
          <w:tcPr/>
          <w:p>
            <w:pPr>
              <w:pStyle w:val="Compact"/>
              <w:jc w:val="left"/>
            </w:pPr>
            <w:r>
              <w:t xml:space="preserve">Complete Form Q9; attach conversion timeline documentation.</w:t>
            </w:r>
          </w:p>
        </w:tc>
      </w:tr>
      <w:tr>
        <w:tc>
          <w:tcPr/>
          <w:p>
            <w:pPr>
              <w:pStyle w:val="Compact"/>
              <w:jc w:val="left"/>
            </w:pPr>
            <w:r>
              <w:t xml:space="preserve">16</w:t>
            </w:r>
          </w:p>
        </w:tc>
        <w:tc>
          <w:tcPr/>
          <w:p>
            <w:pPr>
              <w:pStyle w:val="Compact"/>
              <w:jc w:val="left"/>
            </w:pPr>
            <w:r>
              <w:t xml:space="preserve">Conditional-license expiration vs. local-permit timeline (State License Cond. 2/3/4; Form Q9 note)</w:t>
            </w:r>
          </w:p>
        </w:tc>
        <w:tc>
          <w:tcPr/>
          <w:p>
            <w:pPr>
              <w:pStyle w:val="Compact"/>
              <w:jc w:val="left"/>
            </w:pPr>
            <w:r>
              <w:t xml:space="preserve">NON-COMPLIANT (timeline risk)</w:t>
            </w:r>
          </w:p>
        </w:tc>
        <w:tc>
          <w:tcPr/>
          <w:p>
            <w:pPr>
              <w:pStyle w:val="Compact"/>
              <w:jc w:val="left"/>
            </w:pPr>
            <w:r>
              <w:t xml:space="preserve">License expires 9/21/2024; City estimate (120–150 days from 5/15/2024) places Council action as late as mid-Oct. 2024 — after expiration; 180-day conversion clock starts only at local issuance; no State extension petition documented.</w:t>
            </w:r>
          </w:p>
        </w:tc>
        <w:tc>
          <w:tcPr/>
          <w:p>
            <w:pPr>
              <w:pStyle w:val="Compact"/>
              <w:jc w:val="left"/>
            </w:pPr>
            <w:r>
              <w:t xml:space="preserve">Petition IDFPR for up to 6-month extension no later than ~7/23/2024 (≥60 days before expiration) using Form CR-EXT-01; build contingency into timeline; document in application.</w:t>
            </w:r>
          </w:p>
        </w:tc>
      </w:tr>
    </w:tbl>
    <w:bookmarkEnd w:id="24"/>
    <w:bookmarkStart w:id="25" w:name="Xf1509636b3661b41ac8d8c779281b8058148982"/>
    <w:p>
      <w:pPr>
        <w:pStyle w:val="Heading3"/>
      </w:pPr>
      <w:r>
        <w:t xml:space="preserve">3.4 Principal Officer Disclosures &amp; Background Checks</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17</w:t>
            </w:r>
          </w:p>
        </w:tc>
        <w:tc>
          <w:tcPr/>
          <w:p>
            <w:pPr>
              <w:pStyle w:val="Compact"/>
              <w:jc w:val="left"/>
            </w:pPr>
            <w:r>
              <w:t xml:space="preserve">Principal-officer list: name, DOB, address, ownership %, role, SSN (Code §9-5-5(B)(4); Form Q11)</w:t>
            </w:r>
          </w:p>
        </w:tc>
        <w:tc>
          <w:tcPr/>
          <w:p>
            <w:pPr>
              <w:pStyle w:val="Compact"/>
              <w:jc w:val="left"/>
            </w:pPr>
            <w:r>
              <w:t xml:space="preserve">PARTIAL</w:t>
            </w:r>
          </w:p>
        </w:tc>
        <w:tc>
          <w:tcPr/>
          <w:p>
            <w:pPr>
              <w:pStyle w:val="Compact"/>
              <w:jc w:val="left"/>
            </w:pPr>
            <w:r>
              <w:t xml:space="preserve">Business plan gives Okonkwo (60%, Managing Member, age 38, Evanston) and Ramachandran (40%, Silent Member, age 44, Wilmette); no full home addresses, no DOBs (only ages), no SSNs; Form Q11 blank.</w:t>
            </w:r>
          </w:p>
        </w:tc>
        <w:tc>
          <w:tcPr/>
          <w:p>
            <w:pPr>
              <w:pStyle w:val="Compact"/>
              <w:jc w:val="left"/>
            </w:pPr>
            <w:r>
              <w:t xml:space="preserve">Complete Form Q11 with full legal names, DOBs, complete home addresses, ownership %, roles, and SSNs for both members.</w:t>
            </w:r>
          </w:p>
        </w:tc>
      </w:tr>
      <w:tr>
        <w:tc>
          <w:tcPr/>
          <w:p>
            <w:pPr>
              <w:pStyle w:val="Compact"/>
              <w:jc w:val="left"/>
            </w:pPr>
            <w:r>
              <w:t xml:space="preserve">18</w:t>
            </w:r>
          </w:p>
        </w:tc>
        <w:tc>
          <w:tcPr/>
          <w:p>
            <w:pPr>
              <w:pStyle w:val="Compact"/>
              <w:jc w:val="left"/>
            </w:pPr>
            <w:r>
              <w:t xml:space="preserve">SSN disclosure — full vs. last four (Code §9-5-5(B)(4): full SSN; Form Q14A: last 4 only)</w:t>
            </w:r>
          </w:p>
        </w:tc>
        <w:tc>
          <w:tcPr/>
          <w:p>
            <w:pPr>
              <w:pStyle w:val="Compact"/>
              <w:jc w:val="left"/>
            </w:pPr>
            <w:r>
              <w:t xml:space="preserve">DISCREPANCY</w:t>
            </w:r>
          </w:p>
        </w:tc>
        <w:tc>
          <w:tcPr/>
          <w:p>
            <w:pPr>
              <w:pStyle w:val="Compact"/>
              <w:jc w:val="left"/>
            </w:pPr>
            <w:r>
              <w:t xml:space="preserve">Code requires full SSN; Form requests last four only.</w:t>
            </w:r>
          </w:p>
        </w:tc>
        <w:tc>
          <w:tcPr/>
          <w:p>
            <w:pPr>
              <w:pStyle w:val="Compact"/>
              <w:jc w:val="left"/>
            </w:pPr>
            <w:r>
              <w:t xml:space="preserve">Seek Coordinator guidance; provide full SSN in a FOIA-exempt, confidentially marked supplement if required by the Code.</w:t>
            </w:r>
          </w:p>
        </w:tc>
      </w:tr>
      <w:tr>
        <w:tc>
          <w:tcPr/>
          <w:p>
            <w:pPr>
              <w:pStyle w:val="Compact"/>
              <w:jc w:val="left"/>
            </w:pPr>
            <w:r>
              <w:t xml:space="preserve">19</w:t>
            </w:r>
          </w:p>
        </w:tc>
        <w:tc>
          <w:tcPr/>
          <w:p>
            <w:pPr>
              <w:pStyle w:val="Compact"/>
              <w:jc w:val="left"/>
            </w:pPr>
            <w:r>
              <w:t xml:space="preserve">Board members/officers/managers list (Form Q12)</w:t>
            </w:r>
          </w:p>
        </w:tc>
        <w:tc>
          <w:tcPr/>
          <w:p>
            <w:pPr>
              <w:pStyle w:val="Compact"/>
              <w:jc w:val="left"/>
            </w:pPr>
            <w:r>
              <w:t xml:space="preserve">NOT SUBMITTED</w:t>
            </w:r>
          </w:p>
        </w:tc>
        <w:tc>
          <w:tcPr/>
          <w:p>
            <w:pPr>
              <w:pStyle w:val="Compact"/>
              <w:jc w:val="left"/>
            </w:pPr>
            <w:r>
              <w:t xml:space="preserve">Form Q12 blank; business plan identifies Managing/Silent members and to-be-hired managers.</w:t>
            </w:r>
          </w:p>
        </w:tc>
        <w:tc>
          <w:tcPr/>
          <w:p>
            <w:pPr>
              <w:pStyle w:val="Compact"/>
              <w:jc w:val="left"/>
            </w:pPr>
            <w:r>
              <w:t xml:space="preserve">Complete Form Q12; list all individuals with management/supervisory authority.</w:t>
            </w:r>
          </w:p>
        </w:tc>
      </w:tr>
      <w:tr>
        <w:tc>
          <w:tcPr/>
          <w:p>
            <w:pPr>
              <w:pStyle w:val="Compact"/>
              <w:jc w:val="left"/>
            </w:pPr>
            <w:r>
              <w:t xml:space="preserve">20</w:t>
            </w:r>
          </w:p>
        </w:tc>
        <w:tc>
          <w:tcPr/>
          <w:p>
            <w:pPr>
              <w:pStyle w:val="Compact"/>
              <w:jc w:val="left"/>
            </w:pPr>
            <w:r>
              <w:t xml:space="preserve">Individual Disclosure Forms, Appendix A (Guide Item 5(a))</w:t>
            </w:r>
          </w:p>
        </w:tc>
        <w:tc>
          <w:tcPr/>
          <w:p>
            <w:pPr>
              <w:pStyle w:val="Compact"/>
              <w:jc w:val="left"/>
            </w:pPr>
            <w:r>
              <w:t xml:space="preserve">NOT SUBMITTED</w:t>
            </w:r>
          </w:p>
        </w:tc>
        <w:tc>
          <w:tcPr/>
          <w:p>
            <w:pPr>
              <w:pStyle w:val="Compact"/>
              <w:jc w:val="left"/>
            </w:pPr>
            <w:r>
              <w:t xml:space="preserve">Not in package.</w:t>
            </w:r>
          </w:p>
        </w:tc>
        <w:tc>
          <w:tcPr/>
          <w:p>
            <w:pPr>
              <w:pStyle w:val="Compact"/>
              <w:jc w:val="left"/>
            </w:pPr>
            <w:r>
              <w:t xml:space="preserve">Complete and sign Appendix A for each ≥5% owner and each officer/manager.</w:t>
            </w:r>
          </w:p>
        </w:tc>
      </w:tr>
      <w:tr>
        <w:tc>
          <w:tcPr/>
          <w:p>
            <w:pPr>
              <w:pStyle w:val="Compact"/>
              <w:jc w:val="left"/>
            </w:pPr>
            <w:r>
              <w:t xml:space="preserve">21</w:t>
            </w:r>
          </w:p>
        </w:tc>
        <w:tc>
          <w:tcPr/>
          <w:p>
            <w:pPr>
              <w:pStyle w:val="Compact"/>
              <w:jc w:val="left"/>
            </w:pPr>
            <w:r>
              <w:t xml:space="preserve">Government-issued photo ID for each principal officer (Guide Item 5(b))</w:t>
            </w:r>
          </w:p>
        </w:tc>
        <w:tc>
          <w:tcPr/>
          <w:p>
            <w:pPr>
              <w:pStyle w:val="Compact"/>
              <w:jc w:val="left"/>
            </w:pPr>
            <w:r>
              <w:t xml:space="preserve">NOT SUBMITTED</w:t>
            </w:r>
          </w:p>
        </w:tc>
        <w:tc>
          <w:tcPr/>
          <w:p>
            <w:pPr>
              <w:pStyle w:val="Compact"/>
              <w:jc w:val="left"/>
            </w:pPr>
            <w:r>
              <w:t xml:space="preserve">Not in package.</w:t>
            </w:r>
          </w:p>
        </w:tc>
        <w:tc>
          <w:tcPr/>
          <w:p>
            <w:pPr>
              <w:pStyle w:val="Compact"/>
              <w:jc w:val="left"/>
            </w:pPr>
            <w:r>
              <w:t xml:space="preserve">Attach copies of photo IDs for Okonkwo and Ramachandran.</w:t>
            </w:r>
          </w:p>
        </w:tc>
      </w:tr>
      <w:tr>
        <w:tc>
          <w:tcPr/>
          <w:p>
            <w:pPr>
              <w:pStyle w:val="Compact"/>
              <w:jc w:val="left"/>
            </w:pPr>
            <w:r>
              <w:t xml:space="preserve">22</w:t>
            </w:r>
          </w:p>
        </w:tc>
        <w:tc>
          <w:tcPr/>
          <w:p>
            <w:pPr>
              <w:pStyle w:val="Compact"/>
              <w:jc w:val="left"/>
            </w:pPr>
            <w:r>
              <w:t xml:space="preserve">Proof of residency within 90 days (Guide Item 5(c))</w:t>
            </w:r>
          </w:p>
        </w:tc>
        <w:tc>
          <w:tcPr/>
          <w:p>
            <w:pPr>
              <w:pStyle w:val="Compact"/>
              <w:jc w:val="left"/>
            </w:pPr>
            <w:r>
              <w:t xml:space="preserve">NOT SUBMITTED</w:t>
            </w:r>
          </w:p>
        </w:tc>
        <w:tc>
          <w:tcPr/>
          <w:p>
            <w:pPr>
              <w:pStyle w:val="Compact"/>
              <w:jc w:val="left"/>
            </w:pPr>
            <w:r>
              <w:t xml:space="preserve">Okonkwo’s R3 residency asserted; no utility bill/lease/ID proof included.</w:t>
            </w:r>
          </w:p>
        </w:tc>
        <w:tc>
          <w:tcPr/>
          <w:p>
            <w:pPr>
              <w:pStyle w:val="Compact"/>
              <w:jc w:val="left"/>
            </w:pPr>
            <w:r>
              <w:t xml:space="preserve">Attach two forms of residency proof dated within 90 days for each principal officer.</w:t>
            </w:r>
          </w:p>
        </w:tc>
      </w:tr>
      <w:tr>
        <w:tc>
          <w:tcPr/>
          <w:p>
            <w:pPr>
              <w:pStyle w:val="Compact"/>
              <w:jc w:val="left"/>
            </w:pPr>
            <w:r>
              <w:t xml:space="preserve">23</w:t>
            </w:r>
          </w:p>
        </w:tc>
        <w:tc>
          <w:tcPr/>
          <w:p>
            <w:pPr>
              <w:pStyle w:val="Compact"/>
              <w:jc w:val="left"/>
            </w:pPr>
            <w:r>
              <w:t xml:space="preserve">Signed background-check authorization forms (Code §9-5-5(B)(17); §9-5-22; Guide Item 5(d); Form Q14A)</w:t>
            </w:r>
          </w:p>
        </w:tc>
        <w:tc>
          <w:tcPr/>
          <w:p>
            <w:pPr>
              <w:pStyle w:val="Compact"/>
              <w:jc w:val="left"/>
            </w:pPr>
            <w:r>
              <w:t xml:space="preserve">NOT SUBMITTED</w:t>
            </w:r>
          </w:p>
        </w:tc>
        <w:tc>
          <w:tcPr/>
          <w:p>
            <w:pPr>
              <w:pStyle w:val="Compact"/>
              <w:jc w:val="left"/>
            </w:pPr>
            <w:r>
              <w:t xml:space="preserve">Form Q14A blank/unsigned; State fingerprint checks completed, but City authorization forms not executed.</w:t>
            </w:r>
          </w:p>
        </w:tc>
        <w:tc>
          <w:tcPr/>
          <w:p>
            <w:pPr>
              <w:pStyle w:val="Compact"/>
              <w:jc w:val="left"/>
            </w:pPr>
            <w:r>
              <w:t xml:space="preserve">Complete and sign Form Q14A for each principal officer; schedule Live Scan fingerprinting through the Coordinator.</w:t>
            </w:r>
          </w:p>
        </w:tc>
      </w:tr>
      <w:tr>
        <w:tc>
          <w:tcPr/>
          <w:p>
            <w:pPr>
              <w:pStyle w:val="Compact"/>
              <w:jc w:val="left"/>
            </w:pPr>
            <w:r>
              <w:t xml:space="preserve">24</w:t>
            </w:r>
          </w:p>
        </w:tc>
        <w:tc>
          <w:tcPr/>
          <w:p>
            <w:pPr>
              <w:pStyle w:val="Compact"/>
              <w:jc w:val="left"/>
            </w:pPr>
            <w:r>
              <w:t xml:space="preserve">Fingerprint receipts (Form checklist)</w:t>
            </w:r>
          </w:p>
        </w:tc>
        <w:tc>
          <w:tcPr/>
          <w:p>
            <w:pPr>
              <w:pStyle w:val="Compact"/>
              <w:jc w:val="left"/>
            </w:pPr>
            <w:r>
              <w:t xml:space="preserve">NOT SUBMITTED</w:t>
            </w:r>
          </w:p>
        </w:tc>
        <w:tc>
          <w:tcPr/>
          <w:p>
            <w:pPr>
              <w:pStyle w:val="Compact"/>
              <w:jc w:val="left"/>
            </w:pPr>
            <w:r>
              <w:t xml:space="preserve">Not in package.</w:t>
            </w:r>
          </w:p>
        </w:tc>
        <w:tc>
          <w:tcPr/>
          <w:p>
            <w:pPr>
              <w:pStyle w:val="Compact"/>
              <w:jc w:val="left"/>
            </w:pPr>
            <w:r>
              <w:t xml:space="preserve">Obtain and include Live Scan receipts for each principal officer.</w:t>
            </w:r>
          </w:p>
        </w:tc>
      </w:tr>
      <w:tr>
        <w:tc>
          <w:tcPr/>
          <w:p>
            <w:pPr>
              <w:pStyle w:val="Compact"/>
              <w:jc w:val="left"/>
            </w:pPr>
            <w:r>
              <w:t xml:space="preserve">25</w:t>
            </w:r>
          </w:p>
        </w:tc>
        <w:tc>
          <w:tcPr/>
          <w:p>
            <w:pPr>
              <w:pStyle w:val="Compact"/>
              <w:jc w:val="left"/>
            </w:pPr>
            <w:r>
              <w:t xml:space="preserve">Criminal-history disclosure, including expunged/sealed (Form Q14B)</w:t>
            </w:r>
          </w:p>
        </w:tc>
        <w:tc>
          <w:tcPr/>
          <w:p>
            <w:pPr>
              <w:pStyle w:val="Compact"/>
              <w:jc w:val="left"/>
            </w:pPr>
            <w:r>
              <w:t xml:space="preserve">NOT SUBMITTED</w:t>
            </w:r>
          </w:p>
        </w:tc>
        <w:tc>
          <w:tcPr/>
          <w:p>
            <w:pPr>
              <w:pStyle w:val="Compact"/>
              <w:jc w:val="left"/>
            </w:pPr>
            <w:r>
              <w:t xml:space="preserve">Form Q14B blank; business plan discloses Okonkwo’s 2016 expunged misdemeanor.</w:t>
            </w:r>
          </w:p>
        </w:tc>
        <w:tc>
          <w:tcPr/>
          <w:p>
            <w:pPr>
              <w:pStyle w:val="Compact"/>
              <w:jc w:val="left"/>
            </w:pPr>
            <w:r>
              <w:t xml:space="preserve">Complete Form Q14B for each principal officer; disclose Okonkwo’s 2016 Cook County possession conviction and 2020 expungement with court-order details.</w:t>
            </w:r>
          </w:p>
        </w:tc>
      </w:tr>
      <w:tr>
        <w:tc>
          <w:tcPr/>
          <w:p>
            <w:pPr>
              <w:pStyle w:val="Compact"/>
              <w:jc w:val="left"/>
            </w:pPr>
            <w:r>
              <w:t xml:space="preserve">26</w:t>
            </w:r>
          </w:p>
        </w:tc>
        <w:tc>
          <w:tcPr/>
          <w:p>
            <w:pPr>
              <w:pStyle w:val="Compact"/>
              <w:jc w:val="left"/>
            </w:pPr>
            <w:r>
              <w:t xml:space="preserve">Disqualifying-offense screening (Code §9-5-22(C); Guide §2)</w:t>
            </w:r>
          </w:p>
        </w:tc>
        <w:tc>
          <w:tcPr/>
          <w:p>
            <w:pPr>
              <w:pStyle w:val="Compact"/>
              <w:jc w:val="left"/>
            </w:pPr>
            <w:r>
              <w:t xml:space="preserve">COMPLIANT (City check pending)</w:t>
            </w:r>
          </w:p>
        </w:tc>
        <w:tc>
          <w:tcPr/>
          <w:p>
            <w:pPr>
              <w:pStyle w:val="Compact"/>
              <w:jc w:val="left"/>
            </w:pPr>
            <w:r>
              <w:t xml:space="preserve">State License §2 confirms no disqualifying offenses; Okonkwo’s expunged misdemeanor is not disqualifying (§9-5-22(D)(3)); Ramachandran reports no criminal history.</w:t>
            </w:r>
          </w:p>
        </w:tc>
        <w:tc>
          <w:tcPr/>
          <w:p>
            <w:pPr>
              <w:pStyle w:val="Compact"/>
              <w:jc w:val="left"/>
            </w:pPr>
            <w:r>
              <w:t xml:space="preserve">Complete City background checks (separate from State) before completeness determination.</w:t>
            </w:r>
          </w:p>
        </w:tc>
      </w:tr>
      <w:tr>
        <w:tc>
          <w:tcPr/>
          <w:p>
            <w:pPr>
              <w:pStyle w:val="Compact"/>
              <w:jc w:val="left"/>
            </w:pPr>
            <w:r>
              <w:t xml:space="preserve">27</w:t>
            </w:r>
          </w:p>
        </w:tc>
        <w:tc>
          <w:tcPr/>
          <w:p>
            <w:pPr>
              <w:pStyle w:val="Compact"/>
              <w:jc w:val="left"/>
            </w:pPr>
            <w:r>
              <w:t xml:space="preserve">Felony lookback period (Code §9-5-22(C)(1): 10 years; State License §5(d): 5 years)</w:t>
            </w:r>
          </w:p>
        </w:tc>
        <w:tc>
          <w:tcPr/>
          <w:p>
            <w:pPr>
              <w:pStyle w:val="Compact"/>
              <w:jc w:val="left"/>
            </w:pPr>
            <w:r>
              <w:t xml:space="preserve">DISCREPANCY</w:t>
            </w:r>
          </w:p>
        </w:tc>
        <w:tc>
          <w:tcPr/>
          <w:p>
            <w:pPr>
              <w:pStyle w:val="Compact"/>
              <w:jc w:val="left"/>
            </w:pPr>
            <w:r>
              <w:t xml:space="preserve">City standard (10 years) is more restrictive than the State’s (5 years).</w:t>
            </w:r>
          </w:p>
        </w:tc>
        <w:tc>
          <w:tcPr/>
          <w:p>
            <w:pPr>
              <w:pStyle w:val="Compact"/>
              <w:jc w:val="left"/>
            </w:pPr>
            <w:r>
              <w:t xml:space="preserve">Screen all principal officers against the City’s 10-year felony lookback; document.</w:t>
            </w:r>
          </w:p>
        </w:tc>
      </w:tr>
    </w:tbl>
    <w:bookmarkEnd w:id="25"/>
    <w:bookmarkStart w:id="26" w:name="site-control-lease"/>
    <w:p>
      <w:pPr>
        <w:pStyle w:val="Heading3"/>
      </w:pPr>
      <w:r>
        <w:t xml:space="preserve">3.5 Site Control (Lease)</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28</w:t>
            </w:r>
          </w:p>
        </w:tc>
        <w:tc>
          <w:tcPr/>
          <w:p>
            <w:pPr>
              <w:pStyle w:val="Compact"/>
              <w:jc w:val="left"/>
            </w:pPr>
            <w:r>
              <w:t xml:space="preserve">Executed lease or recorded deed (Code §9-5-5(B)(5); Guide Item 6; Form Q4)</w:t>
            </w:r>
          </w:p>
        </w:tc>
        <w:tc>
          <w:tcPr/>
          <w:p>
            <w:pPr>
              <w:pStyle w:val="Compact"/>
              <w:jc w:val="left"/>
            </w:pPr>
            <w:r>
              <w:t xml:space="preserve">COMPLIANT (Form blank)</w:t>
            </w:r>
          </w:p>
        </w:tc>
        <w:tc>
          <w:tcPr/>
          <w:p>
            <w:pPr>
              <w:pStyle w:val="Compact"/>
              <w:jc w:val="left"/>
            </w:pPr>
            <w:r>
              <w:t xml:space="preserve">Lease executed Jan. 8, 2024 (Kimball Properties Inc. → Greenleaf); summary in package; Form Q4 blank.</w:t>
            </w:r>
          </w:p>
        </w:tc>
        <w:tc>
          <w:tcPr/>
          <w:p>
            <w:pPr>
              <w:pStyle w:val="Compact"/>
              <w:jc w:val="left"/>
            </w:pPr>
            <w:r>
              <w:t xml:space="preserve">Complete Form Q4; attach full lease and exhibits.</w:t>
            </w:r>
          </w:p>
        </w:tc>
      </w:tr>
      <w:tr>
        <w:tc>
          <w:tcPr/>
          <w:p>
            <w:pPr>
              <w:pStyle w:val="Compact"/>
              <w:jc w:val="left"/>
            </w:pPr>
            <w:r>
              <w:t xml:space="preserve">29</w:t>
            </w:r>
          </w:p>
        </w:tc>
        <w:tc>
          <w:tcPr/>
          <w:p>
            <w:pPr>
              <w:pStyle w:val="Compact"/>
              <w:jc w:val="left"/>
            </w:pPr>
            <w:r>
              <w:t xml:space="preserve">Lease remaining term ≥3 years (Code §9-5-5(B)(5); Guide Item 6)</w:t>
            </w:r>
          </w:p>
        </w:tc>
        <w:tc>
          <w:tcPr/>
          <w:p>
            <w:pPr>
              <w:pStyle w:val="Compact"/>
              <w:jc w:val="left"/>
            </w:pPr>
            <w:r>
              <w:t xml:space="preserve">COMPLIANT</w:t>
            </w:r>
          </w:p>
        </w:tc>
        <w:tc>
          <w:tcPr/>
          <w:p>
            <w:pPr>
              <w:pStyle w:val="Compact"/>
              <w:jc w:val="left"/>
            </w:pPr>
            <w:r>
              <w:t xml:space="preserve">7-year initial term (1/8/2024–1/7/2031) plus two 3-year renewal options (total 13 yrs).</w:t>
            </w:r>
          </w:p>
        </w:tc>
        <w:tc>
          <w:tcPr/>
          <w:p>
            <w:pPr>
              <w:pStyle w:val="Compact"/>
              <w:jc w:val="left"/>
            </w:pPr>
            <w:r>
              <w:t xml:space="preserve">None.</w:t>
            </w:r>
          </w:p>
        </w:tc>
      </w:tr>
      <w:tr>
        <w:tc>
          <w:tcPr/>
          <w:p>
            <w:pPr>
              <w:pStyle w:val="Compact"/>
              <w:jc w:val="left"/>
            </w:pPr>
            <w:r>
              <w:t xml:space="preserve">30</w:t>
            </w:r>
          </w:p>
        </w:tc>
        <w:tc>
          <w:tcPr/>
          <w:p>
            <w:pPr>
              <w:pStyle w:val="Compact"/>
              <w:jc w:val="left"/>
            </w:pPr>
            <w:r>
              <w:t xml:space="preserve">Lease expressly permits cannabis dispensary (Code §9-5-5(B)(5); Guide Item 6; Form Q4)</w:t>
            </w:r>
          </w:p>
        </w:tc>
        <w:tc>
          <w:tcPr/>
          <w:p>
            <w:pPr>
              <w:pStyle w:val="Compact"/>
              <w:jc w:val="left"/>
            </w:pPr>
            <w:r>
              <w:t xml:space="preserve">COMPLIANT</w:t>
            </w:r>
          </w:p>
        </w:tc>
        <w:tc>
          <w:tcPr/>
          <w:p>
            <w:pPr>
              <w:pStyle w:val="Compact"/>
              <w:jc w:val="left"/>
            </w:pPr>
            <w:r>
              <w:t xml:space="preserve">Lease §5 permitted use limited to licensed cannabis dispensary; landlord cannabis acknowledgment (Exhibit D).</w:t>
            </w:r>
          </w:p>
        </w:tc>
        <w:tc>
          <w:tcPr/>
          <w:p>
            <w:pPr>
              <w:pStyle w:val="Compact"/>
              <w:jc w:val="left"/>
            </w:pPr>
            <w:r>
              <w:t xml:space="preserve">None.</w:t>
            </w:r>
          </w:p>
        </w:tc>
      </w:tr>
      <w:tr>
        <w:tc>
          <w:tcPr/>
          <w:p>
            <w:pPr>
              <w:pStyle w:val="Compact"/>
              <w:jc w:val="left"/>
            </w:pPr>
            <w:r>
              <w:t xml:space="preserve">31</w:t>
            </w:r>
          </w:p>
        </w:tc>
        <w:tc>
          <w:tcPr/>
          <w:p>
            <w:pPr>
              <w:pStyle w:val="Compact"/>
              <w:jc w:val="left"/>
            </w:pPr>
            <w:r>
              <w:t xml:space="preserve">Landlord Acknowledgment &amp; Consent Form, Appendix B (Guide Item 6)</w:t>
            </w:r>
          </w:p>
        </w:tc>
        <w:tc>
          <w:tcPr/>
          <w:p>
            <w:pPr>
              <w:pStyle w:val="Compact"/>
              <w:jc w:val="left"/>
            </w:pPr>
            <w:r>
              <w:t xml:space="preserve">PARTIAL</w:t>
            </w:r>
          </w:p>
        </w:tc>
        <w:tc>
          <w:tcPr/>
          <w:p>
            <w:pPr>
              <w:pStyle w:val="Compact"/>
              <w:jc w:val="left"/>
            </w:pPr>
            <w:r>
              <w:t xml:space="preserve">Lease Exhibit D (Cannabis Use Acknowledgment &amp; Consent) executed; City Form Appendix B not confirmed.</w:t>
            </w:r>
          </w:p>
        </w:tc>
        <w:tc>
          <w:tcPr/>
          <w:p>
            <w:pPr>
              <w:pStyle w:val="Compact"/>
              <w:jc w:val="left"/>
            </w:pPr>
            <w:r>
              <w:t xml:space="preserve">Confirm Appendix B is executed on the City’s prescribed form and included.</w:t>
            </w:r>
          </w:p>
        </w:tc>
      </w:tr>
      <w:tr>
        <w:tc>
          <w:tcPr/>
          <w:p>
            <w:pPr>
              <w:pStyle w:val="Compact"/>
              <w:jc w:val="left"/>
            </w:pPr>
            <w:r>
              <w:t xml:space="preserve">32</w:t>
            </w:r>
          </w:p>
        </w:tc>
        <w:tc>
          <w:tcPr/>
          <w:p>
            <w:pPr>
              <w:pStyle w:val="Compact"/>
              <w:jc w:val="left"/>
            </w:pPr>
            <w:r>
              <w:t xml:space="preserve">Lease-term measurement point (Code: from anticipated permit issuance; Guide/Form: from application submission)</w:t>
            </w:r>
          </w:p>
        </w:tc>
        <w:tc>
          <w:tcPr/>
          <w:p>
            <w:pPr>
              <w:pStyle w:val="Compact"/>
              <w:jc w:val="left"/>
            </w:pPr>
            <w:r>
              <w:t xml:space="preserve">DISCREPANCY (non-blocking)</w:t>
            </w:r>
          </w:p>
        </w:tc>
        <w:tc>
          <w:tcPr/>
          <w:p>
            <w:pPr>
              <w:pStyle w:val="Compact"/>
              <w:jc w:val="left"/>
            </w:pPr>
            <w:r>
              <w:t xml:space="preserve">Different measuring dates; 7-year term satisfies either.</w:t>
            </w:r>
          </w:p>
        </w:tc>
        <w:tc>
          <w:tcPr/>
          <w:p>
            <w:pPr>
              <w:pStyle w:val="Compact"/>
              <w:jc w:val="left"/>
            </w:pPr>
            <w:r>
              <w:t xml:space="preserve">Note the conflict; the term is sufficient under both.</w:t>
            </w:r>
          </w:p>
        </w:tc>
      </w:tr>
    </w:tbl>
    <w:bookmarkEnd w:id="26"/>
    <w:bookmarkStart w:id="27" w:name="site-plan-floor-plan"/>
    <w:p>
      <w:pPr>
        <w:pStyle w:val="Heading3"/>
      </w:pPr>
      <w:r>
        <w:t xml:space="preserve">3.6 Site Plan &amp; Floor Plan</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33</w:t>
            </w:r>
          </w:p>
        </w:tc>
        <w:tc>
          <w:tcPr/>
          <w:p>
            <w:pPr>
              <w:pStyle w:val="Compact"/>
              <w:jc w:val="left"/>
            </w:pPr>
            <w:r>
              <w:t xml:space="preserve">Site plan &amp; floor plan prepared/certified by licensed architect or engineer (Code §9-5-5(B)(6); Guide Item 7; Form Q5)</w:t>
            </w:r>
          </w:p>
        </w:tc>
        <w:tc>
          <w:tcPr/>
          <w:p>
            <w:pPr>
              <w:pStyle w:val="Compact"/>
              <w:jc w:val="left"/>
            </w:pPr>
            <w:r>
              <w:t xml:space="preserve">PARTIAL</w:t>
            </w:r>
          </w:p>
        </w:tc>
        <w:tc>
          <w:tcPr/>
          <w:p>
            <w:pPr>
              <w:pStyle w:val="Compact"/>
              <w:jc w:val="left"/>
            </w:pPr>
            <w:r>
              <w:t xml:space="preserve">Sq-ft breakdown provided (business plan §3.1; lease Ex. A); drawings referenced as appendices but not in package; architect/engineer preparer not identified.</w:t>
            </w:r>
          </w:p>
        </w:tc>
        <w:tc>
          <w:tcPr/>
          <w:p>
            <w:pPr>
              <w:pStyle w:val="Compact"/>
              <w:jc w:val="left"/>
            </w:pPr>
            <w:r>
              <w:t xml:space="preserve">Include scaled drawings; obtain architect/engineer certification/seal.</w:t>
            </w:r>
          </w:p>
        </w:tc>
      </w:tr>
      <w:tr>
        <w:tc>
          <w:tcPr/>
          <w:p>
            <w:pPr>
              <w:pStyle w:val="Compact"/>
              <w:jc w:val="left"/>
            </w:pPr>
            <w:r>
              <w:t xml:space="preserve">34</w:t>
            </w:r>
          </w:p>
        </w:tc>
        <w:tc>
          <w:tcPr/>
          <w:p>
            <w:pPr>
              <w:pStyle w:val="Compact"/>
              <w:jc w:val="left"/>
            </w:pPr>
            <w:r>
              <w:t xml:space="preserve">Square-footage breakdown by functional area (Code §9-5-5(B)(6); Form Q2)</w:t>
            </w:r>
          </w:p>
        </w:tc>
        <w:tc>
          <w:tcPr/>
          <w:p>
            <w:pPr>
              <w:pStyle w:val="Compact"/>
              <w:jc w:val="left"/>
            </w:pPr>
            <w:r>
              <w:t xml:space="preserve">COMPLIANT (Form blank)</w:t>
            </w:r>
          </w:p>
        </w:tc>
        <w:tc>
          <w:tcPr/>
          <w:p>
            <w:pPr>
              <w:pStyle w:val="Compact"/>
              <w:jc w:val="left"/>
            </w:pPr>
            <w:r>
              <w:t xml:space="preserve">Retail 1,600; secure storage 800; office/employee 600; vestibule 200; total 3,200.</w:t>
            </w:r>
          </w:p>
        </w:tc>
        <w:tc>
          <w:tcPr/>
          <w:p>
            <w:pPr>
              <w:pStyle w:val="Compact"/>
              <w:jc w:val="left"/>
            </w:pPr>
            <w:r>
              <w:t xml:space="preserve">Enter figures in Form Q2; confirm sum equals total.</w:t>
            </w:r>
          </w:p>
        </w:tc>
      </w:tr>
      <w:tr>
        <w:tc>
          <w:tcPr/>
          <w:p>
            <w:pPr>
              <w:pStyle w:val="Compact"/>
              <w:jc w:val="left"/>
            </w:pPr>
            <w:r>
              <w:t xml:space="preserve">35</w:t>
            </w:r>
          </w:p>
        </w:tc>
        <w:tc>
          <w:tcPr/>
          <w:p>
            <w:pPr>
              <w:pStyle w:val="Compact"/>
              <w:jc w:val="left"/>
            </w:pPr>
            <w:r>
              <w:t xml:space="preserve">ADA accessibility features on plan (Form Q5(g))</w:t>
            </w:r>
          </w:p>
        </w:tc>
        <w:tc>
          <w:tcPr/>
          <w:p>
            <w:pPr>
              <w:pStyle w:val="Compact"/>
              <w:jc w:val="left"/>
            </w:pPr>
            <w:r>
              <w:t xml:space="preserve">PARTIAL</w:t>
            </w:r>
          </w:p>
        </w:tc>
        <w:tc>
          <w:tcPr/>
          <w:p>
            <w:pPr>
              <w:pStyle w:val="Compact"/>
              <w:jc w:val="left"/>
            </w:pPr>
            <w:r>
              <w:t xml:space="preserve">Business plan commits to ADA compliance; not detailed on a plan.</w:t>
            </w:r>
          </w:p>
        </w:tc>
        <w:tc>
          <w:tcPr/>
          <w:p>
            <w:pPr>
              <w:pStyle w:val="Compact"/>
              <w:jc w:val="left"/>
            </w:pPr>
            <w:r>
              <w:t xml:space="preserve">Show accessible entrances, aisles, and restroom on the floor plan.</w:t>
            </w:r>
          </w:p>
        </w:tc>
      </w:tr>
    </w:tbl>
    <w:bookmarkEnd w:id="27"/>
    <w:bookmarkStart w:id="28" w:name="location-buffer-zones-zoning"/>
    <w:p>
      <w:pPr>
        <w:pStyle w:val="Heading3"/>
      </w:pPr>
      <w:r>
        <w:t xml:space="preserve">3.7 Location, Buffer Zones &amp; Zoning</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36</w:t>
            </w:r>
          </w:p>
        </w:tc>
        <w:tc>
          <w:tcPr/>
          <w:p>
            <w:pPr>
              <w:pStyle w:val="Compact"/>
              <w:jc w:val="left"/>
            </w:pPr>
            <w:r>
              <w:t xml:space="preserve">Location in a permitted zoning district (Code §9-5-9(A): C1a, C2, or oC1)</w:t>
            </w:r>
          </w:p>
        </w:tc>
        <w:tc>
          <w:tcPr/>
          <w:p>
            <w:pPr>
              <w:pStyle w:val="Compact"/>
              <w:jc w:val="left"/>
            </w:pPr>
            <w:r>
              <w:t xml:space="preserve">COMPLIANT</w:t>
            </w:r>
          </w:p>
        </w:tc>
        <w:tc>
          <w:tcPr/>
          <w:p>
            <w:pPr>
              <w:pStyle w:val="Compact"/>
              <w:jc w:val="left"/>
            </w:pPr>
            <w:r>
              <w:t xml:space="preserve">1420 Sherman Ave., Unit B is in C1a Commercial Mixed-Use.</w:t>
            </w:r>
          </w:p>
        </w:tc>
        <w:tc>
          <w:tcPr/>
          <w:p>
            <w:pPr>
              <w:pStyle w:val="Compact"/>
              <w:jc w:val="left"/>
            </w:pPr>
            <w:r>
              <w:t xml:space="preserve">None.</w:t>
            </w:r>
          </w:p>
        </w:tc>
      </w:tr>
      <w:tr>
        <w:tc>
          <w:tcPr/>
          <w:p>
            <w:pPr>
              <w:pStyle w:val="Compact"/>
              <w:jc w:val="left"/>
            </w:pPr>
            <w:r>
              <w:t xml:space="preserve">37</w:t>
            </w:r>
          </w:p>
        </w:tc>
        <w:tc>
          <w:tcPr/>
          <w:p>
            <w:pPr>
              <w:pStyle w:val="Compact"/>
              <w:jc w:val="left"/>
            </w:pPr>
            <w:r>
              <w:t xml:space="preserve">Qualifying zoning-district list (Code §9-5-9(A) vs. Form Q3 note)</w:t>
            </w:r>
          </w:p>
        </w:tc>
        <w:tc>
          <w:tcPr/>
          <w:p>
            <w:pPr>
              <w:pStyle w:val="Compact"/>
              <w:jc w:val="left"/>
            </w:pPr>
            <w:r>
              <w:t xml:space="preserve">DISCREPANCY</w:t>
            </w:r>
          </w:p>
        </w:tc>
        <w:tc>
          <w:tcPr/>
          <w:p>
            <w:pPr>
              <w:pStyle w:val="Compact"/>
              <w:jc w:val="left"/>
            </w:pPr>
            <w:r>
              <w:t xml:space="preserve">Code lists C1a/C2/oC1; Form Q3 note lists C1a/C1/B2 (C1 and B2 are not in the Code; C2 and oC1 are omitted from the Form).</w:t>
            </w:r>
          </w:p>
        </w:tc>
        <w:tc>
          <w:tcPr/>
          <w:p>
            <w:pPr>
              <w:pStyle w:val="Compact"/>
              <w:jc w:val="left"/>
            </w:pPr>
            <w:r>
              <w:t xml:space="preserve">Rely on the Code; flag the Form error to the Coordinator.</w:t>
            </w:r>
          </w:p>
        </w:tc>
      </w:tr>
      <w:tr>
        <w:tc>
          <w:tcPr/>
          <w:p>
            <w:pPr>
              <w:pStyle w:val="Compact"/>
              <w:jc w:val="left"/>
            </w:pPr>
            <w:r>
              <w:t xml:space="preserve">38</w:t>
            </w:r>
          </w:p>
        </w:tc>
        <w:tc>
          <w:tcPr/>
          <w:p>
            <w:pPr>
              <w:pStyle w:val="Compact"/>
              <w:jc w:val="left"/>
            </w:pPr>
            <w:r>
              <w:t xml:space="preserve">Special-use permit required and application filed (Code §9-5-9(A),(D); Guide Item 20; Form Q3)</w:t>
            </w:r>
          </w:p>
        </w:tc>
        <w:tc>
          <w:tcPr/>
          <w:p>
            <w:pPr>
              <w:pStyle w:val="Compact"/>
              <w:jc w:val="left"/>
            </w:pPr>
            <w:r>
              <w:t xml:space="preserve">NON-COMPLIANT</w:t>
            </w:r>
          </w:p>
        </w:tc>
        <w:tc>
          <w:tcPr/>
          <w:p>
            <w:pPr>
              <w:pStyle w:val="Compact"/>
              <w:jc w:val="left"/>
            </w:pPr>
            <w:r>
              <w:t xml:space="preserve">C1a requires special-use approval; no evidence a special-use application has been filed with the ZBA; Form Q3 blank.</w:t>
            </w:r>
          </w:p>
        </w:tc>
        <w:tc>
          <w:tcPr/>
          <w:p>
            <w:pPr>
              <w:pStyle w:val="Compact"/>
              <w:jc w:val="left"/>
            </w:pPr>
            <w:r>
              <w:t xml:space="preserve">File the special-use application concurrently; record ZBA case number in Form Q3; prepare 500-ft mailed notice (first-class, ≥15 days pre-hearing).</w:t>
            </w:r>
          </w:p>
        </w:tc>
      </w:tr>
      <w:tr>
        <w:tc>
          <w:tcPr/>
          <w:p>
            <w:pPr>
              <w:pStyle w:val="Compact"/>
              <w:jc w:val="left"/>
            </w:pPr>
            <w:r>
              <w:t xml:space="preserve">39</w:t>
            </w:r>
          </w:p>
        </w:tc>
        <w:tc>
          <w:tcPr/>
          <w:p>
            <w:pPr>
              <w:pStyle w:val="Compact"/>
              <w:jc w:val="left"/>
            </w:pPr>
            <w:r>
              <w:t xml:space="preserve">Buffer: ≥1,000 ft from K-12 school (Code §9-5-9(B)(1))</w:t>
            </w:r>
          </w:p>
        </w:tc>
        <w:tc>
          <w:tcPr/>
          <w:p>
            <w:pPr>
              <w:pStyle w:val="Compact"/>
              <w:jc w:val="left"/>
            </w:pPr>
            <w:r>
              <w:t xml:space="preserve">COMPLIANT</w:t>
            </w:r>
          </w:p>
        </w:tc>
        <w:tc>
          <w:tcPr/>
          <w:p>
            <w:pPr>
              <w:pStyle w:val="Compact"/>
              <w:jc w:val="left"/>
            </w:pPr>
            <w:r>
              <w:t xml:space="preserve">Chute Middle School, 1400 Oakton St. — 1,180 ft.</w:t>
            </w:r>
          </w:p>
        </w:tc>
        <w:tc>
          <w:tcPr/>
          <w:p>
            <w:pPr>
              <w:pStyle w:val="Compact"/>
              <w:jc w:val="left"/>
            </w:pPr>
            <w:r>
              <w:t xml:space="preserve">None (value compliant).</w:t>
            </w:r>
          </w:p>
        </w:tc>
      </w:tr>
      <w:tr>
        <w:tc>
          <w:tcPr/>
          <w:p>
            <w:pPr>
              <w:pStyle w:val="Compact"/>
              <w:jc w:val="left"/>
            </w:pPr>
            <w:r>
              <w:t xml:space="preserve">40</w:t>
            </w:r>
          </w:p>
        </w:tc>
        <w:tc>
          <w:tcPr/>
          <w:p>
            <w:pPr>
              <w:pStyle w:val="Compact"/>
              <w:jc w:val="left"/>
            </w:pPr>
            <w:r>
              <w:t xml:space="preserve">Buffer: ≥500 ft from daycare (Code §9-5-9(B)(2))</w:t>
            </w:r>
          </w:p>
        </w:tc>
        <w:tc>
          <w:tcPr/>
          <w:p>
            <w:pPr>
              <w:pStyle w:val="Compact"/>
              <w:jc w:val="left"/>
            </w:pPr>
            <w:r>
              <w:t xml:space="preserve">COMPLIANT</w:t>
            </w:r>
          </w:p>
        </w:tc>
        <w:tc>
          <w:tcPr/>
          <w:p>
            <w:pPr>
              <w:pStyle w:val="Compact"/>
              <w:jc w:val="left"/>
            </w:pPr>
            <w:r>
              <w:t xml:space="preserve">Tiny Acorns Learning Center, 1635 Hinman Ave. — 890 ft.</w:t>
            </w:r>
          </w:p>
        </w:tc>
        <w:tc>
          <w:tcPr/>
          <w:p>
            <w:pPr>
              <w:pStyle w:val="Compact"/>
              <w:jc w:val="left"/>
            </w:pPr>
            <w:r>
              <w:t xml:space="preserve">None (value compliant).</w:t>
            </w:r>
          </w:p>
        </w:tc>
      </w:tr>
      <w:tr>
        <w:tc>
          <w:tcPr/>
          <w:p>
            <w:pPr>
              <w:pStyle w:val="Compact"/>
              <w:jc w:val="left"/>
            </w:pPr>
            <w:r>
              <w:t xml:space="preserve">41</w:t>
            </w:r>
          </w:p>
        </w:tc>
        <w:tc>
          <w:tcPr/>
          <w:p>
            <w:pPr>
              <w:pStyle w:val="Compact"/>
              <w:jc w:val="left"/>
            </w:pPr>
            <w:r>
              <w:t xml:space="preserve">Buffer: ≥1,500 ft from another dispensary (Code §9-5-9(B)(3))</w:t>
            </w:r>
          </w:p>
        </w:tc>
        <w:tc>
          <w:tcPr/>
          <w:p>
            <w:pPr>
              <w:pStyle w:val="Compact"/>
              <w:jc w:val="left"/>
            </w:pPr>
            <w:r>
              <w:t xml:space="preserve">COMPLIANT</w:t>
            </w:r>
          </w:p>
        </w:tc>
        <w:tc>
          <w:tcPr/>
          <w:p>
            <w:pPr>
              <w:pStyle w:val="Compact"/>
              <w:jc w:val="left"/>
            </w:pPr>
            <w:r>
              <w:t xml:space="preserve">Prairie Wellness Dispensary, 807 Church St. — 2,100 ft.</w:t>
            </w:r>
          </w:p>
        </w:tc>
        <w:tc>
          <w:tcPr/>
          <w:p>
            <w:pPr>
              <w:pStyle w:val="Compact"/>
              <w:jc w:val="left"/>
            </w:pPr>
            <w:r>
              <w:t xml:space="preserve">None (value compliant).</w:t>
            </w:r>
          </w:p>
        </w:tc>
      </w:tr>
      <w:tr>
        <w:tc>
          <w:tcPr/>
          <w:p>
            <w:pPr>
              <w:pStyle w:val="Compact"/>
              <w:jc w:val="left"/>
            </w:pPr>
            <w:r>
              <w:t xml:space="preserve">42</w:t>
            </w:r>
          </w:p>
        </w:tc>
        <w:tc>
          <w:tcPr/>
          <w:p>
            <w:pPr>
              <w:pStyle w:val="Compact"/>
              <w:jc w:val="left"/>
            </w:pPr>
            <w:r>
              <w:t xml:space="preserve">Buffer measurement methodology — nearest pedestrian route (Form Q6/Q7)</w:t>
            </w:r>
          </w:p>
        </w:tc>
        <w:tc>
          <w:tcPr/>
          <w:p>
            <w:pPr>
              <w:pStyle w:val="Compact"/>
              <w:jc w:val="left"/>
            </w:pPr>
            <w:r>
              <w:t xml:space="preserve">NON-COMPLIANT</w:t>
            </w:r>
          </w:p>
        </w:tc>
        <w:tc>
          <w:tcPr/>
          <w:p>
            <w:pPr>
              <w:pStyle w:val="Compact"/>
              <w:jc w:val="left"/>
            </w:pPr>
            <w:r>
              <w:t xml:space="preserve">Meridian survey uses straight-line (Euclidean) distances; Form expressly rejects straight-line and requires nearest-pedestrian-route measurement.</w:t>
            </w:r>
          </w:p>
        </w:tc>
        <w:tc>
          <w:tcPr/>
          <w:p>
            <w:pPr>
              <w:pStyle w:val="Compact"/>
              <w:jc w:val="left"/>
            </w:pPr>
            <w:r>
              <w:t xml:space="preserve">Commission a new survey/report using pedestrian-route measurement along sidewalks/crosswalks; submit certified map.</w:t>
            </w:r>
          </w:p>
        </w:tc>
      </w:tr>
      <w:tr>
        <w:tc>
          <w:tcPr/>
          <w:p>
            <w:pPr>
              <w:pStyle w:val="Compact"/>
              <w:jc w:val="left"/>
            </w:pPr>
            <w:r>
              <w:t xml:space="preserve">43</w:t>
            </w:r>
          </w:p>
        </w:tc>
        <w:tc>
          <w:tcPr/>
          <w:p>
            <w:pPr>
              <w:pStyle w:val="Compact"/>
              <w:jc w:val="left"/>
            </w:pPr>
            <w:r>
              <w:t xml:space="preserve">Buffer measured property-line to property-line (Code §9-5-9(C))</w:t>
            </w:r>
          </w:p>
        </w:tc>
        <w:tc>
          <w:tcPr/>
          <w:p>
            <w:pPr>
              <w:pStyle w:val="Compact"/>
              <w:jc w:val="left"/>
            </w:pPr>
            <w:r>
              <w:t xml:space="preserve">COMPLIANT</w:t>
            </w:r>
          </w:p>
        </w:tc>
        <w:tc>
          <w:tcPr/>
          <w:p>
            <w:pPr>
              <w:pStyle w:val="Compact"/>
              <w:jc w:val="left"/>
            </w:pPr>
            <w:r>
              <w:t xml:space="preserve">Survey measures nearest Premises boundary to nearest sensitive-use boundary.</w:t>
            </w:r>
          </w:p>
        </w:tc>
        <w:tc>
          <w:tcPr/>
          <w:p>
            <w:pPr>
              <w:pStyle w:val="Compact"/>
              <w:jc w:val="left"/>
            </w:pPr>
            <w:r>
              <w:t xml:space="preserve">None.</w:t>
            </w:r>
          </w:p>
        </w:tc>
      </w:tr>
      <w:tr>
        <w:tc>
          <w:tcPr/>
          <w:p>
            <w:pPr>
              <w:pStyle w:val="Compact"/>
              <w:jc w:val="left"/>
            </w:pPr>
            <w:r>
              <w:t xml:space="preserve">44</w:t>
            </w:r>
          </w:p>
        </w:tc>
        <w:tc>
          <w:tcPr/>
          <w:p>
            <w:pPr>
              <w:pStyle w:val="Compact"/>
              <w:jc w:val="left"/>
            </w:pPr>
            <w:r>
              <w:t xml:space="preserve">Survey freshness — within 60 days of submission (Form Q6 note)</w:t>
            </w:r>
          </w:p>
        </w:tc>
        <w:tc>
          <w:tcPr/>
          <w:p>
            <w:pPr>
              <w:pStyle w:val="Compact"/>
              <w:jc w:val="left"/>
            </w:pPr>
            <w:r>
              <w:t xml:space="preserve">NON-COMPLIANT</w:t>
            </w:r>
          </w:p>
        </w:tc>
        <w:tc>
          <w:tcPr/>
          <w:p>
            <w:pPr>
              <w:pStyle w:val="Compact"/>
              <w:jc w:val="left"/>
            </w:pPr>
            <w:r>
              <w:t xml:space="preserve">Survey dated Dec. 15, 2023; for a May 15, 2024 filing it is ~5 months old.</w:t>
            </w:r>
          </w:p>
        </w:tc>
        <w:tc>
          <w:tcPr/>
          <w:p>
            <w:pPr>
              <w:pStyle w:val="Compact"/>
              <w:jc w:val="left"/>
            </w:pPr>
            <w:r>
              <w:t xml:space="preserve">Obtain a new survey dated within 60 days of submission.</w:t>
            </w:r>
          </w:p>
        </w:tc>
      </w:tr>
      <w:tr>
        <w:tc>
          <w:tcPr/>
          <w:p>
            <w:pPr>
              <w:pStyle w:val="Compact"/>
              <w:jc w:val="left"/>
            </w:pPr>
            <w:r>
              <w:t xml:space="preserve">45</w:t>
            </w:r>
          </w:p>
        </w:tc>
        <w:tc>
          <w:tcPr/>
          <w:p>
            <w:pPr>
              <w:pStyle w:val="Compact"/>
              <w:jc w:val="left"/>
            </w:pPr>
            <w:r>
              <w:t xml:space="preserve">Survey by IL-licensed land surveyor or P.E. (Code §9-5-5(B)(7); Form Q6)</w:t>
            </w:r>
          </w:p>
        </w:tc>
        <w:tc>
          <w:tcPr/>
          <w:p>
            <w:pPr>
              <w:pStyle w:val="Compact"/>
              <w:jc w:val="left"/>
            </w:pPr>
            <w:r>
              <w:t xml:space="preserve">COMPLIANT</w:t>
            </w:r>
          </w:p>
        </w:tc>
        <w:tc>
          <w:tcPr/>
          <w:p>
            <w:pPr>
              <w:pStyle w:val="Compact"/>
              <w:jc w:val="left"/>
            </w:pPr>
            <w:r>
              <w:t xml:space="preserve">Meridian Land Surveyors LLC, IPLS License #035-004728.</w:t>
            </w:r>
          </w:p>
        </w:tc>
        <w:tc>
          <w:tcPr/>
          <w:p>
            <w:pPr>
              <w:pStyle w:val="Compact"/>
              <w:jc w:val="left"/>
            </w:pPr>
            <w:r>
              <w:t xml:space="preserve">None.</w:t>
            </w:r>
          </w:p>
        </w:tc>
      </w:tr>
      <w:tr>
        <w:tc>
          <w:tcPr/>
          <w:p>
            <w:pPr>
              <w:pStyle w:val="Compact"/>
              <w:jc w:val="left"/>
            </w:pPr>
            <w:r>
              <w:t xml:space="preserve">46</w:t>
            </w:r>
          </w:p>
        </w:tc>
        <w:tc>
          <w:tcPr/>
          <w:p>
            <w:pPr>
              <w:pStyle w:val="Compact"/>
              <w:jc w:val="left"/>
            </w:pPr>
            <w:r>
              <w:t xml:space="preserve">One dispensary per City block (Code §9-5-9(F))</w:t>
            </w:r>
          </w:p>
        </w:tc>
        <w:tc>
          <w:tcPr/>
          <w:p>
            <w:pPr>
              <w:pStyle w:val="Compact"/>
              <w:jc w:val="left"/>
            </w:pPr>
            <w:r>
              <w:t xml:space="preserve">NOT CONFIRMED</w:t>
            </w:r>
          </w:p>
        </w:tc>
        <w:tc>
          <w:tcPr/>
          <w:p>
            <w:pPr>
              <w:pStyle w:val="Compact"/>
              <w:jc w:val="left"/>
            </w:pPr>
            <w:r>
              <w:t xml:space="preserve">Not addressed; Prairie Wellness is 2,100 ft away (likely a different block).</w:t>
            </w:r>
          </w:p>
        </w:tc>
        <w:tc>
          <w:tcPr/>
          <w:p>
            <w:pPr>
              <w:pStyle w:val="Compact"/>
              <w:jc w:val="left"/>
            </w:pPr>
            <w:r>
              <w:t xml:space="preserve">Confirm and document no other dispensary on the same block.</w:t>
            </w:r>
          </w:p>
        </w:tc>
      </w:tr>
      <w:tr>
        <w:tc>
          <w:tcPr/>
          <w:p>
            <w:pPr>
              <w:pStyle w:val="Compact"/>
              <w:jc w:val="left"/>
            </w:pPr>
            <w:r>
              <w:t xml:space="preserve">47</w:t>
            </w:r>
          </w:p>
        </w:tc>
        <w:tc>
          <w:tcPr/>
          <w:p>
            <w:pPr>
              <w:pStyle w:val="Compact"/>
              <w:jc w:val="left"/>
            </w:pPr>
            <w:r>
              <w:t xml:space="preserve">Excluded uses not counted as protected uses (Code §9-5-9(E))</w:t>
            </w:r>
          </w:p>
        </w:tc>
        <w:tc>
          <w:tcPr/>
          <w:p>
            <w:pPr>
              <w:pStyle w:val="Compact"/>
              <w:jc w:val="left"/>
            </w:pPr>
            <w:r>
              <w:t xml:space="preserve">COMPLIANT / N/A</w:t>
            </w:r>
          </w:p>
        </w:tc>
        <w:tc>
          <w:tcPr/>
          <w:p>
            <w:pPr>
              <w:pStyle w:val="Compact"/>
              <w:jc w:val="left"/>
            </w:pPr>
            <w:r>
              <w:t xml:space="preserve">Religious institution (First United Methodist, 1,450 ft) not a protected use; second-floor residential units in the building are excluded.</w:t>
            </w:r>
          </w:p>
        </w:tc>
        <w:tc>
          <w:tcPr/>
          <w:p>
            <w:pPr>
              <w:pStyle w:val="Compact"/>
              <w:jc w:val="left"/>
            </w:pPr>
            <w:r>
              <w:t xml:space="preserve">None.</w:t>
            </w:r>
          </w:p>
        </w:tc>
      </w:tr>
      <w:tr>
        <w:tc>
          <w:tcPr/>
          <w:p>
            <w:pPr>
              <w:pStyle w:val="Compact"/>
              <w:jc w:val="left"/>
            </w:pPr>
            <w:r>
              <w:t xml:space="preserve">48</w:t>
            </w:r>
          </w:p>
        </w:tc>
        <w:tc>
          <w:tcPr/>
          <w:p>
            <w:pPr>
              <w:pStyle w:val="Compact"/>
              <w:jc w:val="left"/>
            </w:pPr>
            <w:r>
              <w:t xml:space="preserve">Form Q8 sensitive-use categories vs. Code §9-5-9(E)</w:t>
            </w:r>
          </w:p>
        </w:tc>
        <w:tc>
          <w:tcPr/>
          <w:p>
            <w:pPr>
              <w:pStyle w:val="Compact"/>
              <w:jc w:val="left"/>
            </w:pPr>
            <w:r>
              <w:t xml:space="preserve">DISCREPANCY</w:t>
            </w:r>
          </w:p>
        </w:tc>
        <w:tc>
          <w:tcPr/>
          <w:p>
            <w:pPr>
              <w:pStyle w:val="Compact"/>
              <w:jc w:val="left"/>
            </w:pPr>
            <w:r>
              <w:t xml:space="preserve">Form Q8 asks about park/library/</w:t>
            </w:r>
            <w:r>
              <w:t xml:space="preserve">“</w:t>
            </w:r>
            <w:r>
              <w:t xml:space="preserve">residential treatment facility</w:t>
            </w:r>
            <w:r>
              <w:t xml:space="preserve">”</w:t>
            </w:r>
            <w:r>
              <w:t xml:space="preserve">; Code excludes religious institutions, parks, libraries, hospitals, residential properties; Form note mentions only religious institutions.</w:t>
            </w:r>
          </w:p>
        </w:tc>
        <w:tc>
          <w:tcPr/>
          <w:p>
            <w:pPr>
              <w:pStyle w:val="Compact"/>
              <w:jc w:val="left"/>
            </w:pPr>
            <w:r>
              <w:t xml:space="preserve">Rely on the Code’s excluded-use list; flag Form mismatch to the Coordinator.</w:t>
            </w:r>
          </w:p>
        </w:tc>
      </w:tr>
    </w:tbl>
    <w:bookmarkEnd w:id="28"/>
    <w:bookmarkStart w:id="29" w:name="security-plan"/>
    <w:p>
      <w:pPr>
        <w:pStyle w:val="Heading3"/>
      </w:pPr>
      <w:r>
        <w:t xml:space="preserve">3.8 Security Plan</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49</w:t>
            </w:r>
          </w:p>
        </w:tc>
        <w:tc>
          <w:tcPr/>
          <w:p>
            <w:pPr>
              <w:pStyle w:val="Compact"/>
              <w:jc w:val="left"/>
            </w:pPr>
            <w:r>
              <w:t xml:space="preserve">Comprehensive security plan meeting §9-5-13 (Code §9-5-5(B)(9); §9-5-13; Guide Item 9; Form Q15)</w:t>
            </w:r>
          </w:p>
        </w:tc>
        <w:tc>
          <w:tcPr/>
          <w:p>
            <w:pPr>
              <w:pStyle w:val="Compact"/>
              <w:jc w:val="left"/>
            </w:pPr>
            <w:r>
              <w:t xml:space="preserve">NON-COMPLIANT</w:t>
            </w:r>
          </w:p>
        </w:tc>
        <w:tc>
          <w:tcPr/>
          <w:p>
            <w:pPr>
              <w:pStyle w:val="Compact"/>
              <w:jc w:val="left"/>
            </w:pPr>
            <w:r>
              <w:t xml:space="preserve">Insurance memo confirms the Pinnacle plan is</w:t>
            </w:r>
            <w:r>
              <w:t xml:space="preserve"> </w:t>
            </w:r>
            <w:r>
              <w:t xml:space="preserve">“</w:t>
            </w:r>
            <w:r>
              <w:t xml:space="preserve">still being finalized … not yet delivered</w:t>
            </w:r>
            <w:r>
              <w:t xml:space="preserve">”</w:t>
            </w:r>
            <w:r>
              <w:t xml:space="preserve">; business plan contains only an overview.</w:t>
            </w:r>
          </w:p>
        </w:tc>
        <w:tc>
          <w:tcPr/>
          <w:p>
            <w:pPr>
              <w:pStyle w:val="Compact"/>
              <w:jc w:val="left"/>
            </w:pPr>
            <w:r>
              <w:t xml:space="preserve">Finalize and deliver the complete security plan (camera map, equipment specs, SOPs, emergency response).</w:t>
            </w:r>
          </w:p>
        </w:tc>
      </w:tr>
      <w:tr>
        <w:tc>
          <w:tcPr/>
          <w:p>
            <w:pPr>
              <w:pStyle w:val="Compact"/>
              <w:jc w:val="left"/>
            </w:pPr>
            <w:r>
              <w:t xml:space="preserve">50</w:t>
            </w:r>
          </w:p>
        </w:tc>
        <w:tc>
          <w:tcPr/>
          <w:p>
            <w:pPr>
              <w:pStyle w:val="Compact"/>
              <w:jc w:val="left"/>
            </w:pPr>
            <w:r>
              <w:t xml:space="preserve">24/7 video surveillance, ≥1080p, ≥30-day retention (Code §9-5-13(A); Guide Item 9; Form Q15(a))</w:t>
            </w:r>
          </w:p>
        </w:tc>
        <w:tc>
          <w:tcPr/>
          <w:p>
            <w:pPr>
              <w:pStyle w:val="Compact"/>
              <w:jc w:val="left"/>
            </w:pPr>
            <w:r>
              <w:t xml:space="preserve">COMPLIANT (plan pending)</w:t>
            </w:r>
          </w:p>
        </w:tc>
        <w:tc>
          <w:tcPr/>
          <w:p>
            <w:pPr>
              <w:pStyle w:val="Compact"/>
              <w:jc w:val="left"/>
            </w:pPr>
            <w:r>
              <w:t xml:space="preserve">Business plan commits to 1080p/30-day/24-7.</w:t>
            </w:r>
          </w:p>
        </w:tc>
        <w:tc>
          <w:tcPr/>
          <w:p>
            <w:pPr>
              <w:pStyle w:val="Compact"/>
              <w:jc w:val="left"/>
            </w:pPr>
            <w:r>
              <w:t xml:space="preserve">Confirm in finalized plan.</w:t>
            </w:r>
          </w:p>
        </w:tc>
      </w:tr>
      <w:tr>
        <w:tc>
          <w:tcPr/>
          <w:p>
            <w:pPr>
              <w:pStyle w:val="Compact"/>
              <w:jc w:val="left"/>
            </w:pPr>
            <w:r>
              <w:t xml:space="preserve">51</w:t>
            </w:r>
          </w:p>
        </w:tc>
        <w:tc>
          <w:tcPr/>
          <w:p>
            <w:pPr>
              <w:pStyle w:val="Compact"/>
              <w:jc w:val="left"/>
            </w:pPr>
            <w:r>
              <w:t xml:space="preserve">Camera coverage incl. parking, loading zones, alleyways (Code §9-5-13(A))</w:t>
            </w:r>
          </w:p>
        </w:tc>
        <w:tc>
          <w:tcPr/>
          <w:p>
            <w:pPr>
              <w:pStyle w:val="Compact"/>
              <w:jc w:val="left"/>
            </w:pPr>
            <w:r>
              <w:t xml:space="preserve">PARTIAL</w:t>
            </w:r>
          </w:p>
        </w:tc>
        <w:tc>
          <w:tcPr/>
          <w:p>
            <w:pPr>
              <w:pStyle w:val="Compact"/>
              <w:jc w:val="left"/>
            </w:pPr>
            <w:r>
              <w:t xml:space="preserve">Business plan covers entrances/exits, retail, storage, vestibule, POS, hallways; parking/loading/alley not explicitly addressed (lease notes a rear service alley).</w:t>
            </w:r>
          </w:p>
        </w:tc>
        <w:tc>
          <w:tcPr/>
          <w:p>
            <w:pPr>
              <w:pStyle w:val="Compact"/>
              <w:jc w:val="left"/>
            </w:pPr>
            <w:r>
              <w:t xml:space="preserve">Add camera coverage of parking areas, loading zones, and adjacent alleyways to the plan.</w:t>
            </w:r>
          </w:p>
        </w:tc>
      </w:tr>
      <w:tr>
        <w:tc>
          <w:tcPr/>
          <w:p>
            <w:pPr>
              <w:pStyle w:val="Compact"/>
              <w:jc w:val="left"/>
            </w:pPr>
            <w:r>
              <w:t xml:space="preserve">52</w:t>
            </w:r>
          </w:p>
        </w:tc>
        <w:tc>
          <w:tcPr/>
          <w:p>
            <w:pPr>
              <w:pStyle w:val="Compact"/>
              <w:jc w:val="left"/>
            </w:pPr>
            <w:r>
              <w:t xml:space="preserve">Panic alarm direct to EPD (Code §9-5-13(B); Guide Item 9; Form Q15(b))</w:t>
            </w:r>
          </w:p>
        </w:tc>
        <w:tc>
          <w:tcPr/>
          <w:p>
            <w:pPr>
              <w:pStyle w:val="Compact"/>
              <w:jc w:val="left"/>
            </w:pPr>
            <w:r>
              <w:t xml:space="preserve">COMPLIANT (plan pending)</w:t>
            </w:r>
          </w:p>
        </w:tc>
        <w:tc>
          <w:tcPr/>
          <w:p>
            <w:pPr>
              <w:pStyle w:val="Compact"/>
              <w:jc w:val="left"/>
            </w:pPr>
            <w:r>
              <w:t xml:space="preserve">Panic points at POS, vestibule, manager office, secure storage; direct EPD connection.</w:t>
            </w:r>
          </w:p>
        </w:tc>
        <w:tc>
          <w:tcPr/>
          <w:p>
            <w:pPr>
              <w:pStyle w:val="Compact"/>
              <w:jc w:val="left"/>
            </w:pPr>
            <w:r>
              <w:t xml:space="preserve">Confirm in finalized plan.</w:t>
            </w:r>
          </w:p>
        </w:tc>
      </w:tr>
      <w:tr>
        <w:tc>
          <w:tcPr/>
          <w:p>
            <w:pPr>
              <w:pStyle w:val="Compact"/>
              <w:jc w:val="left"/>
            </w:pPr>
            <w:r>
              <w:t xml:space="preserve">53</w:t>
            </w:r>
          </w:p>
        </w:tc>
        <w:tc>
          <w:tcPr/>
          <w:p>
            <w:pPr>
              <w:pStyle w:val="Compact"/>
              <w:jc w:val="left"/>
            </w:pPr>
            <w:r>
              <w:t xml:space="preserve">Panic alarm quarterly testing, documented (Code §9-5-13(B))</w:t>
            </w:r>
          </w:p>
        </w:tc>
        <w:tc>
          <w:tcPr/>
          <w:p>
            <w:pPr>
              <w:pStyle w:val="Compact"/>
              <w:jc w:val="left"/>
            </w:pPr>
            <w:r>
              <w:t xml:space="preserve">NOT ADDRESSED</w:t>
            </w:r>
          </w:p>
        </w:tc>
        <w:tc>
          <w:tcPr/>
          <w:p>
            <w:pPr>
              <w:pStyle w:val="Compact"/>
              <w:jc w:val="left"/>
            </w:pPr>
            <w:r>
              <w:t xml:space="preserve">Not addressed in business plan (post-issuance obligation).</w:t>
            </w:r>
          </w:p>
        </w:tc>
        <w:tc>
          <w:tcPr/>
          <w:p>
            <w:pPr>
              <w:pStyle w:val="Compact"/>
              <w:jc w:val="left"/>
            </w:pPr>
            <w:r>
              <w:t xml:space="preserve">Include quarterly test protocol and on-site log in the security plan.</w:t>
            </w:r>
          </w:p>
        </w:tc>
      </w:tr>
      <w:tr>
        <w:tc>
          <w:tcPr/>
          <w:p>
            <w:pPr>
              <w:pStyle w:val="Compact"/>
              <w:jc w:val="left"/>
            </w:pPr>
            <w:r>
              <w:t xml:space="preserve">54</w:t>
            </w:r>
          </w:p>
        </w:tc>
        <w:tc>
          <w:tcPr/>
          <w:p>
            <w:pPr>
              <w:pStyle w:val="Compact"/>
              <w:jc w:val="left"/>
            </w:pPr>
            <w:r>
              <w:t xml:space="preserve">Secure vestibule / ID verification before retail access (Code §9-5-13(C); Form Q15(c))</w:t>
            </w:r>
          </w:p>
        </w:tc>
        <w:tc>
          <w:tcPr/>
          <w:p>
            <w:pPr>
              <w:pStyle w:val="Compact"/>
              <w:jc w:val="left"/>
            </w:pPr>
            <w:r>
              <w:t xml:space="preserve">COMPLIANT (plan pending)</w:t>
            </w:r>
          </w:p>
        </w:tc>
        <w:tc>
          <w:tcPr/>
          <w:p>
            <w:pPr>
              <w:pStyle w:val="Compact"/>
              <w:jc w:val="left"/>
            </w:pPr>
            <w:r>
              <w:t xml:space="preserve">Business plan §5.1 describes controlled vestibule with ID verification.</w:t>
            </w:r>
          </w:p>
        </w:tc>
        <w:tc>
          <w:tcPr/>
          <w:p>
            <w:pPr>
              <w:pStyle w:val="Compact"/>
              <w:jc w:val="left"/>
            </w:pPr>
            <w:r>
              <w:t xml:space="preserve">Confirm in finalized plan.</w:t>
            </w:r>
          </w:p>
        </w:tc>
      </w:tr>
      <w:tr>
        <w:tc>
          <w:tcPr/>
          <w:p>
            <w:pPr>
              <w:pStyle w:val="Compact"/>
              <w:jc w:val="left"/>
            </w:pPr>
            <w:r>
              <w:t xml:space="preserve">55</w:t>
            </w:r>
          </w:p>
        </w:tc>
        <w:tc>
          <w:tcPr/>
          <w:p>
            <w:pPr>
              <w:pStyle w:val="Compact"/>
              <w:jc w:val="left"/>
            </w:pPr>
            <w:r>
              <w:t xml:space="preserve">Acceptable ID forms specified (Code §9-5-13(C))</w:t>
            </w:r>
          </w:p>
        </w:tc>
        <w:tc>
          <w:tcPr/>
          <w:p>
            <w:pPr>
              <w:pStyle w:val="Compact"/>
              <w:jc w:val="left"/>
            </w:pPr>
            <w:r>
              <w:t xml:space="preserve">PARTIAL</w:t>
            </w:r>
          </w:p>
        </w:tc>
        <w:tc>
          <w:tcPr/>
          <w:p>
            <w:pPr>
              <w:pStyle w:val="Compact"/>
              <w:jc w:val="left"/>
            </w:pPr>
            <w:r>
              <w:t xml:space="preserve">Business plan says</w:t>
            </w:r>
            <w:r>
              <w:t xml:space="preserve"> </w:t>
            </w:r>
            <w:r>
              <w:t xml:space="preserve">“</w:t>
            </w:r>
            <w:r>
              <w:t xml:space="preserve">government-issued ID</w:t>
            </w:r>
            <w:r>
              <w:t xml:space="preserve">”</w:t>
            </w:r>
            <w:r>
              <w:t xml:space="preserve">; does not list state DL/state ID/U.S. passport/U.S. military ID.</w:t>
            </w:r>
          </w:p>
        </w:tc>
        <w:tc>
          <w:tcPr/>
          <w:p>
            <w:pPr>
              <w:pStyle w:val="Compact"/>
              <w:jc w:val="left"/>
            </w:pPr>
            <w:r>
              <w:t xml:space="preserve">Specify the four acceptable ID forms in the plan.</w:t>
            </w:r>
          </w:p>
        </w:tc>
      </w:tr>
      <w:tr>
        <w:tc>
          <w:tcPr/>
          <w:p>
            <w:pPr>
              <w:pStyle w:val="Compact"/>
              <w:jc w:val="left"/>
            </w:pPr>
            <w:r>
              <w:t xml:space="preserve">56</w:t>
            </w:r>
          </w:p>
        </w:tc>
        <w:tc>
          <w:tcPr/>
          <w:p>
            <w:pPr>
              <w:pStyle w:val="Compact"/>
              <w:jc w:val="left"/>
            </w:pPr>
            <w:r>
              <w:t xml:space="preserve">Electronic access control with individual logging (Code §9-5-13; Form Q15(d))</w:t>
            </w:r>
          </w:p>
        </w:tc>
        <w:tc>
          <w:tcPr/>
          <w:p>
            <w:pPr>
              <w:pStyle w:val="Compact"/>
              <w:jc w:val="left"/>
            </w:pPr>
            <w:r>
              <w:t xml:space="preserve">COMPLIANT (plan pending)</w:t>
            </w:r>
          </w:p>
        </w:tc>
        <w:tc>
          <w:tcPr/>
          <w:p>
            <w:pPr>
              <w:pStyle w:val="Compact"/>
              <w:jc w:val="left"/>
            </w:pPr>
            <w:r>
              <w:t xml:space="preserve">Key-card/biometric storage access; electronic event logging; quarterly permission review.</w:t>
            </w:r>
          </w:p>
        </w:tc>
        <w:tc>
          <w:tcPr/>
          <w:p>
            <w:pPr>
              <w:pStyle w:val="Compact"/>
              <w:jc w:val="left"/>
            </w:pPr>
            <w:r>
              <w:t xml:space="preserve">Confirm in finalized plan.</w:t>
            </w:r>
          </w:p>
        </w:tc>
      </w:tr>
      <w:tr>
        <w:tc>
          <w:tcPr/>
          <w:p>
            <w:pPr>
              <w:pStyle w:val="Compact"/>
              <w:jc w:val="left"/>
            </w:pPr>
            <w:r>
              <w:t xml:space="preserve">57</w:t>
            </w:r>
          </w:p>
        </w:tc>
        <w:tc>
          <w:tcPr/>
          <w:p>
            <w:pPr>
              <w:pStyle w:val="Compact"/>
              <w:jc w:val="left"/>
            </w:pPr>
            <w:r>
              <w:t xml:space="preserve">Cash handling / armored transport (Code §9-5-13; Form Q15(e))</w:t>
            </w:r>
          </w:p>
        </w:tc>
        <w:tc>
          <w:tcPr/>
          <w:p>
            <w:pPr>
              <w:pStyle w:val="Compact"/>
              <w:jc w:val="left"/>
            </w:pPr>
            <w:r>
              <w:t xml:space="preserve">COMPLIANT (plan pending)</w:t>
            </w:r>
          </w:p>
        </w:tc>
        <w:tc>
          <w:tcPr/>
          <w:p>
            <w:pPr>
              <w:pStyle w:val="Compact"/>
              <w:jc w:val="left"/>
            </w:pPr>
            <w:r>
              <w:t xml:space="preserve">Time-delay safes; armored-car pickups to Ridgeline Bank; armored transport for cash &gt;$5,000.</w:t>
            </w:r>
          </w:p>
        </w:tc>
        <w:tc>
          <w:tcPr/>
          <w:p>
            <w:pPr>
              <w:pStyle w:val="Compact"/>
              <w:jc w:val="left"/>
            </w:pPr>
            <w:r>
              <w:t xml:space="preserve">Confirm in finalized plan.</w:t>
            </w:r>
          </w:p>
        </w:tc>
      </w:tr>
      <w:tr>
        <w:tc>
          <w:tcPr/>
          <w:p>
            <w:pPr>
              <w:pStyle w:val="Compact"/>
              <w:jc w:val="left"/>
            </w:pPr>
            <w:r>
              <w:t xml:space="preserve">58</w:t>
            </w:r>
          </w:p>
        </w:tc>
        <w:tc>
          <w:tcPr/>
          <w:p>
            <w:pPr>
              <w:pStyle w:val="Compact"/>
              <w:jc w:val="left"/>
            </w:pPr>
            <w:r>
              <w:t xml:space="preserve">Seed-to-sale / COMPASS integration with vendor confirmation letter (Code §9-5-13(D); Form Q14)</w:t>
            </w:r>
          </w:p>
        </w:tc>
        <w:tc>
          <w:tcPr/>
          <w:p>
            <w:pPr>
              <w:pStyle w:val="Compact"/>
              <w:jc w:val="left"/>
            </w:pPr>
            <w:r>
              <w:t xml:space="preserve">PARTIAL</w:t>
            </w:r>
          </w:p>
        </w:tc>
        <w:tc>
          <w:tcPr/>
          <w:p>
            <w:pPr>
              <w:pStyle w:val="Compact"/>
              <w:jc w:val="left"/>
            </w:pPr>
            <w:r>
              <w:t xml:space="preserve">Business plan commits to COMPASS integration via Pinnacle; vendor confirmation letter not included; Form Q14 blank.</w:t>
            </w:r>
          </w:p>
        </w:tc>
        <w:tc>
          <w:tcPr/>
          <w:p>
            <w:pPr>
              <w:pStyle w:val="Compact"/>
              <w:jc w:val="left"/>
            </w:pPr>
            <w:r>
              <w:t xml:space="preserve">Obtain and attach vendor letter confirming COMPASS integration; complete Form Q14.</w:t>
            </w:r>
          </w:p>
        </w:tc>
      </w:tr>
      <w:tr>
        <w:tc>
          <w:tcPr/>
          <w:p>
            <w:pPr>
              <w:pStyle w:val="Compact"/>
              <w:jc w:val="left"/>
            </w:pPr>
            <w:r>
              <w:t xml:space="preserve">59</w:t>
            </w:r>
          </w:p>
        </w:tc>
        <w:tc>
          <w:tcPr/>
          <w:p>
            <w:pPr>
              <w:pStyle w:val="Compact"/>
              <w:jc w:val="left"/>
            </w:pPr>
            <w:r>
              <w:t xml:space="preserve">Real-time tracking and daily inventory reconciliation (Code §9-5-13(D))</w:t>
            </w:r>
          </w:p>
        </w:tc>
        <w:tc>
          <w:tcPr/>
          <w:p>
            <w:pPr>
              <w:pStyle w:val="Compact"/>
              <w:jc w:val="left"/>
            </w:pPr>
            <w:r>
              <w:t xml:space="preserve">PARTIAL</w:t>
            </w:r>
          </w:p>
        </w:tc>
        <w:tc>
          <w:tcPr/>
          <w:p>
            <w:pPr>
              <w:pStyle w:val="Compact"/>
              <w:jc w:val="left"/>
            </w:pPr>
            <w:r>
              <w:t xml:space="preserve">Business plan: real-time; daily high-value counts, weekly full counts, monthly comprehensive. Code requires daily reconciliation.</w:t>
            </w:r>
          </w:p>
        </w:tc>
        <w:tc>
          <w:tcPr/>
          <w:p>
            <w:pPr>
              <w:pStyle w:val="Compact"/>
              <w:jc w:val="left"/>
            </w:pPr>
            <w:r>
              <w:t xml:space="preserve">Adopt daily full reconciliation to meet the Code’s</w:t>
            </w:r>
            <w:r>
              <w:t xml:space="preserve"> </w:t>
            </w:r>
            <w:r>
              <w:t xml:space="preserve">“</w:t>
            </w:r>
            <w:r>
              <w:t xml:space="preserve">daily basis</w:t>
            </w:r>
            <w:r>
              <w:t xml:space="preserve">”</w:t>
            </w:r>
            <w:r>
              <w:t xml:space="preserve"> </w:t>
            </w:r>
            <w:r>
              <w:t xml:space="preserve">standard.</w:t>
            </w:r>
          </w:p>
        </w:tc>
      </w:tr>
      <w:tr>
        <w:tc>
          <w:tcPr/>
          <w:p>
            <w:pPr>
              <w:pStyle w:val="Compact"/>
              <w:jc w:val="left"/>
            </w:pPr>
            <w:r>
              <w:t xml:space="preserve">60</w:t>
            </w:r>
          </w:p>
        </w:tc>
        <w:tc>
          <w:tcPr/>
          <w:p>
            <w:pPr>
              <w:pStyle w:val="Compact"/>
              <w:jc w:val="left"/>
            </w:pPr>
            <w:r>
              <w:t xml:space="preserve">Security consultant identification (Guide Item 9; Form Q15(h))</w:t>
            </w:r>
          </w:p>
        </w:tc>
        <w:tc>
          <w:tcPr/>
          <w:p>
            <w:pPr>
              <w:pStyle w:val="Compact"/>
              <w:jc w:val="left"/>
            </w:pPr>
            <w:r>
              <w:t xml:space="preserve">COMPLIANT</w:t>
            </w:r>
          </w:p>
        </w:tc>
        <w:tc>
          <w:tcPr/>
          <w:p>
            <w:pPr>
              <w:pStyle w:val="Compact"/>
              <w:jc w:val="left"/>
            </w:pPr>
            <w:r>
              <w:t xml:space="preserve">Pinnacle Compliance Advisors LLC, principal Marcus Wren.</w:t>
            </w:r>
          </w:p>
        </w:tc>
        <w:tc>
          <w:tcPr/>
          <w:p>
            <w:pPr>
              <w:pStyle w:val="Compact"/>
              <w:jc w:val="left"/>
            </w:pPr>
            <w:r>
              <w:t xml:space="preserve">Include qualifications/contact in the plan.</w:t>
            </w:r>
          </w:p>
        </w:tc>
      </w:tr>
      <w:tr>
        <w:tc>
          <w:tcPr/>
          <w:p>
            <w:pPr>
              <w:pStyle w:val="Compact"/>
              <w:jc w:val="left"/>
            </w:pPr>
            <w:r>
              <w:t xml:space="preserve">61</w:t>
            </w:r>
          </w:p>
        </w:tc>
        <w:tc>
          <w:tcPr/>
          <w:p>
            <w:pPr>
              <w:pStyle w:val="Compact"/>
              <w:jc w:val="left"/>
            </w:pPr>
            <w:r>
              <w:t xml:space="preserve">Employee security training program (Code §9-5-13; Guide Item 9(g); Form Q15(g))</w:t>
            </w:r>
          </w:p>
        </w:tc>
        <w:tc>
          <w:tcPr/>
          <w:p>
            <w:pPr>
              <w:pStyle w:val="Compact"/>
              <w:jc w:val="left"/>
            </w:pPr>
            <w:r>
              <w:t xml:space="preserve">COMPLIANT</w:t>
            </w:r>
          </w:p>
        </w:tc>
        <w:tc>
          <w:tcPr/>
          <w:p>
            <w:pPr>
              <w:pStyle w:val="Compact"/>
              <w:jc w:val="left"/>
            </w:pPr>
            <w:r>
              <w:t xml:space="preserve">40-hour pre-opening training + quarterly refreshers (business plan §5.5).</w:t>
            </w:r>
          </w:p>
        </w:tc>
        <w:tc>
          <w:tcPr/>
          <w:p>
            <w:pPr>
              <w:pStyle w:val="Compact"/>
              <w:jc w:val="left"/>
            </w:pPr>
            <w:r>
              <w:t xml:space="preserve">Confirm frequency and topics in the plan.</w:t>
            </w:r>
          </w:p>
        </w:tc>
      </w:tr>
    </w:tbl>
    <w:bookmarkEnd w:id="29"/>
    <w:bookmarkStart w:id="30" w:name="odor-mitigation-plan"/>
    <w:p>
      <w:pPr>
        <w:pStyle w:val="Heading3"/>
      </w:pPr>
      <w:r>
        <w:t xml:space="preserve">3.9 Odor Mitigation Plan</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62</w:t>
            </w:r>
          </w:p>
        </w:tc>
        <w:tc>
          <w:tcPr/>
          <w:p>
            <w:pPr>
              <w:pStyle w:val="Compact"/>
              <w:jc w:val="left"/>
            </w:pPr>
            <w:r>
              <w:t xml:space="preserve">Odor plan: HVAC specs, carbon filtration (make/model/capacity), air-exchange rates (Code §9-5-5(B)(10); Guide Item 10; Form Q16)</w:t>
            </w:r>
          </w:p>
        </w:tc>
        <w:tc>
          <w:tcPr/>
          <w:p>
            <w:pPr>
              <w:pStyle w:val="Compact"/>
              <w:jc w:val="left"/>
            </w:pPr>
            <w:r>
              <w:t xml:space="preserve">NON-COMPLIANT</w:t>
            </w:r>
          </w:p>
        </w:tc>
        <w:tc>
          <w:tcPr/>
          <w:p>
            <w:pPr>
              <w:pStyle w:val="Compact"/>
              <w:jc w:val="left"/>
            </w:pPr>
            <w:r>
              <w:t xml:space="preserve">Business plan defers all specs to</w:t>
            </w:r>
            <w:r>
              <w:t xml:space="preserve"> </w:t>
            </w:r>
            <w:r>
              <w:t xml:space="preserve">“</w:t>
            </w:r>
            <w:r>
              <w:t xml:space="preserve">the build-out engineering phase</w:t>
            </w:r>
            <w:r>
              <w:t xml:space="preserve">”</w:t>
            </w:r>
            <w:r>
              <w:t xml:space="preserve">; no manufacturer/model/capacity; no air-exchange rates.</w:t>
            </w:r>
          </w:p>
        </w:tc>
        <w:tc>
          <w:tcPr/>
          <w:p>
            <w:pPr>
              <w:pStyle w:val="Compact"/>
              <w:jc w:val="left"/>
            </w:pPr>
            <w:r>
              <w:t xml:space="preserve">Engineer and document specific HVAC and carbon-filtration specifications before submission.</w:t>
            </w:r>
          </w:p>
        </w:tc>
      </w:tr>
      <w:tr>
        <w:tc>
          <w:tcPr/>
          <w:p>
            <w:pPr>
              <w:pStyle w:val="Compact"/>
              <w:jc w:val="left"/>
            </w:pPr>
            <w:r>
              <w:t xml:space="preserve">63</w:t>
            </w:r>
          </w:p>
        </w:tc>
        <w:tc>
          <w:tcPr/>
          <w:p>
            <w:pPr>
              <w:pStyle w:val="Compact"/>
              <w:jc w:val="left"/>
            </w:pPr>
            <w:r>
              <w:t xml:space="preserve">P.E. certification (IL-licensed), signed/sealed, at submission (Code §9-5-5(B)(10); §9-5-13(G); Guide Item 10; Form Q16)</w:t>
            </w:r>
          </w:p>
        </w:tc>
        <w:tc>
          <w:tcPr/>
          <w:p>
            <w:pPr>
              <w:pStyle w:val="Compact"/>
              <w:jc w:val="left"/>
            </w:pPr>
            <w:r>
              <w:t xml:space="preserve">NON-COMPLIANT</w:t>
            </w:r>
          </w:p>
        </w:tc>
        <w:tc>
          <w:tcPr/>
          <w:p>
            <w:pPr>
              <w:pStyle w:val="Compact"/>
              <w:jc w:val="left"/>
            </w:pPr>
            <w:r>
              <w:t xml:space="preserve">No P.E. certification; Form states the application</w:t>
            </w:r>
            <w:r>
              <w:t xml:space="preserve"> </w:t>
            </w:r>
            <w:r>
              <w:t xml:space="preserve">“</w:t>
            </w:r>
            <w:r>
              <w:t xml:space="preserve">will be deemed incomplete and will not proceed to scoring</w:t>
            </w:r>
            <w:r>
              <w:t xml:space="preserve">”</w:t>
            </w:r>
            <w:r>
              <w:t xml:space="preserve"> </w:t>
            </w:r>
            <w:r>
              <w:t xml:space="preserve">without it.</w:t>
            </w:r>
          </w:p>
        </w:tc>
        <w:tc>
          <w:tcPr/>
          <w:p>
            <w:pPr>
              <w:pStyle w:val="Compact"/>
              <w:jc w:val="left"/>
            </w:pPr>
            <w:r>
              <w:t xml:space="preserve">Obtain signed/sealed certification from an Illinois-licensed P.E. that the system prevents odor migration beyond the property line; include at submission.</w:t>
            </w:r>
          </w:p>
        </w:tc>
      </w:tr>
      <w:tr>
        <w:tc>
          <w:tcPr/>
          <w:p>
            <w:pPr>
              <w:pStyle w:val="Compact"/>
              <w:jc w:val="left"/>
            </w:pPr>
            <w:r>
              <w:t xml:space="preserve">64</w:t>
            </w:r>
          </w:p>
        </w:tc>
        <w:tc>
          <w:tcPr/>
          <w:p>
            <w:pPr>
              <w:pStyle w:val="Compact"/>
              <w:jc w:val="left"/>
            </w:pPr>
            <w:r>
              <w:t xml:space="preserve">Negative air pressure / sealed entries (Code §9-5-13(G))</w:t>
            </w:r>
          </w:p>
        </w:tc>
        <w:tc>
          <w:tcPr/>
          <w:p>
            <w:pPr>
              <w:pStyle w:val="Compact"/>
              <w:jc w:val="left"/>
            </w:pPr>
            <w:r>
              <w:t xml:space="preserve">PARTIAL</w:t>
            </w:r>
          </w:p>
        </w:tc>
        <w:tc>
          <w:tcPr/>
          <w:p>
            <w:pPr>
              <w:pStyle w:val="Compact"/>
              <w:jc w:val="left"/>
            </w:pPr>
            <w:r>
              <w:t xml:space="preserve">Business plan commits to negative pressure in storage and display zones; not engineered or certified.</w:t>
            </w:r>
          </w:p>
        </w:tc>
        <w:tc>
          <w:tcPr/>
          <w:p>
            <w:pPr>
              <w:pStyle w:val="Compact"/>
              <w:jc w:val="left"/>
            </w:pPr>
            <w:r>
              <w:t xml:space="preserve">Engineer and certify negative-pressure and sealed-entry design.</w:t>
            </w:r>
          </w:p>
        </w:tc>
      </w:tr>
    </w:tbl>
    <w:bookmarkEnd w:id="30"/>
    <w:bookmarkStart w:id="31" w:name="environmental-sustainability-plan"/>
    <w:p>
      <w:pPr>
        <w:pStyle w:val="Heading3"/>
      </w:pPr>
      <w:r>
        <w:t xml:space="preserve">3.10 Environmental Sustainability Plan</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65</w:t>
            </w:r>
          </w:p>
        </w:tc>
        <w:tc>
          <w:tcPr/>
          <w:p>
            <w:pPr>
              <w:pStyle w:val="Compact"/>
              <w:jc w:val="left"/>
            </w:pPr>
            <w:r>
              <w:t xml:space="preserve">Environmental sustainability plan: energy efficiency, waste reduction, water conservation, cannabis-waste disposal per IEPA/CRTA (Code §9-5-5(B)(11); Guide Item 15; Form Q33)</w:t>
            </w:r>
          </w:p>
        </w:tc>
        <w:tc>
          <w:tcPr/>
          <w:p>
            <w:pPr>
              <w:pStyle w:val="Compact"/>
              <w:jc w:val="left"/>
            </w:pPr>
            <w:r>
              <w:t xml:space="preserve">PARTIAL</w:t>
            </w:r>
          </w:p>
        </w:tc>
        <w:tc>
          <w:tcPr/>
          <w:p>
            <w:pPr>
              <w:pStyle w:val="Compact"/>
              <w:jc w:val="left"/>
            </w:pPr>
            <w:r>
              <w:t xml:space="preserve">No standalone plan; business plan touches on waste/filtration; energy-efficiency and water-conservation measures not detailed; Form Q33 blank.</w:t>
            </w:r>
          </w:p>
        </w:tc>
        <w:tc>
          <w:tcPr/>
          <w:p>
            <w:pPr>
              <w:pStyle w:val="Compact"/>
              <w:jc w:val="left"/>
            </w:pPr>
            <w:r>
              <w:t xml:space="preserve">Prepare a standalone Environmental Sustainability Plan addressing all four required elements; complete Form Q33.</w:t>
            </w:r>
          </w:p>
        </w:tc>
      </w:tr>
    </w:tbl>
    <w:bookmarkEnd w:id="31"/>
    <w:bookmarkStart w:id="32" w:name="business-plan-financial-viability"/>
    <w:p>
      <w:pPr>
        <w:pStyle w:val="Heading3"/>
      </w:pPr>
      <w:r>
        <w:t xml:space="preserve">3.11 Business Plan &amp; Financial Viability</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66</w:t>
            </w:r>
          </w:p>
        </w:tc>
        <w:tc>
          <w:tcPr/>
          <w:p>
            <w:pPr>
              <w:pStyle w:val="Compact"/>
              <w:jc w:val="left"/>
            </w:pPr>
            <w:r>
              <w:t xml:space="preserve">Comprehensive business plan (Code §9-5-5(B)(8); Guide Item 11)</w:t>
            </w:r>
          </w:p>
        </w:tc>
        <w:tc>
          <w:tcPr/>
          <w:p>
            <w:pPr>
              <w:pStyle w:val="Compact"/>
              <w:jc w:val="left"/>
            </w:pPr>
            <w:r>
              <w:t xml:space="preserve">COMPLIANT (Form blank)</w:t>
            </w:r>
          </w:p>
        </w:tc>
        <w:tc>
          <w:tcPr/>
          <w:p>
            <w:pPr>
              <w:pStyle w:val="Compact"/>
              <w:jc w:val="left"/>
            </w:pPr>
            <w:r>
              <w:t xml:space="preserve">Business plan is comprehensive; Form Q11/Q13 blank.</w:t>
            </w:r>
          </w:p>
        </w:tc>
        <w:tc>
          <w:tcPr/>
          <w:p>
            <w:pPr>
              <w:pStyle w:val="Compact"/>
              <w:jc w:val="left"/>
            </w:pPr>
            <w:r>
              <w:t xml:space="preserve">Complete Form operational sections.</w:t>
            </w:r>
          </w:p>
        </w:tc>
      </w:tr>
      <w:tr>
        <w:tc>
          <w:tcPr/>
          <w:p>
            <w:pPr>
              <w:pStyle w:val="Compact"/>
              <w:jc w:val="left"/>
            </w:pPr>
            <w:r>
              <w:t xml:space="preserve">67</w:t>
            </w:r>
          </w:p>
        </w:tc>
        <w:tc>
          <w:tcPr/>
          <w:p>
            <w:pPr>
              <w:pStyle w:val="Compact"/>
              <w:jc w:val="left"/>
            </w:pPr>
            <w:r>
              <w:t xml:space="preserve">Market analysis (Code §9-5-5(B)(8); Guide Item 11)</w:t>
            </w:r>
          </w:p>
        </w:tc>
        <w:tc>
          <w:tcPr/>
          <w:p>
            <w:pPr>
              <w:pStyle w:val="Compact"/>
              <w:jc w:val="left"/>
            </w:pPr>
            <w:r>
              <w:t xml:space="preserve">COMPLIANT</w:t>
            </w:r>
          </w:p>
        </w:tc>
        <w:tc>
          <w:tcPr/>
          <w:p>
            <w:pPr>
              <w:pStyle w:val="Compact"/>
              <w:jc w:val="left"/>
            </w:pPr>
            <w:r>
              <w:t xml:space="preserve">Business plan §4 (Illinois and Evanston market, competitive landscape).</w:t>
            </w:r>
          </w:p>
        </w:tc>
        <w:tc>
          <w:tcPr/>
          <w:p>
            <w:pPr>
              <w:pStyle w:val="Compact"/>
              <w:jc w:val="left"/>
            </w:pPr>
            <w:r>
              <w:t xml:space="preserve">None.</w:t>
            </w:r>
          </w:p>
        </w:tc>
      </w:tr>
      <w:tr>
        <w:tc>
          <w:tcPr/>
          <w:p>
            <w:pPr>
              <w:pStyle w:val="Compact"/>
              <w:jc w:val="left"/>
            </w:pPr>
            <w:r>
              <w:t xml:space="preserve">68</w:t>
            </w:r>
          </w:p>
        </w:tc>
        <w:tc>
          <w:tcPr/>
          <w:p>
            <w:pPr>
              <w:pStyle w:val="Compact"/>
              <w:jc w:val="left"/>
            </w:pPr>
            <w:r>
              <w:t xml:space="preserve">Financial projections ≥3 years (Code §9-5-5(B)(8); Guide Item 11)</w:t>
            </w:r>
          </w:p>
        </w:tc>
        <w:tc>
          <w:tcPr/>
          <w:p>
            <w:pPr>
              <w:pStyle w:val="Compact"/>
              <w:jc w:val="left"/>
            </w:pPr>
            <w:r>
              <w:t xml:space="preserve">COMPLIANT</w:t>
            </w:r>
          </w:p>
        </w:tc>
        <w:tc>
          <w:tcPr/>
          <w:p>
            <w:pPr>
              <w:pStyle w:val="Compact"/>
              <w:jc w:val="left"/>
            </w:pPr>
            <w:r>
              <w:t xml:space="preserve">5-year projections provided (exceeds 3-year minimum).</w:t>
            </w:r>
          </w:p>
        </w:tc>
        <w:tc>
          <w:tcPr/>
          <w:p>
            <w:pPr>
              <w:pStyle w:val="Compact"/>
              <w:jc w:val="left"/>
            </w:pPr>
            <w:r>
              <w:t xml:space="preserve">None.</w:t>
            </w:r>
          </w:p>
        </w:tc>
      </w:tr>
      <w:tr>
        <w:tc>
          <w:tcPr/>
          <w:p>
            <w:pPr>
              <w:pStyle w:val="Compact"/>
              <w:jc w:val="left"/>
            </w:pPr>
            <w:r>
              <w:t xml:space="preserve">69</w:t>
            </w:r>
          </w:p>
        </w:tc>
        <w:tc>
          <w:tcPr/>
          <w:p>
            <w:pPr>
              <w:pStyle w:val="Compact"/>
              <w:jc w:val="left"/>
            </w:pPr>
            <w:r>
              <w:t xml:space="preserve">Staffing model — FT and PT (Code §9-5-5(B)(8); Form Q13)</w:t>
            </w:r>
          </w:p>
        </w:tc>
        <w:tc>
          <w:tcPr/>
          <w:p>
            <w:pPr>
              <w:pStyle w:val="Compact"/>
              <w:jc w:val="left"/>
            </w:pPr>
            <w:r>
              <w:t xml:space="preserve">PARTIAL</w:t>
            </w:r>
          </w:p>
        </w:tc>
        <w:tc>
          <w:tcPr/>
          <w:p>
            <w:pPr>
              <w:pStyle w:val="Compact"/>
              <w:jc w:val="left"/>
            </w:pPr>
            <w:r>
              <w:t xml:space="preserve">12 FTEs only; no part-time employees projected; Form Q13 blank.</w:t>
            </w:r>
          </w:p>
        </w:tc>
        <w:tc>
          <w:tcPr/>
          <w:p>
            <w:pPr>
              <w:pStyle w:val="Compact"/>
              <w:jc w:val="left"/>
            </w:pPr>
            <w:r>
              <w:t xml:space="preserve">State PT staffing (or confirm none) in Form Q13.</w:t>
            </w:r>
          </w:p>
        </w:tc>
      </w:tr>
      <w:tr>
        <w:tc>
          <w:tcPr/>
          <w:p>
            <w:pPr>
              <w:pStyle w:val="Compact"/>
              <w:jc w:val="left"/>
            </w:pPr>
            <w:r>
              <w:t xml:space="preserve">70</w:t>
            </w:r>
          </w:p>
        </w:tc>
        <w:tc>
          <w:tcPr/>
          <w:p>
            <w:pPr>
              <w:pStyle w:val="Compact"/>
              <w:jc w:val="left"/>
            </w:pPr>
            <w:r>
              <w:t xml:space="preserve">Management structure / org chart (Code §9-5-5(B)(8))</w:t>
            </w:r>
          </w:p>
        </w:tc>
        <w:tc>
          <w:tcPr/>
          <w:p>
            <w:pPr>
              <w:pStyle w:val="Compact"/>
              <w:jc w:val="left"/>
            </w:pPr>
            <w:r>
              <w:t xml:space="preserve">COMPLIANT</w:t>
            </w:r>
          </w:p>
        </w:tc>
        <w:tc>
          <w:tcPr/>
          <w:p>
            <w:pPr>
              <w:pStyle w:val="Compact"/>
              <w:jc w:val="left"/>
            </w:pPr>
            <w:r>
              <w:t xml:space="preserve">Business plan §2.2 and Appendix A.</w:t>
            </w:r>
          </w:p>
        </w:tc>
        <w:tc>
          <w:tcPr/>
          <w:p>
            <w:pPr>
              <w:pStyle w:val="Compact"/>
              <w:jc w:val="left"/>
            </w:pPr>
            <w:r>
              <w:t xml:space="preserve">None.</w:t>
            </w:r>
          </w:p>
        </w:tc>
      </w:tr>
      <w:tr>
        <w:tc>
          <w:tcPr/>
          <w:p>
            <w:pPr>
              <w:pStyle w:val="Compact"/>
              <w:jc w:val="left"/>
            </w:pPr>
            <w:r>
              <w:t xml:space="preserve">71</w:t>
            </w:r>
          </w:p>
        </w:tc>
        <w:tc>
          <w:tcPr/>
          <w:p>
            <w:pPr>
              <w:pStyle w:val="Compact"/>
              <w:jc w:val="left"/>
            </w:pPr>
            <w:r>
              <w:t xml:space="preserve">Operational plan (Code §9-5-5(B)(8))</w:t>
            </w:r>
          </w:p>
        </w:tc>
        <w:tc>
          <w:tcPr/>
          <w:p>
            <w:pPr>
              <w:pStyle w:val="Compact"/>
              <w:jc w:val="left"/>
            </w:pPr>
            <w:r>
              <w:t xml:space="preserve">COMPLIANT</w:t>
            </w:r>
          </w:p>
        </w:tc>
        <w:tc>
          <w:tcPr/>
          <w:p>
            <w:pPr>
              <w:pStyle w:val="Compact"/>
              <w:jc w:val="left"/>
            </w:pPr>
            <w:r>
              <w:t xml:space="preserve">Business plan §5 (customer flow, inventory, security, odor, training).</w:t>
            </w:r>
          </w:p>
        </w:tc>
        <w:tc>
          <w:tcPr/>
          <w:p>
            <w:pPr>
              <w:pStyle w:val="Compact"/>
              <w:jc w:val="left"/>
            </w:pPr>
            <w:r>
              <w:t xml:space="preserve">None.</w:t>
            </w:r>
          </w:p>
        </w:tc>
      </w:tr>
      <w:tr>
        <w:tc>
          <w:tcPr/>
          <w:p>
            <w:pPr>
              <w:pStyle w:val="Compact"/>
              <w:jc w:val="left"/>
            </w:pPr>
            <w:r>
              <w:t xml:space="preserve">72</w:t>
            </w:r>
          </w:p>
        </w:tc>
        <w:tc>
          <w:tcPr/>
          <w:p>
            <w:pPr>
              <w:pStyle w:val="Compact"/>
              <w:jc w:val="left"/>
            </w:pPr>
            <w:r>
              <w:t xml:space="preserve">Capitalization evidence — bank/investment statements, contribution docs (Guide Item 17(a); Form Q24)</w:t>
            </w:r>
          </w:p>
        </w:tc>
        <w:tc>
          <w:tcPr/>
          <w:p>
            <w:pPr>
              <w:pStyle w:val="Compact"/>
              <w:jc w:val="left"/>
            </w:pPr>
            <w:r>
              <w:t xml:space="preserve">PARTIAL</w:t>
            </w:r>
          </w:p>
        </w:tc>
        <w:tc>
          <w:tcPr/>
          <w:p>
            <w:pPr>
              <w:pStyle w:val="Compact"/>
              <w:jc w:val="left"/>
            </w:pPr>
            <w:r>
              <w:t xml:space="preserve">$1,850,000 equity stated (Okonkwo $1,110,000; Ramachandran $740,000); supporting statements/contribution docs not in package; Form Q24 blank.</w:t>
            </w:r>
          </w:p>
        </w:tc>
        <w:tc>
          <w:tcPr/>
          <w:p>
            <w:pPr>
              <w:pStyle w:val="Compact"/>
              <w:jc w:val="left"/>
            </w:pPr>
            <w:r>
              <w:t xml:space="preserve">Attach bank/investment statements and member contribution documentation.</w:t>
            </w:r>
          </w:p>
        </w:tc>
      </w:tr>
      <w:tr>
        <w:tc>
          <w:tcPr/>
          <w:p>
            <w:pPr>
              <w:pStyle w:val="Compact"/>
              <w:jc w:val="left"/>
            </w:pPr>
            <w:r>
              <w:t xml:space="preserve">73</w:t>
            </w:r>
          </w:p>
        </w:tc>
        <w:tc>
          <w:tcPr/>
          <w:p>
            <w:pPr>
              <w:pStyle w:val="Compact"/>
              <w:jc w:val="left"/>
            </w:pPr>
            <w:r>
              <w:t xml:space="preserve">Sources and uses of funds (Guide Item 17(b); Form Q24)</w:t>
            </w:r>
          </w:p>
        </w:tc>
        <w:tc>
          <w:tcPr/>
          <w:p>
            <w:pPr>
              <w:pStyle w:val="Compact"/>
              <w:jc w:val="left"/>
            </w:pPr>
            <w:r>
              <w:t xml:space="preserve">COMPLIANT (Form blank)</w:t>
            </w:r>
          </w:p>
        </w:tc>
        <w:tc>
          <w:tcPr/>
          <w:p>
            <w:pPr>
              <w:pStyle w:val="Compact"/>
              <w:jc w:val="left"/>
            </w:pPr>
            <w:r>
              <w:t xml:space="preserve">Business plan §6.1 (sources) and §6.2 (uses).</w:t>
            </w:r>
          </w:p>
        </w:tc>
        <w:tc>
          <w:tcPr/>
          <w:p>
            <w:pPr>
              <w:pStyle w:val="Compact"/>
              <w:jc w:val="left"/>
            </w:pPr>
            <w:r>
              <w:t xml:space="preserve">Complete Form Q24.</w:t>
            </w:r>
          </w:p>
        </w:tc>
      </w:tr>
      <w:tr>
        <w:tc>
          <w:tcPr/>
          <w:p>
            <w:pPr>
              <w:pStyle w:val="Compact"/>
              <w:jc w:val="left"/>
            </w:pPr>
            <w:r>
              <w:t xml:space="preserve">74</w:t>
            </w:r>
          </w:p>
        </w:tc>
        <w:tc>
          <w:tcPr/>
          <w:p>
            <w:pPr>
              <w:pStyle w:val="Compact"/>
              <w:jc w:val="left"/>
            </w:pPr>
            <w:r>
              <w:t xml:space="preserve">Financial viability / banking relationship (Code §9-5-10(C)(4); Guide Item 17)</w:t>
            </w:r>
          </w:p>
        </w:tc>
        <w:tc>
          <w:tcPr/>
          <w:p>
            <w:pPr>
              <w:pStyle w:val="Compact"/>
              <w:jc w:val="left"/>
            </w:pPr>
            <w:r>
              <w:t xml:space="preserve">COMPLIANT</w:t>
            </w:r>
          </w:p>
        </w:tc>
        <w:tc>
          <w:tcPr/>
          <w:p>
            <w:pPr>
              <w:pStyle w:val="Compact"/>
              <w:jc w:val="left"/>
            </w:pPr>
            <w:r>
              <w:t xml:space="preserve">Ridgeline Community Bank cannabis-banking program; quarterly attestations.</w:t>
            </w:r>
          </w:p>
        </w:tc>
        <w:tc>
          <w:tcPr/>
          <w:p>
            <w:pPr>
              <w:pStyle w:val="Compact"/>
              <w:jc w:val="left"/>
            </w:pPr>
            <w:r>
              <w:t xml:space="preserve">None.</w:t>
            </w:r>
          </w:p>
        </w:tc>
      </w:tr>
    </w:tbl>
    <w:bookmarkEnd w:id="32"/>
    <w:bookmarkStart w:id="33" w:name="insurance"/>
    <w:p>
      <w:pPr>
        <w:pStyle w:val="Heading3"/>
      </w:pPr>
      <w:r>
        <w:t xml:space="preserve">3.12 Insurance</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75</w:t>
            </w:r>
          </w:p>
        </w:tc>
        <w:tc>
          <w:tcPr/>
          <w:p>
            <w:pPr>
              <w:pStyle w:val="Compact"/>
              <w:jc w:val="left"/>
            </w:pPr>
            <w:r>
              <w:t xml:space="preserve">Commercial General Liability $2M occ. / $4M agg. (Code §9-5-16(A)(1); Guide Item 16; Form Q27)</w:t>
            </w:r>
          </w:p>
        </w:tc>
        <w:tc>
          <w:tcPr/>
          <w:p>
            <w:pPr>
              <w:pStyle w:val="Compact"/>
              <w:jc w:val="left"/>
            </w:pPr>
            <w:r>
              <w:t xml:space="preserve">COMPLIANT (Form blank)</w:t>
            </w:r>
          </w:p>
        </w:tc>
        <w:tc>
          <w:tcPr/>
          <w:p>
            <w:pPr>
              <w:pStyle w:val="Compact"/>
              <w:jc w:val="left"/>
            </w:pPr>
            <w:r>
              <w:t xml:space="preserve">Policy obtained 1/15/2024 with cannabis-operations endorsement.</w:t>
            </w:r>
          </w:p>
        </w:tc>
        <w:tc>
          <w:tcPr/>
          <w:p>
            <w:pPr>
              <w:pStyle w:val="Compact"/>
              <w:jc w:val="left"/>
            </w:pPr>
            <w:r>
              <w:t xml:space="preserve">Complete Form Q27; attach certificate.</w:t>
            </w:r>
          </w:p>
        </w:tc>
      </w:tr>
      <w:tr>
        <w:tc>
          <w:tcPr/>
          <w:p>
            <w:pPr>
              <w:pStyle w:val="Compact"/>
              <w:jc w:val="left"/>
            </w:pPr>
            <w:r>
              <w:t xml:space="preserve">76</w:t>
            </w:r>
          </w:p>
        </w:tc>
        <w:tc>
          <w:tcPr/>
          <w:p>
            <w:pPr>
              <w:pStyle w:val="Compact"/>
              <w:jc w:val="left"/>
            </w:pPr>
            <w:r>
              <w:t xml:space="preserve">Product Liability $2M occ. / $4M agg. (Code §9-5-16(A)(2))</w:t>
            </w:r>
          </w:p>
        </w:tc>
        <w:tc>
          <w:tcPr/>
          <w:p>
            <w:pPr>
              <w:pStyle w:val="Compact"/>
              <w:jc w:val="left"/>
            </w:pPr>
            <w:r>
              <w:t xml:space="preserve">COMPLIANT (Form blank)</w:t>
            </w:r>
          </w:p>
        </w:tc>
        <w:tc>
          <w:tcPr/>
          <w:p>
            <w:pPr>
              <w:pStyle w:val="Compact"/>
              <w:jc w:val="left"/>
            </w:pPr>
            <w:r>
              <w:t xml:space="preserve">Bundled with GL policy.</w:t>
            </w:r>
          </w:p>
        </w:tc>
        <w:tc>
          <w:tcPr/>
          <w:p>
            <w:pPr>
              <w:pStyle w:val="Compact"/>
              <w:jc w:val="left"/>
            </w:pPr>
            <w:r>
              <w:t xml:space="preserve">Complete Form Q27; attach certificate.</w:t>
            </w:r>
          </w:p>
        </w:tc>
      </w:tr>
      <w:tr>
        <w:tc>
          <w:tcPr/>
          <w:p>
            <w:pPr>
              <w:pStyle w:val="Compact"/>
              <w:jc w:val="left"/>
            </w:pPr>
            <w:r>
              <w:t xml:space="preserve">77</w:t>
            </w:r>
          </w:p>
        </w:tc>
        <w:tc>
          <w:tcPr/>
          <w:p>
            <w:pPr>
              <w:pStyle w:val="Compact"/>
              <w:jc w:val="left"/>
            </w:pPr>
            <w:r>
              <w:t xml:space="preserve">Workers’ Compensation at statutory limits (Code §9-5-16(A)(3))</w:t>
            </w:r>
          </w:p>
        </w:tc>
        <w:tc>
          <w:tcPr/>
          <w:p>
            <w:pPr>
              <w:pStyle w:val="Compact"/>
              <w:jc w:val="left"/>
            </w:pPr>
            <w:r>
              <w:t xml:space="preserve">PARTIAL</w:t>
            </w:r>
          </w:p>
        </w:tc>
        <w:tc>
          <w:tcPr/>
          <w:p>
            <w:pPr>
              <w:pStyle w:val="Compact"/>
              <w:jc w:val="left"/>
            </w:pPr>
            <w:r>
              <w:t xml:space="preserve">Quoted; to be bound upon first hire (no employees yet).</w:t>
            </w:r>
          </w:p>
        </w:tc>
        <w:tc>
          <w:tcPr/>
          <w:p>
            <w:pPr>
              <w:pStyle w:val="Compact"/>
              <w:jc w:val="left"/>
            </w:pPr>
            <w:r>
              <w:t xml:space="preserve">Bind before first hire; provide certificate/timeline at application.</w:t>
            </w:r>
          </w:p>
        </w:tc>
      </w:tr>
      <w:tr>
        <w:tc>
          <w:tcPr/>
          <w:p>
            <w:pPr>
              <w:pStyle w:val="Compact"/>
              <w:jc w:val="left"/>
            </w:pPr>
            <w:r>
              <w:t xml:space="preserve">78</w:t>
            </w:r>
          </w:p>
        </w:tc>
        <w:tc>
          <w:tcPr/>
          <w:p>
            <w:pPr>
              <w:pStyle w:val="Compact"/>
              <w:jc w:val="left"/>
            </w:pPr>
            <w:r>
              <w:t xml:space="preserve">Employer’s Liability ≥$1,000,000 per accident (Code §9-5-16(A)(3))</w:t>
            </w:r>
          </w:p>
        </w:tc>
        <w:tc>
          <w:tcPr/>
          <w:p>
            <w:pPr>
              <w:pStyle w:val="Compact"/>
              <w:jc w:val="left"/>
            </w:pPr>
            <w:r>
              <w:t xml:space="preserve">NON-COMPLIANT / NOT CONFIRMED</w:t>
            </w:r>
          </w:p>
        </w:tc>
        <w:tc>
          <w:tcPr/>
          <w:p>
            <w:pPr>
              <w:pStyle w:val="Compact"/>
              <w:jc w:val="left"/>
            </w:pPr>
            <w:r>
              <w:t xml:space="preserve">Code requires $1M; lease requires only $500K; Guide and Form omit EL entirely; not confirmed in memo.</w:t>
            </w:r>
          </w:p>
        </w:tc>
        <w:tc>
          <w:tcPr/>
          <w:p>
            <w:pPr>
              <w:pStyle w:val="Compact"/>
              <w:jc w:val="left"/>
            </w:pPr>
            <w:r>
              <w:t xml:space="preserve">Bind Employer’s Liability at $1M per accident; document; flag Guide/Form omission.</w:t>
            </w:r>
          </w:p>
        </w:tc>
      </w:tr>
      <w:tr>
        <w:tc>
          <w:tcPr/>
          <w:p>
            <w:pPr>
              <w:pStyle w:val="Compact"/>
              <w:jc w:val="left"/>
            </w:pPr>
            <w:r>
              <w:t xml:space="preserve">79</w:t>
            </w:r>
          </w:p>
        </w:tc>
        <w:tc>
          <w:tcPr/>
          <w:p>
            <w:pPr>
              <w:pStyle w:val="Compact"/>
              <w:jc w:val="left"/>
            </w:pPr>
            <w:r>
              <w:t xml:space="preserve">Cannabis-Specific Crime/Theft ≥$500,000 (Code §9-5-16(A)(4); Guide Item 16)</w:t>
            </w:r>
          </w:p>
        </w:tc>
        <w:tc>
          <w:tcPr/>
          <w:p>
            <w:pPr>
              <w:pStyle w:val="Compact"/>
              <w:jc w:val="left"/>
            </w:pPr>
            <w:r>
              <w:t xml:space="preserve">NON-COMPLIANT</w:t>
            </w:r>
          </w:p>
        </w:tc>
        <w:tc>
          <w:tcPr/>
          <w:p>
            <w:pPr>
              <w:pStyle w:val="Compact"/>
              <w:jc w:val="left"/>
            </w:pPr>
            <w:r>
              <w:t xml:space="preserve">Under negotiation with Canopy Risk; not bound; no binder/commitment letter; underwriting blocked pending security plan.</w:t>
            </w:r>
          </w:p>
        </w:tc>
        <w:tc>
          <w:tcPr/>
          <w:p>
            <w:pPr>
              <w:pStyle w:val="Compact"/>
              <w:jc w:val="left"/>
            </w:pPr>
            <w:r>
              <w:t xml:space="preserve">Finalize security plan; obtain binder or binding commitment letter before submission; identify a contingency carrier.</w:t>
            </w:r>
          </w:p>
        </w:tc>
      </w:tr>
      <w:tr>
        <w:tc>
          <w:tcPr/>
          <w:p>
            <w:pPr>
              <w:pStyle w:val="Compact"/>
              <w:jc w:val="left"/>
            </w:pPr>
            <w:r>
              <w:t xml:space="preserve">80</w:t>
            </w:r>
          </w:p>
        </w:tc>
        <w:tc>
          <w:tcPr/>
          <w:p>
            <w:pPr>
              <w:pStyle w:val="Compact"/>
              <w:jc w:val="left"/>
            </w:pPr>
            <w:r>
              <w:t xml:space="preserve">City named additional insured on CGL and product liability (Code §9-5-16(B))</w:t>
            </w:r>
          </w:p>
        </w:tc>
        <w:tc>
          <w:tcPr/>
          <w:p>
            <w:pPr>
              <w:pStyle w:val="Compact"/>
              <w:jc w:val="left"/>
            </w:pPr>
            <w:r>
              <w:t xml:space="preserve">NON-COMPLIANT / PENDING</w:t>
            </w:r>
          </w:p>
        </w:tc>
        <w:tc>
          <w:tcPr/>
          <w:p>
            <w:pPr>
              <w:pStyle w:val="Compact"/>
              <w:jc w:val="left"/>
            </w:pPr>
            <w:r>
              <w:t xml:space="preserve">Memo states GL</w:t>
            </w:r>
            <w:r>
              <w:t xml:space="preserve"> </w:t>
            </w:r>
            <w:r>
              <w:t xml:space="preserve">“</w:t>
            </w:r>
            <w:r>
              <w:t xml:space="preserve">can be endorsed … upon request</w:t>
            </w:r>
            <w:r>
              <w:t xml:space="preserve">”</w:t>
            </w:r>
            <w:r>
              <w:t xml:space="preserve">; not yet endorsed.</w:t>
            </w:r>
          </w:p>
        </w:tc>
        <w:tc>
          <w:tcPr/>
          <w:p>
            <w:pPr>
              <w:pStyle w:val="Compact"/>
              <w:jc w:val="left"/>
            </w:pPr>
            <w:r>
              <w:t xml:space="preserve">Obtain additional-insured endorsement naming the City; submit with certificates.</w:t>
            </w:r>
          </w:p>
        </w:tc>
      </w:tr>
      <w:tr>
        <w:tc>
          <w:tcPr/>
          <w:p>
            <w:pPr>
              <w:pStyle w:val="Compact"/>
              <w:jc w:val="left"/>
            </w:pPr>
            <w:r>
              <w:t xml:space="preserve">81</w:t>
            </w:r>
          </w:p>
        </w:tc>
        <w:tc>
          <w:tcPr/>
          <w:p>
            <w:pPr>
              <w:pStyle w:val="Compact"/>
              <w:jc w:val="left"/>
            </w:pPr>
            <w:r>
              <w:t xml:space="preserve">Insurer AM Best rating ≥ A- (Code §9-5-16(C))</w:t>
            </w:r>
          </w:p>
        </w:tc>
        <w:tc>
          <w:tcPr/>
          <w:p>
            <w:pPr>
              <w:pStyle w:val="Compact"/>
              <w:jc w:val="left"/>
            </w:pPr>
            <w:r>
              <w:t xml:space="preserve">NOT CONFIRMED</w:t>
            </w:r>
          </w:p>
        </w:tc>
        <w:tc>
          <w:tcPr/>
          <w:p>
            <w:pPr>
              <w:pStyle w:val="Compact"/>
              <w:jc w:val="left"/>
            </w:pPr>
            <w:r>
              <w:t xml:space="preserve">Carrier ratings (commercial broker; Canopy Risk) not documented.</w:t>
            </w:r>
          </w:p>
        </w:tc>
        <w:tc>
          <w:tcPr/>
          <w:p>
            <w:pPr>
              <w:pStyle w:val="Compact"/>
              <w:jc w:val="left"/>
            </w:pPr>
            <w:r>
              <w:t xml:space="preserve">Confirm and document AM Best ratings ≥ A- for all carriers.</w:t>
            </w:r>
          </w:p>
        </w:tc>
      </w:tr>
      <w:tr>
        <w:tc>
          <w:tcPr/>
          <w:p>
            <w:pPr>
              <w:pStyle w:val="Compact"/>
              <w:jc w:val="left"/>
            </w:pPr>
            <w:r>
              <w:t xml:space="preserve">82</w:t>
            </w:r>
          </w:p>
        </w:tc>
        <w:tc>
          <w:tcPr/>
          <w:p>
            <w:pPr>
              <w:pStyle w:val="Compact"/>
              <w:jc w:val="left"/>
            </w:pPr>
            <w:r>
              <w:t xml:space="preserve">30-day written cancellation/non-renewal notice to City (Code §9-5-16(D); Form Q27 note)</w:t>
            </w:r>
          </w:p>
        </w:tc>
        <w:tc>
          <w:tcPr/>
          <w:p>
            <w:pPr>
              <w:pStyle w:val="Compact"/>
              <w:jc w:val="left"/>
            </w:pPr>
            <w:r>
              <w:t xml:space="preserve">NOT CONFIRMED</w:t>
            </w:r>
          </w:p>
        </w:tc>
        <w:tc>
          <w:tcPr/>
          <w:p>
            <w:pPr>
              <w:pStyle w:val="Compact"/>
              <w:jc w:val="left"/>
            </w:pPr>
            <w:r>
              <w:t xml:space="preserve">Not confirmed in policies.</w:t>
            </w:r>
          </w:p>
        </w:tc>
        <w:tc>
          <w:tcPr/>
          <w:p>
            <w:pPr>
              <w:pStyle w:val="Compact"/>
              <w:jc w:val="left"/>
            </w:pPr>
            <w:r>
              <w:t xml:space="preserve">Ensure all policies include 30-day notice to the City; document.</w:t>
            </w:r>
          </w:p>
        </w:tc>
      </w:tr>
      <w:tr>
        <w:tc>
          <w:tcPr/>
          <w:p>
            <w:pPr>
              <w:pStyle w:val="Compact"/>
              <w:jc w:val="left"/>
            </w:pPr>
            <w:r>
              <w:t xml:space="preserve">83</w:t>
            </w:r>
          </w:p>
        </w:tc>
        <w:tc>
          <w:tcPr/>
          <w:p>
            <w:pPr>
              <w:pStyle w:val="Compact"/>
              <w:jc w:val="left"/>
            </w:pPr>
            <w:r>
              <w:t xml:space="preserve">Insurance certificates or binding commitment letters at application (Code §9-5-5(B)(15); Guide Item 16)</w:t>
            </w:r>
          </w:p>
        </w:tc>
        <w:tc>
          <w:tcPr/>
          <w:p>
            <w:pPr>
              <w:pStyle w:val="Compact"/>
              <w:jc w:val="left"/>
            </w:pPr>
            <w:r>
              <w:t xml:space="preserve">PARTIAL</w:t>
            </w:r>
          </w:p>
        </w:tc>
        <w:tc>
          <w:tcPr/>
          <w:p>
            <w:pPr>
              <w:pStyle w:val="Compact"/>
              <w:jc w:val="left"/>
            </w:pPr>
            <w:r>
              <w:t xml:space="preserve">GL/product certificates available; WC quoted; crime/theth no binder.</w:t>
            </w:r>
          </w:p>
        </w:tc>
        <w:tc>
          <w:tcPr/>
          <w:p>
            <w:pPr>
              <w:pStyle w:val="Compact"/>
              <w:jc w:val="left"/>
            </w:pPr>
            <w:r>
              <w:t xml:space="preserve">Provide certificates for in-force policies and binding commitment letters for pending coverages.</w:t>
            </w:r>
          </w:p>
        </w:tc>
      </w:tr>
    </w:tbl>
    <w:bookmarkEnd w:id="33"/>
    <w:bookmarkStart w:id="34" w:name="bonding-performance-bond"/>
    <w:p>
      <w:pPr>
        <w:pStyle w:val="Heading3"/>
      </w:pPr>
      <w:r>
        <w:t xml:space="preserve">3.13 Bonding / Performance Bond</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84</w:t>
            </w:r>
          </w:p>
        </w:tc>
        <w:tc>
          <w:tcPr/>
          <w:p>
            <w:pPr>
              <w:pStyle w:val="Compact"/>
              <w:jc w:val="left"/>
            </w:pPr>
            <w:r>
              <w:t xml:space="preserve">Evidence of bonding capacity (commitment letter) at application (Code §9-5-5(B)(16); Guide Item 17; Form Q26)</w:t>
            </w:r>
          </w:p>
        </w:tc>
        <w:tc>
          <w:tcPr/>
          <w:p>
            <w:pPr>
              <w:pStyle w:val="Compact"/>
              <w:jc w:val="left"/>
            </w:pPr>
            <w:r>
              <w:t xml:space="preserve">NON-COMPLIANT</w:t>
            </w:r>
          </w:p>
        </w:tc>
        <w:tc>
          <w:tcPr/>
          <w:p>
            <w:pPr>
              <w:pStyle w:val="Compact"/>
              <w:jc w:val="left"/>
            </w:pPr>
            <w:r>
              <w:t xml:space="preserve">“</w:t>
            </w:r>
            <w:r>
              <w:t xml:space="preserve">Preliminary inquiry only</w:t>
            </w:r>
            <w:r>
              <w:t xml:space="preserve">”</w:t>
            </w:r>
            <w:r>
              <w:t xml:space="preserve"> </w:t>
            </w:r>
            <w:r>
              <w:t xml:space="preserve">with Thornfield; no commitment letter; Form Q26 blank. Form rubric: 0 of 10 bonding-capacity points if no evidence.</w:t>
            </w:r>
          </w:p>
        </w:tc>
        <w:tc>
          <w:tcPr/>
          <w:p>
            <w:pPr>
              <w:pStyle w:val="Compact"/>
              <w:jc w:val="left"/>
            </w:pPr>
            <w:r>
              <w:t xml:space="preserve">Obtain a formal commitment letter from Thornfield (or an LOC commitment from Ridgeline) dated within 60 days of submission; complete Form Q26.</w:t>
            </w:r>
          </w:p>
        </w:tc>
      </w:tr>
      <w:tr>
        <w:tc>
          <w:tcPr/>
          <w:p>
            <w:pPr>
              <w:pStyle w:val="Compact"/>
              <w:jc w:val="left"/>
            </w:pPr>
            <w:r>
              <w:t xml:space="preserve">85</w:t>
            </w:r>
          </w:p>
        </w:tc>
        <w:tc>
          <w:tcPr/>
          <w:p>
            <w:pPr>
              <w:pStyle w:val="Compact"/>
              <w:jc w:val="left"/>
            </w:pPr>
            <w:r>
              <w:t xml:space="preserve">$50,000 performance bond or irrevocable LOC prior to issuance (Code §9-5-17(A); §9-5-11(D))</w:t>
            </w:r>
          </w:p>
        </w:tc>
        <w:tc>
          <w:tcPr/>
          <w:p>
            <w:pPr>
              <w:pStyle w:val="Compact"/>
              <w:jc w:val="left"/>
            </w:pPr>
            <w:r>
              <w:t xml:space="preserve">PENDING</w:t>
            </w:r>
          </w:p>
        </w:tc>
        <w:tc>
          <w:tcPr/>
          <w:p>
            <w:pPr>
              <w:pStyle w:val="Compact"/>
              <w:jc w:val="left"/>
            </w:pPr>
            <w:r>
              <w:t xml:space="preserve">Pre-issuance; not yet obtained.</w:t>
            </w:r>
          </w:p>
        </w:tc>
        <w:tc>
          <w:tcPr/>
          <w:p>
            <w:pPr>
              <w:pStyle w:val="Compact"/>
              <w:jc w:val="left"/>
            </w:pPr>
            <w:r>
              <w:t xml:space="preserve">Obtain bond/LOC in form acceptable to the City Attorney before issuance.</w:t>
            </w:r>
          </w:p>
        </w:tc>
      </w:tr>
      <w:tr>
        <w:tc>
          <w:tcPr/>
          <w:p>
            <w:pPr>
              <w:pStyle w:val="Compact"/>
              <w:jc w:val="left"/>
            </w:pPr>
            <w:r>
              <w:t xml:space="preserve">86</w:t>
            </w:r>
          </w:p>
        </w:tc>
        <w:tc>
          <w:tcPr/>
          <w:p>
            <w:pPr>
              <w:pStyle w:val="Compact"/>
              <w:jc w:val="left"/>
            </w:pPr>
            <w:r>
              <w:t xml:space="preserve">Surety AM Best ≥ A- and IL-authorized; LOC draw terms (Code §9-5-17(B))</w:t>
            </w:r>
          </w:p>
        </w:tc>
        <w:tc>
          <w:tcPr/>
          <w:p>
            <w:pPr>
              <w:pStyle w:val="Compact"/>
              <w:jc w:val="left"/>
            </w:pPr>
            <w:r>
              <w:t xml:space="preserve">NOT CONFIRMED</w:t>
            </w:r>
          </w:p>
        </w:tc>
        <w:tc>
          <w:tcPr/>
          <w:p>
            <w:pPr>
              <w:pStyle w:val="Compact"/>
              <w:jc w:val="left"/>
            </w:pPr>
            <w:r>
              <w:t xml:space="preserve">Thornfield’s rating/IL authorization not documented; LOC draw-on-demand terms not addressed.</w:t>
            </w:r>
          </w:p>
        </w:tc>
        <w:tc>
          <w:tcPr/>
          <w:p>
            <w:pPr>
              <w:pStyle w:val="Compact"/>
              <w:jc w:val="left"/>
            </w:pPr>
            <w:r>
              <w:t xml:space="preserve">Confirm surety rating/authorization; if LOC, ensure form permits City draw on City Attorney’s written demand.</w:t>
            </w:r>
          </w:p>
        </w:tc>
      </w:tr>
      <w:tr>
        <w:tc>
          <w:tcPr/>
          <w:p>
            <w:pPr>
              <w:pStyle w:val="Compact"/>
              <w:jc w:val="left"/>
            </w:pPr>
            <w:r>
              <w:t xml:space="preserve">87</w:t>
            </w:r>
          </w:p>
        </w:tc>
        <w:tc>
          <w:tcPr/>
          <w:p>
            <w:pPr>
              <w:pStyle w:val="Compact"/>
              <w:jc w:val="left"/>
            </w:pPr>
            <w:r>
              <w:t xml:space="preserve">Bond/LOC duration: permit term + 1 year (Code §9-5-17(D))</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Ensure instrument remains in force for the permit term plus one year.</w:t>
            </w:r>
          </w:p>
        </w:tc>
      </w:tr>
      <w:tr>
        <w:tc>
          <w:tcPr/>
          <w:p>
            <w:pPr>
              <w:pStyle w:val="Compact"/>
              <w:jc w:val="left"/>
            </w:pPr>
            <w:r>
              <w:t xml:space="preserve">88</w:t>
            </w:r>
          </w:p>
        </w:tc>
        <w:tc>
          <w:tcPr/>
          <w:p>
            <w:pPr>
              <w:pStyle w:val="Compact"/>
              <w:jc w:val="left"/>
            </w:pPr>
            <w:r>
              <w:t xml:space="preserve">Bond renewal ≥30 days before expiration (Code §9-5-17(E))</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Calendar renewal; replace ≥30 days before expiration.</w:t>
            </w:r>
          </w:p>
        </w:tc>
      </w:tr>
    </w:tbl>
    <w:bookmarkEnd w:id="34"/>
    <w:bookmarkStart w:id="35" w:name="community-engagement"/>
    <w:p>
      <w:pPr>
        <w:pStyle w:val="Heading3"/>
      </w:pPr>
      <w:r>
        <w:t xml:space="preserve">3.14 Community Engagement</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89</w:t>
            </w:r>
          </w:p>
        </w:tc>
        <w:tc>
          <w:tcPr/>
          <w:p>
            <w:pPr>
              <w:pStyle w:val="Compact"/>
              <w:jc w:val="left"/>
            </w:pPr>
            <w:r>
              <w:t xml:space="preserve">Minimum 2 sessions within Evanston (Code §9-5-8(A); Guide Item 12; Form Q22)</w:t>
            </w:r>
          </w:p>
        </w:tc>
        <w:tc>
          <w:tcPr/>
          <w:p>
            <w:pPr>
              <w:pStyle w:val="Compact"/>
              <w:jc w:val="left"/>
            </w:pPr>
            <w:r>
              <w:t xml:space="preserve">COMPLIANT</w:t>
            </w:r>
          </w:p>
        </w:tc>
        <w:tc>
          <w:tcPr/>
          <w:p>
            <w:pPr>
              <w:pStyle w:val="Compact"/>
              <w:jc w:val="left"/>
            </w:pPr>
            <w:r>
              <w:t xml:space="preserve">Two sessions held at Evanston Public Library (3/12/2024; 4/9/2024).</w:t>
            </w:r>
          </w:p>
        </w:tc>
        <w:tc>
          <w:tcPr/>
          <w:p>
            <w:pPr>
              <w:pStyle w:val="Compact"/>
              <w:jc w:val="left"/>
            </w:pPr>
            <w:r>
              <w:t xml:space="preserve">None.</w:t>
            </w:r>
          </w:p>
        </w:tc>
      </w:tr>
      <w:tr>
        <w:tc>
          <w:tcPr/>
          <w:p>
            <w:pPr>
              <w:pStyle w:val="Compact"/>
              <w:jc w:val="left"/>
            </w:pPr>
            <w:r>
              <w:t xml:space="preserve">90</w:t>
            </w:r>
          </w:p>
        </w:tc>
        <w:tc>
          <w:tcPr/>
          <w:p>
            <w:pPr>
              <w:pStyle w:val="Compact"/>
              <w:jc w:val="left"/>
            </w:pPr>
            <w:r>
              <w:t xml:space="preserve">Session 1 advance notice ≥14 days (Code §9-5-8(B))</w:t>
            </w:r>
          </w:p>
        </w:tc>
        <w:tc>
          <w:tcPr/>
          <w:p>
            <w:pPr>
              <w:pStyle w:val="Compact"/>
              <w:jc w:val="left"/>
            </w:pPr>
            <w:r>
              <w:t xml:space="preserve">COMPLIANT</w:t>
            </w:r>
          </w:p>
        </w:tc>
        <w:tc>
          <w:tcPr/>
          <w:p>
            <w:pPr>
              <w:pStyle w:val="Compact"/>
              <w:jc w:val="left"/>
            </w:pPr>
            <w:r>
              <w:t xml:space="preserve">Notice published 2/25/2024 for 3/12/2024 session (15–16 days).</w:t>
            </w:r>
          </w:p>
        </w:tc>
        <w:tc>
          <w:tcPr/>
          <w:p>
            <w:pPr>
              <w:pStyle w:val="Compact"/>
              <w:jc w:val="left"/>
            </w:pPr>
            <w:r>
              <w:t xml:space="preserve">None.</w:t>
            </w:r>
          </w:p>
        </w:tc>
      </w:tr>
      <w:tr>
        <w:tc>
          <w:tcPr/>
          <w:p>
            <w:pPr>
              <w:pStyle w:val="Compact"/>
              <w:jc w:val="left"/>
            </w:pPr>
            <w:r>
              <w:t xml:space="preserve">91</w:t>
            </w:r>
          </w:p>
        </w:tc>
        <w:tc>
          <w:tcPr/>
          <w:p>
            <w:pPr>
              <w:pStyle w:val="Compact"/>
              <w:jc w:val="left"/>
            </w:pPr>
            <w:r>
              <w:t xml:space="preserve">Session 2 advance notice ≥14 days (Code §9-5-8(B))</w:t>
            </w:r>
          </w:p>
        </w:tc>
        <w:tc>
          <w:tcPr/>
          <w:p>
            <w:pPr>
              <w:pStyle w:val="Compact"/>
              <w:jc w:val="left"/>
            </w:pPr>
            <w:r>
              <w:t xml:space="preserve">NON-COMPLIANT</w:t>
            </w:r>
          </w:p>
        </w:tc>
        <w:tc>
          <w:tcPr/>
          <w:p>
            <w:pPr>
              <w:pStyle w:val="Compact"/>
              <w:jc w:val="left"/>
            </w:pPr>
            <w:r>
              <w:t xml:space="preserve">Notice published 3/28/2024 for 4/9/2024 session = 12 days; report records</w:t>
            </w:r>
            <w:r>
              <w:t xml:space="preserve"> </w:t>
            </w:r>
            <w:r>
              <w:t xml:space="preserve">“</w:t>
            </w:r>
            <w:r>
              <w:t xml:space="preserve">12 days</w:t>
            </w:r>
            <w:r>
              <w:t xml:space="preserve">”</w:t>
            </w:r>
            <w:r>
              <w:t xml:space="preserve"> </w:t>
            </w:r>
            <w:r>
              <w:t xml:space="preserve">and omits the compliance statement it gave for Session 1.</w:t>
            </w:r>
          </w:p>
        </w:tc>
        <w:tc>
          <w:tcPr/>
          <w:p>
            <w:pPr>
              <w:pStyle w:val="Compact"/>
              <w:jc w:val="left"/>
            </w:pPr>
            <w:r>
              <w:t xml:space="preserve">Hold a third, properly-noticed session (≥14 days) or re-notice and re-hold Session 2; §9-5-8(F) bars waiver of the two-session minimum and treats notice failure as a completeness defect.</w:t>
            </w:r>
          </w:p>
        </w:tc>
      </w:tr>
      <w:tr>
        <w:tc>
          <w:tcPr/>
          <w:p>
            <w:pPr>
              <w:pStyle w:val="Compact"/>
              <w:jc w:val="left"/>
            </w:pPr>
            <w:r>
              <w:t xml:space="preserve">92</w:t>
            </w:r>
          </w:p>
        </w:tc>
        <w:tc>
          <w:tcPr/>
          <w:p>
            <w:pPr>
              <w:pStyle w:val="Compact"/>
              <w:jc w:val="left"/>
            </w:pPr>
            <w:r>
              <w:t xml:space="preserve">Newspaper publication (Code §9-5-8(B)(1))</w:t>
            </w:r>
          </w:p>
        </w:tc>
        <w:tc>
          <w:tcPr/>
          <w:p>
            <w:pPr>
              <w:pStyle w:val="Compact"/>
              <w:jc w:val="left"/>
            </w:pPr>
            <w:r>
              <w:t xml:space="preserve">COMPLIANT</w:t>
            </w:r>
          </w:p>
        </w:tc>
        <w:tc>
          <w:tcPr/>
          <w:p>
            <w:pPr>
              <w:pStyle w:val="Compact"/>
              <w:jc w:val="left"/>
            </w:pPr>
            <w:r>
              <w:rPr>
                <w:i/>
                <w:iCs/>
              </w:rPr>
              <w:t xml:space="preserve">Evanston Roundtable</w:t>
            </w:r>
            <w:r>
              <w:t xml:space="preserve"> </w:t>
            </w:r>
            <w:r>
              <w:t xml:space="preserve">(2/25/2024 p. A-7; 3/28/2024 p. A-5).</w:t>
            </w:r>
          </w:p>
        </w:tc>
        <w:tc>
          <w:tcPr/>
          <w:p>
            <w:pPr>
              <w:pStyle w:val="Compact"/>
              <w:jc w:val="left"/>
            </w:pPr>
            <w:r>
              <w:t xml:space="preserve">None.</w:t>
            </w:r>
          </w:p>
        </w:tc>
      </w:tr>
      <w:tr>
        <w:tc>
          <w:tcPr/>
          <w:p>
            <w:pPr>
              <w:pStyle w:val="Compact"/>
              <w:jc w:val="left"/>
            </w:pPr>
            <w:r>
              <w:t xml:space="preserve">93</w:t>
            </w:r>
          </w:p>
        </w:tc>
        <w:tc>
          <w:tcPr/>
          <w:p>
            <w:pPr>
              <w:pStyle w:val="Compact"/>
              <w:jc w:val="left"/>
            </w:pPr>
            <w:r>
              <w:t xml:space="preserve">City website posting (Code §9-5-8(B)(2))</w:t>
            </w:r>
          </w:p>
        </w:tc>
        <w:tc>
          <w:tcPr/>
          <w:p>
            <w:pPr>
              <w:pStyle w:val="Compact"/>
              <w:jc w:val="left"/>
            </w:pPr>
            <w:r>
              <w:t xml:space="preserve">PARTIAL</w:t>
            </w:r>
          </w:p>
        </w:tc>
        <w:tc>
          <w:tcPr/>
          <w:p>
            <w:pPr>
              <w:pStyle w:val="Compact"/>
              <w:jc w:val="left"/>
            </w:pPr>
            <w:r>
              <w:t xml:space="preserve">Report states notices posted on the City cannabis-licensing page; email confirmations from the Coordinator referenced but not included as exhibits; 3-business-day advance submission to Coordinator not documented.</w:t>
            </w:r>
          </w:p>
        </w:tc>
        <w:tc>
          <w:tcPr/>
          <w:p>
            <w:pPr>
              <w:pStyle w:val="Compact"/>
              <w:jc w:val="left"/>
            </w:pPr>
            <w:r>
              <w:t xml:space="preserve">Include website-posting confirmations as exhibits; document the 3-business-day notice submission.</w:t>
            </w:r>
          </w:p>
        </w:tc>
      </w:tr>
      <w:tr>
        <w:tc>
          <w:tcPr/>
          <w:p>
            <w:pPr>
              <w:pStyle w:val="Compact"/>
              <w:jc w:val="left"/>
            </w:pPr>
            <w:r>
              <w:t xml:space="preserve">94</w:t>
            </w:r>
          </w:p>
        </w:tc>
        <w:tc>
          <w:tcPr/>
          <w:p>
            <w:pPr>
              <w:pStyle w:val="Compact"/>
              <w:jc w:val="left"/>
            </w:pPr>
            <w:r>
              <w:t xml:space="preserve">Notice content: applicant, address, date/time/location, use description (adult-use and/or medical), contact phone + email (Code §9-5-8(C))</w:t>
            </w:r>
          </w:p>
        </w:tc>
        <w:tc>
          <w:tcPr/>
          <w:p>
            <w:pPr>
              <w:pStyle w:val="Compact"/>
              <w:jc w:val="left"/>
            </w:pPr>
            <w:r>
              <w:t xml:space="preserve">PARTIAL</w:t>
            </w:r>
          </w:p>
        </w:tc>
        <w:tc>
          <w:tcPr/>
          <w:p>
            <w:pPr>
              <w:pStyle w:val="Compact"/>
              <w:jc w:val="left"/>
            </w:pPr>
            <w:r>
              <w:t xml:space="preserve">Notices include applicant, address, date/time/location, and email;</w:t>
            </w:r>
            <w:r>
              <w:t xml:space="preserve"> </w:t>
            </w:r>
            <w:r>
              <w:rPr>
                <w:b/>
                <w:bCs/>
              </w:rPr>
              <w:t xml:space="preserve">missing telephone number</w:t>
            </w:r>
            <w:r>
              <w:t xml:space="preserve">; description says</w:t>
            </w:r>
            <w:r>
              <w:t xml:space="preserve"> </w:t>
            </w:r>
            <w:r>
              <w:t xml:space="preserve">“</w:t>
            </w:r>
            <w:r>
              <w:t xml:space="preserve">adult-use</w:t>
            </w:r>
            <w:r>
              <w:t xml:space="preserve">”</w:t>
            </w:r>
            <w:r>
              <w:t xml:space="preserve"> </w:t>
            </w:r>
            <w:r>
              <w:t xml:space="preserve">only (Greenleaf will serve both adult-use and medical).</w:t>
            </w:r>
          </w:p>
        </w:tc>
        <w:tc>
          <w:tcPr/>
          <w:p>
            <w:pPr>
              <w:pStyle w:val="Compact"/>
              <w:jc w:val="left"/>
            </w:pPr>
            <w:r>
              <w:t xml:space="preserve">Add a telephone number and state</w:t>
            </w:r>
            <w:r>
              <w:t xml:space="preserve"> </w:t>
            </w:r>
            <w:r>
              <w:t xml:space="preserve">“</w:t>
            </w:r>
            <w:r>
              <w:t xml:space="preserve">adult-use and medical</w:t>
            </w:r>
            <w:r>
              <w:t xml:space="preserve">”</w:t>
            </w:r>
            <w:r>
              <w:t xml:space="preserve"> </w:t>
            </w:r>
            <w:r>
              <w:t xml:space="preserve">in any re-noticed session.</w:t>
            </w:r>
          </w:p>
        </w:tc>
      </w:tr>
      <w:tr>
        <w:tc>
          <w:tcPr/>
          <w:p>
            <w:pPr>
              <w:pStyle w:val="Compact"/>
              <w:jc w:val="left"/>
            </w:pPr>
            <w:r>
              <w:t xml:space="preserve">95</w:t>
            </w:r>
          </w:p>
        </w:tc>
        <w:tc>
          <w:tcPr/>
          <w:p>
            <w:pPr>
              <w:pStyle w:val="Compact"/>
              <w:jc w:val="left"/>
            </w:pPr>
            <w:r>
              <w:t xml:space="preserve">At least one evening session after 5:00 PM (Code §9-5-8(D))</w:t>
            </w:r>
          </w:p>
        </w:tc>
        <w:tc>
          <w:tcPr/>
          <w:p>
            <w:pPr>
              <w:pStyle w:val="Compact"/>
              <w:jc w:val="left"/>
            </w:pPr>
            <w:r>
              <w:t xml:space="preserve">COMPLIANT</w:t>
            </w:r>
          </w:p>
        </w:tc>
        <w:tc>
          <w:tcPr/>
          <w:p>
            <w:pPr>
              <w:pStyle w:val="Compact"/>
              <w:jc w:val="left"/>
            </w:pPr>
            <w:r>
              <w:t xml:space="preserve">Both sessions at 6:30 PM.</w:t>
            </w:r>
          </w:p>
        </w:tc>
        <w:tc>
          <w:tcPr/>
          <w:p>
            <w:pPr>
              <w:pStyle w:val="Compact"/>
              <w:jc w:val="left"/>
            </w:pPr>
            <w:r>
              <w:t xml:space="preserve">None.</w:t>
            </w:r>
          </w:p>
        </w:tc>
      </w:tr>
      <w:tr>
        <w:tc>
          <w:tcPr/>
          <w:p>
            <w:pPr>
              <w:pStyle w:val="Compact"/>
              <w:jc w:val="left"/>
            </w:pPr>
            <w:r>
              <w:t xml:space="preserve">96</w:t>
            </w:r>
          </w:p>
        </w:tc>
        <w:tc>
          <w:tcPr/>
          <w:p>
            <w:pPr>
              <w:pStyle w:val="Compact"/>
              <w:jc w:val="left"/>
            </w:pPr>
            <w:r>
              <w:t xml:space="preserve">Session format: presentation + public comment (Code §9-5-8(D))</w:t>
            </w:r>
          </w:p>
        </w:tc>
        <w:tc>
          <w:tcPr/>
          <w:p>
            <w:pPr>
              <w:pStyle w:val="Compact"/>
              <w:jc w:val="left"/>
            </w:pPr>
            <w:r>
              <w:t xml:space="preserve">COMPLIANT</w:t>
            </w:r>
          </w:p>
        </w:tc>
        <w:tc>
          <w:tcPr/>
          <w:p>
            <w:pPr>
              <w:pStyle w:val="Compact"/>
              <w:jc w:val="left"/>
            </w:pPr>
            <w:r>
              <w:t xml:space="preserve">Presentation followed by open Q&amp;A at both sessions.</w:t>
            </w:r>
          </w:p>
        </w:tc>
        <w:tc>
          <w:tcPr/>
          <w:p>
            <w:pPr>
              <w:pStyle w:val="Compact"/>
              <w:jc w:val="left"/>
            </w:pPr>
            <w:r>
              <w:t xml:space="preserve">None.</w:t>
            </w:r>
          </w:p>
        </w:tc>
      </w:tr>
      <w:tr>
        <w:tc>
          <w:tcPr/>
          <w:p>
            <w:pPr>
              <w:pStyle w:val="Compact"/>
              <w:jc w:val="left"/>
            </w:pPr>
            <w:r>
              <w:t xml:space="preserve">97</w:t>
            </w:r>
          </w:p>
        </w:tc>
        <w:tc>
          <w:tcPr/>
          <w:p>
            <w:pPr>
              <w:pStyle w:val="Compact"/>
              <w:jc w:val="left"/>
            </w:pPr>
            <w:r>
              <w:t xml:space="preserve">Documentation: published notices + proof of publication (Code §9-5-8(E)(1))</w:t>
            </w:r>
          </w:p>
        </w:tc>
        <w:tc>
          <w:tcPr/>
          <w:p>
            <w:pPr>
              <w:pStyle w:val="Compact"/>
              <w:jc w:val="left"/>
            </w:pPr>
            <w:r>
              <w:t xml:space="preserve">PARTIAL</w:t>
            </w:r>
          </w:p>
        </w:tc>
        <w:tc>
          <w:tcPr/>
          <w:p>
            <w:pPr>
              <w:pStyle w:val="Compact"/>
              <w:jc w:val="left"/>
            </w:pPr>
            <w:r>
              <w:t xml:space="preserve">Copies of notices attached (Exhibit C); publisher’s affidavit not specified.</w:t>
            </w:r>
          </w:p>
        </w:tc>
        <w:tc>
          <w:tcPr/>
          <w:p>
            <w:pPr>
              <w:pStyle w:val="Compact"/>
              <w:jc w:val="left"/>
            </w:pPr>
            <w:r>
              <w:t xml:space="preserve">Obtain publisher’s affidavit or retain the published-notice copy as proof.</w:t>
            </w:r>
          </w:p>
        </w:tc>
      </w:tr>
      <w:tr>
        <w:tc>
          <w:tcPr/>
          <w:p>
            <w:pPr>
              <w:pStyle w:val="Compact"/>
              <w:jc w:val="left"/>
            </w:pPr>
            <w:r>
              <w:t xml:space="preserve">98</w:t>
            </w:r>
          </w:p>
        </w:tc>
        <w:tc>
          <w:tcPr/>
          <w:p>
            <w:pPr>
              <w:pStyle w:val="Compact"/>
              <w:jc w:val="left"/>
            </w:pPr>
            <w:r>
              <w:t xml:space="preserve">Documentation: website-posting evidence with date (Code §9-5-8(E)(2))</w:t>
            </w:r>
          </w:p>
        </w:tc>
        <w:tc>
          <w:tcPr/>
          <w:p>
            <w:pPr>
              <w:pStyle w:val="Compact"/>
              <w:jc w:val="left"/>
            </w:pPr>
            <w:r>
              <w:t xml:space="preserve">PARTIAL</w:t>
            </w:r>
          </w:p>
        </w:tc>
        <w:tc>
          <w:tcPr/>
          <w:p>
            <w:pPr>
              <w:pStyle w:val="Compact"/>
              <w:jc w:val="left"/>
            </w:pPr>
            <w:r>
              <w:t xml:space="preserve">Referenced, not included as exhibit.</w:t>
            </w:r>
          </w:p>
        </w:tc>
        <w:tc>
          <w:tcPr/>
          <w:p>
            <w:pPr>
              <w:pStyle w:val="Compact"/>
              <w:jc w:val="left"/>
            </w:pPr>
            <w:r>
              <w:t xml:space="preserve">Attach the Coordinator’s posting-confirmation emails.</w:t>
            </w:r>
          </w:p>
        </w:tc>
      </w:tr>
      <w:tr>
        <w:tc>
          <w:tcPr/>
          <w:p>
            <w:pPr>
              <w:pStyle w:val="Compact"/>
              <w:jc w:val="left"/>
            </w:pPr>
            <w:r>
              <w:t xml:space="preserve">99</w:t>
            </w:r>
          </w:p>
        </w:tc>
        <w:tc>
          <w:tcPr/>
          <w:p>
            <w:pPr>
              <w:pStyle w:val="Compact"/>
              <w:jc w:val="left"/>
            </w:pPr>
            <w:r>
              <w:t xml:space="preserve">Documentation: sign-in sheets with names and addresses (Code §9-5-8(E)(3))</w:t>
            </w:r>
          </w:p>
        </w:tc>
        <w:tc>
          <w:tcPr/>
          <w:p>
            <w:pPr>
              <w:pStyle w:val="Compact"/>
              <w:jc w:val="left"/>
            </w:pPr>
            <w:r>
              <w:t xml:space="preserve">COMPLIANT</w:t>
            </w:r>
          </w:p>
        </w:tc>
        <w:tc>
          <w:tcPr/>
          <w:p>
            <w:pPr>
              <w:pStyle w:val="Compact"/>
              <w:jc w:val="left"/>
            </w:pPr>
            <w:r>
              <w:t xml:space="preserve">Exhibits A and B list names and addresses (22 and 31 attendees).</w:t>
            </w:r>
          </w:p>
        </w:tc>
        <w:tc>
          <w:tcPr/>
          <w:p>
            <w:pPr>
              <w:pStyle w:val="Compact"/>
              <w:jc w:val="left"/>
            </w:pPr>
            <w:r>
              <w:t xml:space="preserve">None.</w:t>
            </w:r>
          </w:p>
        </w:tc>
      </w:tr>
      <w:tr>
        <w:tc>
          <w:tcPr/>
          <w:p>
            <w:pPr>
              <w:pStyle w:val="Compact"/>
              <w:jc w:val="left"/>
            </w:pPr>
            <w:r>
              <w:t xml:space="preserve">100</w:t>
            </w:r>
          </w:p>
        </w:tc>
        <w:tc>
          <w:tcPr/>
          <w:p>
            <w:pPr>
              <w:pStyle w:val="Compact"/>
              <w:jc w:val="left"/>
            </w:pPr>
            <w:r>
              <w:t xml:space="preserve">Documentation: written summary (date/time/location/duration/topics/Q&amp;A/responses) (Code §9-5-8(E)(4))</w:t>
            </w:r>
          </w:p>
        </w:tc>
        <w:tc>
          <w:tcPr/>
          <w:p>
            <w:pPr>
              <w:pStyle w:val="Compact"/>
              <w:jc w:val="left"/>
            </w:pPr>
            <w:r>
              <w:t xml:space="preserve">COMPLIANT</w:t>
            </w:r>
          </w:p>
        </w:tc>
        <w:tc>
          <w:tcPr/>
          <w:p>
            <w:pPr>
              <w:pStyle w:val="Compact"/>
              <w:jc w:val="left"/>
            </w:pPr>
            <w:r>
              <w:t xml:space="preserve">Report §§2.3 and 3.3 provide detailed summaries.</w:t>
            </w:r>
          </w:p>
        </w:tc>
        <w:tc>
          <w:tcPr/>
          <w:p>
            <w:pPr>
              <w:pStyle w:val="Compact"/>
              <w:jc w:val="left"/>
            </w:pPr>
            <w:r>
              <w:t xml:space="preserve">None.</w:t>
            </w:r>
          </w:p>
        </w:tc>
      </w:tr>
      <w:tr>
        <w:tc>
          <w:tcPr/>
          <w:p>
            <w:pPr>
              <w:pStyle w:val="Compact"/>
              <w:jc w:val="left"/>
            </w:pPr>
            <w:r>
              <w:t xml:space="preserve">101</w:t>
            </w:r>
          </w:p>
        </w:tc>
        <w:tc>
          <w:tcPr/>
          <w:p>
            <w:pPr>
              <w:pStyle w:val="Compact"/>
              <w:jc w:val="left"/>
            </w:pPr>
            <w:r>
              <w:t xml:space="preserve">Documentation: written comments/correspondence received (Code §9-5-8(E)(5))</w:t>
            </w:r>
          </w:p>
        </w:tc>
        <w:tc>
          <w:tcPr/>
          <w:p>
            <w:pPr>
              <w:pStyle w:val="Compact"/>
              <w:jc w:val="left"/>
            </w:pPr>
            <w:r>
              <w:t xml:space="preserve">NOT ADDRESSED</w:t>
            </w:r>
          </w:p>
        </w:tc>
        <w:tc>
          <w:tcPr/>
          <w:p>
            <w:pPr>
              <w:pStyle w:val="Compact"/>
              <w:jc w:val="left"/>
            </w:pPr>
            <w:r>
              <w:t xml:space="preserve">None mentioned; if none received, so state.</w:t>
            </w:r>
          </w:p>
        </w:tc>
        <w:tc>
          <w:tcPr/>
          <w:p>
            <w:pPr>
              <w:pStyle w:val="Compact"/>
              <w:jc w:val="left"/>
            </w:pPr>
            <w:r>
              <w:t xml:space="preserve">Affirm in writing whether any written public comments were received.</w:t>
            </w:r>
          </w:p>
        </w:tc>
      </w:tr>
      <w:tr>
        <w:tc>
          <w:tcPr/>
          <w:p>
            <w:pPr>
              <w:pStyle w:val="Compact"/>
              <w:jc w:val="left"/>
            </w:pPr>
            <w:r>
              <w:t xml:space="preserve">102</w:t>
            </w:r>
          </w:p>
        </w:tc>
        <w:tc>
          <w:tcPr/>
          <w:p>
            <w:pPr>
              <w:pStyle w:val="Compact"/>
              <w:jc w:val="left"/>
            </w:pPr>
            <w:r>
              <w:t xml:space="preserve">Community-feedback summary and incorporation narrative (Guide Item 12(f); Form Q23)</w:t>
            </w:r>
          </w:p>
        </w:tc>
        <w:tc>
          <w:tcPr/>
          <w:p>
            <w:pPr>
              <w:pStyle w:val="Compact"/>
              <w:jc w:val="left"/>
            </w:pPr>
            <w:r>
              <w:t xml:space="preserve">COMPLIANT (Form blank)</w:t>
            </w:r>
          </w:p>
        </w:tc>
        <w:tc>
          <w:tcPr/>
          <w:p>
            <w:pPr>
              <w:pStyle w:val="Compact"/>
              <w:jc w:val="left"/>
            </w:pPr>
            <w:r>
              <w:t xml:space="preserve">Report §4 and business plan §8.2 summarize feedback and responses.</w:t>
            </w:r>
          </w:p>
        </w:tc>
        <w:tc>
          <w:tcPr/>
          <w:p>
            <w:pPr>
              <w:pStyle w:val="Compact"/>
              <w:jc w:val="left"/>
            </w:pPr>
            <w:r>
              <w:t xml:space="preserve">Complete Form Q23.</w:t>
            </w:r>
          </w:p>
        </w:tc>
      </w:tr>
    </w:tbl>
    <w:bookmarkEnd w:id="35"/>
    <w:bookmarkStart w:id="36" w:name="community-benefits-plan"/>
    <w:p>
      <w:pPr>
        <w:pStyle w:val="Heading3"/>
      </w:pPr>
      <w:r>
        <w:t xml:space="preserve">3.15 Community Benefits Plan</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103</w:t>
            </w:r>
          </w:p>
        </w:tc>
        <w:tc>
          <w:tcPr/>
          <w:p>
            <w:pPr>
              <w:pStyle w:val="Compact"/>
              <w:jc w:val="left"/>
            </w:pPr>
            <w:r>
              <w:t xml:space="preserve">Community benefits plan (Code §9-5-5(B)(12); §9-5-15; Guide Item 13; Form Q28)</w:t>
            </w:r>
          </w:p>
        </w:tc>
        <w:tc>
          <w:tcPr/>
          <w:p>
            <w:pPr>
              <w:pStyle w:val="Compact"/>
              <w:jc w:val="left"/>
            </w:pPr>
            <w:r>
              <w:t xml:space="preserve">PARTIAL</w:t>
            </w:r>
          </w:p>
        </w:tc>
        <w:tc>
          <w:tcPr/>
          <w:p>
            <w:pPr>
              <w:pStyle w:val="Compact"/>
              <w:jc w:val="left"/>
            </w:pPr>
            <w:r>
              <w:t xml:space="preserve">Business plan §7.4; Form Q28 blank.</w:t>
            </w:r>
          </w:p>
        </w:tc>
        <w:tc>
          <w:tcPr/>
          <w:p>
            <w:pPr>
              <w:pStyle w:val="Compact"/>
              <w:jc w:val="left"/>
            </w:pPr>
            <w:r>
              <w:t xml:space="preserve">Complete Form Q28; attach plan.</w:t>
            </w:r>
          </w:p>
        </w:tc>
      </w:tr>
      <w:tr>
        <w:tc>
          <w:tcPr/>
          <w:p>
            <w:pPr>
              <w:pStyle w:val="Compact"/>
              <w:jc w:val="left"/>
            </w:pPr>
            <w:r>
              <w:t xml:space="preserve">104</w:t>
            </w:r>
          </w:p>
        </w:tc>
        <w:tc>
          <w:tcPr/>
          <w:p>
            <w:pPr>
              <w:pStyle w:val="Compact"/>
              <w:jc w:val="left"/>
            </w:pPr>
            <w:r>
              <w:t xml:space="preserve">Annual contribution = greater of $25,000 or 1% gross revenue (Code §9-5-15(B))</w:t>
            </w:r>
          </w:p>
        </w:tc>
        <w:tc>
          <w:tcPr/>
          <w:p>
            <w:pPr>
              <w:pStyle w:val="Compact"/>
              <w:jc w:val="left"/>
            </w:pPr>
            <w:r>
              <w:t xml:space="preserve">COMPLIANT</w:t>
            </w:r>
          </w:p>
        </w:tc>
        <w:tc>
          <w:tcPr/>
          <w:p>
            <w:pPr>
              <w:pStyle w:val="Compact"/>
              <w:jc w:val="left"/>
            </w:pPr>
            <w:r>
              <w:t xml:space="preserve">Year 1: $32,000 (1% of $3,200,000 &gt; $25,000).</w:t>
            </w:r>
          </w:p>
        </w:tc>
        <w:tc>
          <w:tcPr/>
          <w:p>
            <w:pPr>
              <w:pStyle w:val="Compact"/>
              <w:jc w:val="left"/>
            </w:pPr>
            <w:r>
              <w:t xml:space="preserve">None.</w:t>
            </w:r>
          </w:p>
        </w:tc>
      </w:tr>
      <w:tr>
        <w:tc>
          <w:tcPr/>
          <w:p>
            <w:pPr>
              <w:pStyle w:val="Compact"/>
              <w:jc w:val="left"/>
            </w:pPr>
            <w:r>
              <w:t xml:space="preserve">105</w:t>
            </w:r>
          </w:p>
        </w:tc>
        <w:tc>
          <w:tcPr/>
          <w:p>
            <w:pPr>
              <w:pStyle w:val="Compact"/>
              <w:jc w:val="left"/>
            </w:pPr>
            <w:r>
              <w:t xml:space="preserve">Specific beneficiary organizations/programs (Guide Item 13(b))</w:t>
            </w:r>
          </w:p>
        </w:tc>
        <w:tc>
          <w:tcPr/>
          <w:p>
            <w:pPr>
              <w:pStyle w:val="Compact"/>
              <w:jc w:val="left"/>
            </w:pPr>
            <w:r>
              <w:t xml:space="preserve">NON-COMPLIANT</w:t>
            </w:r>
          </w:p>
        </w:tc>
        <w:tc>
          <w:tcPr/>
          <w:p>
            <w:pPr>
              <w:pStyle w:val="Compact"/>
              <w:jc w:val="left"/>
            </w:pPr>
            <w:r>
              <w:t xml:space="preserve">None identified; business plan states Greenleaf</w:t>
            </w:r>
            <w:r>
              <w:t xml:space="preserve"> </w:t>
            </w:r>
            <w:r>
              <w:t xml:space="preserve">“</w:t>
            </w:r>
            <w:r>
              <w:t xml:space="preserve">will work with the City to identify specific beneficiary organizations.</w:t>
            </w:r>
            <w:r>
              <w:t xml:space="preserve">”</w:t>
            </w:r>
          </w:p>
        </w:tc>
        <w:tc>
          <w:tcPr/>
          <w:p>
            <w:pPr>
              <w:pStyle w:val="Compact"/>
              <w:jc w:val="left"/>
            </w:pPr>
            <w:r>
              <w:t xml:space="preserve">Identify specific beneficiary organizations/programs before submission.</w:t>
            </w:r>
          </w:p>
        </w:tc>
      </w:tr>
      <w:tr>
        <w:tc>
          <w:tcPr/>
          <w:p>
            <w:pPr>
              <w:pStyle w:val="Compact"/>
              <w:jc w:val="left"/>
            </w:pPr>
            <w:r>
              <w:t xml:space="preserve">106</w:t>
            </w:r>
          </w:p>
        </w:tc>
        <w:tc>
          <w:tcPr/>
          <w:p>
            <w:pPr>
              <w:pStyle w:val="Compact"/>
              <w:jc w:val="left"/>
            </w:pPr>
            <w:r>
              <w:t xml:space="preserve">Signed community benefit agreement (pre-issuance) (Code §9-5-11(H); §9-5-15)</w:t>
            </w:r>
          </w:p>
        </w:tc>
        <w:tc>
          <w:tcPr/>
          <w:p>
            <w:pPr>
              <w:pStyle w:val="Compact"/>
              <w:jc w:val="left"/>
            </w:pPr>
            <w:r>
              <w:t xml:space="preserve">PENDING</w:t>
            </w:r>
          </w:p>
        </w:tc>
        <w:tc>
          <w:tcPr/>
          <w:p>
            <w:pPr>
              <w:pStyle w:val="Compact"/>
              <w:jc w:val="left"/>
            </w:pPr>
            <w:r>
              <w:t xml:space="preserve">Pre-issuance; not yet executed.</w:t>
            </w:r>
          </w:p>
        </w:tc>
        <w:tc>
          <w:tcPr/>
          <w:p>
            <w:pPr>
              <w:pStyle w:val="Compact"/>
              <w:jc w:val="left"/>
            </w:pPr>
            <w:r>
              <w:t xml:space="preserve">Execute and submit the community benefit agreement before permit issuance.</w:t>
            </w:r>
          </w:p>
        </w:tc>
      </w:tr>
      <w:tr>
        <w:tc>
          <w:tcPr/>
          <w:p>
            <w:pPr>
              <w:pStyle w:val="Compact"/>
              <w:jc w:val="left"/>
            </w:pPr>
            <w:r>
              <w:t xml:space="preserve">107</w:t>
            </w:r>
          </w:p>
        </w:tc>
        <w:tc>
          <w:tcPr/>
          <w:p>
            <w:pPr>
              <w:pStyle w:val="Compact"/>
              <w:jc w:val="left"/>
            </w:pPr>
            <w:r>
              <w:t xml:space="preserve">Audited gross-revenue statement by IL-licensed CPA (post-issuance) (Code §9-5-15(D))</w:t>
            </w:r>
          </w:p>
        </w:tc>
        <w:tc>
          <w:tcPr/>
          <w:p>
            <w:pPr>
              <w:pStyle w:val="Compact"/>
              <w:jc w:val="left"/>
            </w:pPr>
            <w:r>
              <w:t xml:space="preserve">PENDING</w:t>
            </w:r>
          </w:p>
        </w:tc>
        <w:tc>
          <w:tcPr/>
          <w:p>
            <w:pPr>
              <w:pStyle w:val="Compact"/>
              <w:jc w:val="left"/>
            </w:pPr>
            <w:r>
              <w:t xml:space="preserve">Post-issuance; due within 90 days of permit-year end.</w:t>
            </w:r>
          </w:p>
        </w:tc>
        <w:tc>
          <w:tcPr/>
          <w:p>
            <w:pPr>
              <w:pStyle w:val="Compact"/>
              <w:jc w:val="left"/>
            </w:pPr>
            <w:r>
              <w:t xml:space="preserve">Engage IL-licensed CPA; calendar annual obligation.</w:t>
            </w:r>
          </w:p>
        </w:tc>
      </w:tr>
    </w:tbl>
    <w:bookmarkEnd w:id="36"/>
    <w:bookmarkStart w:id="37" w:name="diversity-inclusion-plan"/>
    <w:p>
      <w:pPr>
        <w:pStyle w:val="Heading3"/>
      </w:pPr>
      <w:r>
        <w:t xml:space="preserve">3.16 Diversity &amp; Inclusion Plan</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108</w:t>
            </w:r>
          </w:p>
        </w:tc>
        <w:tc>
          <w:tcPr/>
          <w:p>
            <w:pPr>
              <w:pStyle w:val="Compact"/>
              <w:jc w:val="left"/>
            </w:pPr>
            <w:r>
              <w:t xml:space="preserve">Standalone Diversity &amp; Inclusion Plan, 3–5 pages (Code §9-5-5(B)(13); §9-5-20; Guide Item 14; Form Q32)</w:t>
            </w:r>
          </w:p>
        </w:tc>
        <w:tc>
          <w:tcPr/>
          <w:p>
            <w:pPr>
              <w:pStyle w:val="Compact"/>
              <w:jc w:val="left"/>
            </w:pPr>
            <w:r>
              <w:t xml:space="preserve">NON-COMPLIANT</w:t>
            </w:r>
          </w:p>
        </w:tc>
        <w:tc>
          <w:tcPr/>
          <w:p>
            <w:pPr>
              <w:pStyle w:val="Compact"/>
              <w:jc w:val="left"/>
            </w:pPr>
            <w:r>
              <w:t xml:space="preserve">No standalone plan; business-plan sections only; Form Q32 blank.</w:t>
            </w:r>
          </w:p>
        </w:tc>
        <w:tc>
          <w:tcPr/>
          <w:p>
            <w:pPr>
              <w:pStyle w:val="Compact"/>
              <w:jc w:val="left"/>
            </w:pPr>
            <w:r>
              <w:t xml:space="preserve">Prepare a standalone 3–5 page D&amp;I Plan; complete Form Q32.</w:t>
            </w:r>
          </w:p>
        </w:tc>
      </w:tr>
      <w:tr>
        <w:tc>
          <w:tcPr/>
          <w:p>
            <w:pPr>
              <w:pStyle w:val="Compact"/>
              <w:jc w:val="left"/>
            </w:pPr>
            <w:r>
              <w:t xml:space="preserve">109</w:t>
            </w:r>
          </w:p>
        </w:tc>
        <w:tc>
          <w:tcPr/>
          <w:p>
            <w:pPr>
              <w:pStyle w:val="Compact"/>
              <w:jc w:val="left"/>
            </w:pPr>
            <w:r>
              <w:t xml:space="preserve">Hiring practices, outreach, workforce partnerships (Code §9-5-20(B)(1))</w:t>
            </w:r>
          </w:p>
        </w:tc>
        <w:tc>
          <w:tcPr/>
          <w:p>
            <w:pPr>
              <w:pStyle w:val="Compact"/>
              <w:jc w:val="left"/>
            </w:pPr>
            <w:r>
              <w:t xml:space="preserve">PARTIAL</w:t>
            </w:r>
          </w:p>
        </w:tc>
        <w:tc>
          <w:tcPr/>
          <w:p>
            <w:pPr>
              <w:pStyle w:val="Compact"/>
              <w:jc w:val="left"/>
            </w:pPr>
            <w:r>
              <w:t xml:space="preserve">Business plan §7.2 lists strategies;</w:t>
            </w:r>
            <w:r>
              <w:t xml:space="preserve"> </w:t>
            </w:r>
            <w:r>
              <w:t xml:space="preserve">“</w:t>
            </w:r>
            <w:r>
              <w:t xml:space="preserve">specific partnerships … have not yet been formalized.</w:t>
            </w:r>
            <w:r>
              <w:t xml:space="preserve">”</w:t>
            </w:r>
          </w:p>
        </w:tc>
        <w:tc>
          <w:tcPr/>
          <w:p>
            <w:pPr>
              <w:pStyle w:val="Compact"/>
              <w:jc w:val="left"/>
            </w:pPr>
            <w:r>
              <w:t xml:space="preserve">Formalize and name specific workforce-development partners.</w:t>
            </w:r>
          </w:p>
        </w:tc>
      </w:tr>
      <w:tr>
        <w:tc>
          <w:tcPr/>
          <w:p>
            <w:pPr>
              <w:pStyle w:val="Compact"/>
              <w:jc w:val="left"/>
            </w:pPr>
            <w:r>
              <w:t xml:space="preserve">110</w:t>
            </w:r>
          </w:p>
        </w:tc>
        <w:tc>
          <w:tcPr/>
          <w:p>
            <w:pPr>
              <w:pStyle w:val="Compact"/>
              <w:jc w:val="left"/>
            </w:pPr>
            <w:r>
              <w:t xml:space="preserve">Specific, measurable hiring goals with targets/timelines (Code §9-5-20(B)(2))</w:t>
            </w:r>
          </w:p>
        </w:tc>
        <w:tc>
          <w:tcPr/>
          <w:p>
            <w:pPr>
              <w:pStyle w:val="Compact"/>
              <w:jc w:val="left"/>
            </w:pPr>
            <w:r>
              <w:t xml:space="preserve">PARTIAL</w:t>
            </w:r>
          </w:p>
        </w:tc>
        <w:tc>
          <w:tcPr/>
          <w:p>
            <w:pPr>
              <w:pStyle w:val="Compact"/>
              <w:jc w:val="left"/>
            </w:pPr>
            <w:r>
              <w:t xml:space="preserve">50% R3 goal stated; other numerical targets and timelines not detailed.</w:t>
            </w:r>
          </w:p>
        </w:tc>
        <w:tc>
          <w:tcPr/>
          <w:p>
            <w:pPr>
              <w:pStyle w:val="Compact"/>
              <w:jc w:val="left"/>
            </w:pPr>
            <w:r>
              <w:t xml:space="preserve">Add specific numerical targets and timelines for diverse hiring.</w:t>
            </w:r>
          </w:p>
        </w:tc>
      </w:tr>
      <w:tr>
        <w:tc>
          <w:tcPr/>
          <w:p>
            <w:pPr>
              <w:pStyle w:val="Compact"/>
              <w:jc w:val="left"/>
            </w:pPr>
            <w:r>
              <w:t xml:space="preserve">111</w:t>
            </w:r>
          </w:p>
        </w:tc>
        <w:tc>
          <w:tcPr/>
          <w:p>
            <w:pPr>
              <w:pStyle w:val="Compact"/>
              <w:jc w:val="left"/>
            </w:pPr>
            <w:r>
              <w:t xml:space="preserve">Vendor/contractor diversity (MWBE, veteran-owned, local) (Code §9-5-20(B)(3))</w:t>
            </w:r>
          </w:p>
        </w:tc>
        <w:tc>
          <w:tcPr/>
          <w:p>
            <w:pPr>
              <w:pStyle w:val="Compact"/>
              <w:jc w:val="left"/>
            </w:pPr>
            <w:r>
              <w:t xml:space="preserve">PARTIAL</w:t>
            </w:r>
          </w:p>
        </w:tc>
        <w:tc>
          <w:tcPr/>
          <w:p>
            <w:pPr>
              <w:pStyle w:val="Compact"/>
              <w:jc w:val="left"/>
            </w:pPr>
            <w:r>
              <w:t xml:space="preserve">Commitment stated (business plan §7.5); no specific vendors identified.</w:t>
            </w:r>
          </w:p>
        </w:tc>
        <w:tc>
          <w:tcPr/>
          <w:p>
            <w:pPr>
              <w:pStyle w:val="Compact"/>
              <w:jc w:val="left"/>
            </w:pPr>
            <w:r>
              <w:t xml:space="preserve">Identify specific diverse vendors/contractors and engagement methods.</w:t>
            </w:r>
          </w:p>
        </w:tc>
      </w:tr>
      <w:tr>
        <w:tc>
          <w:tcPr/>
          <w:p>
            <w:pPr>
              <w:pStyle w:val="Compact"/>
              <w:jc w:val="left"/>
            </w:pPr>
            <w:r>
              <w:t xml:space="preserve">112</w:t>
            </w:r>
          </w:p>
        </w:tc>
        <w:tc>
          <w:tcPr/>
          <w:p>
            <w:pPr>
              <w:pStyle w:val="Compact"/>
              <w:jc w:val="left"/>
            </w:pPr>
            <w:r>
              <w:t xml:space="preserve">DEI training: unconscious bias, cultural competency, anti-discrimination (Code §9-5-20(B)(4))</w:t>
            </w:r>
          </w:p>
        </w:tc>
        <w:tc>
          <w:tcPr/>
          <w:p>
            <w:pPr>
              <w:pStyle w:val="Compact"/>
              <w:jc w:val="left"/>
            </w:pPr>
            <w:r>
              <w:t xml:space="preserve">NOT ADDRESSED</w:t>
            </w:r>
          </w:p>
        </w:tc>
        <w:tc>
          <w:tcPr/>
          <w:p>
            <w:pPr>
              <w:pStyle w:val="Compact"/>
              <w:jc w:val="left"/>
            </w:pPr>
            <w:r>
              <w:t xml:space="preserve">Business-plan training covers product/compliance/security, not DEI-specific topics.</w:t>
            </w:r>
          </w:p>
        </w:tc>
        <w:tc>
          <w:tcPr/>
          <w:p>
            <w:pPr>
              <w:pStyle w:val="Compact"/>
              <w:jc w:val="left"/>
            </w:pPr>
            <w:r>
              <w:t xml:space="preserve">Add DEI training curriculum to the plan.</w:t>
            </w:r>
          </w:p>
        </w:tc>
      </w:tr>
      <w:tr>
        <w:tc>
          <w:tcPr/>
          <w:p>
            <w:pPr>
              <w:pStyle w:val="Compact"/>
              <w:jc w:val="left"/>
            </w:pPr>
            <w:r>
              <w:t xml:space="preserve">113</w:t>
            </w:r>
          </w:p>
        </w:tc>
        <w:tc>
          <w:tcPr/>
          <w:p>
            <w:pPr>
              <w:pStyle w:val="Compact"/>
              <w:jc w:val="left"/>
            </w:pPr>
            <w:r>
              <w:t xml:space="preserve">Measurement and reporting metrics/benchmarks (Code §9-5-20(B)(5))</w:t>
            </w:r>
          </w:p>
        </w:tc>
        <w:tc>
          <w:tcPr/>
          <w:p>
            <w:pPr>
              <w:pStyle w:val="Compact"/>
              <w:jc w:val="left"/>
            </w:pPr>
            <w:r>
              <w:t xml:space="preserve">PARTIAL</w:t>
            </w:r>
          </w:p>
        </w:tc>
        <w:tc>
          <w:tcPr/>
          <w:p>
            <w:pPr>
              <w:pStyle w:val="Compact"/>
              <w:jc w:val="left"/>
            </w:pPr>
            <w:r>
              <w:t xml:space="preserve">Monthly internal monitoring mentioned; metrics/benchmarks not detailed.</w:t>
            </w:r>
          </w:p>
        </w:tc>
        <w:tc>
          <w:tcPr/>
          <w:p>
            <w:pPr>
              <w:pStyle w:val="Compact"/>
              <w:jc w:val="left"/>
            </w:pPr>
            <w:r>
              <w:t xml:space="preserve">Define specific metrics, benchmarks, and reporting cadence.</w:t>
            </w:r>
          </w:p>
        </w:tc>
      </w:tr>
      <w:tr>
        <w:tc>
          <w:tcPr/>
          <w:p>
            <w:pPr>
              <w:pStyle w:val="Compact"/>
              <w:jc w:val="left"/>
            </w:pPr>
            <w:r>
              <w:t xml:space="preserve">114</w:t>
            </w:r>
          </w:p>
        </w:tc>
        <w:tc>
          <w:tcPr/>
          <w:p>
            <w:pPr>
              <w:pStyle w:val="Compact"/>
              <w:jc w:val="left"/>
            </w:pPr>
            <w:r>
              <w:t xml:space="preserve">Social-equity hiring pipeline: specific partners, methods, timeline, contingency (Code §9-5-20(C))</w:t>
            </w:r>
          </w:p>
        </w:tc>
        <w:tc>
          <w:tcPr/>
          <w:p>
            <w:pPr>
              <w:pStyle w:val="Compact"/>
              <w:jc w:val="left"/>
            </w:pPr>
            <w:r>
              <w:t xml:space="preserve">NON-COMPLIANT</w:t>
            </w:r>
          </w:p>
        </w:tc>
        <w:tc>
          <w:tcPr/>
          <w:p>
            <w:pPr>
              <w:pStyle w:val="Compact"/>
              <w:jc w:val="left"/>
            </w:pPr>
            <w:r>
              <w:t xml:space="preserve">Partners not formalized; no timeline; no contingency plan if recruitment is insufficient.</w:t>
            </w:r>
          </w:p>
        </w:tc>
        <w:tc>
          <w:tcPr/>
          <w:p>
            <w:pPr>
              <w:pStyle w:val="Compact"/>
              <w:jc w:val="left"/>
            </w:pPr>
            <w:r>
              <w:t xml:space="preserve">Detail the hiring pipeline with named partners, recruitment methods, timeline to 50%, and contingency plan.</w:t>
            </w:r>
          </w:p>
        </w:tc>
      </w:tr>
    </w:tbl>
    <w:bookmarkEnd w:id="37"/>
    <w:bookmarkStart w:id="38" w:name="social-equity"/>
    <w:p>
      <w:pPr>
        <w:pStyle w:val="Heading3"/>
      </w:pPr>
      <w:r>
        <w:t xml:space="preserve">3.17 Social Equity</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115</w:t>
            </w:r>
          </w:p>
        </w:tc>
        <w:tc>
          <w:tcPr/>
          <w:p>
            <w:pPr>
              <w:pStyle w:val="Compact"/>
              <w:jc w:val="left"/>
            </w:pPr>
            <w:r>
              <w:t xml:space="preserve">Social-equity claim and qualifying basis (Code §9-5-19(B); Guide §2; Form Q19)</w:t>
            </w:r>
          </w:p>
        </w:tc>
        <w:tc>
          <w:tcPr/>
          <w:p>
            <w:pPr>
              <w:pStyle w:val="Compact"/>
              <w:jc w:val="left"/>
            </w:pPr>
            <w:r>
              <w:t xml:space="preserve">PARTIAL</w:t>
            </w:r>
          </w:p>
        </w:tc>
        <w:tc>
          <w:tcPr/>
          <w:p>
            <w:pPr>
              <w:pStyle w:val="Compact"/>
              <w:jc w:val="left"/>
            </w:pPr>
            <w:r>
              <w:t xml:space="preserve">Claimed; Okonkwo 60% qualifying owner; R3 residency + expunged 2016 conviction; Form Q19 blank.</w:t>
            </w:r>
          </w:p>
        </w:tc>
        <w:tc>
          <w:tcPr/>
          <w:p>
            <w:pPr>
              <w:pStyle w:val="Compact"/>
              <w:jc w:val="left"/>
            </w:pPr>
            <w:r>
              <w:t xml:space="preserve">Complete Form Q19; attach supporting documentation.</w:t>
            </w:r>
          </w:p>
        </w:tc>
      </w:tr>
      <w:tr>
        <w:tc>
          <w:tcPr/>
          <w:p>
            <w:pPr>
              <w:pStyle w:val="Compact"/>
              <w:jc w:val="left"/>
            </w:pPr>
            <w:r>
              <w:t xml:space="preserve">116</w:t>
            </w:r>
          </w:p>
        </w:tc>
        <w:tc>
          <w:tcPr/>
          <w:p>
            <w:pPr>
              <w:pStyle w:val="Compact"/>
              <w:jc w:val="left"/>
            </w:pPr>
            <w:r>
              <w:t xml:space="preserve">R3 census tract on the City’s designated list (Code §9-5-19(G))</w:t>
            </w:r>
          </w:p>
        </w:tc>
        <w:tc>
          <w:tcPr/>
          <w:p>
            <w:pPr>
              <w:pStyle w:val="Compact"/>
              <w:jc w:val="left"/>
            </w:pPr>
            <w:r>
              <w:t xml:space="preserve">COMPLIANT</w:t>
            </w:r>
          </w:p>
        </w:tc>
        <w:tc>
          <w:tcPr/>
          <w:p>
            <w:pPr>
              <w:pStyle w:val="Compact"/>
              <w:jc w:val="left"/>
            </w:pPr>
            <w:r>
              <w:t xml:space="preserve">Tract 8092.02 is among the designated R3 tracts.</w:t>
            </w:r>
          </w:p>
        </w:tc>
        <w:tc>
          <w:tcPr/>
          <w:p>
            <w:pPr>
              <w:pStyle w:val="Compact"/>
              <w:jc w:val="left"/>
            </w:pPr>
            <w:r>
              <w:t xml:space="preserve">None.</w:t>
            </w:r>
          </w:p>
        </w:tc>
      </w:tr>
      <w:tr>
        <w:tc>
          <w:tcPr/>
          <w:p>
            <w:pPr>
              <w:pStyle w:val="Compact"/>
              <w:jc w:val="left"/>
            </w:pPr>
            <w:r>
              <w:t xml:space="preserve">117</w:t>
            </w:r>
          </w:p>
        </w:tc>
        <w:tc>
          <w:tcPr/>
          <w:p>
            <w:pPr>
              <w:pStyle w:val="Compact"/>
              <w:jc w:val="left"/>
            </w:pPr>
            <w:r>
              <w:t xml:space="preserve">R3 residency duration — ≥24 months continuous immediately before application (Code §9-5-19(B)(1))</w:t>
            </w:r>
          </w:p>
        </w:tc>
        <w:tc>
          <w:tcPr/>
          <w:p>
            <w:pPr>
              <w:pStyle w:val="Compact"/>
              <w:jc w:val="left"/>
            </w:pPr>
            <w:r>
              <w:t xml:space="preserve">NOT CONFIRMED</w:t>
            </w:r>
          </w:p>
        </w:tc>
        <w:tc>
          <w:tcPr/>
          <w:p>
            <w:pPr>
              <w:pStyle w:val="Compact"/>
              <w:jc w:val="left"/>
            </w:pPr>
            <w:r>
              <w:t xml:space="preserve">Business plan states Okonkwo resides in tract 8092.02; duration not documented; Form Q20 blank.</w:t>
            </w:r>
          </w:p>
        </w:tc>
        <w:tc>
          <w:tcPr/>
          <w:p>
            <w:pPr>
              <w:pStyle w:val="Compact"/>
              <w:jc w:val="left"/>
            </w:pPr>
            <w:r>
              <w:t xml:space="preserve">Document 24-month continuous residency with dated proof (utility bills, lease, ID) and census-tract verification.</w:t>
            </w:r>
          </w:p>
        </w:tc>
      </w:tr>
      <w:tr>
        <w:tc>
          <w:tcPr/>
          <w:p>
            <w:pPr>
              <w:pStyle w:val="Compact"/>
              <w:jc w:val="left"/>
            </w:pPr>
            <w:r>
              <w:t xml:space="preserve">118</w:t>
            </w:r>
          </w:p>
        </w:tc>
        <w:tc>
          <w:tcPr/>
          <w:p>
            <w:pPr>
              <w:pStyle w:val="Compact"/>
              <w:jc w:val="left"/>
            </w:pPr>
            <w:r>
              <w:t xml:space="preserve">Prior cannabis conviction expunged/sealed/pardoned — documentation (Code §9-5-19(B)(2))</w:t>
            </w:r>
          </w:p>
        </w:tc>
        <w:tc>
          <w:tcPr/>
          <w:p>
            <w:pPr>
              <w:pStyle w:val="Compact"/>
              <w:jc w:val="left"/>
            </w:pPr>
            <w:r>
              <w:t xml:space="preserve">PARTIAL</w:t>
            </w:r>
          </w:p>
        </w:tc>
        <w:tc>
          <w:tcPr/>
          <w:p>
            <w:pPr>
              <w:pStyle w:val="Compact"/>
              <w:jc w:val="left"/>
            </w:pPr>
            <w:r>
              <w:t xml:space="preserve">Business plan states 2016 Cook County misdemeanor expunged in 2020; expungement court order not in package.</w:t>
            </w:r>
          </w:p>
        </w:tc>
        <w:tc>
          <w:tcPr/>
          <w:p>
            <w:pPr>
              <w:pStyle w:val="Compact"/>
              <w:jc w:val="left"/>
            </w:pPr>
            <w:r>
              <w:t xml:space="preserve">Attach the expungement court order; confirm it satisfies the Code’s</w:t>
            </w:r>
            <w:r>
              <w:t xml:space="preserve"> </w:t>
            </w:r>
            <w:r>
              <w:t xml:space="preserve">“</w:t>
            </w:r>
            <w:r>
              <w:t xml:space="preserve">expunged, sealed, or pardoned</w:t>
            </w:r>
            <w:r>
              <w:t xml:space="preserve">”</w:t>
            </w:r>
            <w:r>
              <w:t xml:space="preserve"> </w:t>
            </w:r>
            <w:r>
              <w:t xml:space="preserve">standard.</w:t>
            </w:r>
          </w:p>
        </w:tc>
      </w:tr>
      <w:tr>
        <w:tc>
          <w:tcPr/>
          <w:p>
            <w:pPr>
              <w:pStyle w:val="Compact"/>
              <w:jc w:val="left"/>
            </w:pPr>
            <w:r>
              <w:t xml:space="preserve">119</w:t>
            </w:r>
          </w:p>
        </w:tc>
        <w:tc>
          <w:tcPr/>
          <w:p>
            <w:pPr>
              <w:pStyle w:val="Compact"/>
              <w:jc w:val="left"/>
            </w:pPr>
            <w:r>
              <w:t xml:space="preserve">Qualifying ownership ≥51% / majority (Code §9-5-19(B); Guide §2)</w:t>
            </w:r>
          </w:p>
        </w:tc>
        <w:tc>
          <w:tcPr/>
          <w:p>
            <w:pPr>
              <w:pStyle w:val="Compact"/>
              <w:jc w:val="left"/>
            </w:pPr>
            <w:r>
              <w:t xml:space="preserve">COMPLIANT</w:t>
            </w:r>
          </w:p>
        </w:tc>
        <w:tc>
          <w:tcPr/>
          <w:p>
            <w:pPr>
              <w:pStyle w:val="Compact"/>
              <w:jc w:val="left"/>
            </w:pPr>
            <w:r>
              <w:t xml:space="preserve">Okonkwo holds 60% (&gt;51% and a majority).</w:t>
            </w:r>
          </w:p>
        </w:tc>
        <w:tc>
          <w:tcPr/>
          <w:p>
            <w:pPr>
              <w:pStyle w:val="Compact"/>
              <w:jc w:val="left"/>
            </w:pPr>
            <w:r>
              <w:t xml:space="preserve">None.</w:t>
            </w:r>
          </w:p>
        </w:tc>
      </w:tr>
      <w:tr>
        <w:tc>
          <w:tcPr/>
          <w:p>
            <w:pPr>
              <w:pStyle w:val="Compact"/>
              <w:jc w:val="left"/>
            </w:pPr>
            <w:r>
              <w:t xml:space="preserve">120</w:t>
            </w:r>
          </w:p>
        </w:tc>
        <w:tc>
          <w:tcPr/>
          <w:p>
            <w:pPr>
              <w:pStyle w:val="Compact"/>
              <w:jc w:val="left"/>
            </w:pPr>
            <w:r>
              <w:t xml:space="preserve">Social-equity documentation packet (Guide Item 18)</w:t>
            </w:r>
          </w:p>
        </w:tc>
        <w:tc>
          <w:tcPr/>
          <w:p>
            <w:pPr>
              <w:pStyle w:val="Compact"/>
              <w:jc w:val="left"/>
            </w:pPr>
            <w:r>
              <w:t xml:space="preserve">NOT SUBMITTED</w:t>
            </w:r>
          </w:p>
        </w:tc>
        <w:tc>
          <w:tcPr/>
          <w:p>
            <w:pPr>
              <w:pStyle w:val="Compact"/>
              <w:jc w:val="left"/>
            </w:pPr>
            <w:r>
              <w:t xml:space="preserve">Residency proof, conviction/expungement records, and signed commitments not in package.</w:t>
            </w:r>
          </w:p>
        </w:tc>
        <w:tc>
          <w:tcPr/>
          <w:p>
            <w:pPr>
              <w:pStyle w:val="Compact"/>
              <w:jc w:val="left"/>
            </w:pPr>
            <w:r>
              <w:t xml:space="preserve">Assemble and submit the full Item 18 packet.</w:t>
            </w:r>
          </w:p>
        </w:tc>
      </w:tr>
      <w:tr>
        <w:tc>
          <w:tcPr/>
          <w:p>
            <w:pPr>
              <w:pStyle w:val="Compact"/>
              <w:jc w:val="left"/>
            </w:pPr>
            <w:r>
              <w:t xml:space="preserve">121</w:t>
            </w:r>
          </w:p>
        </w:tc>
        <w:tc>
          <w:tcPr/>
          <w:p>
            <w:pPr>
              <w:pStyle w:val="Compact"/>
              <w:jc w:val="left"/>
            </w:pPr>
            <w:r>
              <w:t xml:space="preserve">Signed commitment: ≥50% R3 workforce hiring (Guide Item 18(d); Form Q21(a))</w:t>
            </w:r>
          </w:p>
        </w:tc>
        <w:tc>
          <w:tcPr/>
          <w:p>
            <w:pPr>
              <w:pStyle w:val="Compact"/>
              <w:jc w:val="left"/>
            </w:pPr>
            <w:r>
              <w:t xml:space="preserve">NOT SUBMITTED</w:t>
            </w:r>
          </w:p>
        </w:tc>
        <w:tc>
          <w:tcPr/>
          <w:p>
            <w:pPr>
              <w:pStyle w:val="Compact"/>
              <w:jc w:val="left"/>
            </w:pPr>
            <w:r>
              <w:t xml:space="preserve">Form Q21 blank/unsigned; business plan commits.</w:t>
            </w:r>
          </w:p>
        </w:tc>
        <w:tc>
          <w:tcPr/>
          <w:p>
            <w:pPr>
              <w:pStyle w:val="Compact"/>
              <w:jc w:val="left"/>
            </w:pPr>
            <w:r>
              <w:t xml:space="preserve">Execute the signed commitment; complete Form Q21.</w:t>
            </w:r>
          </w:p>
        </w:tc>
      </w:tr>
      <w:tr>
        <w:tc>
          <w:tcPr/>
          <w:p>
            <w:pPr>
              <w:pStyle w:val="Compact"/>
              <w:jc w:val="left"/>
            </w:pPr>
            <w:r>
              <w:t xml:space="preserve">122</w:t>
            </w:r>
          </w:p>
        </w:tc>
        <w:tc>
          <w:tcPr/>
          <w:p>
            <w:pPr>
              <w:pStyle w:val="Compact"/>
              <w:jc w:val="left"/>
            </w:pPr>
            <w:r>
              <w:t xml:space="preserve">Signed commitment: 2-year mentorship program participation (Guide Item 18(c); Form Q21(b))</w:t>
            </w:r>
          </w:p>
        </w:tc>
        <w:tc>
          <w:tcPr/>
          <w:p>
            <w:pPr>
              <w:pStyle w:val="Compact"/>
              <w:jc w:val="left"/>
            </w:pPr>
            <w:r>
              <w:t xml:space="preserve">NOT SUBMITTED</w:t>
            </w:r>
          </w:p>
        </w:tc>
        <w:tc>
          <w:tcPr/>
          <w:p>
            <w:pPr>
              <w:pStyle w:val="Compact"/>
              <w:jc w:val="left"/>
            </w:pPr>
            <w:r>
              <w:t xml:space="preserve">Form Q21 blank/unsigned; business plan commits.</w:t>
            </w:r>
          </w:p>
        </w:tc>
        <w:tc>
          <w:tcPr/>
          <w:p>
            <w:pPr>
              <w:pStyle w:val="Compact"/>
              <w:jc w:val="left"/>
            </w:pPr>
            <w:r>
              <w:t xml:space="preserve">Execute the signed commitment; complete Form Q21.</w:t>
            </w:r>
          </w:p>
        </w:tc>
      </w:tr>
      <w:tr>
        <w:tc>
          <w:tcPr/>
          <w:p>
            <w:pPr>
              <w:pStyle w:val="Compact"/>
              <w:jc w:val="left"/>
            </w:pPr>
            <w:r>
              <w:t xml:space="preserve">123</w:t>
            </w:r>
          </w:p>
        </w:tc>
        <w:tc>
          <w:tcPr/>
          <w:p>
            <w:pPr>
              <w:pStyle w:val="Compact"/>
              <w:jc w:val="left"/>
            </w:pPr>
            <w:r>
              <w:t xml:space="preserve">50% R3 workforce requirement — all FT and PT employees (Code §9-5-19(D))</w:t>
            </w:r>
          </w:p>
        </w:tc>
        <w:tc>
          <w:tcPr/>
          <w:p>
            <w:pPr>
              <w:pStyle w:val="Compact"/>
              <w:jc w:val="left"/>
            </w:pPr>
            <w:r>
              <w:t xml:space="preserve">PARTIAL</w:t>
            </w:r>
          </w:p>
        </w:tc>
        <w:tc>
          <w:tcPr/>
          <w:p>
            <w:pPr>
              <w:pStyle w:val="Compact"/>
              <w:jc w:val="left"/>
            </w:pPr>
            <w:r>
              <w:t xml:space="preserve">Business plan: 6 of 12 FTEs; no PT addressed.</w:t>
            </w:r>
          </w:p>
        </w:tc>
        <w:tc>
          <w:tcPr/>
          <w:p>
            <w:pPr>
              <w:pStyle w:val="Compact"/>
              <w:jc w:val="left"/>
            </w:pPr>
            <w:r>
              <w:t xml:space="preserve">Confirm the 50% threshold covers all FT and PT employees as operations scale.</w:t>
            </w:r>
          </w:p>
        </w:tc>
      </w:tr>
      <w:tr>
        <w:tc>
          <w:tcPr/>
          <w:p>
            <w:pPr>
              <w:pStyle w:val="Compact"/>
              <w:jc w:val="left"/>
            </w:pPr>
            <w:r>
              <w:t xml:space="preserve">124</w:t>
            </w:r>
          </w:p>
        </w:tc>
        <w:tc>
          <w:tcPr/>
          <w:p>
            <w:pPr>
              <w:pStyle w:val="Compact"/>
              <w:jc w:val="left"/>
            </w:pPr>
            <w:r>
              <w:t xml:space="preserve">Workforce definition — Code vs. Form (Code §9-5-19(D): all employees FT/PT; Form Q21(a): employees + contractors, excluding principal officers/counsel)</w:t>
            </w:r>
          </w:p>
        </w:tc>
        <w:tc>
          <w:tcPr/>
          <w:p>
            <w:pPr>
              <w:pStyle w:val="Compact"/>
              <w:jc w:val="left"/>
            </w:pPr>
            <w:r>
              <w:t xml:space="preserve">DISCREPANCY</w:t>
            </w:r>
          </w:p>
        </w:tc>
        <w:tc>
          <w:tcPr/>
          <w:p>
            <w:pPr>
              <w:pStyle w:val="Compact"/>
              <w:jc w:val="left"/>
            </w:pPr>
            <w:r>
              <w:t xml:space="preserve">Form expands the denominator to contractors and excludes principal officers; Code does not.</w:t>
            </w:r>
          </w:p>
        </w:tc>
        <w:tc>
          <w:tcPr/>
          <w:p>
            <w:pPr>
              <w:pStyle w:val="Compact"/>
              <w:jc w:val="left"/>
            </w:pPr>
            <w:r>
              <w:t xml:space="preserve">Apply the Code’s definition; seek Coordinator clarification on the Form’s exclusions.</w:t>
            </w:r>
          </w:p>
        </w:tc>
      </w:tr>
      <w:tr>
        <w:tc>
          <w:tcPr/>
          <w:p>
            <w:pPr>
              <w:pStyle w:val="Compact"/>
              <w:jc w:val="left"/>
            </w:pPr>
            <w:r>
              <w:t xml:space="preserve">125</w:t>
            </w:r>
          </w:p>
        </w:tc>
        <w:tc>
          <w:tcPr/>
          <w:p>
            <w:pPr>
              <w:pStyle w:val="Compact"/>
              <w:jc w:val="left"/>
            </w:pPr>
            <w:r>
              <w:t xml:space="preserve">Mentorship program: 2 years; quarterly meetings, annual workshop, semi-annual reports (Code §9-5-19(E))</w:t>
            </w:r>
          </w:p>
        </w:tc>
        <w:tc>
          <w:tcPr/>
          <w:p>
            <w:pPr>
              <w:pStyle w:val="Compact"/>
              <w:jc w:val="left"/>
            </w:pPr>
            <w:r>
              <w:t xml:space="preserve">PARTIAL</w:t>
            </w:r>
          </w:p>
        </w:tc>
        <w:tc>
          <w:tcPr/>
          <w:p>
            <w:pPr>
              <w:pStyle w:val="Compact"/>
              <w:jc w:val="left"/>
            </w:pPr>
            <w:r>
              <w:t xml:space="preserve">Business plan commits to participation; specific program components not detailed.</w:t>
            </w:r>
          </w:p>
        </w:tc>
        <w:tc>
          <w:tcPr/>
          <w:p>
            <w:pPr>
              <w:pStyle w:val="Compact"/>
              <w:jc w:val="left"/>
            </w:pPr>
            <w:r>
              <w:t xml:space="preserve">Detail the quarterly-meeting, annual-workshop, and semi-annual-report commitments.</w:t>
            </w:r>
          </w:p>
        </w:tc>
      </w:tr>
      <w:tr>
        <w:tc>
          <w:tcPr/>
          <w:p>
            <w:pPr>
              <w:pStyle w:val="Compact"/>
              <w:jc w:val="left"/>
            </w:pPr>
            <w:r>
              <w:t xml:space="preserve">126</w:t>
            </w:r>
          </w:p>
        </w:tc>
        <w:tc>
          <w:tcPr/>
          <w:p>
            <w:pPr>
              <w:pStyle w:val="Compact"/>
              <w:jc w:val="left"/>
            </w:pPr>
            <w:r>
              <w:t xml:space="preserve">Social-equity re-verification at each renewal (Code §9-5-12(D); §9-5-19(F))</w:t>
            </w:r>
          </w:p>
        </w:tc>
        <w:tc>
          <w:tcPr/>
          <w:p>
            <w:pPr>
              <w:pStyle w:val="Compact"/>
              <w:jc w:val="left"/>
            </w:pPr>
            <w:r>
              <w:t xml:space="preserve">PENDING</w:t>
            </w:r>
          </w:p>
        </w:tc>
        <w:tc>
          <w:tcPr/>
          <w:p>
            <w:pPr>
              <w:pStyle w:val="Compact"/>
              <w:jc w:val="left"/>
            </w:pPr>
            <w:r>
              <w:t xml:space="preserve">Post-issuance; 30-day cure before revocation of status.</w:t>
            </w:r>
          </w:p>
        </w:tc>
        <w:tc>
          <w:tcPr/>
          <w:p>
            <w:pPr>
              <w:pStyle w:val="Compact"/>
              <w:jc w:val="left"/>
            </w:pPr>
            <w:r>
              <w:t xml:space="preserve">Calendar annual re-verification; maintain R3-hiring and mentorship records.</w:t>
            </w:r>
          </w:p>
        </w:tc>
      </w:tr>
      <w:tr>
        <w:tc>
          <w:tcPr/>
          <w:p>
            <w:pPr>
              <w:pStyle w:val="Compact"/>
              <w:jc w:val="left"/>
            </w:pPr>
            <w:r>
              <w:t xml:space="preserve">127</w:t>
            </w:r>
          </w:p>
        </w:tc>
        <w:tc>
          <w:tcPr/>
          <w:p>
            <w:pPr>
              <w:pStyle w:val="Compact"/>
              <w:jc w:val="left"/>
            </w:pPr>
            <w:r>
              <w:t xml:space="preserve">State DIA standard vs. City R3 standard (State License §3: DIA, 5-of-10 years; Code §9-5-19(B)(1): R3, 24 months)</w:t>
            </w:r>
          </w:p>
        </w:tc>
        <w:tc>
          <w:tcPr/>
          <w:p>
            <w:pPr>
              <w:pStyle w:val="Compact"/>
              <w:jc w:val="left"/>
            </w:pPr>
            <w:r>
              <w:t xml:space="preserve">DISCREPANCY</w:t>
            </w:r>
          </w:p>
        </w:tc>
        <w:tc>
          <w:tcPr/>
          <w:p>
            <w:pPr>
              <w:pStyle w:val="Compact"/>
              <w:jc w:val="left"/>
            </w:pPr>
            <w:r>
              <w:t xml:space="preserve">State social-equity designation rests on a DIA/5-of-10-years test; the City requires R3/24-months. State qualification does not automatically satisfy the City test.</w:t>
            </w:r>
          </w:p>
        </w:tc>
        <w:tc>
          <w:tcPr/>
          <w:p>
            <w:pPr>
              <w:pStyle w:val="Compact"/>
              <w:jc w:val="left"/>
            </w:pPr>
            <w:r>
              <w:t xml:space="preserve">Independently document the City’s R3/24-month standard; do not rely solely on the State DIA designation.</w:t>
            </w:r>
          </w:p>
        </w:tc>
      </w:tr>
      <w:tr>
        <w:tc>
          <w:tcPr/>
          <w:p>
            <w:pPr>
              <w:pStyle w:val="Compact"/>
              <w:jc w:val="left"/>
            </w:pPr>
            <w:r>
              <w:t xml:space="preserve">128</w:t>
            </w:r>
          </w:p>
        </w:tc>
        <w:tc>
          <w:tcPr/>
          <w:p>
            <w:pPr>
              <w:pStyle w:val="Compact"/>
              <w:jc w:val="left"/>
            </w:pPr>
            <w:r>
              <w:t xml:space="preserve">Form Q19</w:t>
            </w:r>
            <w:r>
              <w:t xml:space="preserve"> </w:t>
            </w:r>
            <w:r>
              <w:t xml:space="preserve">“</w:t>
            </w:r>
            <w:r>
              <w:t xml:space="preserve">DIA</w:t>
            </w:r>
            <w:r>
              <w:t xml:space="preserve">”</w:t>
            </w:r>
            <w:r>
              <w:t xml:space="preserve"> </w:t>
            </w:r>
            <w:r>
              <w:t xml:space="preserve">qualifying basis not in City Code (Form Q19 vs. Code §9-5-19(B))</w:t>
            </w:r>
          </w:p>
        </w:tc>
        <w:tc>
          <w:tcPr/>
          <w:p>
            <w:pPr>
              <w:pStyle w:val="Compact"/>
              <w:jc w:val="left"/>
            </w:pPr>
            <w:r>
              <w:t xml:space="preserve">DISCREPANCY</w:t>
            </w:r>
          </w:p>
        </w:tc>
        <w:tc>
          <w:tcPr/>
          <w:p>
            <w:pPr>
              <w:pStyle w:val="Compact"/>
              <w:jc w:val="left"/>
            </w:pPr>
            <w:r>
              <w:t xml:space="preserve">Form lists</w:t>
            </w:r>
            <w:r>
              <w:t xml:space="preserve"> </w:t>
            </w:r>
            <w:r>
              <w:t xml:space="preserve">“</w:t>
            </w:r>
            <w:r>
              <w:t xml:space="preserve">Resident of Disproportionately Impacted Area</w:t>
            </w:r>
            <w:r>
              <w:t xml:space="preserve">”</w:t>
            </w:r>
            <w:r>
              <w:t xml:space="preserve"> </w:t>
            </w:r>
            <w:r>
              <w:t xml:space="preserve">as a qualifying basis; the City Code’s bases are R3 residency, expunged/sealed/pardoned conviction, or qualifying family member.</w:t>
            </w:r>
          </w:p>
        </w:tc>
        <w:tc>
          <w:tcPr/>
          <w:p>
            <w:pPr>
              <w:pStyle w:val="Compact"/>
              <w:jc w:val="left"/>
            </w:pPr>
            <w:r>
              <w:t xml:space="preserve">Claim the City’s R3-residency and conviction bases; flag the Form’s DIA option to the Coordinator.</w:t>
            </w:r>
          </w:p>
        </w:tc>
      </w:tr>
    </w:tbl>
    <w:bookmarkEnd w:id="38"/>
    <w:bookmarkStart w:id="39" w:name="agent-in-charge-staffing"/>
    <w:p>
      <w:pPr>
        <w:pStyle w:val="Heading3"/>
      </w:pPr>
      <w:r>
        <w:t xml:space="preserve">3.18 Agent-in-Charge &amp; Staffing</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129</w:t>
            </w:r>
          </w:p>
        </w:tc>
        <w:tc>
          <w:tcPr/>
          <w:p>
            <w:pPr>
              <w:pStyle w:val="Compact"/>
              <w:jc w:val="left"/>
            </w:pPr>
            <w:r>
              <w:t xml:space="preserve">Agent-in-Charge designation (Code §9-5-13(I); Guide Item 19; Form Q13)</w:t>
            </w:r>
          </w:p>
        </w:tc>
        <w:tc>
          <w:tcPr/>
          <w:p>
            <w:pPr>
              <w:pStyle w:val="Compact"/>
              <w:jc w:val="left"/>
            </w:pPr>
            <w:r>
              <w:t xml:space="preserve">PARTIAL</w:t>
            </w:r>
          </w:p>
        </w:tc>
        <w:tc>
          <w:tcPr/>
          <w:p>
            <w:pPr>
              <w:pStyle w:val="Compact"/>
              <w:jc w:val="left"/>
            </w:pPr>
            <w:r>
              <w:t xml:space="preserve">Okonkwo designated in business plan and State License §2; Form Q13 blank; no signed acceptance statement.</w:t>
            </w:r>
          </w:p>
        </w:tc>
        <w:tc>
          <w:tcPr/>
          <w:p>
            <w:pPr>
              <w:pStyle w:val="Compact"/>
              <w:jc w:val="left"/>
            </w:pPr>
            <w:r>
              <w:t xml:space="preserve">Complete Form Q13; attach signed statement accepting compliance responsibility.</w:t>
            </w:r>
          </w:p>
        </w:tc>
      </w:tr>
      <w:tr>
        <w:tc>
          <w:tcPr/>
          <w:p>
            <w:pPr>
              <w:pStyle w:val="Compact"/>
              <w:jc w:val="left"/>
            </w:pPr>
            <w:r>
              <w:t xml:space="preserve">130</w:t>
            </w:r>
          </w:p>
        </w:tc>
        <w:tc>
          <w:tcPr/>
          <w:p>
            <w:pPr>
              <w:pStyle w:val="Compact"/>
              <w:jc w:val="left"/>
            </w:pPr>
            <w:r>
              <w:t xml:space="preserve">Agent-in-Charge holds/has applied for Agent ID Card (Code §9-5-13(E),(I); Guide Item 19(b); Form Q13)</w:t>
            </w:r>
          </w:p>
        </w:tc>
        <w:tc>
          <w:tcPr/>
          <w:p>
            <w:pPr>
              <w:pStyle w:val="Compact"/>
              <w:jc w:val="left"/>
            </w:pPr>
            <w:r>
              <w:t xml:space="preserve">NOT CONFIRMED</w:t>
            </w:r>
          </w:p>
        </w:tc>
        <w:tc>
          <w:tcPr/>
          <w:p>
            <w:pPr>
              <w:pStyle w:val="Compact"/>
              <w:jc w:val="left"/>
            </w:pPr>
            <w:r>
              <w:t xml:space="preserve">Card number not provided;</w:t>
            </w:r>
            <w:r>
              <w:t xml:space="preserve"> </w:t>
            </w:r>
            <w:r>
              <w:t xml:space="preserve">“</w:t>
            </w:r>
            <w:r>
              <w:t xml:space="preserve">Application Pending</w:t>
            </w:r>
            <w:r>
              <w:t xml:space="preserve">”</w:t>
            </w:r>
            <w:r>
              <w:t xml:space="preserve"> </w:t>
            </w:r>
            <w:r>
              <w:t xml:space="preserve">not stated.</w:t>
            </w:r>
          </w:p>
        </w:tc>
        <w:tc>
          <w:tcPr/>
          <w:p>
            <w:pPr>
              <w:pStyle w:val="Compact"/>
              <w:jc w:val="left"/>
            </w:pPr>
            <w:r>
              <w:t xml:space="preserve">Provide Agent ID Card number or document pending application with IDFPR.</w:t>
            </w:r>
          </w:p>
        </w:tc>
      </w:tr>
      <w:tr>
        <w:tc>
          <w:tcPr/>
          <w:p>
            <w:pPr>
              <w:pStyle w:val="Compact"/>
              <w:jc w:val="left"/>
            </w:pPr>
            <w:r>
              <w:t xml:space="preserve">131</w:t>
            </w:r>
          </w:p>
        </w:tc>
        <w:tc>
          <w:tcPr/>
          <w:p>
            <w:pPr>
              <w:pStyle w:val="Compact"/>
              <w:jc w:val="left"/>
            </w:pPr>
            <w:r>
              <w:t xml:space="preserve">Agent-in-Charge availability — 30-minute return vs. by telephone (Code §9-5-13(I): 30 min; Form Q13(b): by phone)</w:t>
            </w:r>
          </w:p>
        </w:tc>
        <w:tc>
          <w:tcPr/>
          <w:p>
            <w:pPr>
              <w:pStyle w:val="Compact"/>
              <w:jc w:val="left"/>
            </w:pPr>
            <w:r>
              <w:t xml:space="preserve">DISCREPANCY</w:t>
            </w:r>
          </w:p>
        </w:tc>
        <w:tc>
          <w:tcPr/>
          <w:p>
            <w:pPr>
              <w:pStyle w:val="Compact"/>
              <w:jc w:val="left"/>
            </w:pPr>
            <w:r>
              <w:t xml:space="preserve">Code requires presence or ability to return within 30 minutes; Form requires presence or availability by telephone.</w:t>
            </w:r>
          </w:p>
        </w:tc>
        <w:tc>
          <w:tcPr/>
          <w:p>
            <w:pPr>
              <w:pStyle w:val="Compact"/>
              <w:jc w:val="left"/>
            </w:pPr>
            <w:r>
              <w:t xml:space="preserve">Meet the stricter Code standard (30-minute return); document.</w:t>
            </w:r>
          </w:p>
        </w:tc>
      </w:tr>
      <w:tr>
        <w:tc>
          <w:tcPr/>
          <w:p>
            <w:pPr>
              <w:pStyle w:val="Compact"/>
              <w:jc w:val="left"/>
            </w:pPr>
            <w:r>
              <w:t xml:space="preserve">132</w:t>
            </w:r>
          </w:p>
        </w:tc>
        <w:tc>
          <w:tcPr/>
          <w:p>
            <w:pPr>
              <w:pStyle w:val="Compact"/>
              <w:jc w:val="left"/>
            </w:pPr>
            <w:r>
              <w:t xml:space="preserve">Agent-in-Charge resides within 30 miles (Form Q13(d))</w:t>
            </w:r>
          </w:p>
        </w:tc>
        <w:tc>
          <w:tcPr/>
          <w:p>
            <w:pPr>
              <w:pStyle w:val="Compact"/>
              <w:jc w:val="left"/>
            </w:pPr>
            <w:r>
              <w:t xml:space="preserve">COMPLIANT (Form blank)</w:t>
            </w:r>
          </w:p>
        </w:tc>
        <w:tc>
          <w:tcPr/>
          <w:p>
            <w:pPr>
              <w:pStyle w:val="Compact"/>
              <w:jc w:val="left"/>
            </w:pPr>
            <w:r>
              <w:t xml:space="preserve">Okonkwo is an Evanston resident.</w:t>
            </w:r>
          </w:p>
        </w:tc>
        <w:tc>
          <w:tcPr/>
          <w:p>
            <w:pPr>
              <w:pStyle w:val="Compact"/>
              <w:jc w:val="left"/>
            </w:pPr>
            <w:r>
              <w:t xml:space="preserve">Enter residency in Form Q13.</w:t>
            </w:r>
          </w:p>
        </w:tc>
      </w:tr>
      <w:tr>
        <w:tc>
          <w:tcPr/>
          <w:p>
            <w:pPr>
              <w:pStyle w:val="Compact"/>
              <w:jc w:val="left"/>
            </w:pPr>
            <w:r>
              <w:t xml:space="preserve">133</w:t>
            </w:r>
          </w:p>
        </w:tc>
        <w:tc>
          <w:tcPr/>
          <w:p>
            <w:pPr>
              <w:pStyle w:val="Compact"/>
              <w:jc w:val="left"/>
            </w:pPr>
            <w:r>
              <w:t xml:space="preserve">All cannabis-handling employees hold Agent ID Cards (Code §9-5-13(E); §9-5-11(G))</w:t>
            </w:r>
          </w:p>
        </w:tc>
        <w:tc>
          <w:tcPr/>
          <w:p>
            <w:pPr>
              <w:pStyle w:val="Compact"/>
              <w:jc w:val="left"/>
            </w:pPr>
            <w:r>
              <w:t xml:space="preserve">PENDING</w:t>
            </w:r>
          </w:p>
        </w:tc>
        <w:tc>
          <w:tcPr/>
          <w:p>
            <w:pPr>
              <w:pStyle w:val="Compact"/>
              <w:jc w:val="left"/>
            </w:pPr>
            <w:r>
              <w:t xml:space="preserve">Pre-issuance; no employees yet.</w:t>
            </w:r>
          </w:p>
        </w:tc>
        <w:tc>
          <w:tcPr/>
          <w:p>
            <w:pPr>
              <w:pStyle w:val="Compact"/>
              <w:jc w:val="left"/>
            </w:pPr>
            <w:r>
              <w:t xml:space="preserve">Verify all opening staff hold Agent ID Cards before issuance.</w:t>
            </w:r>
          </w:p>
        </w:tc>
      </w:tr>
      <w:tr>
        <w:tc>
          <w:tcPr/>
          <w:p>
            <w:pPr>
              <w:pStyle w:val="Compact"/>
              <w:jc w:val="left"/>
            </w:pPr>
            <w:r>
              <w:t xml:space="preserve">134</w:t>
            </w:r>
          </w:p>
        </w:tc>
        <w:tc>
          <w:tcPr/>
          <w:p>
            <w:pPr>
              <w:pStyle w:val="Compact"/>
              <w:jc w:val="left"/>
            </w:pPr>
            <w:r>
              <w:t xml:space="preserve">Staffing plan / org chart (Code §9-5-5(B)(8); Form Q13)</w:t>
            </w:r>
          </w:p>
        </w:tc>
        <w:tc>
          <w:tcPr/>
          <w:p>
            <w:pPr>
              <w:pStyle w:val="Compact"/>
              <w:jc w:val="left"/>
            </w:pPr>
            <w:r>
              <w:t xml:space="preserve">COMPLIANT (Form blank)</w:t>
            </w:r>
          </w:p>
        </w:tc>
        <w:tc>
          <w:tcPr/>
          <w:p>
            <w:pPr>
              <w:pStyle w:val="Compact"/>
              <w:jc w:val="left"/>
            </w:pPr>
            <w:r>
              <w:t xml:space="preserve">Business plan §2.2 and Appendix A.</w:t>
            </w:r>
          </w:p>
        </w:tc>
        <w:tc>
          <w:tcPr/>
          <w:p>
            <w:pPr>
              <w:pStyle w:val="Compact"/>
              <w:jc w:val="left"/>
            </w:pPr>
            <w:r>
              <w:t xml:space="preserve">Complete Form Q13.</w:t>
            </w:r>
          </w:p>
        </w:tc>
      </w:tr>
    </w:tbl>
    <w:bookmarkEnd w:id="39"/>
    <w:bookmarkStart w:id="40" w:name="X43eb2f5aa20a19997d6719642b4456eea383f2d"/>
    <w:p>
      <w:pPr>
        <w:pStyle w:val="Heading3"/>
      </w:pPr>
      <w:r>
        <w:t xml:space="preserve">3.19 Operations (Hours, Occupancy, Seed-to-Sale, Waste)</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135</w:t>
            </w:r>
          </w:p>
        </w:tc>
        <w:tc>
          <w:tcPr/>
          <w:p>
            <w:pPr>
              <w:pStyle w:val="Compact"/>
              <w:jc w:val="left"/>
            </w:pPr>
            <w:r>
              <w:t xml:space="preserve">Operating hours 6:00 AM–10:00 PM daily (Code §9-5-13(F); Form Q11)</w:t>
            </w:r>
          </w:p>
        </w:tc>
        <w:tc>
          <w:tcPr/>
          <w:p>
            <w:pPr>
              <w:pStyle w:val="Compact"/>
              <w:jc w:val="left"/>
            </w:pPr>
            <w:r>
              <w:t xml:space="preserve">COMPLIANT (Form blank)</w:t>
            </w:r>
          </w:p>
        </w:tc>
        <w:tc>
          <w:tcPr/>
          <w:p>
            <w:pPr>
              <w:pStyle w:val="Compact"/>
              <w:jc w:val="left"/>
            </w:pPr>
            <w:r>
              <w:t xml:space="preserve">Business plan §5.1; Form Q11 blank.</w:t>
            </w:r>
            <w:r>
              <w:t xml:space="preserve"> </w:t>
            </w:r>
            <w:r>
              <w:rPr>
                <w:b/>
                <w:bCs/>
              </w:rPr>
              <w:t xml:space="preserve">Form Q11 cites</w:t>
            </w:r>
            <w:r>
              <w:rPr>
                <w:b/>
                <w:bCs/>
              </w:rPr>
              <w:t xml:space="preserve"> </w:t>
            </w:r>
            <w:r>
              <w:rPr>
                <w:b/>
                <w:bCs/>
              </w:rPr>
              <w:t xml:space="preserve">“</w:t>
            </w:r>
            <w:r>
              <w:rPr>
                <w:b/>
                <w:bCs/>
              </w:rPr>
              <w:t xml:space="preserve">Section 9-5-17</w:t>
            </w:r>
            <w:r>
              <w:rPr>
                <w:b/>
                <w:bCs/>
              </w:rPr>
              <w:t xml:space="preserve">”</w:t>
            </w:r>
            <w:r>
              <w:rPr>
                <w:b/>
                <w:bCs/>
              </w:rPr>
              <w:t xml:space="preserve"> </w:t>
            </w:r>
            <w:r>
              <w:rPr>
                <w:b/>
                <w:bCs/>
              </w:rPr>
              <w:t xml:space="preserve">— incorrect; the rule is §9-5-13(F).</w:t>
            </w:r>
          </w:p>
        </w:tc>
        <w:tc>
          <w:tcPr/>
          <w:p>
            <w:pPr>
              <w:pStyle w:val="Compact"/>
              <w:jc w:val="left"/>
            </w:pPr>
            <w:r>
              <w:t xml:space="preserve">Complete Form Q11; note the Form’s mis-citation.</w:t>
            </w:r>
          </w:p>
        </w:tc>
      </w:tr>
      <w:tr>
        <w:tc>
          <w:tcPr/>
          <w:p>
            <w:pPr>
              <w:pStyle w:val="Compact"/>
              <w:jc w:val="left"/>
            </w:pPr>
            <w:r>
              <w:t xml:space="preserve">136</w:t>
            </w:r>
          </w:p>
        </w:tc>
        <w:tc>
          <w:tcPr/>
          <w:p>
            <w:pPr>
              <w:pStyle w:val="Compact"/>
              <w:jc w:val="left"/>
            </w:pPr>
            <w:r>
              <w:t xml:space="preserve">Maximum occupancy: 1 customer per 40 sq ft of retail floor area (Code §9-5-13(J))</w:t>
            </w:r>
          </w:p>
        </w:tc>
        <w:tc>
          <w:tcPr/>
          <w:p>
            <w:pPr>
              <w:pStyle w:val="Compact"/>
              <w:jc w:val="left"/>
            </w:pPr>
            <w:r>
              <w:t xml:space="preserve">COMPLIANT</w:t>
            </w:r>
          </w:p>
        </w:tc>
        <w:tc>
          <w:tcPr/>
          <w:p>
            <w:pPr>
              <w:pStyle w:val="Compact"/>
              <w:jc w:val="left"/>
            </w:pPr>
            <w:r>
              <w:t xml:space="preserve">Business plan: 1,600 ÷ 40 = 40 customers.</w:t>
            </w:r>
          </w:p>
        </w:tc>
        <w:tc>
          <w:tcPr/>
          <w:p>
            <w:pPr>
              <w:pStyle w:val="Compact"/>
              <w:jc w:val="left"/>
            </w:pPr>
            <w:r>
              <w:t xml:space="preserve">None.</w:t>
            </w:r>
          </w:p>
        </w:tc>
      </w:tr>
      <w:tr>
        <w:tc>
          <w:tcPr/>
          <w:p>
            <w:pPr>
              <w:pStyle w:val="Compact"/>
              <w:jc w:val="left"/>
            </w:pPr>
            <w:r>
              <w:t xml:space="preserve">137</w:t>
            </w:r>
          </w:p>
        </w:tc>
        <w:tc>
          <w:tcPr/>
          <w:p>
            <w:pPr>
              <w:pStyle w:val="Compact"/>
              <w:jc w:val="left"/>
            </w:pPr>
            <w:r>
              <w:t xml:space="preserve">Occupancy calculation base — retail floor area vs. total area (Code §9-5-13(J): retail floor; Form Q12: total dispensary)</w:t>
            </w:r>
          </w:p>
        </w:tc>
        <w:tc>
          <w:tcPr/>
          <w:p>
            <w:pPr>
              <w:pStyle w:val="Compact"/>
              <w:jc w:val="left"/>
            </w:pPr>
            <w:r>
              <w:t xml:space="preserve">DISCREPANCY</w:t>
            </w:r>
          </w:p>
        </w:tc>
        <w:tc>
          <w:tcPr/>
          <w:p>
            <w:pPr>
              <w:pStyle w:val="Compact"/>
              <w:jc w:val="left"/>
            </w:pPr>
            <w:r>
              <w:t xml:space="preserve">Form Q12 instructs</w:t>
            </w:r>
            <w:r>
              <w:t xml:space="preserve"> </w:t>
            </w:r>
            <w:r>
              <w:t xml:space="preserve">“</w:t>
            </w:r>
            <w:r>
              <w:t xml:space="preserve">Total Dispensary Square Footage ÷ 40</w:t>
            </w:r>
            <w:r>
              <w:t xml:space="preserve">”</w:t>
            </w:r>
            <w:r>
              <w:t xml:space="preserve"> </w:t>
            </w:r>
            <w:r>
              <w:t xml:space="preserve">(3,200 ÷ 40 = 80), which conflicts with the Code’s retail-floor-area basis (1,600 ÷ 40 = 40).</w:t>
            </w:r>
          </w:p>
        </w:tc>
        <w:tc>
          <w:tcPr/>
          <w:p>
            <w:pPr>
              <w:pStyle w:val="Compact"/>
              <w:jc w:val="left"/>
            </w:pPr>
            <w:r>
              <w:t xml:space="preserve">Use the Code’s retail-floor-area basis (40); flag the Form’s erroneous instruction to the Coordinator.</w:t>
            </w:r>
          </w:p>
        </w:tc>
      </w:tr>
      <w:tr>
        <w:tc>
          <w:tcPr/>
          <w:p>
            <w:pPr>
              <w:pStyle w:val="Compact"/>
              <w:jc w:val="left"/>
            </w:pPr>
            <w:r>
              <w:t xml:space="preserve">138</w:t>
            </w:r>
          </w:p>
        </w:tc>
        <w:tc>
          <w:tcPr/>
          <w:p>
            <w:pPr>
              <w:pStyle w:val="Compact"/>
              <w:jc w:val="left"/>
            </w:pPr>
            <w:r>
              <w:t xml:space="preserve">Posted maximum occupancy at retail-floor entrance (Code §9-5-13(J))</w:t>
            </w:r>
          </w:p>
        </w:tc>
        <w:tc>
          <w:tcPr/>
          <w:p>
            <w:pPr>
              <w:pStyle w:val="Compact"/>
              <w:jc w:val="left"/>
            </w:pPr>
            <w:r>
              <w:t xml:space="preserve">NOT ADDRESSED</w:t>
            </w:r>
          </w:p>
        </w:tc>
        <w:tc>
          <w:tcPr/>
          <w:p>
            <w:pPr>
              <w:pStyle w:val="Compact"/>
              <w:jc w:val="left"/>
            </w:pPr>
            <w:r>
              <w:t xml:space="preserve">Business plan mentions queue management, not posting.</w:t>
            </w:r>
          </w:p>
        </w:tc>
        <w:tc>
          <w:tcPr/>
          <w:p>
            <w:pPr>
              <w:pStyle w:val="Compact"/>
              <w:jc w:val="left"/>
            </w:pPr>
            <w:r>
              <w:t xml:space="preserve">Commit to posting the occupancy limit conspicuously at the retail-floor entrance.</w:t>
            </w:r>
          </w:p>
        </w:tc>
      </w:tr>
      <w:tr>
        <w:tc>
          <w:tcPr/>
          <w:p>
            <w:pPr>
              <w:pStyle w:val="Compact"/>
              <w:jc w:val="left"/>
            </w:pPr>
            <w:r>
              <w:t xml:space="preserve">139</w:t>
            </w:r>
          </w:p>
        </w:tc>
        <w:tc>
          <w:tcPr/>
          <w:p>
            <w:pPr>
              <w:pStyle w:val="Compact"/>
              <w:jc w:val="left"/>
            </w:pPr>
            <w:r>
              <w:t xml:space="preserve">Waste disposal plan (Code §9-5-13(H); Form Q17)</w:t>
            </w:r>
          </w:p>
        </w:tc>
        <w:tc>
          <w:tcPr/>
          <w:p>
            <w:pPr>
              <w:pStyle w:val="Compact"/>
              <w:jc w:val="left"/>
            </w:pPr>
            <w:r>
              <w:t xml:space="preserve">PARTIAL</w:t>
            </w:r>
          </w:p>
        </w:tc>
        <w:tc>
          <w:tcPr/>
          <w:p>
            <w:pPr>
              <w:pStyle w:val="Compact"/>
              <w:jc w:val="left"/>
            </w:pPr>
            <w:r>
              <w:t xml:space="preserve">Business plan §5.4 describes rendering unusable, logging, licensed vendor, COMPASS recording; no standalone exhibit; Form Q17 blank.</w:t>
            </w:r>
          </w:p>
        </w:tc>
        <w:tc>
          <w:tcPr/>
          <w:p>
            <w:pPr>
              <w:pStyle w:val="Compact"/>
              <w:jc w:val="left"/>
            </w:pPr>
            <w:r>
              <w:t xml:space="preserve">Prepare a standalone waste-disposal plan exhibit; complete Form Q17.</w:t>
            </w:r>
          </w:p>
        </w:tc>
      </w:tr>
      <w:tr>
        <w:tc>
          <w:tcPr/>
          <w:p>
            <w:pPr>
              <w:pStyle w:val="Compact"/>
              <w:jc w:val="left"/>
            </w:pPr>
            <w:r>
              <w:t xml:space="preserve">140</w:t>
            </w:r>
          </w:p>
        </w:tc>
        <w:tc>
          <w:tcPr/>
          <w:p>
            <w:pPr>
              <w:pStyle w:val="Compact"/>
              <w:jc w:val="left"/>
            </w:pPr>
            <w:r>
              <w:t xml:space="preserve">Waste-disposal records retained 5 years (Code §9-5-13(H))</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Implement 5-year retention.</w:t>
            </w:r>
          </w:p>
        </w:tc>
      </w:tr>
    </w:tbl>
    <w:bookmarkEnd w:id="40"/>
    <w:bookmarkStart w:id="41" w:name="pre-issuance-conditions-code-9-5-11"/>
    <w:p>
      <w:pPr>
        <w:pStyle w:val="Heading3"/>
      </w:pPr>
      <w:r>
        <w:t xml:space="preserve">3.20 Pre-Issuance Conditions (Code §9-5-11)</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141</w:t>
            </w:r>
          </w:p>
        </w:tc>
        <w:tc>
          <w:tcPr/>
          <w:p>
            <w:pPr>
              <w:pStyle w:val="Compact"/>
              <w:jc w:val="left"/>
            </w:pPr>
            <w:r>
              <w:t xml:space="preserve">City Council approval (§9-5-11(A))</w:t>
            </w:r>
          </w:p>
        </w:tc>
        <w:tc>
          <w:tcPr/>
          <w:p>
            <w:pPr>
              <w:pStyle w:val="Compact"/>
              <w:jc w:val="left"/>
            </w:pPr>
            <w:r>
              <w:t xml:space="preserve">PENDING</w:t>
            </w:r>
          </w:p>
        </w:tc>
        <w:tc>
          <w:tcPr/>
          <w:p>
            <w:pPr>
              <w:pStyle w:val="Compact"/>
              <w:jc w:val="left"/>
            </w:pPr>
            <w:r>
              <w:t xml:space="preserve">Not yet reached.</w:t>
            </w:r>
          </w:p>
        </w:tc>
        <w:tc>
          <w:tcPr/>
          <w:p>
            <w:pPr>
              <w:pStyle w:val="Compact"/>
              <w:jc w:val="left"/>
            </w:pPr>
            <w:r>
              <w:t xml:space="preserve">Complete review process.</w:t>
            </w:r>
          </w:p>
        </w:tc>
      </w:tr>
      <w:tr>
        <w:tc>
          <w:tcPr/>
          <w:p>
            <w:pPr>
              <w:pStyle w:val="Compact"/>
              <w:jc w:val="left"/>
            </w:pPr>
            <w:r>
              <w:t xml:space="preserve">142</w:t>
            </w:r>
          </w:p>
        </w:tc>
        <w:tc>
          <w:tcPr/>
          <w:p>
            <w:pPr>
              <w:pStyle w:val="Compact"/>
              <w:jc w:val="left"/>
            </w:pPr>
            <w:r>
              <w:t xml:space="preserve">Annual permit fee $15,000 (§9-5-11(B); §9-5-14)</w:t>
            </w:r>
          </w:p>
        </w:tc>
        <w:tc>
          <w:tcPr/>
          <w:p>
            <w:pPr>
              <w:pStyle w:val="Compact"/>
              <w:jc w:val="left"/>
            </w:pPr>
            <w:r>
              <w:t xml:space="preserve">PENDING</w:t>
            </w:r>
          </w:p>
        </w:tc>
        <w:tc>
          <w:tcPr/>
          <w:p>
            <w:pPr>
              <w:pStyle w:val="Compact"/>
              <w:jc w:val="left"/>
            </w:pPr>
            <w:r>
              <w:t xml:space="preserve">Due within 30 days of Council approval (Guide §6).</w:t>
            </w:r>
          </w:p>
        </w:tc>
        <w:tc>
          <w:tcPr/>
          <w:p>
            <w:pPr>
              <w:pStyle w:val="Compact"/>
              <w:jc w:val="left"/>
            </w:pPr>
            <w:r>
              <w:t xml:space="preserve">Remit by cashier’s check/EFT.</w:t>
            </w:r>
          </w:p>
        </w:tc>
      </w:tr>
      <w:tr>
        <w:tc>
          <w:tcPr/>
          <w:p>
            <w:pPr>
              <w:pStyle w:val="Compact"/>
              <w:jc w:val="left"/>
            </w:pPr>
            <w:r>
              <w:t xml:space="preserve">143</w:t>
            </w:r>
          </w:p>
        </w:tc>
        <w:tc>
          <w:tcPr/>
          <w:p>
            <w:pPr>
              <w:pStyle w:val="Compact"/>
              <w:jc w:val="left"/>
            </w:pPr>
            <w:r>
              <w:t xml:space="preserve">Final insurance certificates, City as additional insured (§9-5-11(C))</w:t>
            </w:r>
          </w:p>
        </w:tc>
        <w:tc>
          <w:tcPr/>
          <w:p>
            <w:pPr>
              <w:pStyle w:val="Compact"/>
              <w:jc w:val="left"/>
            </w:pPr>
            <w:r>
              <w:t xml:space="preserve">PENDING</w:t>
            </w:r>
          </w:p>
        </w:tc>
        <w:tc>
          <w:tcPr/>
          <w:p>
            <w:pPr>
              <w:pStyle w:val="Compact"/>
              <w:jc w:val="left"/>
            </w:pPr>
            <w:r>
              <w:t xml:space="preserve">GL/product obtained; crime/theft and EL pending.</w:t>
            </w:r>
          </w:p>
        </w:tc>
        <w:tc>
          <w:tcPr/>
          <w:p>
            <w:pPr>
              <w:pStyle w:val="Compact"/>
              <w:jc w:val="left"/>
            </w:pPr>
            <w:r>
              <w:t xml:space="preserve">Bind all coverages; obtain additional-insured endorsements.</w:t>
            </w:r>
          </w:p>
        </w:tc>
      </w:tr>
      <w:tr>
        <w:tc>
          <w:tcPr/>
          <w:p>
            <w:pPr>
              <w:pStyle w:val="Compact"/>
              <w:jc w:val="left"/>
            </w:pPr>
            <w:r>
              <w:t xml:space="preserve">144</w:t>
            </w:r>
          </w:p>
        </w:tc>
        <w:tc>
          <w:tcPr/>
          <w:p>
            <w:pPr>
              <w:pStyle w:val="Compact"/>
              <w:jc w:val="left"/>
            </w:pPr>
            <w:r>
              <w:t xml:space="preserve">$50,000 bond/LOC, City Attorney-approved form (§9-5-11(D))</w:t>
            </w:r>
          </w:p>
        </w:tc>
        <w:tc>
          <w:tcPr/>
          <w:p>
            <w:pPr>
              <w:pStyle w:val="Compact"/>
              <w:jc w:val="left"/>
            </w:pPr>
            <w:r>
              <w:t xml:space="preserve">PENDING</w:t>
            </w:r>
          </w:p>
        </w:tc>
        <w:tc>
          <w:tcPr/>
          <w:p>
            <w:pPr>
              <w:pStyle w:val="Compact"/>
              <w:jc w:val="left"/>
            </w:pPr>
            <w:r>
              <w:t xml:space="preserve">Not yet obtained.</w:t>
            </w:r>
          </w:p>
        </w:tc>
        <w:tc>
          <w:tcPr/>
          <w:p>
            <w:pPr>
              <w:pStyle w:val="Compact"/>
              <w:jc w:val="left"/>
            </w:pPr>
            <w:r>
              <w:t xml:space="preserve">Obtain bond/LOC in approved form.</w:t>
            </w:r>
          </w:p>
        </w:tc>
      </w:tr>
      <w:tr>
        <w:tc>
          <w:tcPr/>
          <w:p>
            <w:pPr>
              <w:pStyle w:val="Compact"/>
              <w:jc w:val="left"/>
            </w:pPr>
            <w:r>
              <w:t xml:space="preserve">145</w:t>
            </w:r>
          </w:p>
        </w:tc>
        <w:tc>
          <w:tcPr/>
          <w:p>
            <w:pPr>
              <w:pStyle w:val="Compact"/>
              <w:jc w:val="left"/>
            </w:pPr>
            <w:r>
              <w:t xml:space="preserve">Building/fire/life-safety inspections + Certificate of Occupancy (§9-5-11(E))</w:t>
            </w:r>
          </w:p>
        </w:tc>
        <w:tc>
          <w:tcPr/>
          <w:p>
            <w:pPr>
              <w:pStyle w:val="Compact"/>
              <w:jc w:val="left"/>
            </w:pPr>
            <w:r>
              <w:t xml:space="preserve">PENDING</w:t>
            </w:r>
          </w:p>
        </w:tc>
        <w:tc>
          <w:tcPr/>
          <w:p>
            <w:pPr>
              <w:pStyle w:val="Compact"/>
              <w:jc w:val="left"/>
            </w:pPr>
            <w:r>
              <w:t xml:space="preserve">Build-out not started.</w:t>
            </w:r>
          </w:p>
        </w:tc>
        <w:tc>
          <w:tcPr/>
          <w:p>
            <w:pPr>
              <w:pStyle w:val="Compact"/>
              <w:jc w:val="left"/>
            </w:pPr>
            <w:r>
              <w:t xml:space="preserve">Complete build-out; pass inspections; obtain C of O.</w:t>
            </w:r>
          </w:p>
        </w:tc>
      </w:tr>
      <w:tr>
        <w:tc>
          <w:tcPr/>
          <w:p>
            <w:pPr>
              <w:pStyle w:val="Compact"/>
              <w:jc w:val="left"/>
            </w:pPr>
            <w:r>
              <w:t xml:space="preserve">146</w:t>
            </w:r>
          </w:p>
        </w:tc>
        <w:tc>
          <w:tcPr/>
          <w:p>
            <w:pPr>
              <w:pStyle w:val="Compact"/>
              <w:jc w:val="left"/>
            </w:pPr>
            <w:r>
              <w:t xml:space="preserve">Security systems installed, tested, verified by Coordinator/EPD (§9-5-11(F))</w:t>
            </w:r>
          </w:p>
        </w:tc>
        <w:tc>
          <w:tcPr/>
          <w:p>
            <w:pPr>
              <w:pStyle w:val="Compact"/>
              <w:jc w:val="left"/>
            </w:pPr>
            <w:r>
              <w:t xml:space="preserve">PENDING</w:t>
            </w:r>
          </w:p>
        </w:tc>
        <w:tc>
          <w:tcPr/>
          <w:p>
            <w:pPr>
              <w:pStyle w:val="Compact"/>
              <w:jc w:val="left"/>
            </w:pPr>
            <w:r>
              <w:t xml:space="preserve">Systems not yet installed.</w:t>
            </w:r>
          </w:p>
        </w:tc>
        <w:tc>
          <w:tcPr/>
          <w:p>
            <w:pPr>
              <w:pStyle w:val="Compact"/>
              <w:jc w:val="left"/>
            </w:pPr>
            <w:r>
              <w:t xml:space="preserve">Install and verify before issuance.</w:t>
            </w:r>
          </w:p>
        </w:tc>
      </w:tr>
      <w:tr>
        <w:tc>
          <w:tcPr/>
          <w:p>
            <w:pPr>
              <w:pStyle w:val="Compact"/>
              <w:jc w:val="left"/>
            </w:pPr>
            <w:r>
              <w:t xml:space="preserve">147</w:t>
            </w:r>
          </w:p>
        </w:tc>
        <w:tc>
          <w:tcPr/>
          <w:p>
            <w:pPr>
              <w:pStyle w:val="Compact"/>
              <w:jc w:val="left"/>
            </w:pPr>
            <w:r>
              <w:t xml:space="preserve">All opening employees hold Agent ID Cards (§9-5-11(G))</w:t>
            </w:r>
          </w:p>
        </w:tc>
        <w:tc>
          <w:tcPr/>
          <w:p>
            <w:pPr>
              <w:pStyle w:val="Compact"/>
              <w:jc w:val="left"/>
            </w:pPr>
            <w:r>
              <w:t xml:space="preserve">PENDING</w:t>
            </w:r>
          </w:p>
        </w:tc>
        <w:tc>
          <w:tcPr/>
          <w:p>
            <w:pPr>
              <w:pStyle w:val="Compact"/>
              <w:jc w:val="left"/>
            </w:pPr>
            <w:r>
              <w:t xml:space="preserve">No employees yet.</w:t>
            </w:r>
          </w:p>
        </w:tc>
        <w:tc>
          <w:tcPr/>
          <w:p>
            <w:pPr>
              <w:pStyle w:val="Compact"/>
              <w:jc w:val="left"/>
            </w:pPr>
            <w:r>
              <w:t xml:space="preserve">Verify before opening.</w:t>
            </w:r>
          </w:p>
        </w:tc>
      </w:tr>
      <w:tr>
        <w:tc>
          <w:tcPr/>
          <w:p>
            <w:pPr>
              <w:pStyle w:val="Compact"/>
              <w:jc w:val="left"/>
            </w:pPr>
            <w:r>
              <w:t xml:space="preserve">148</w:t>
            </w:r>
          </w:p>
        </w:tc>
        <w:tc>
          <w:tcPr/>
          <w:p>
            <w:pPr>
              <w:pStyle w:val="Compact"/>
              <w:jc w:val="left"/>
            </w:pPr>
            <w:r>
              <w:t xml:space="preserve">Signed community benefit agreement (§9-5-11(H))</w:t>
            </w:r>
          </w:p>
        </w:tc>
        <w:tc>
          <w:tcPr/>
          <w:p>
            <w:pPr>
              <w:pStyle w:val="Compact"/>
              <w:jc w:val="left"/>
            </w:pPr>
            <w:r>
              <w:t xml:space="preserve">PENDING</w:t>
            </w:r>
          </w:p>
        </w:tc>
        <w:tc>
          <w:tcPr/>
          <w:p>
            <w:pPr>
              <w:pStyle w:val="Compact"/>
              <w:jc w:val="left"/>
            </w:pPr>
            <w:r>
              <w:t xml:space="preserve">Not yet executed.</w:t>
            </w:r>
          </w:p>
        </w:tc>
        <w:tc>
          <w:tcPr/>
          <w:p>
            <w:pPr>
              <w:pStyle w:val="Compact"/>
              <w:jc w:val="left"/>
            </w:pPr>
            <w:r>
              <w:t xml:space="preserve">Execute before issuance.</w:t>
            </w:r>
          </w:p>
        </w:tc>
      </w:tr>
      <w:tr>
        <w:tc>
          <w:tcPr/>
          <w:p>
            <w:pPr>
              <w:pStyle w:val="Compact"/>
              <w:jc w:val="left"/>
            </w:pPr>
            <w:r>
              <w:t xml:space="preserve">149</w:t>
            </w:r>
          </w:p>
        </w:tc>
        <w:tc>
          <w:tcPr/>
          <w:p>
            <w:pPr>
              <w:pStyle w:val="Compact"/>
              <w:jc w:val="left"/>
            </w:pPr>
            <w:r>
              <w:t xml:space="preserve">Valid State license at issuance (§9-5-11(I))</w:t>
            </w:r>
          </w:p>
        </w:tc>
        <w:tc>
          <w:tcPr/>
          <w:p>
            <w:pPr>
              <w:pStyle w:val="Compact"/>
              <w:jc w:val="left"/>
            </w:pPr>
            <w:r>
              <w:t xml:space="preserve">PENDING / RISK</w:t>
            </w:r>
          </w:p>
        </w:tc>
        <w:tc>
          <w:tcPr/>
          <w:p>
            <w:pPr>
              <w:pStyle w:val="Compact"/>
              <w:jc w:val="left"/>
            </w:pPr>
            <w:r>
              <w:t xml:space="preserve">Conditional license expires 9/21/2024; see ID 16.</w:t>
            </w:r>
          </w:p>
        </w:tc>
        <w:tc>
          <w:tcPr/>
          <w:p>
            <w:pPr>
              <w:pStyle w:val="Compact"/>
              <w:jc w:val="left"/>
            </w:pPr>
            <w:r>
              <w:t xml:space="preserve">Convert to permanent license or obtain State extension.</w:t>
            </w:r>
          </w:p>
        </w:tc>
      </w:tr>
      <w:tr>
        <w:tc>
          <w:tcPr/>
          <w:p>
            <w:pPr>
              <w:pStyle w:val="Compact"/>
              <w:jc w:val="left"/>
            </w:pPr>
            <w:r>
              <w:t xml:space="preserve">150</w:t>
            </w:r>
          </w:p>
        </w:tc>
        <w:tc>
          <w:tcPr/>
          <w:p>
            <w:pPr>
              <w:pStyle w:val="Compact"/>
              <w:jc w:val="left"/>
            </w:pPr>
            <w:r>
              <w:t xml:space="preserve">Other City Council conditions, incl. special-use conditions (§9-5-11(J))</w:t>
            </w:r>
          </w:p>
        </w:tc>
        <w:tc>
          <w:tcPr/>
          <w:p>
            <w:pPr>
              <w:pStyle w:val="Compact"/>
              <w:jc w:val="left"/>
            </w:pPr>
            <w:r>
              <w:t xml:space="preserve">PENDING</w:t>
            </w:r>
          </w:p>
        </w:tc>
        <w:tc>
          <w:tcPr/>
          <w:p>
            <w:pPr>
              <w:pStyle w:val="Compact"/>
              <w:jc w:val="left"/>
            </w:pPr>
            <w:r>
              <w:t xml:space="preserve">Special-use approval not yet obtained.</w:t>
            </w:r>
          </w:p>
        </w:tc>
        <w:tc>
          <w:tcPr/>
          <w:p>
            <w:pPr>
              <w:pStyle w:val="Compact"/>
              <w:jc w:val="left"/>
            </w:pPr>
            <w:r>
              <w:t xml:space="preserve">Satisfy all imposed conditions.</w:t>
            </w:r>
          </w:p>
        </w:tc>
      </w:tr>
    </w:tbl>
    <w:bookmarkEnd w:id="41"/>
    <w:bookmarkStart w:id="42" w:name="post-issuance-ongoing-obligations"/>
    <w:p>
      <w:pPr>
        <w:pStyle w:val="Heading3"/>
      </w:pPr>
      <w:r>
        <w:t xml:space="preserve">3.21 Post-Issuance Ongoing Obligations</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151</w:t>
            </w:r>
          </w:p>
        </w:tc>
        <w:tc>
          <w:tcPr/>
          <w:p>
            <w:pPr>
              <w:pStyle w:val="Compact"/>
              <w:jc w:val="left"/>
            </w:pPr>
            <w:r>
              <w:t xml:space="preserve">Quarterly compliance self-audits, due 15 days after quarter end (Code §9-5-13(K); §9-5-18(D)(1); Form Q29)</w:t>
            </w:r>
          </w:p>
        </w:tc>
        <w:tc>
          <w:tcPr/>
          <w:p>
            <w:pPr>
              <w:pStyle w:val="Compact"/>
              <w:jc w:val="left"/>
            </w:pPr>
            <w:r>
              <w:t xml:space="preserve">PENDING (Form blank)</w:t>
            </w:r>
          </w:p>
        </w:tc>
        <w:tc>
          <w:tcPr/>
          <w:p>
            <w:pPr>
              <w:pStyle w:val="Compact"/>
              <w:jc w:val="left"/>
            </w:pPr>
            <w:r>
              <w:t xml:space="preserve">Business plan §9.2 commits; Form Q29 blank.</w:t>
            </w:r>
          </w:p>
        </w:tc>
        <w:tc>
          <w:tcPr/>
          <w:p>
            <w:pPr>
              <w:pStyle w:val="Compact"/>
              <w:jc w:val="left"/>
            </w:pPr>
            <w:r>
              <w:t xml:space="preserve">Acknowledge in Form Q29; implement audit calendar.</w:t>
            </w:r>
          </w:p>
        </w:tc>
      </w:tr>
      <w:tr>
        <w:tc>
          <w:tcPr/>
          <w:p>
            <w:pPr>
              <w:pStyle w:val="Compact"/>
              <w:jc w:val="left"/>
            </w:pPr>
            <w:r>
              <w:t xml:space="preserve">152</w:t>
            </w:r>
          </w:p>
        </w:tc>
        <w:tc>
          <w:tcPr/>
          <w:p>
            <w:pPr>
              <w:pStyle w:val="Compact"/>
              <w:jc w:val="left"/>
            </w:pPr>
            <w:r>
              <w:t xml:space="preserve">Annual audited financial statements, within 90 days of permit-year end (Code §9-5-18(D)(2))</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Engage IL-licensed CPA.</w:t>
            </w:r>
          </w:p>
        </w:tc>
      </w:tr>
      <w:tr>
        <w:tc>
          <w:tcPr/>
          <w:p>
            <w:pPr>
              <w:pStyle w:val="Compact"/>
              <w:jc w:val="left"/>
            </w:pPr>
            <w:r>
              <w:t xml:space="preserve">153</w:t>
            </w:r>
          </w:p>
        </w:tc>
        <w:tc>
          <w:tcPr/>
          <w:p>
            <w:pPr>
              <w:pStyle w:val="Compact"/>
              <w:jc w:val="left"/>
            </w:pPr>
            <w:r>
              <w:t xml:space="preserve">Annual workforce demographics report (Code §9-5-18(D)(3))</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Implement tracking by census tract.</w:t>
            </w:r>
          </w:p>
        </w:tc>
      </w:tr>
      <w:tr>
        <w:tc>
          <w:tcPr/>
          <w:p>
            <w:pPr>
              <w:pStyle w:val="Compact"/>
              <w:jc w:val="left"/>
            </w:pPr>
            <w:r>
              <w:t xml:space="preserve">154</w:t>
            </w:r>
          </w:p>
        </w:tc>
        <w:tc>
          <w:tcPr/>
          <w:p>
            <w:pPr>
              <w:pStyle w:val="Compact"/>
              <w:jc w:val="left"/>
            </w:pPr>
            <w:r>
              <w:t xml:space="preserve">Immediate incident reports within 24 hours (Code §9-5-18(D)(4))</w:t>
            </w:r>
          </w:p>
        </w:tc>
        <w:tc>
          <w:tcPr/>
          <w:p>
            <w:pPr>
              <w:pStyle w:val="Compact"/>
              <w:jc w:val="left"/>
            </w:pPr>
            <w:r>
              <w:t xml:space="preserve">PENDING / NOT ADDRESSED</w:t>
            </w:r>
          </w:p>
        </w:tc>
        <w:tc>
          <w:tcPr/>
          <w:p>
            <w:pPr>
              <w:pStyle w:val="Compact"/>
              <w:jc w:val="left"/>
            </w:pPr>
            <w:r>
              <w:t xml:space="preserve">Not addressed in business plan.</w:t>
            </w:r>
          </w:p>
        </w:tc>
        <w:tc>
          <w:tcPr/>
          <w:p>
            <w:pPr>
              <w:pStyle w:val="Compact"/>
              <w:jc w:val="left"/>
            </w:pPr>
            <w:r>
              <w:t xml:space="preserve">Adopt incident-reporting protocol.</w:t>
            </w:r>
          </w:p>
        </w:tc>
      </w:tr>
      <w:tr>
        <w:tc>
          <w:tcPr/>
          <w:p>
            <w:pPr>
              <w:pStyle w:val="Compact"/>
              <w:jc w:val="left"/>
            </w:pPr>
            <w:r>
              <w:t xml:space="preserve">155</w:t>
            </w:r>
          </w:p>
        </w:tc>
        <w:tc>
          <w:tcPr/>
          <w:p>
            <w:pPr>
              <w:pStyle w:val="Compact"/>
              <w:jc w:val="left"/>
            </w:pPr>
            <w:r>
              <w:t xml:space="preserve">Records retention 5 years (Code §9-5-18(B))</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Implement 5-year retention.</w:t>
            </w:r>
          </w:p>
        </w:tc>
      </w:tr>
      <w:tr>
        <w:tc>
          <w:tcPr/>
          <w:p>
            <w:pPr>
              <w:pStyle w:val="Compact"/>
              <w:jc w:val="left"/>
            </w:pPr>
            <w:r>
              <w:t xml:space="preserve">156</w:t>
            </w:r>
          </w:p>
        </w:tc>
        <w:tc>
          <w:tcPr/>
          <w:p>
            <w:pPr>
              <w:pStyle w:val="Compact"/>
              <w:jc w:val="left"/>
            </w:pPr>
            <w:r>
              <w:t xml:space="preserve">Permit renewal 60–90 days before expiration; $15,000 (Code §9-5-12)</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Calendar renewal window.</w:t>
            </w:r>
          </w:p>
        </w:tc>
      </w:tr>
      <w:tr>
        <w:tc>
          <w:tcPr/>
          <w:p>
            <w:pPr>
              <w:pStyle w:val="Compact"/>
              <w:jc w:val="left"/>
            </w:pPr>
            <w:r>
              <w:t xml:space="preserve">157</w:t>
            </w:r>
          </w:p>
        </w:tc>
        <w:tc>
          <w:tcPr/>
          <w:p>
            <w:pPr>
              <w:pStyle w:val="Compact"/>
              <w:jc w:val="left"/>
            </w:pPr>
            <w:r>
              <w:t xml:space="preserve">Continuous insurance maintenance; 30-day change notice (Code §9-5-16(D),(E))</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Maintain; provide notices.</w:t>
            </w:r>
          </w:p>
        </w:tc>
      </w:tr>
      <w:tr>
        <w:tc>
          <w:tcPr/>
          <w:p>
            <w:pPr>
              <w:pStyle w:val="Compact"/>
              <w:jc w:val="left"/>
            </w:pPr>
            <w:r>
              <w:t xml:space="preserve">158</w:t>
            </w:r>
          </w:p>
        </w:tc>
        <w:tc>
          <w:tcPr/>
          <w:p>
            <w:pPr>
              <w:pStyle w:val="Compact"/>
              <w:jc w:val="left"/>
            </w:pPr>
            <w:r>
              <w:t xml:space="preserve">Operating-hours compliance (Code §9-5-13(F))</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Enforce 6 AM–10 PM.</w:t>
            </w:r>
          </w:p>
        </w:tc>
      </w:tr>
      <w:tr>
        <w:tc>
          <w:tcPr/>
          <w:p>
            <w:pPr>
              <w:pStyle w:val="Compact"/>
              <w:jc w:val="left"/>
            </w:pPr>
            <w:r>
              <w:t xml:space="preserve">159</w:t>
            </w:r>
          </w:p>
        </w:tc>
        <w:tc>
          <w:tcPr/>
          <w:p>
            <w:pPr>
              <w:pStyle w:val="Compact"/>
              <w:jc w:val="left"/>
            </w:pPr>
            <w:r>
              <w:t xml:space="preserve">Odor-mitigation maintenance and annual recertification (Code §9-5-13(G))</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Annual P.E. recertification at renewal.</w:t>
            </w:r>
          </w:p>
        </w:tc>
      </w:tr>
      <w:tr>
        <w:tc>
          <w:tcPr/>
          <w:p>
            <w:pPr>
              <w:pStyle w:val="Compact"/>
              <w:jc w:val="left"/>
            </w:pPr>
            <w:r>
              <w:t xml:space="preserve">160</w:t>
            </w:r>
          </w:p>
        </w:tc>
        <w:tc>
          <w:tcPr/>
          <w:p>
            <w:pPr>
              <w:pStyle w:val="Compact"/>
              <w:jc w:val="left"/>
            </w:pPr>
            <w:r>
              <w:t xml:space="preserve">State license maintenance; 24-hour notice of State action (Code §9-5-27(D))</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Monitor State status; notify Coordinator within 24 hours.</w:t>
            </w:r>
          </w:p>
        </w:tc>
      </w:tr>
      <w:tr>
        <w:tc>
          <w:tcPr/>
          <w:p>
            <w:pPr>
              <w:pStyle w:val="Compact"/>
              <w:jc w:val="left"/>
            </w:pPr>
            <w:r>
              <w:t xml:space="preserve">161</w:t>
            </w:r>
          </w:p>
        </w:tc>
        <w:tc>
          <w:tcPr/>
          <w:p>
            <w:pPr>
              <w:pStyle w:val="Compact"/>
              <w:jc w:val="left"/>
            </w:pPr>
            <w:r>
              <w:t xml:space="preserve">Transfer restrictions — ≥10% ownership change requires Council approval; $2,500 fee (Code §9-5-24)</w:t>
            </w:r>
          </w:p>
        </w:tc>
        <w:tc>
          <w:tcPr/>
          <w:p>
            <w:pPr>
              <w:pStyle w:val="Compact"/>
              <w:jc w:val="left"/>
            </w:pPr>
            <w:r>
              <w:t xml:space="preserve">PENDING</w:t>
            </w:r>
          </w:p>
        </w:tc>
        <w:tc>
          <w:tcPr/>
          <w:p>
            <w:pPr>
              <w:pStyle w:val="Compact"/>
              <w:jc w:val="left"/>
            </w:pPr>
            <w:r>
              <w:t xml:space="preserve">Note: lease change-of-control trigger is &gt;50%; State trigger is &gt;10%.</w:t>
            </w:r>
          </w:p>
        </w:tc>
        <w:tc>
          <w:tcPr/>
          <w:p>
            <w:pPr>
              <w:pStyle w:val="Compact"/>
              <w:jc w:val="left"/>
            </w:pPr>
            <w:r>
              <w:t xml:space="preserve">Observe the 10% City threshold for any ownership change.</w:t>
            </w:r>
          </w:p>
        </w:tc>
      </w:tr>
    </w:tbl>
    <w:p>
      <w:r>
        <w:pict>
          <v:rect style="width:0;height:1.5pt" o:hralign="center" o:hrstd="t" o:hr="t"/>
        </w:pict>
      </w:r>
    </w:p>
    <w:bookmarkEnd w:id="42"/>
    <w:bookmarkStart w:id="43" w:name="X47e5d8dcf72b1d10cf92d15b8417ae04e319c9a"/>
    <w:p>
      <w:pPr>
        <w:pStyle w:val="Heading3"/>
      </w:pPr>
      <w:r>
        <w:t xml:space="preserve">3.22 Scoring Categories, Tiebreaker &amp; Permit Allocation</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162</w:t>
            </w:r>
          </w:p>
        </w:tc>
        <w:tc>
          <w:tcPr/>
          <w:p>
            <w:pPr>
              <w:pStyle w:val="Compact"/>
              <w:jc w:val="left"/>
            </w:pPr>
            <w:r>
              <w:t xml:space="preserve">Experience &amp; Qualifications scoring (25 pts) (Code §9-5-10(C)(7))</w:t>
            </w:r>
          </w:p>
        </w:tc>
        <w:tc>
          <w:tcPr/>
          <w:p>
            <w:pPr>
              <w:pStyle w:val="Compact"/>
              <w:jc w:val="left"/>
            </w:pPr>
            <w:r>
              <w:t xml:space="preserve">COMPLIANT (Form blank)</w:t>
            </w:r>
          </w:p>
        </w:tc>
        <w:tc>
          <w:tcPr/>
          <w:p>
            <w:pPr>
              <w:pStyle w:val="Compact"/>
              <w:jc w:val="left"/>
            </w:pPr>
            <w:r>
              <w:t xml:space="preserve">Okonkwo: IL-licensed pharmacist (#051-302887), controlled-substance handling, patient consultation; Ramachandran: VP Operations, supply-chain logistics and food/beverage regulatory compliance. No direct cannabis-industry operating experience disclosed by either principal.</w:t>
            </w:r>
          </w:p>
        </w:tc>
        <w:tc>
          <w:tcPr/>
          <w:p>
            <w:pPr>
              <w:pStyle w:val="Compact"/>
              <w:jc w:val="left"/>
            </w:pPr>
            <w:r>
              <w:t xml:space="preserve">Complete Form; emphasize transferable qualifications; note absence of direct cannabis experience as a scoring risk within the 25-point category.</w:t>
            </w:r>
          </w:p>
        </w:tc>
      </w:tr>
      <w:tr>
        <w:tc>
          <w:tcPr/>
          <w:p>
            <w:pPr>
              <w:pStyle w:val="Compact"/>
              <w:jc w:val="left"/>
            </w:pPr>
            <w:r>
              <w:t xml:space="preserve">163</w:t>
            </w:r>
          </w:p>
        </w:tc>
        <w:tc>
          <w:tcPr/>
          <w:p>
            <w:pPr>
              <w:pStyle w:val="Compact"/>
              <w:jc w:val="left"/>
            </w:pPr>
            <w:r>
              <w:t xml:space="preserve">Scoring tiebreaker order (Code §9-5-10(D))</w:t>
            </w:r>
          </w:p>
        </w:tc>
        <w:tc>
          <w:tcPr/>
          <w:p>
            <w:pPr>
              <w:pStyle w:val="Compact"/>
              <w:jc w:val="left"/>
            </w:pPr>
            <w:r>
              <w:t xml:space="preserve">COMPLIANT (advantageous)</w:t>
            </w:r>
          </w:p>
        </w:tc>
        <w:tc>
          <w:tcPr/>
          <w:p>
            <w:pPr>
              <w:pStyle w:val="Compact"/>
              <w:jc w:val="left"/>
            </w:pPr>
            <w:r>
              <w:t xml:space="preserve">Tiebreaker order: (1) Social Equity Applicant, (2) higher Community Benefits score, (3) commercially underserved location. Greenleaf is a Social Equity Applicant = first tiebreaker preference.</w:t>
            </w:r>
          </w:p>
        </w:tc>
        <w:tc>
          <w:tcPr/>
          <w:p>
            <w:pPr>
              <w:pStyle w:val="Compact"/>
              <w:jc w:val="left"/>
            </w:pPr>
            <w:r>
              <w:t xml:space="preserve">None; secure social-equity verification to preserve tiebreaker priority.</w:t>
            </w:r>
          </w:p>
        </w:tc>
      </w:tr>
      <w:tr>
        <w:tc>
          <w:tcPr/>
          <w:p>
            <w:pPr>
              <w:pStyle w:val="Compact"/>
              <w:jc w:val="left"/>
            </w:pPr>
            <w:r>
              <w:t xml:space="preserve">164</w:t>
            </w:r>
          </w:p>
        </w:tc>
        <w:tc>
          <w:tcPr/>
          <w:p>
            <w:pPr>
              <w:pStyle w:val="Compact"/>
              <w:jc w:val="left"/>
            </w:pPr>
            <w:r>
              <w:t xml:space="preserve">Maximum four (4) dispensary permits (Code §9-5-4(B))</w:t>
            </w:r>
          </w:p>
        </w:tc>
        <w:tc>
          <w:tcPr/>
          <w:p>
            <w:pPr>
              <w:pStyle w:val="Compact"/>
              <w:jc w:val="left"/>
            </w:pPr>
            <w:r>
              <w:t xml:space="preserve">NOT CONFIRMED (availability)</w:t>
            </w:r>
          </w:p>
        </w:tc>
        <w:tc>
          <w:tcPr/>
          <w:p>
            <w:pPr>
              <w:pStyle w:val="Compact"/>
              <w:jc w:val="left"/>
            </w:pPr>
            <w:r>
              <w:t xml:space="preserve">Code caps dispensary permits at four; one exists (Prairie Wellness, 807 Church St.); up to three may remain. Availability not confirmed in the record.</w:t>
            </w:r>
          </w:p>
        </w:tc>
        <w:tc>
          <w:tcPr/>
          <w:p>
            <w:pPr>
              <w:pStyle w:val="Compact"/>
              <w:jc w:val="left"/>
            </w:pPr>
            <w:r>
              <w:t xml:space="preserve">Confirm permit availability with the Coordinator before filing.</w:t>
            </w:r>
          </w:p>
        </w:tc>
      </w:tr>
      <w:tr>
        <w:tc>
          <w:tcPr/>
          <w:p>
            <w:pPr>
              <w:pStyle w:val="Compact"/>
              <w:jc w:val="left"/>
            </w:pPr>
            <w:r>
              <w:t xml:space="preserve">165</w:t>
            </w:r>
          </w:p>
        </w:tc>
        <w:tc>
          <w:tcPr/>
          <w:p>
            <w:pPr>
              <w:pStyle w:val="Compact"/>
              <w:jc w:val="left"/>
            </w:pPr>
            <w:r>
              <w:t xml:space="preserve">Permit non-transferable and location-specific (Code §9-5-4(D),(E))</w:t>
            </w:r>
          </w:p>
        </w:tc>
        <w:tc>
          <w:tcPr/>
          <w:p>
            <w:pPr>
              <w:pStyle w:val="Compact"/>
              <w:jc w:val="left"/>
            </w:pPr>
            <w:r>
              <w:t xml:space="preserve">N/A (framework)</w:t>
            </w:r>
          </w:p>
        </w:tc>
        <w:tc>
          <w:tcPr/>
          <w:p>
            <w:pPr>
              <w:pStyle w:val="Compact"/>
              <w:jc w:val="left"/>
            </w:pPr>
            <w:r>
              <w:t xml:space="preserve">Acknowledged; permit will be specific to 1420 Sherman Ave., Unit B; transfer barred except per §9-5-24.</w:t>
            </w:r>
          </w:p>
        </w:tc>
        <w:tc>
          <w:tcPr/>
          <w:p>
            <w:pPr>
              <w:pStyle w:val="Compact"/>
              <w:jc w:val="left"/>
            </w:pPr>
            <w:r>
              <w:t xml:space="preserve">None.</w:t>
            </w:r>
          </w:p>
        </w:tc>
      </w:tr>
    </w:tbl>
    <w:bookmarkEnd w:id="43"/>
    <w:bookmarkStart w:id="44" w:name="X222a5a1c55ea299c0b18f8a6cc30a6eae643555"/>
    <w:p>
      <w:pPr>
        <w:pStyle w:val="Heading3"/>
      </w:pPr>
      <w:r>
        <w:t xml:space="preserve">3.23 Prohibited Acts — Ongoing Conditions (Code §9-5-21)</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166</w:t>
            </w:r>
          </w:p>
        </w:tc>
        <w:tc>
          <w:tcPr/>
          <w:p>
            <w:pPr>
              <w:pStyle w:val="Compact"/>
              <w:jc w:val="left"/>
            </w:pPr>
            <w:r>
              <w:t xml:space="preserve">No sale to under-21 (adult-use) or unregistered medical patients (§9-5-21(A))</w:t>
            </w:r>
          </w:p>
        </w:tc>
        <w:tc>
          <w:tcPr/>
          <w:p>
            <w:pPr>
              <w:pStyle w:val="Compact"/>
              <w:jc w:val="left"/>
            </w:pPr>
            <w:r>
              <w:t xml:space="preserve">PENDING</w:t>
            </w:r>
          </w:p>
        </w:tc>
        <w:tc>
          <w:tcPr/>
          <w:p>
            <w:pPr>
              <w:pStyle w:val="Compact"/>
              <w:jc w:val="left"/>
            </w:pPr>
            <w:r>
              <w:t xml:space="preserve">Post-issuance; ID-verification plan addresses age/medical-card checks.</w:t>
            </w:r>
          </w:p>
        </w:tc>
        <w:tc>
          <w:tcPr/>
          <w:p>
            <w:pPr>
              <w:pStyle w:val="Compact"/>
              <w:jc w:val="left"/>
            </w:pPr>
            <w:r>
              <w:t xml:space="preserve">Enforce ID and medical-card verification at vestibule.</w:t>
            </w:r>
          </w:p>
        </w:tc>
      </w:tr>
      <w:tr>
        <w:tc>
          <w:tcPr/>
          <w:p>
            <w:pPr>
              <w:pStyle w:val="Compact"/>
              <w:jc w:val="left"/>
            </w:pPr>
            <w:r>
              <w:t xml:space="preserve">167</w:t>
            </w:r>
          </w:p>
        </w:tc>
        <w:tc>
          <w:tcPr/>
          <w:p>
            <w:pPr>
              <w:pStyle w:val="Compact"/>
              <w:jc w:val="left"/>
            </w:pPr>
            <w:r>
              <w:t xml:space="preserve">No operation outside 6:00 AM–10:00 PM (§9-5-21(B))</w:t>
            </w:r>
          </w:p>
        </w:tc>
        <w:tc>
          <w:tcPr/>
          <w:p>
            <w:pPr>
              <w:pStyle w:val="Compact"/>
              <w:jc w:val="left"/>
            </w:pPr>
            <w:r>
              <w:t xml:space="preserve">PENDING</w:t>
            </w:r>
          </w:p>
        </w:tc>
        <w:tc>
          <w:tcPr/>
          <w:p>
            <w:pPr>
              <w:pStyle w:val="Compact"/>
              <w:jc w:val="left"/>
            </w:pPr>
            <w:r>
              <w:t xml:space="preserve">Business plan commits to permitted hours.</w:t>
            </w:r>
          </w:p>
        </w:tc>
        <w:tc>
          <w:tcPr/>
          <w:p>
            <w:pPr>
              <w:pStyle w:val="Compact"/>
              <w:jc w:val="left"/>
            </w:pPr>
            <w:r>
              <w:t xml:space="preserve">Enforce hours; no after-hours sales.</w:t>
            </w:r>
          </w:p>
        </w:tc>
      </w:tr>
      <w:tr>
        <w:tc>
          <w:tcPr/>
          <w:p>
            <w:pPr>
              <w:pStyle w:val="Compact"/>
              <w:jc w:val="left"/>
            </w:pPr>
            <w:r>
              <w:t xml:space="preserve">168</w:t>
            </w:r>
          </w:p>
        </w:tc>
        <w:tc>
          <w:tcPr/>
          <w:p>
            <w:pPr>
              <w:pStyle w:val="Compact"/>
              <w:jc w:val="left"/>
            </w:pPr>
            <w:r>
              <w:t xml:space="preserve">No exceeding maximum customer occupancy (§9-5-21(C))</w:t>
            </w:r>
          </w:p>
        </w:tc>
        <w:tc>
          <w:tcPr/>
          <w:p>
            <w:pPr>
              <w:pStyle w:val="Compact"/>
              <w:jc w:val="left"/>
            </w:pPr>
            <w:r>
              <w:t xml:space="preserve">PENDING</w:t>
            </w:r>
          </w:p>
        </w:tc>
        <w:tc>
          <w:tcPr/>
          <w:p>
            <w:pPr>
              <w:pStyle w:val="Compact"/>
              <w:jc w:val="left"/>
            </w:pPr>
            <w:r>
              <w:t xml:space="preserve">Queue management planned (40-customer limit).</w:t>
            </w:r>
          </w:p>
        </w:tc>
        <w:tc>
          <w:tcPr/>
          <w:p>
            <w:pPr>
              <w:pStyle w:val="Compact"/>
              <w:jc w:val="left"/>
            </w:pPr>
            <w:r>
              <w:t xml:space="preserve">Enforce posted occupancy limit.</w:t>
            </w:r>
          </w:p>
        </w:tc>
      </w:tr>
      <w:tr>
        <w:tc>
          <w:tcPr/>
          <w:p>
            <w:pPr>
              <w:pStyle w:val="Compact"/>
              <w:jc w:val="left"/>
            </w:pPr>
            <w:r>
              <w:t xml:space="preserve">169</w:t>
            </w:r>
          </w:p>
        </w:tc>
        <w:tc>
          <w:tcPr/>
          <w:p>
            <w:pPr>
              <w:pStyle w:val="Compact"/>
              <w:jc w:val="left"/>
            </w:pPr>
            <w:r>
              <w:t xml:space="preserve">No on-premises consumption of cannabis (§9-5-21(D))</w:t>
            </w:r>
          </w:p>
        </w:tc>
        <w:tc>
          <w:tcPr/>
          <w:p>
            <w:pPr>
              <w:pStyle w:val="Compact"/>
              <w:jc w:val="left"/>
            </w:pPr>
            <w:r>
              <w:t xml:space="preserve">NOT ADDRESSED</w:t>
            </w:r>
          </w:p>
        </w:tc>
        <w:tc>
          <w:tcPr/>
          <w:p>
            <w:pPr>
              <w:pStyle w:val="Compact"/>
              <w:jc w:val="left"/>
            </w:pPr>
            <w:r>
              <w:t xml:space="preserve">Business plan §5.4 references</w:t>
            </w:r>
            <w:r>
              <w:t xml:space="preserve"> </w:t>
            </w:r>
            <w:r>
              <w:t xml:space="preserve">“</w:t>
            </w:r>
            <w:r>
              <w:t xml:space="preserve">open or semi-open product samples … for customer inspection</w:t>
            </w:r>
            <w:r>
              <w:t xml:space="preserve">”</w:t>
            </w:r>
            <w:r>
              <w:t xml:space="preserve"> </w:t>
            </w:r>
            <w:r>
              <w:t xml:space="preserve">in display zones; ensure inspection does not constitute on-premises consumption.</w:t>
            </w:r>
          </w:p>
        </w:tc>
        <w:tc>
          <w:tcPr/>
          <w:p>
            <w:pPr>
              <w:pStyle w:val="Compact"/>
              <w:jc w:val="left"/>
            </w:pPr>
            <w:r>
              <w:t xml:space="preserve">Adopt an explicit no-consumption policy; clarify that sample inspection is visual/olfactory only, not consumption.</w:t>
            </w:r>
          </w:p>
        </w:tc>
      </w:tr>
      <w:tr>
        <w:tc>
          <w:tcPr/>
          <w:p>
            <w:pPr>
              <w:pStyle w:val="Compact"/>
              <w:jc w:val="left"/>
            </w:pPr>
            <w:r>
              <w:t xml:space="preserve">170</w:t>
            </w:r>
          </w:p>
        </w:tc>
        <w:tc>
          <w:tcPr/>
          <w:p>
            <w:pPr>
              <w:pStyle w:val="Compact"/>
              <w:jc w:val="left"/>
            </w:pPr>
            <w:r>
              <w:t xml:space="preserve">No sale of untracked product (§9-5-21(E))</w:t>
            </w:r>
          </w:p>
        </w:tc>
        <w:tc>
          <w:tcPr/>
          <w:p>
            <w:pPr>
              <w:pStyle w:val="Compact"/>
              <w:jc w:val="left"/>
            </w:pPr>
            <w:r>
              <w:t xml:space="preserve">PENDING</w:t>
            </w:r>
          </w:p>
        </w:tc>
        <w:tc>
          <w:tcPr/>
          <w:p>
            <w:pPr>
              <w:pStyle w:val="Compact"/>
              <w:jc w:val="left"/>
            </w:pPr>
            <w:r>
              <w:t xml:space="preserve">COMPASS integration planned.</w:t>
            </w:r>
          </w:p>
        </w:tc>
        <w:tc>
          <w:tcPr/>
          <w:p>
            <w:pPr>
              <w:pStyle w:val="Compact"/>
              <w:jc w:val="left"/>
            </w:pPr>
            <w:r>
              <w:t xml:space="preserve">Enforce seed-to-sale tracking on all sales.</w:t>
            </w:r>
          </w:p>
        </w:tc>
      </w:tr>
      <w:tr>
        <w:tc>
          <w:tcPr/>
          <w:p>
            <w:pPr>
              <w:pStyle w:val="Compact"/>
              <w:jc w:val="left"/>
            </w:pPr>
            <w:r>
              <w:t xml:space="preserve">171</w:t>
            </w:r>
          </w:p>
        </w:tc>
        <w:tc>
          <w:tcPr/>
          <w:p>
            <w:pPr>
              <w:pStyle w:val="Compact"/>
              <w:jc w:val="left"/>
            </w:pPr>
            <w:r>
              <w:t xml:space="preserve">No uncredentialed handling of cannabis (§9-5-21(F))</w:t>
            </w:r>
          </w:p>
        </w:tc>
        <w:tc>
          <w:tcPr/>
          <w:p>
            <w:pPr>
              <w:pStyle w:val="Compact"/>
              <w:jc w:val="left"/>
            </w:pPr>
            <w:r>
              <w:t xml:space="preserve">PENDING</w:t>
            </w:r>
          </w:p>
        </w:tc>
        <w:tc>
          <w:tcPr/>
          <w:p>
            <w:pPr>
              <w:pStyle w:val="Compact"/>
              <w:jc w:val="left"/>
            </w:pPr>
            <w:r>
              <w:t xml:space="preserve">Agent ID requirement acknowledged.</w:t>
            </w:r>
          </w:p>
        </w:tc>
        <w:tc>
          <w:tcPr/>
          <w:p>
            <w:pPr>
              <w:pStyle w:val="Compact"/>
              <w:jc w:val="left"/>
            </w:pPr>
            <w:r>
              <w:t xml:space="preserve">Verify all handlers hold Agent ID Cards.</w:t>
            </w:r>
          </w:p>
        </w:tc>
      </w:tr>
      <w:tr>
        <w:tc>
          <w:tcPr/>
          <w:p>
            <w:pPr>
              <w:pStyle w:val="Compact"/>
              <w:jc w:val="left"/>
            </w:pPr>
            <w:r>
              <w:t xml:space="preserve">172</w:t>
            </w:r>
          </w:p>
        </w:tc>
        <w:tc>
          <w:tcPr/>
          <w:p>
            <w:pPr>
              <w:pStyle w:val="Compact"/>
              <w:jc w:val="left"/>
            </w:pPr>
            <w:r>
              <w:t xml:space="preserve">No failure to install/maintain security measures (§9-5-21(G))</w:t>
            </w:r>
          </w:p>
        </w:tc>
        <w:tc>
          <w:tcPr/>
          <w:p>
            <w:pPr>
              <w:pStyle w:val="Compact"/>
              <w:jc w:val="left"/>
            </w:pPr>
            <w:r>
              <w:t xml:space="preserve">PENDING</w:t>
            </w:r>
          </w:p>
        </w:tc>
        <w:tc>
          <w:tcPr/>
          <w:p>
            <w:pPr>
              <w:pStyle w:val="Compact"/>
              <w:jc w:val="left"/>
            </w:pPr>
            <w:r>
              <w:t xml:space="preserve">Security plan pending finalization (ID 49).</w:t>
            </w:r>
          </w:p>
        </w:tc>
        <w:tc>
          <w:tcPr/>
          <w:p>
            <w:pPr>
              <w:pStyle w:val="Compact"/>
              <w:jc w:val="left"/>
            </w:pPr>
            <w:r>
              <w:t xml:space="preserve">Maintain all §9-5-13 systems.</w:t>
            </w:r>
          </w:p>
        </w:tc>
      </w:tr>
      <w:tr>
        <w:tc>
          <w:tcPr/>
          <w:p>
            <w:pPr>
              <w:pStyle w:val="Compact"/>
              <w:jc w:val="left"/>
            </w:pPr>
            <w:r>
              <w:t xml:space="preserve">173</w:t>
            </w:r>
          </w:p>
        </w:tc>
        <w:tc>
          <w:tcPr/>
          <w:p>
            <w:pPr>
              <w:pStyle w:val="Compact"/>
              <w:jc w:val="left"/>
            </w:pPr>
            <w:r>
              <w:t xml:space="preserve">No advertising targeting under-21 or making false health claims (§9-5-21(H))</w:t>
            </w:r>
          </w:p>
        </w:tc>
        <w:tc>
          <w:tcPr/>
          <w:p>
            <w:pPr>
              <w:pStyle w:val="Compact"/>
              <w:jc w:val="left"/>
            </w:pPr>
            <w:r>
              <w:t xml:space="preserve">NOT ADDRESSED</w:t>
            </w:r>
          </w:p>
        </w:tc>
        <w:tc>
          <w:tcPr/>
          <w:p>
            <w:pPr>
              <w:pStyle w:val="Compact"/>
              <w:jc w:val="left"/>
            </w:pPr>
            <w:r>
              <w:t xml:space="preserve">No advertising/marketing compliance plan in package; business plan budgets $60,000 Year 1 marketing.</w:t>
            </w:r>
          </w:p>
        </w:tc>
        <w:tc>
          <w:tcPr/>
          <w:p>
            <w:pPr>
              <w:pStyle w:val="Compact"/>
              <w:jc w:val="left"/>
            </w:pPr>
            <w:r>
              <w:t xml:space="preserve">Adopt an advertising-compliance policy consistent with §9-5-21(H) before any marketing.</w:t>
            </w:r>
          </w:p>
        </w:tc>
      </w:tr>
      <w:tr>
        <w:tc>
          <w:tcPr/>
          <w:p>
            <w:pPr>
              <w:pStyle w:val="Compact"/>
              <w:jc w:val="left"/>
            </w:pPr>
            <w:r>
              <w:t xml:space="preserve">174</w:t>
            </w:r>
          </w:p>
        </w:tc>
        <w:tc>
          <w:tcPr/>
          <w:p>
            <w:pPr>
              <w:pStyle w:val="Compact"/>
              <w:jc w:val="left"/>
            </w:pPr>
            <w:r>
              <w:t xml:space="preserve">No transfer/encumbrance without Council approval (§9-5-21(I))</w:t>
            </w:r>
          </w:p>
        </w:tc>
        <w:tc>
          <w:tcPr/>
          <w:p>
            <w:pPr>
              <w:pStyle w:val="Compact"/>
              <w:jc w:val="left"/>
            </w:pPr>
            <w:r>
              <w:t xml:space="preserve">PENDING</w:t>
            </w:r>
          </w:p>
        </w:tc>
        <w:tc>
          <w:tcPr/>
          <w:p>
            <w:pPr>
              <w:pStyle w:val="Compact"/>
              <w:jc w:val="left"/>
            </w:pPr>
            <w:r>
              <w:t xml:space="preserve">See ID 161 (10% threshold).</w:t>
            </w:r>
          </w:p>
        </w:tc>
        <w:tc>
          <w:tcPr/>
          <w:p>
            <w:pPr>
              <w:pStyle w:val="Compact"/>
              <w:jc w:val="left"/>
            </w:pPr>
            <w:r>
              <w:t xml:space="preserve">Observe the 10% ownership-change threshold.</w:t>
            </w:r>
          </w:p>
        </w:tc>
      </w:tr>
      <w:tr>
        <w:tc>
          <w:tcPr/>
          <w:p>
            <w:pPr>
              <w:pStyle w:val="Compact"/>
              <w:jc w:val="left"/>
            </w:pPr>
            <w:r>
              <w:t xml:space="preserve">175</w:t>
            </w:r>
          </w:p>
        </w:tc>
        <w:tc>
          <w:tcPr/>
          <w:p>
            <w:pPr>
              <w:pStyle w:val="Compact"/>
              <w:jc w:val="left"/>
            </w:pPr>
            <w:r>
              <w:t xml:space="preserve">No violation of State/federal law (§9-5-21(J))</w:t>
            </w:r>
          </w:p>
        </w:tc>
        <w:tc>
          <w:tcPr/>
          <w:p>
            <w:pPr>
              <w:pStyle w:val="Compact"/>
              <w:jc w:val="left"/>
            </w:pPr>
            <w:r>
              <w:t xml:space="preserve">PENDING</w:t>
            </w:r>
          </w:p>
        </w:tc>
        <w:tc>
          <w:tcPr/>
          <w:p>
            <w:pPr>
              <w:pStyle w:val="Compact"/>
              <w:jc w:val="left"/>
            </w:pPr>
            <w:r>
              <w:t xml:space="preserve">Federal Schedule I risk acknowledged (business plan §10.1).</w:t>
            </w:r>
          </w:p>
        </w:tc>
        <w:tc>
          <w:tcPr/>
          <w:p>
            <w:pPr>
              <w:pStyle w:val="Compact"/>
              <w:jc w:val="left"/>
            </w:pPr>
            <w:r>
              <w:t xml:space="preserve">Maintain State and local compliance.</w:t>
            </w:r>
          </w:p>
        </w:tc>
      </w:tr>
    </w:tbl>
    <w:bookmarkEnd w:id="44"/>
    <w:bookmarkStart w:id="45" w:name="inspections-code-9-5-23"/>
    <w:p>
      <w:pPr>
        <w:pStyle w:val="Heading3"/>
      </w:pPr>
      <w:r>
        <w:t xml:space="preserve">3.24 Inspections (Code §9-5-23)</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176</w:t>
            </w:r>
          </w:p>
        </w:tc>
        <w:tc>
          <w:tcPr/>
          <w:p>
            <w:pPr>
              <w:pStyle w:val="Compact"/>
              <w:jc w:val="left"/>
            </w:pPr>
            <w:r>
              <w:t xml:space="preserve">Right of inspection anytime during operating hours without notice; 24-hr notice otherwise (§9-5-23(A))</w:t>
            </w:r>
          </w:p>
        </w:tc>
        <w:tc>
          <w:tcPr/>
          <w:p>
            <w:pPr>
              <w:pStyle w:val="Compact"/>
              <w:jc w:val="left"/>
            </w:pPr>
            <w:r>
              <w:t xml:space="preserve">PENDING</w:t>
            </w:r>
          </w:p>
        </w:tc>
        <w:tc>
          <w:tcPr/>
          <w:p>
            <w:pPr>
              <w:pStyle w:val="Compact"/>
              <w:jc w:val="left"/>
            </w:pPr>
            <w:r>
              <w:t xml:space="preserve">Post-issuance; business plan §9.2 commits to an</w:t>
            </w:r>
            <w:r>
              <w:t xml:space="preserve"> </w:t>
            </w:r>
            <w:r>
              <w:t xml:space="preserve">“</w:t>
            </w:r>
            <w:r>
              <w:t xml:space="preserve">audit-ready</w:t>
            </w:r>
            <w:r>
              <w:t xml:space="preserve">”</w:t>
            </w:r>
            <w:r>
              <w:t xml:space="preserve"> </w:t>
            </w:r>
            <w:r>
              <w:t xml:space="preserve">compliance file and cooperation with unannounced inspections.</w:t>
            </w:r>
          </w:p>
        </w:tc>
        <w:tc>
          <w:tcPr/>
          <w:p>
            <w:pPr>
              <w:pStyle w:val="Compact"/>
              <w:jc w:val="left"/>
            </w:pPr>
            <w:r>
              <w:t xml:space="preserve">Maintain an audit-ready compliance file at all times.</w:t>
            </w:r>
          </w:p>
        </w:tc>
      </w:tr>
      <w:tr>
        <w:tc>
          <w:tcPr/>
          <w:p>
            <w:pPr>
              <w:pStyle w:val="Compact"/>
              <w:jc w:val="left"/>
            </w:pPr>
            <w:r>
              <w:t xml:space="preserve">177</w:t>
            </w:r>
          </w:p>
        </w:tc>
        <w:tc>
          <w:tcPr/>
          <w:p>
            <w:pPr>
              <w:pStyle w:val="Compact"/>
              <w:jc w:val="left"/>
            </w:pPr>
            <w:r>
              <w:t xml:space="preserve">Pre-opening inspection before permit issuance (§9-5-23(B))</w:t>
            </w:r>
          </w:p>
        </w:tc>
        <w:tc>
          <w:tcPr/>
          <w:p>
            <w:pPr>
              <w:pStyle w:val="Compact"/>
              <w:jc w:val="left"/>
            </w:pPr>
            <w:r>
              <w:t xml:space="preserve">PENDING</w:t>
            </w:r>
          </w:p>
        </w:tc>
        <w:tc>
          <w:tcPr/>
          <w:p>
            <w:pPr>
              <w:pStyle w:val="Compact"/>
              <w:jc w:val="left"/>
            </w:pPr>
            <w:r>
              <w:t xml:space="preserve">Covered by IDs 145–146; §9-5-23(B) independently verifies security, building, fire, ADA, and operational standards before operations commence.</w:t>
            </w:r>
          </w:p>
        </w:tc>
        <w:tc>
          <w:tcPr/>
          <w:p>
            <w:pPr>
              <w:pStyle w:val="Compact"/>
              <w:jc w:val="left"/>
            </w:pPr>
            <w:r>
              <w:t xml:space="preserve">Complete the pre-opening inspection; correct all deficiencies to the Coordinator’s satisfaction.</w:t>
            </w:r>
          </w:p>
        </w:tc>
      </w:tr>
      <w:tr>
        <w:tc>
          <w:tcPr/>
          <w:p>
            <w:pPr>
              <w:pStyle w:val="Compact"/>
              <w:jc w:val="left"/>
            </w:pPr>
            <w:r>
              <w:t xml:space="preserve">178</w:t>
            </w:r>
          </w:p>
        </w:tc>
        <w:tc>
          <w:tcPr/>
          <w:p>
            <w:pPr>
              <w:pStyle w:val="Compact"/>
              <w:jc w:val="left"/>
            </w:pPr>
            <w:r>
              <w:t xml:space="preserve">No fewer than two (2) unannounced compliance inspections per year (§9-5-23(C))</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Cooperate with routine inspections.</w:t>
            </w:r>
          </w:p>
        </w:tc>
      </w:tr>
      <w:tr>
        <w:tc>
          <w:tcPr/>
          <w:p>
            <w:pPr>
              <w:pStyle w:val="Compact"/>
              <w:jc w:val="left"/>
            </w:pPr>
            <w:r>
              <w:t xml:space="preserve">179</w:t>
            </w:r>
          </w:p>
        </w:tc>
        <w:tc>
          <w:tcPr/>
          <w:p>
            <w:pPr>
              <w:pStyle w:val="Compact"/>
              <w:jc w:val="left"/>
            </w:pPr>
            <w:r>
              <w:t xml:space="preserve">Refusal to permit inspection = immediate suspension (§9-5-23(D))</w:t>
            </w:r>
          </w:p>
        </w:tc>
        <w:tc>
          <w:tcPr/>
          <w:p>
            <w:pPr>
              <w:pStyle w:val="Compact"/>
              <w:jc w:val="left"/>
            </w:pPr>
            <w:r>
              <w:t xml:space="preserve">PENDING</w:t>
            </w:r>
          </w:p>
        </w:tc>
        <w:tc>
          <w:tcPr/>
          <w:p>
            <w:pPr>
              <w:pStyle w:val="Compact"/>
              <w:jc w:val="left"/>
            </w:pPr>
            <w:r>
              <w:t xml:space="preserve">Post-issuance.</w:t>
            </w:r>
          </w:p>
        </w:tc>
        <w:tc>
          <w:tcPr/>
          <w:p>
            <w:pPr>
              <w:pStyle w:val="Compact"/>
              <w:jc w:val="left"/>
            </w:pPr>
            <w:r>
              <w:t xml:space="preserve">Never refuse an authorized inspection.</w:t>
            </w:r>
          </w:p>
        </w:tc>
      </w:tr>
    </w:tbl>
    <w:bookmarkEnd w:id="45"/>
    <w:bookmarkStart w:id="46" w:name="waivers-code-9-5-26"/>
    <w:p>
      <w:pPr>
        <w:pStyle w:val="Heading3"/>
      </w:pPr>
      <w:r>
        <w:t xml:space="preserve">3.25 Waivers (Code §9-5-26)</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180</w:t>
            </w:r>
          </w:p>
        </w:tc>
        <w:tc>
          <w:tcPr/>
          <w:p>
            <w:pPr>
              <w:pStyle w:val="Compact"/>
              <w:jc w:val="left"/>
            </w:pPr>
            <w:r>
              <w:t xml:space="preserve">Waiver availability for non-statutory requirements (§9-5-26(A))</w:t>
            </w:r>
          </w:p>
        </w:tc>
        <w:tc>
          <w:tcPr/>
          <w:p>
            <w:pPr>
              <w:pStyle w:val="Compact"/>
              <w:jc w:val="left"/>
            </w:pPr>
            <w:r>
              <w:t xml:space="preserve">N/A (potential)</w:t>
            </w:r>
          </w:p>
        </w:tc>
        <w:tc>
          <w:tcPr/>
          <w:p>
            <w:pPr>
              <w:pStyle w:val="Compact"/>
              <w:jc w:val="left"/>
            </w:pPr>
            <w:r>
              <w:t xml:space="preserve">Waivers available for non-statutory requirements upon a showing of undue hardship + no public-health/safety compromise + substantial compliance or equivalent alternative measures; Coordinator decides within 30 days; appeal to Liquor &amp; Cannabis Board within 15 days.</w:t>
            </w:r>
          </w:p>
        </w:tc>
        <w:tc>
          <w:tcPr/>
          <w:p>
            <w:pPr>
              <w:pStyle w:val="Compact"/>
              <w:jc w:val="left"/>
            </w:pPr>
            <w:r>
              <w:t xml:space="preserve">Consider a waiver petition only for genuinely non-waivable-curable items (e.g., survey freshness) if cure is impracticable; do not rely on waivers for core submissions.</w:t>
            </w:r>
          </w:p>
        </w:tc>
      </w:tr>
      <w:tr>
        <w:tc>
          <w:tcPr/>
          <w:p>
            <w:pPr>
              <w:pStyle w:val="Compact"/>
              <w:jc w:val="left"/>
            </w:pPr>
            <w:r>
              <w:t xml:space="preserve">181</w:t>
            </w:r>
          </w:p>
        </w:tc>
        <w:tc>
          <w:tcPr/>
          <w:p>
            <w:pPr>
              <w:pStyle w:val="Compact"/>
              <w:jc w:val="left"/>
            </w:pPr>
            <w:r>
              <w:t xml:space="preserve">Non-waivable provisions (§9-5-26(D))</w:t>
            </w:r>
          </w:p>
        </w:tc>
        <w:tc>
          <w:tcPr/>
          <w:p>
            <w:pPr>
              <w:pStyle w:val="Compact"/>
              <w:jc w:val="left"/>
            </w:pPr>
            <w:r>
              <w:t xml:space="preserve">N/A</w:t>
            </w:r>
          </w:p>
        </w:tc>
        <w:tc>
          <w:tcPr/>
          <w:p>
            <w:pPr>
              <w:pStyle w:val="Compact"/>
              <w:jc w:val="left"/>
            </w:pPr>
            <w:r>
              <w:t xml:space="preserve">Buffer distances (§9-5-9(B)), background checks/disqualifying offenses (§9-5-22(C)), minimum insurance (§9-5-16), and any State-law requirement cannot be waived.</w:t>
            </w:r>
          </w:p>
        </w:tc>
        <w:tc>
          <w:tcPr/>
          <w:p>
            <w:pPr>
              <w:pStyle w:val="Compact"/>
              <w:jc w:val="left"/>
            </w:pPr>
            <w:r>
              <w:t xml:space="preserve">The buffer distances themselves are compliant; only the certification methodology/freshness is at issue (curable without waiving the distances).</w:t>
            </w:r>
          </w:p>
        </w:tc>
      </w:tr>
      <w:tr>
        <w:tc>
          <w:tcPr/>
          <w:p>
            <w:pPr>
              <w:pStyle w:val="Compact"/>
              <w:jc w:val="left"/>
            </w:pPr>
            <w:r>
              <w:t xml:space="preserve">182</w:t>
            </w:r>
          </w:p>
        </w:tc>
        <w:tc>
          <w:tcPr/>
          <w:p>
            <w:pPr>
              <w:pStyle w:val="Compact"/>
              <w:jc w:val="left"/>
            </w:pPr>
            <w:r>
              <w:t xml:space="preserve">Community-engagement notice vs. two-session minimum (§9-5-8(F) vs. §9-5-26)</w:t>
            </w:r>
          </w:p>
        </w:tc>
        <w:tc>
          <w:tcPr/>
          <w:p>
            <w:pPr>
              <w:pStyle w:val="Compact"/>
              <w:jc w:val="left"/>
            </w:pPr>
            <w:r>
              <w:t xml:space="preserve">NON-COMPLIANT (limited waiver)</w:t>
            </w:r>
          </w:p>
        </w:tc>
        <w:tc>
          <w:tcPr/>
          <w:p>
            <w:pPr>
              <w:pStyle w:val="Compact"/>
              <w:jc w:val="left"/>
            </w:pPr>
            <w:r>
              <w:t xml:space="preserve">The 14-day notice defect (ID 91) is not listed in §9-5-26(D)’s non-waivable provisions, so a waiver of notice timing is theoretically possible; however, §9-5-8(F) expressly bars waiver of the two-session minimum and treats notice failure as a completeness defect. The safest course is a third, properly-noticed session.</w:t>
            </w:r>
          </w:p>
        </w:tc>
        <w:tc>
          <w:tcPr/>
          <w:p>
            <w:pPr>
              <w:pStyle w:val="Compact"/>
              <w:jc w:val="left"/>
            </w:pPr>
            <w:r>
              <w:t xml:space="preserve">Hold a third properly-noticed session rather than rely on a waiver petition.</w:t>
            </w:r>
          </w:p>
        </w:tc>
      </w:tr>
    </w:tbl>
    <w:bookmarkEnd w:id="46"/>
    <w:bookmarkStart w:id="47" w:name="Xd9836974a86f07d11af642ece6ca5c299a34788"/>
    <w:p>
      <w:pPr>
        <w:pStyle w:val="Heading3"/>
      </w:pPr>
      <w:r>
        <w:t xml:space="preserve">3.26 Additional Form, Code &amp; Package Items Identified on Completeness Audit</w:t>
      </w:r>
    </w:p>
    <w:tbl>
      <w:tblPr>
        <w:tblStyle w:val="Table"/>
        <w:tblW w:type="pct" w:w="5000"/>
        <w:jc w:val="left"/>
        <w:tblLayout w:type="fixed"/>
        <w:tblLook w:firstRow="1" w:lastRow="0" w:firstColumn="0" w:lastColumn="0" w:noHBand="0" w:noVBand="0" w:val="0020"/>
      </w:tblPr>
      <w:tblGrid>
        <w:gridCol w:w="452"/>
        <w:gridCol w:w="2715"/>
        <w:gridCol w:w="905"/>
        <w:gridCol w:w="2376"/>
        <w:gridCol w:w="1470"/>
      </w:tblGrid>
      <w:tr>
        <w:trPr>
          <w:tblHeader w:val="on"/>
        </w:trPr>
        <w:tc>
          <w:tcPr/>
          <w:p>
            <w:pPr>
              <w:pStyle w:val="Compact"/>
              <w:jc w:val="left"/>
            </w:pPr>
            <w:r>
              <w:t xml:space="preserve">ID</w:t>
            </w:r>
          </w:p>
        </w:tc>
        <w:tc>
          <w:tcPr/>
          <w:p>
            <w:pPr>
              <w:pStyle w:val="Compact"/>
              <w:jc w:val="left"/>
            </w:pPr>
            <w:r>
              <w:t xml:space="preserve">Requirement (Citation)</w:t>
            </w:r>
          </w:p>
        </w:tc>
        <w:tc>
          <w:tcPr/>
          <w:p>
            <w:pPr>
              <w:pStyle w:val="Compact"/>
              <w:jc w:val="left"/>
            </w:pPr>
            <w:r>
              <w:t xml:space="preserve">Status</w:t>
            </w:r>
          </w:p>
        </w:tc>
        <w:tc>
          <w:tcPr/>
          <w:p>
            <w:pPr>
              <w:pStyle w:val="Compact"/>
              <w:jc w:val="left"/>
            </w:pPr>
            <w:r>
              <w:t xml:space="preserve">Findings / Evidence</w:t>
            </w:r>
          </w:p>
        </w:tc>
        <w:tc>
          <w:tcPr/>
          <w:p>
            <w:pPr>
              <w:pStyle w:val="Compact"/>
              <w:jc w:val="left"/>
            </w:pPr>
            <w:r>
              <w:t xml:space="preserve">Remediation</w:t>
            </w:r>
          </w:p>
        </w:tc>
      </w:tr>
      <w:tr>
        <w:tc>
          <w:tcPr/>
          <w:p>
            <w:pPr>
              <w:pStyle w:val="Compact"/>
              <w:jc w:val="left"/>
            </w:pPr>
            <w:r>
              <w:t xml:space="preserve">183</w:t>
            </w:r>
          </w:p>
        </w:tc>
        <w:tc>
          <w:tcPr/>
          <w:p>
            <w:pPr>
              <w:pStyle w:val="Compact"/>
              <w:jc w:val="left"/>
            </w:pPr>
            <w:r>
              <w:t xml:space="preserve">Floor plan must delineate restrooms; Retail Floor Area excludes restrooms/mechanical rooms (Code §9-5-5(B)(6); §9-5-2(O))</w:t>
            </w:r>
          </w:p>
        </w:tc>
        <w:tc>
          <w:tcPr/>
          <w:p>
            <w:pPr>
              <w:pStyle w:val="Compact"/>
              <w:jc w:val="left"/>
            </w:pPr>
            <w:r>
              <w:t xml:space="preserve">NON-COMPLIANT</w:t>
            </w:r>
          </w:p>
        </w:tc>
        <w:tc>
          <w:tcPr/>
          <w:p>
            <w:pPr>
              <w:pStyle w:val="Compact"/>
              <w:jc w:val="left"/>
            </w:pPr>
            <w:r>
              <w:t xml:space="preserve">Sq-footage breakdown (retail 1,600; storage 800; office 600; vestibule 200 = 3,200) omits restrooms and mechanical rooms; no restroom square footage shown.</w:t>
            </w:r>
          </w:p>
        </w:tc>
        <w:tc>
          <w:tcPr/>
          <w:p>
            <w:pPr>
              <w:pStyle w:val="Compact"/>
              <w:jc w:val="left"/>
            </w:pPr>
            <w:r>
              <w:t xml:space="preserve">Add restrooms (and any mechanical rooms) to the floor plan and sq-footage breakdown; confirm the 1,600-sq-ft retail figure excludes them per §9-5-2(O).</w:t>
            </w:r>
          </w:p>
        </w:tc>
      </w:tr>
      <w:tr>
        <w:tc>
          <w:tcPr/>
          <w:p>
            <w:pPr>
              <w:pStyle w:val="Compact"/>
              <w:jc w:val="left"/>
            </w:pPr>
            <w:r>
              <w:t xml:space="preserve">184</w:t>
            </w:r>
          </w:p>
        </w:tc>
        <w:tc>
          <w:tcPr/>
          <w:p>
            <w:pPr>
              <w:pStyle w:val="Compact"/>
              <w:jc w:val="left"/>
            </w:pPr>
            <w:r>
              <w:t xml:space="preserve">Notify Coordinator of material changes during pendency (Code §9-5-5(D))</w:t>
            </w:r>
          </w:p>
        </w:tc>
        <w:tc>
          <w:tcPr/>
          <w:p>
            <w:pPr>
              <w:pStyle w:val="Compact"/>
              <w:jc w:val="left"/>
            </w:pPr>
            <w:r>
              <w:t xml:space="preserve">NOT ADDRESSED</w:t>
            </w:r>
          </w:p>
        </w:tc>
        <w:tc>
          <w:tcPr/>
          <w:p>
            <w:pPr>
              <w:pStyle w:val="Compact"/>
              <w:jc w:val="left"/>
            </w:pPr>
            <w:r>
              <w:t xml:space="preserve">No procedure stated for notifying the Coordinator of ownership, principal-officer, premises, or financial-condition changes during review.</w:t>
            </w:r>
          </w:p>
        </w:tc>
        <w:tc>
          <w:tcPr/>
          <w:p>
            <w:pPr>
              <w:pStyle w:val="Compact"/>
              <w:jc w:val="left"/>
            </w:pPr>
            <w:r>
              <w:t xml:space="preserve">Adopt a material-change notification protocol; update the principal-officer list within five (5) business days of any change (§9-5-5(B)(4)).</w:t>
            </w:r>
          </w:p>
        </w:tc>
      </w:tr>
      <w:tr>
        <w:tc>
          <w:tcPr/>
          <w:p>
            <w:pPr>
              <w:pStyle w:val="Compact"/>
              <w:jc w:val="left"/>
            </w:pPr>
            <w:r>
              <w:t xml:space="preserve">185</w:t>
            </w:r>
          </w:p>
        </w:tc>
        <w:tc>
          <w:tcPr/>
          <w:p>
            <w:pPr>
              <w:pStyle w:val="Compact"/>
              <w:jc w:val="left"/>
            </w:pPr>
            <w:r>
              <w:t xml:space="preserve">Public-hearing notice: publish on City website + mail to all property owners within 500 ft ≥15 days prior (Code §9-5-7(D))</w:t>
            </w:r>
          </w:p>
        </w:tc>
        <w:tc>
          <w:tcPr/>
          <w:p>
            <w:pPr>
              <w:pStyle w:val="Compact"/>
              <w:jc w:val="left"/>
            </w:pPr>
            <w:r>
              <w:t xml:space="preserve">PENDING / NOT ADDRESSED</w:t>
            </w:r>
          </w:p>
        </w:tc>
        <w:tc>
          <w:tcPr/>
          <w:p>
            <w:pPr>
              <w:pStyle w:val="Compact"/>
              <w:jc w:val="left"/>
            </w:pPr>
            <w:r>
              <w:t xml:space="preserve">Distinct from the special-use 500-ft mailing (ID 38); not addressed in the package.</w:t>
            </w:r>
          </w:p>
        </w:tc>
        <w:tc>
          <w:tcPr/>
          <w:p>
            <w:pPr>
              <w:pStyle w:val="Compact"/>
              <w:jc w:val="left"/>
            </w:pPr>
            <w:r>
              <w:t xml:space="preserve">Prepare a 500-ft owner mailing (Cook County Assessor records) for the Liquor &amp; Cannabis Board public hearing once a hearing date is set.</w:t>
            </w:r>
          </w:p>
        </w:tc>
      </w:tr>
      <w:tr>
        <w:tc>
          <w:tcPr/>
          <w:p>
            <w:pPr>
              <w:pStyle w:val="Compact"/>
              <w:jc w:val="left"/>
            </w:pPr>
            <w:r>
              <w:t xml:space="preserve">186</w:t>
            </w:r>
          </w:p>
        </w:tc>
        <w:tc>
          <w:tcPr/>
          <w:p>
            <w:pPr>
              <w:pStyle w:val="Compact"/>
              <w:jc w:val="left"/>
            </w:pPr>
            <w:r>
              <w:t xml:space="preserve">Audited revenue statement must break down adult-use and medical sales (Code §9-5-15(D))</w:t>
            </w:r>
          </w:p>
        </w:tc>
        <w:tc>
          <w:tcPr/>
          <w:p>
            <w:pPr>
              <w:pStyle w:val="Compact"/>
              <w:jc w:val="left"/>
            </w:pPr>
            <w:r>
              <w:t xml:space="preserve">PENDING / NOT ADDRESSED</w:t>
            </w:r>
          </w:p>
        </w:tc>
        <w:tc>
          <w:tcPr/>
          <w:p>
            <w:pPr>
              <w:pStyle w:val="Compact"/>
              <w:jc w:val="left"/>
            </w:pPr>
            <w:r>
              <w:t xml:space="preserve">Business plan projects blended revenue; no adult-use/medical split for the annual audited statement.</w:t>
            </w:r>
          </w:p>
        </w:tc>
        <w:tc>
          <w:tcPr/>
          <w:p>
            <w:pPr>
              <w:pStyle w:val="Compact"/>
              <w:jc w:val="left"/>
            </w:pPr>
            <w:r>
              <w:t xml:space="preserve">Track and report adult-use vs. medical sales separately for the annual audited statement (GAAP, IL-licensed CPA).</w:t>
            </w:r>
          </w:p>
        </w:tc>
      </w:tr>
      <w:tr>
        <w:tc>
          <w:tcPr/>
          <w:p>
            <w:pPr>
              <w:pStyle w:val="Compact"/>
              <w:jc w:val="left"/>
            </w:pPr>
            <w:r>
              <w:t xml:space="preserve">187</w:t>
            </w:r>
          </w:p>
        </w:tc>
        <w:tc>
          <w:tcPr/>
          <w:p>
            <w:pPr>
              <w:pStyle w:val="Compact"/>
              <w:jc w:val="left"/>
            </w:pPr>
            <w:r>
              <w:t xml:space="preserve">Insurance lapse: suspend operations within 48 hours; lapse &gt;14 consecutive days = immediate suspension (Code §9-5-16(E))</w:t>
            </w:r>
          </w:p>
        </w:tc>
        <w:tc>
          <w:tcPr/>
          <w:p>
            <w:pPr>
              <w:pStyle w:val="Compact"/>
              <w:jc w:val="left"/>
            </w:pPr>
            <w:r>
              <w:t xml:space="preserve">PENDING / NOT ADDRESSED</w:t>
            </w:r>
          </w:p>
        </w:tc>
        <w:tc>
          <w:tcPr/>
          <w:p>
            <w:pPr>
              <w:pStyle w:val="Compact"/>
              <w:jc w:val="left"/>
            </w:pPr>
            <w:r>
              <w:t xml:space="preserve">Not addressed in the business plan or insurance memo.</w:t>
            </w:r>
          </w:p>
        </w:tc>
        <w:tc>
          <w:tcPr/>
          <w:p>
            <w:pPr>
              <w:pStyle w:val="Compact"/>
              <w:jc w:val="left"/>
            </w:pPr>
            <w:r>
              <w:t xml:space="preserve">Adopt a lapse-response protocol: immediate Coordinator notice; suspend operations within 48 hours; restore coverage and obtain Coordinator acceptance before resuming.</w:t>
            </w:r>
          </w:p>
        </w:tc>
      </w:tr>
      <w:tr>
        <w:tc>
          <w:tcPr/>
          <w:p>
            <w:pPr>
              <w:pStyle w:val="Compact"/>
              <w:jc w:val="left"/>
            </w:pPr>
            <w:r>
              <w:t xml:space="preserve">188</w:t>
            </w:r>
          </w:p>
        </w:tc>
        <w:tc>
          <w:tcPr/>
          <w:p>
            <w:pPr>
              <w:pStyle w:val="Compact"/>
              <w:jc w:val="left"/>
            </w:pPr>
            <w:r>
              <w:t xml:space="preserve">Social-equity basis (B)(3): family member’s cannabis offense before June 25, 2019 (Code §9-5-19(B)(3))</w:t>
            </w:r>
          </w:p>
        </w:tc>
        <w:tc>
          <w:tcPr/>
          <w:p>
            <w:pPr>
              <w:pStyle w:val="Compact"/>
              <w:jc w:val="left"/>
            </w:pPr>
            <w:r>
              <w:t xml:space="preserve">N/A (not claimed)</w:t>
            </w:r>
          </w:p>
        </w:tc>
        <w:tc>
          <w:tcPr/>
          <w:p>
            <w:pPr>
              <w:pStyle w:val="Compact"/>
              <w:jc w:val="left"/>
            </w:pPr>
            <w:r>
              <w:t xml:space="preserve">Greenleaf claims (B)(1) R3 residency and (B)(2) expunged conviction; (B)(3) (parent/sibling/child cannabis offense prior to June 25, 2019) is not claimed.</w:t>
            </w:r>
          </w:p>
        </w:tc>
        <w:tc>
          <w:tcPr/>
          <w:p>
            <w:pPr>
              <w:pStyle w:val="Compact"/>
              <w:jc w:val="left"/>
            </w:pPr>
            <w:r>
              <w:t xml:space="preserve">None; (B)(1) and (B)(2) suffice. Document both claimed bases fully.</w:t>
            </w:r>
          </w:p>
        </w:tc>
      </w:tr>
      <w:tr>
        <w:tc>
          <w:tcPr/>
          <w:p>
            <w:pPr>
              <w:pStyle w:val="Compact"/>
              <w:jc w:val="left"/>
            </w:pPr>
            <w:r>
              <w:t xml:space="preserve">189</w:t>
            </w:r>
          </w:p>
        </w:tc>
        <w:tc>
          <w:tcPr/>
          <w:p>
            <w:pPr>
              <w:pStyle w:val="Compact"/>
              <w:jc w:val="left"/>
            </w:pPr>
            <w:r>
              <w:t xml:space="preserve">Background-check results must be received before completeness; applicant bears delay risk (Code §9-5-22(E))</w:t>
            </w:r>
          </w:p>
        </w:tc>
        <w:tc>
          <w:tcPr/>
          <w:p>
            <w:pPr>
              <w:pStyle w:val="Compact"/>
              <w:jc w:val="left"/>
            </w:pPr>
            <w:r>
              <w:t xml:space="preserve">NOT ADDRESSED</w:t>
            </w:r>
          </w:p>
        </w:tc>
        <w:tc>
          <w:tcPr/>
          <w:p>
            <w:pPr>
              <w:pStyle w:val="Compact"/>
              <w:jc w:val="left"/>
            </w:pPr>
            <w:r>
              <w:t xml:space="preserve">City background checks not yet initiated; any delay will not extend the review timeline.</w:t>
            </w:r>
          </w:p>
        </w:tc>
        <w:tc>
          <w:tcPr/>
          <w:p>
            <w:pPr>
              <w:pStyle w:val="Compact"/>
              <w:jc w:val="left"/>
            </w:pPr>
            <w:r>
              <w:t xml:space="preserve">Initiate fingerprinting immediately; build lead time; bear the delay risk.</w:t>
            </w:r>
          </w:p>
        </w:tc>
      </w:tr>
      <w:tr>
        <w:tc>
          <w:tcPr/>
          <w:p>
            <w:pPr>
              <w:pStyle w:val="Compact"/>
              <w:jc w:val="left"/>
            </w:pPr>
            <w:r>
              <w:t xml:space="preserve">190</w:t>
            </w:r>
          </w:p>
        </w:tc>
        <w:tc>
          <w:tcPr/>
          <w:p>
            <w:pPr>
              <w:pStyle w:val="Compact"/>
              <w:jc w:val="left"/>
            </w:pPr>
            <w:r>
              <w:t xml:space="preserve">Form Q10: prior cannabis-license disclosure (held/applied/denied, any jurisdiction) (Form Q10)</w:t>
            </w:r>
          </w:p>
        </w:tc>
        <w:tc>
          <w:tcPr/>
          <w:p>
            <w:pPr>
              <w:pStyle w:val="Compact"/>
              <w:jc w:val="left"/>
            </w:pPr>
            <w:r>
              <w:t xml:space="preserve">NOT SUBMITTED</w:t>
            </w:r>
          </w:p>
        </w:tc>
        <w:tc>
          <w:tcPr/>
          <w:p>
            <w:pPr>
              <w:pStyle w:val="Compact"/>
              <w:jc w:val="left"/>
            </w:pPr>
            <w:r>
              <w:t xml:space="preserve">Form Q10 blank; no prior cannabis licenses disclosed in the record.</w:t>
            </w:r>
          </w:p>
        </w:tc>
        <w:tc>
          <w:tcPr/>
          <w:p>
            <w:pPr>
              <w:pStyle w:val="Compact"/>
              <w:jc w:val="left"/>
            </w:pPr>
            <w:r>
              <w:t xml:space="preserve">Complete Form Q10 for the entity and each principal officer.</w:t>
            </w:r>
          </w:p>
        </w:tc>
      </w:tr>
      <w:tr>
        <w:tc>
          <w:tcPr/>
          <w:p>
            <w:pPr>
              <w:pStyle w:val="Compact"/>
              <w:jc w:val="left"/>
            </w:pPr>
            <w:r>
              <w:t xml:space="preserve">191</w:t>
            </w:r>
          </w:p>
        </w:tc>
        <w:tc>
          <w:tcPr/>
          <w:p>
            <w:pPr>
              <w:pStyle w:val="Compact"/>
              <w:jc w:val="left"/>
            </w:pPr>
            <w:r>
              <w:t xml:space="preserve">Form Q14C: supplemental disclosure (business/professional/cannabis license denied/suspended/revoked) (Form Q14C)</w:t>
            </w:r>
          </w:p>
        </w:tc>
        <w:tc>
          <w:tcPr/>
          <w:p>
            <w:pPr>
              <w:pStyle w:val="Compact"/>
              <w:jc w:val="left"/>
            </w:pPr>
            <w:r>
              <w:t xml:space="preserve">NOT SUBMITTED</w:t>
            </w:r>
          </w:p>
        </w:tc>
        <w:tc>
          <w:tcPr/>
          <w:p>
            <w:pPr>
              <w:pStyle w:val="Compact"/>
              <w:jc w:val="left"/>
            </w:pPr>
            <w:r>
              <w:t xml:space="preserve">Form Q14C blank.</w:t>
            </w:r>
          </w:p>
        </w:tc>
        <w:tc>
          <w:tcPr/>
          <w:p>
            <w:pPr>
              <w:pStyle w:val="Compact"/>
              <w:jc w:val="left"/>
            </w:pPr>
            <w:r>
              <w:t xml:space="preserve">Complete Form Q14C for each principal officer.</w:t>
            </w:r>
          </w:p>
        </w:tc>
      </w:tr>
      <w:tr>
        <w:tc>
          <w:tcPr/>
          <w:p>
            <w:pPr>
              <w:pStyle w:val="Compact"/>
              <w:jc w:val="left"/>
            </w:pPr>
            <w:r>
              <w:t xml:space="preserve">192</w:t>
            </w:r>
          </w:p>
        </w:tc>
        <w:tc>
          <w:tcPr/>
          <w:p>
            <w:pPr>
              <w:pStyle w:val="Compact"/>
              <w:jc w:val="left"/>
            </w:pPr>
            <w:r>
              <w:t xml:space="preserve">Form Q18: inventory management narrative (receiving, inspecting, quarantine, reconciliation, discrepancy reporting) (Form Q18)</w:t>
            </w:r>
          </w:p>
        </w:tc>
        <w:tc>
          <w:tcPr/>
          <w:p>
            <w:pPr>
              <w:pStyle w:val="Compact"/>
              <w:jc w:val="left"/>
            </w:pPr>
            <w:r>
              <w:t xml:space="preserve">PARTIAL</w:t>
            </w:r>
          </w:p>
        </w:tc>
        <w:tc>
          <w:tcPr/>
          <w:p>
            <w:pPr>
              <w:pStyle w:val="Compact"/>
              <w:jc w:val="left"/>
            </w:pPr>
            <w:r>
              <w:t xml:space="preserve">Business plan §5.2 covers receiving and reconciliation; Form Q18 blank; quarantine of defective/expired/recalled products not detailed.</w:t>
            </w:r>
          </w:p>
        </w:tc>
        <w:tc>
          <w:tcPr/>
          <w:p>
            <w:pPr>
              <w:pStyle w:val="Compact"/>
              <w:jc w:val="left"/>
            </w:pPr>
            <w:r>
              <w:t xml:space="preserve">Complete Form Q18; detail quarantine and discrepancy-investigation/reporting protocols.</w:t>
            </w:r>
          </w:p>
        </w:tc>
      </w:tr>
      <w:tr>
        <w:tc>
          <w:tcPr/>
          <w:p>
            <w:pPr>
              <w:pStyle w:val="Compact"/>
              <w:jc w:val="left"/>
            </w:pPr>
            <w:r>
              <w:t xml:space="preserve">193</w:t>
            </w:r>
          </w:p>
        </w:tc>
        <w:tc>
          <w:tcPr/>
          <w:p>
            <w:pPr>
              <w:pStyle w:val="Compact"/>
              <w:jc w:val="left"/>
            </w:pPr>
            <w:r>
              <w:t xml:space="preserve">Agent ID cards worn/displayed at all times while on premises (Code §9-5-13(E))</w:t>
            </w:r>
          </w:p>
        </w:tc>
        <w:tc>
          <w:tcPr/>
          <w:p>
            <w:pPr>
              <w:pStyle w:val="Compact"/>
              <w:jc w:val="left"/>
            </w:pPr>
            <w:r>
              <w:t xml:space="preserve">PENDING / NOT ADDRESSED</w:t>
            </w:r>
          </w:p>
        </w:tc>
        <w:tc>
          <w:tcPr/>
          <w:p>
            <w:pPr>
              <w:pStyle w:val="Compact"/>
              <w:jc w:val="left"/>
            </w:pPr>
            <w:r>
              <w:t xml:space="preserve">Not addressed.</w:t>
            </w:r>
          </w:p>
        </w:tc>
        <w:tc>
          <w:tcPr/>
          <w:p>
            <w:pPr>
              <w:pStyle w:val="Compact"/>
              <w:jc w:val="left"/>
            </w:pPr>
            <w:r>
              <w:t xml:space="preserve">Adopt a visible-display policy for all agents during operating hours.</w:t>
            </w:r>
          </w:p>
        </w:tc>
      </w:tr>
      <w:tr>
        <w:tc>
          <w:tcPr/>
          <w:p>
            <w:pPr>
              <w:pStyle w:val="Compact"/>
              <w:jc w:val="left"/>
            </w:pPr>
            <w:r>
              <w:t xml:space="preserve">194</w:t>
            </w:r>
          </w:p>
        </w:tc>
        <w:tc>
          <w:tcPr/>
          <w:p>
            <w:pPr>
              <w:pStyle w:val="Compact"/>
              <w:jc w:val="left"/>
            </w:pPr>
            <w:r>
              <w:t xml:space="preserve">Agent-in-Charge identity/contact updated within five (5) business days of change (Code §9-5-13(I))</w:t>
            </w:r>
          </w:p>
        </w:tc>
        <w:tc>
          <w:tcPr/>
          <w:p>
            <w:pPr>
              <w:pStyle w:val="Compact"/>
              <w:jc w:val="left"/>
            </w:pPr>
            <w:r>
              <w:t xml:space="preserve">PENDING / NOT ADDRESSED</w:t>
            </w:r>
          </w:p>
        </w:tc>
        <w:tc>
          <w:tcPr/>
          <w:p>
            <w:pPr>
              <w:pStyle w:val="Compact"/>
              <w:jc w:val="left"/>
            </w:pPr>
            <w:r>
              <w:t xml:space="preserve">Not addressed.</w:t>
            </w:r>
          </w:p>
        </w:tc>
        <w:tc>
          <w:tcPr/>
          <w:p>
            <w:pPr>
              <w:pStyle w:val="Compact"/>
              <w:jc w:val="left"/>
            </w:pPr>
            <w:r>
              <w:t xml:space="preserve">Adopt an AIC update-notification protocol.</w:t>
            </w:r>
          </w:p>
        </w:tc>
      </w:tr>
      <w:tr>
        <w:tc>
          <w:tcPr/>
          <w:p>
            <w:pPr>
              <w:pStyle w:val="Compact"/>
              <w:jc w:val="left"/>
            </w:pPr>
            <w:r>
              <w:t xml:space="preserve">195</w:t>
            </w:r>
          </w:p>
        </w:tc>
        <w:tc>
          <w:tcPr/>
          <w:p>
            <w:pPr>
              <w:pStyle w:val="Compact"/>
              <w:jc w:val="left"/>
            </w:pPr>
            <w:r>
              <w:t xml:space="preserve">Records access: 48-hour written notice; 24 hours for active investigations (Code §9-5-18(C))</w:t>
            </w:r>
          </w:p>
        </w:tc>
        <w:tc>
          <w:tcPr/>
          <w:p>
            <w:pPr>
              <w:pStyle w:val="Compact"/>
              <w:jc w:val="left"/>
            </w:pPr>
            <w:r>
              <w:t xml:space="preserve">PENDING / NOT ADDRESSED</w:t>
            </w:r>
          </w:p>
        </w:tc>
        <w:tc>
          <w:tcPr/>
          <w:p>
            <w:pPr>
              <w:pStyle w:val="Compact"/>
              <w:jc w:val="left"/>
            </w:pPr>
            <w:r>
              <w:t xml:space="preserve">Not addressed.</w:t>
            </w:r>
          </w:p>
        </w:tc>
        <w:tc>
          <w:tcPr/>
          <w:p>
            <w:pPr>
              <w:pStyle w:val="Compact"/>
              <w:jc w:val="left"/>
            </w:pPr>
            <w:r>
              <w:t xml:space="preserve">Implement a records-retrieval protocol meeting both timelines.</w:t>
            </w:r>
          </w:p>
        </w:tc>
      </w:tr>
      <w:tr>
        <w:tc>
          <w:tcPr/>
          <w:p>
            <w:pPr>
              <w:pStyle w:val="Compact"/>
              <w:jc w:val="left"/>
            </w:pPr>
            <w:r>
              <w:t xml:space="preserve">196</w:t>
            </w:r>
          </w:p>
        </w:tc>
        <w:tc>
          <w:tcPr/>
          <w:p>
            <w:pPr>
              <w:pStyle w:val="Compact"/>
              <w:jc w:val="left"/>
            </w:pPr>
            <w:r>
              <w:t xml:space="preserve">Community-benefit eligible-use categories (Code §9-5-15(E))</w:t>
            </w:r>
          </w:p>
        </w:tc>
        <w:tc>
          <w:tcPr/>
          <w:p>
            <w:pPr>
              <w:pStyle w:val="Compact"/>
              <w:jc w:val="left"/>
            </w:pPr>
            <w:r>
              <w:t xml:space="preserve">PARTIAL</w:t>
            </w:r>
          </w:p>
        </w:tc>
        <w:tc>
          <w:tcPr/>
          <w:p>
            <w:pPr>
              <w:pStyle w:val="Compact"/>
              <w:jc w:val="left"/>
            </w:pPr>
            <w:r>
              <w:t xml:space="preserve">Business plan’s proposed uses (workforce development, substance-abuse prevention, R3 community development, local nonprofits) align with the six statutory categories.</w:t>
            </w:r>
          </w:p>
        </w:tc>
        <w:tc>
          <w:tcPr/>
          <w:p>
            <w:pPr>
              <w:pStyle w:val="Compact"/>
              <w:jc w:val="left"/>
            </w:pPr>
            <w:r>
              <w:t xml:space="preserve">Map each proposed beneficiary to one of the six §9-5-15(E) categories.</w:t>
            </w:r>
          </w:p>
        </w:tc>
      </w:tr>
      <w:tr>
        <w:tc>
          <w:tcPr/>
          <w:p>
            <w:pPr>
              <w:pStyle w:val="Compact"/>
              <w:jc w:val="left"/>
            </w:pPr>
            <w:r>
              <w:t xml:space="preserve">197</w:t>
            </w:r>
          </w:p>
        </w:tc>
        <w:tc>
          <w:tcPr/>
          <w:p>
            <w:pPr>
              <w:pStyle w:val="Compact"/>
              <w:jc w:val="left"/>
            </w:pPr>
            <w:r>
              <w:t xml:space="preserve">Supplemental background investigation (civil, bankruptcy, regulatory history) (Code §9-5-22(B))</w:t>
            </w:r>
          </w:p>
        </w:tc>
        <w:tc>
          <w:tcPr/>
          <w:p>
            <w:pPr>
              <w:pStyle w:val="Compact"/>
              <w:jc w:val="left"/>
            </w:pPr>
            <w:r>
              <w:t xml:space="preserve">PENDING</w:t>
            </w:r>
          </w:p>
        </w:tc>
        <w:tc>
          <w:tcPr/>
          <w:p>
            <w:pPr>
              <w:pStyle w:val="Compact"/>
              <w:jc w:val="left"/>
            </w:pPr>
            <w:r>
              <w:t xml:space="preserve">City may conduct a supplemental investigation; not addressed.</w:t>
            </w:r>
          </w:p>
        </w:tc>
        <w:tc>
          <w:tcPr/>
          <w:p>
            <w:pPr>
              <w:pStyle w:val="Compact"/>
              <w:jc w:val="left"/>
            </w:pPr>
            <w:r>
              <w:t xml:space="preserve">Prepare for supplemental review; maintain accurate, consistent disclosures.</w:t>
            </w:r>
          </w:p>
        </w:tc>
      </w:tr>
      <w:tr>
        <w:tc>
          <w:tcPr/>
          <w:p>
            <w:pPr>
              <w:pStyle w:val="Compact"/>
              <w:jc w:val="left"/>
            </w:pPr>
            <w:r>
              <w:t xml:space="preserve">198</w:t>
            </w:r>
          </w:p>
        </w:tc>
        <w:tc>
          <w:tcPr/>
          <w:p>
            <w:pPr>
              <w:pStyle w:val="Compact"/>
              <w:jc w:val="left"/>
            </w:pPr>
            <w:r>
              <w:t xml:space="preserve">Bond/LOC guarantees compliance; City may draw for remediation/enforcement (Code §9-5-17(C))</w:t>
            </w:r>
          </w:p>
        </w:tc>
        <w:tc>
          <w:tcPr/>
          <w:p>
            <w:pPr>
              <w:pStyle w:val="Compact"/>
              <w:jc w:val="left"/>
            </w:pPr>
            <w:r>
              <w:t xml:space="preserve">PENDING</w:t>
            </w:r>
          </w:p>
        </w:tc>
        <w:tc>
          <w:tcPr/>
          <w:p>
            <w:pPr>
              <w:pStyle w:val="Compact"/>
              <w:jc w:val="left"/>
            </w:pPr>
            <w:r>
              <w:t xml:space="preserve">Not addressed.</w:t>
            </w:r>
          </w:p>
        </w:tc>
        <w:tc>
          <w:tcPr/>
          <w:p>
            <w:pPr>
              <w:pStyle w:val="Compact"/>
              <w:jc w:val="left"/>
            </w:pPr>
            <w:r>
              <w:t xml:space="preserve">Understand the draw risk; maintain compliance to avoid draws.</w:t>
            </w:r>
          </w:p>
        </w:tc>
      </w:tr>
      <w:tr>
        <w:tc>
          <w:tcPr/>
          <w:p>
            <w:pPr>
              <w:pStyle w:val="Compact"/>
              <w:jc w:val="left"/>
            </w:pPr>
            <w:r>
              <w:t xml:space="preserve">199</w:t>
            </w:r>
          </w:p>
        </w:tc>
        <w:tc>
          <w:tcPr/>
          <w:p>
            <w:pPr>
              <w:pStyle w:val="Compact"/>
              <w:jc w:val="left"/>
            </w:pPr>
            <w:r>
              <w:t xml:space="preserve">Lease GL limits ($1M occ./$2M agg.) lower than City ($2M/$4M); lease acknowledges higher City standard controls (Lease Summary §7)</w:t>
            </w:r>
          </w:p>
        </w:tc>
        <w:tc>
          <w:tcPr/>
          <w:p>
            <w:pPr>
              <w:pStyle w:val="Compact"/>
              <w:jc w:val="left"/>
            </w:pPr>
            <w:r>
              <w:t xml:space="preserve">DISCREPANCY (acknowledged)</w:t>
            </w:r>
          </w:p>
        </w:tc>
        <w:tc>
          <w:tcPr/>
          <w:p>
            <w:pPr>
              <w:pStyle w:val="Compact"/>
              <w:jc w:val="left"/>
            </w:pPr>
            <w:r>
              <w:t xml:space="preserve">Lease §7 note states Tenant must carry the City-mandated $2M/$4M levels; the lease’s own $1M/$2M minimums are lower.</w:t>
            </w:r>
          </w:p>
        </w:tc>
        <w:tc>
          <w:tcPr/>
          <w:p>
            <w:pPr>
              <w:pStyle w:val="Compact"/>
              <w:jc w:val="left"/>
            </w:pPr>
            <w:r>
              <w:t xml:space="preserve">Carry $2M/$4M GL per the City; do not rely on the lease minimums.</w:t>
            </w:r>
          </w:p>
        </w:tc>
      </w:tr>
      <w:tr>
        <w:tc>
          <w:tcPr/>
          <w:p>
            <w:pPr>
              <w:pStyle w:val="Compact"/>
              <w:jc w:val="left"/>
            </w:pPr>
            <w:r>
              <w:t xml:space="preserve">200</w:t>
            </w:r>
          </w:p>
        </w:tc>
        <w:tc>
          <w:tcPr/>
          <w:p>
            <w:pPr>
              <w:pStyle w:val="Compact"/>
              <w:jc w:val="left"/>
            </w:pPr>
            <w:r>
              <w:t xml:space="preserve">Rent-commencement pressure: rent begins Oct. 1, 2024 if no permit by then; conditional license expires Sept. 21, 2024 (Lease Summary §3)</w:t>
            </w:r>
          </w:p>
        </w:tc>
        <w:tc>
          <w:tcPr/>
          <w:p>
            <w:pPr>
              <w:pStyle w:val="Compact"/>
              <w:jc w:val="left"/>
            </w:pPr>
            <w:r>
              <w:t xml:space="preserve">NON-COMPLIANT (timeline risk)</w:t>
            </w:r>
          </w:p>
        </w:tc>
        <w:tc>
          <w:tcPr/>
          <w:p>
            <w:pPr>
              <w:pStyle w:val="Compact"/>
              <w:jc w:val="left"/>
            </w:pPr>
            <w:r>
              <w:t xml:space="preserve">Converging deadlines create cash-burn risk if the permit slips past Sept./Oct. 2024; pre-rent-commencement CAM and insurance costs accrue from Jan. 8, 2024.</w:t>
            </w:r>
          </w:p>
        </w:tc>
        <w:tc>
          <w:tcPr/>
          <w:p>
            <w:pPr>
              <w:pStyle w:val="Compact"/>
              <w:jc w:val="left"/>
            </w:pPr>
            <w:r>
              <w:t xml:space="preserve">Accelerate submission; pursue the State extension (ID 16); budget pre-rent-commencement CAM/insurance carrying costs.</w:t>
            </w:r>
          </w:p>
        </w:tc>
      </w:tr>
    </w:tbl>
    <w:p>
      <w:r>
        <w:pict>
          <v:rect style="width:0;height:1.5pt" o:hralign="center" o:hrstd="t" o:hr="t"/>
        </w:pict>
      </w:r>
    </w:p>
    <w:bookmarkEnd w:id="47"/>
    <w:bookmarkEnd w:id="48"/>
    <w:bookmarkStart w:id="49" w:name="X18e80062052efc73571da08e1d524b5f43ffac6"/>
    <w:p>
      <w:pPr>
        <w:pStyle w:val="Heading2"/>
      </w:pPr>
      <w:r>
        <w:t xml:space="preserve">4. Critical Deficiencies Requiring Immediate Action (Pre-Submission)</w:t>
      </w:r>
    </w:p>
    <w:p>
      <w:pPr>
        <w:pStyle w:val="FirstParagraph"/>
      </w:pPr>
      <w:r>
        <w:t xml:space="preserve">The following must be cured before the May 15, 2024 target submission or the application will be deemed incomplete and/or will be materially under-scored:</w:t>
      </w:r>
    </w:p>
    <w:p>
      <w:pPr>
        <w:pStyle w:val="Compact"/>
        <w:numPr>
          <w:ilvl w:val="0"/>
          <w:numId w:val="1003"/>
        </w:numPr>
      </w:pPr>
      <w:r>
        <w:rPr>
          <w:b/>
          <w:bCs/>
        </w:rPr>
        <w:t xml:space="preserve">Complete, sign, and notarize the Application Form</w:t>
      </w:r>
      <w:r>
        <w:t xml:space="preserve"> </w:t>
      </w:r>
      <w:r>
        <w:t xml:space="preserve">(IDs 1–2). Every section is currently blank.</w:t>
      </w:r>
    </w:p>
    <w:p>
      <w:pPr>
        <w:pStyle w:val="Compact"/>
        <w:numPr>
          <w:ilvl w:val="0"/>
          <w:numId w:val="1003"/>
        </w:numPr>
      </w:pPr>
      <w:r>
        <w:rPr>
          <w:b/>
          <w:bCs/>
        </w:rPr>
        <w:t xml:space="preserve">Obtain the Illinois-licensed P.E. odor-mitigation certification</w:t>
      </w:r>
      <w:r>
        <w:t xml:space="preserve"> </w:t>
      </w:r>
      <w:r>
        <w:t xml:space="preserve">and engineer the specific HVAC/carbon-filtration specifications (IDs 62–64). The Form deems the application incomplete without the P.E. certification.</w:t>
      </w:r>
    </w:p>
    <w:p>
      <w:pPr>
        <w:pStyle w:val="Compact"/>
        <w:numPr>
          <w:ilvl w:val="0"/>
          <w:numId w:val="1003"/>
        </w:numPr>
      </w:pPr>
      <w:r>
        <w:rPr>
          <w:b/>
          <w:bCs/>
        </w:rPr>
        <w:t xml:space="preserve">Finalize and deliver the Security Plan</w:t>
      </w:r>
      <w:r>
        <w:t xml:space="preserve"> </w:t>
      </w:r>
      <w:r>
        <w:t xml:space="preserve">(ID 49). It is a required submission item and unblocks the crime/theft insurance.</w:t>
      </w:r>
    </w:p>
    <w:p>
      <w:pPr>
        <w:pStyle w:val="Compact"/>
        <w:numPr>
          <w:ilvl w:val="0"/>
          <w:numId w:val="1003"/>
        </w:numPr>
      </w:pPr>
      <w:r>
        <w:rPr>
          <w:b/>
          <w:bCs/>
        </w:rPr>
        <w:t xml:space="preserve">Bind or obtain a binding commitment letter for Cannabis-Specific Crime/Theft insurance</w:t>
      </w:r>
      <w:r>
        <w:t xml:space="preserve"> </w:t>
      </w:r>
      <w:r>
        <w:t xml:space="preserve">($500,000) (ID 79).</w:t>
      </w:r>
    </w:p>
    <w:p>
      <w:pPr>
        <w:pStyle w:val="Compact"/>
        <w:numPr>
          <w:ilvl w:val="0"/>
          <w:numId w:val="1003"/>
        </w:numPr>
      </w:pPr>
      <w:r>
        <w:rPr>
          <w:b/>
          <w:bCs/>
        </w:rPr>
        <w:t xml:space="preserve">Obtain a bonding-capacity commitment letter</w:t>
      </w:r>
      <w:r>
        <w:t xml:space="preserve"> </w:t>
      </w:r>
      <w:r>
        <w:t xml:space="preserve">from Thornfield Surety Group or Ridgeline Community Bank (ID 84). Without it, Greenleaf forfeits 10 Financial Viability points and fails Guide Item 17.</w:t>
      </w:r>
    </w:p>
    <w:p>
      <w:pPr>
        <w:pStyle w:val="Compact"/>
        <w:numPr>
          <w:ilvl w:val="0"/>
          <w:numId w:val="1003"/>
        </w:numPr>
      </w:pPr>
      <w:r>
        <w:rPr>
          <w:b/>
          <w:bCs/>
        </w:rPr>
        <w:t xml:space="preserve">Cure the Session 2 community-engagement notice defect</w:t>
      </w:r>
      <w:r>
        <w:t xml:space="preserve"> </w:t>
      </w:r>
      <w:r>
        <w:t xml:space="preserve">(12 days &lt; 14) by holding a properly-noticed additional session (ID 91), and add a telephone number and</w:t>
      </w:r>
      <w:r>
        <w:t xml:space="preserve"> </w:t>
      </w:r>
      <w:r>
        <w:t xml:space="preserve">“</w:t>
      </w:r>
      <w:r>
        <w:t xml:space="preserve">adult-use and medical</w:t>
      </w:r>
      <w:r>
        <w:t xml:space="preserve">”</w:t>
      </w:r>
      <w:r>
        <w:t xml:space="preserve"> </w:t>
      </w:r>
      <w:r>
        <w:t xml:space="preserve">to the notice content (ID 94).</w:t>
      </w:r>
    </w:p>
    <w:p>
      <w:pPr>
        <w:pStyle w:val="Compact"/>
        <w:numPr>
          <w:ilvl w:val="0"/>
          <w:numId w:val="1003"/>
        </w:numPr>
      </w:pPr>
      <w:r>
        <w:rPr>
          <w:b/>
          <w:bCs/>
        </w:rPr>
        <w:t xml:space="preserve">Commission a fresh (≤60-day) buffer survey using pedestrian-route measurement</w:t>
      </w:r>
      <w:r>
        <w:t xml:space="preserve"> </w:t>
      </w:r>
      <w:r>
        <w:t xml:space="preserve">(IDs 42, 44).</w:t>
      </w:r>
    </w:p>
    <w:p>
      <w:pPr>
        <w:pStyle w:val="Compact"/>
        <w:numPr>
          <w:ilvl w:val="0"/>
          <w:numId w:val="1003"/>
        </w:numPr>
      </w:pPr>
      <w:r>
        <w:rPr>
          <w:b/>
          <w:bCs/>
        </w:rPr>
        <w:t xml:space="preserve">Petition IDFPR for a conditional-license extension</w:t>
      </w:r>
      <w:r>
        <w:t xml:space="preserve"> </w:t>
      </w:r>
      <w:r>
        <w:t xml:space="preserve">by ~July 23, 2024 to protect against expiration before local permit issuance (ID 16).</w:t>
      </w:r>
    </w:p>
    <w:p>
      <w:pPr>
        <w:pStyle w:val="Compact"/>
        <w:numPr>
          <w:ilvl w:val="0"/>
          <w:numId w:val="1003"/>
        </w:numPr>
      </w:pPr>
      <w:r>
        <w:rPr>
          <w:b/>
          <w:bCs/>
        </w:rPr>
        <w:t xml:space="preserve">Prepare standalone Diversity &amp; Inclusion and Environmental Sustainability Plans</w:t>
      </w:r>
      <w:r>
        <w:t xml:space="preserve"> </w:t>
      </w:r>
      <w:r>
        <w:t xml:space="preserve">(IDs 65, 108), and formalize the social-equity hiring pipeline with named partners, timeline, and contingency (ID 114).</w:t>
      </w:r>
    </w:p>
    <w:p>
      <w:pPr>
        <w:pStyle w:val="Compact"/>
        <w:numPr>
          <w:ilvl w:val="0"/>
          <w:numId w:val="1003"/>
        </w:numPr>
      </w:pPr>
      <w:r>
        <w:rPr>
          <w:b/>
          <w:bCs/>
        </w:rPr>
        <w:t xml:space="preserve">Assemble the social-equity documentation packet</w:t>
      </w:r>
      <w:r>
        <w:t xml:space="preserve"> </w:t>
      </w:r>
      <w:r>
        <w:t xml:space="preserve">— R3 residency proof with 24-month duration and census-tract verification, the expungement court order, and the signed 50%-hiring and 2-year-mentorship commitments (IDs 117–122).</w:t>
      </w:r>
    </w:p>
    <w:p>
      <w:pPr>
        <w:pStyle w:val="Compact"/>
        <w:numPr>
          <w:ilvl w:val="0"/>
          <w:numId w:val="1003"/>
        </w:numPr>
      </w:pPr>
      <w:r>
        <w:rPr>
          <w:b/>
          <w:bCs/>
        </w:rPr>
        <w:t xml:space="preserve">Bind Employer’s Liability at $1,000,000 per accident</w:t>
      </w:r>
      <w:r>
        <w:t xml:space="preserve"> </w:t>
      </w:r>
      <w:r>
        <w:t xml:space="preserve">and confirm AM Best ratings and 30-day cancellation-notice provisions (IDs 78, 81–82).</w:t>
      </w:r>
    </w:p>
    <w:p>
      <w:pPr>
        <w:pStyle w:val="Compact"/>
        <w:numPr>
          <w:ilvl w:val="0"/>
          <w:numId w:val="1003"/>
        </w:numPr>
      </w:pPr>
      <w:r>
        <w:rPr>
          <w:b/>
          <w:bCs/>
        </w:rPr>
        <w:t xml:space="preserve">File the special-use permit application</w:t>
      </w:r>
      <w:r>
        <w:t xml:space="preserve"> </w:t>
      </w:r>
      <w:r>
        <w:t xml:space="preserve">with the ZBA and record the case number (ID 38).</w:t>
      </w:r>
    </w:p>
    <w:p>
      <w:pPr>
        <w:pStyle w:val="Compact"/>
        <w:numPr>
          <w:ilvl w:val="0"/>
          <w:numId w:val="1003"/>
        </w:numPr>
      </w:pPr>
      <w:r>
        <w:rPr>
          <w:b/>
          <w:bCs/>
        </w:rPr>
        <w:t xml:space="preserve">Submit entity-formation documents</w:t>
      </w:r>
      <w:r>
        <w:t xml:space="preserve"> </w:t>
      </w:r>
      <w:r>
        <w:t xml:space="preserve">(Articles, Operating Agreement, fresh Certificate of Good Standing, IRS EIN letter) (IDs 8–11).</w:t>
      </w:r>
    </w:p>
    <w:p>
      <w:pPr>
        <w:pStyle w:val="Compact"/>
        <w:numPr>
          <w:ilvl w:val="0"/>
          <w:numId w:val="1003"/>
        </w:numPr>
      </w:pPr>
      <w:r>
        <w:rPr>
          <w:b/>
          <w:bCs/>
        </w:rPr>
        <w:t xml:space="preserve">Execute City background-check authorizations and fingerprinting</w:t>
      </w:r>
      <w:r>
        <w:t xml:space="preserve"> </w:t>
      </w:r>
      <w:r>
        <w:t xml:space="preserve">for both principal officers (IDs 23–25).</w:t>
      </w:r>
    </w:p>
    <w:p>
      <w:pPr>
        <w:pStyle w:val="Compact"/>
        <w:numPr>
          <w:ilvl w:val="0"/>
          <w:numId w:val="1003"/>
        </w:numPr>
      </w:pPr>
      <w:r>
        <w:rPr>
          <w:b/>
          <w:bCs/>
        </w:rPr>
        <w:t xml:space="preserve">Revise the floor plan and square-footage breakdown to include restrooms</w:t>
      </w:r>
      <w:r>
        <w:t xml:space="preserve"> </w:t>
      </w:r>
      <w:r>
        <w:t xml:space="preserve">(and any mechanical rooms), and confirm the 1,600-sq-ft retail figure excludes them per §9-5-2(O) (ID 183). The current breakdown omits restrooms, a required functional area under §9-5-5(B)(6).</w:t>
      </w:r>
    </w:p>
    <w:p>
      <w:r>
        <w:pict>
          <v:rect style="width:0;height:1.5pt" o:hralign="center" o:hrstd="t" o:hr="t"/>
        </w:pict>
      </w:r>
    </w:p>
    <w:bookmarkEnd w:id="49"/>
    <w:bookmarkStart w:id="50" w:name="X8d655fc158d4f09d5792a6436551bdae452a772"/>
    <w:p>
      <w:pPr>
        <w:pStyle w:val="Heading2"/>
      </w:pPr>
      <w:r>
        <w:t xml:space="preserve">5. Internal Inconsistencies &amp; Discrepancies Among Governing Documents</w:t>
      </w:r>
    </w:p>
    <w:p>
      <w:pPr>
        <w:pStyle w:val="FirstParagraph"/>
      </w:pPr>
      <w:r>
        <w:t xml:space="preserve">These conflicts among the Code, the Guide, and the Form affect how the application should be prepared. Each should be raised with the Cannabis Licensing Coordinator, and the stricter/more-recent reading adopted unless the Coordinator confirms otherwise.</w:t>
      </w:r>
    </w:p>
    <w:tbl>
      <w:tblPr>
        <w:tblStyle w:val="Table"/>
        <w:tblW w:type="pct" w:w="5000"/>
        <w:jc w:val="left"/>
        <w:tblLayout w:type="fixed"/>
        <w:tblLook w:firstRow="1" w:lastRow="0" w:firstColumn="0" w:lastColumn="0" w:noHBand="0" w:noVBand="0" w:val="0020"/>
      </w:tblPr>
      <w:tblGrid>
        <w:gridCol w:w="586"/>
        <w:gridCol w:w="1320"/>
        <w:gridCol w:w="880"/>
        <w:gridCol w:w="1026"/>
        <w:gridCol w:w="880"/>
        <w:gridCol w:w="3226"/>
      </w:tblGrid>
      <w:tr>
        <w:trPr>
          <w:tblHeader w:val="on"/>
        </w:trPr>
        <w:tc>
          <w:tcPr/>
          <w:p>
            <w:pPr>
              <w:pStyle w:val="Compact"/>
              <w:jc w:val="left"/>
            </w:pPr>
            <w:r>
              <w:t xml:space="preserve">ID</w:t>
            </w:r>
          </w:p>
        </w:tc>
        <w:tc>
          <w:tcPr/>
          <w:p>
            <w:pPr>
              <w:pStyle w:val="Compact"/>
              <w:jc w:val="left"/>
            </w:pPr>
            <w:r>
              <w:t xml:space="preserve">Subject</w:t>
            </w:r>
          </w:p>
        </w:tc>
        <w:tc>
          <w:tcPr/>
          <w:p>
            <w:pPr>
              <w:pStyle w:val="Compact"/>
              <w:jc w:val="left"/>
            </w:pPr>
            <w:r>
              <w:t xml:space="preserve">Code</w:t>
            </w:r>
          </w:p>
        </w:tc>
        <w:tc>
          <w:tcPr/>
          <w:p>
            <w:pPr>
              <w:pStyle w:val="Compact"/>
              <w:jc w:val="left"/>
            </w:pPr>
            <w:r>
              <w:t xml:space="preserve">Guide</w:t>
            </w:r>
          </w:p>
        </w:tc>
        <w:tc>
          <w:tcPr/>
          <w:p>
            <w:pPr>
              <w:pStyle w:val="Compact"/>
              <w:jc w:val="left"/>
            </w:pPr>
            <w:r>
              <w:t xml:space="preserve">Form</w:t>
            </w:r>
          </w:p>
        </w:tc>
        <w:tc>
          <w:tcPr/>
          <w:p>
            <w:pPr>
              <w:pStyle w:val="Compact"/>
              <w:jc w:val="left"/>
            </w:pPr>
            <w:r>
              <w:t xml:space="preserve">Recommended Treatment</w:t>
            </w:r>
          </w:p>
        </w:tc>
      </w:tr>
      <w:tr>
        <w:tc>
          <w:tcPr/>
          <w:p>
            <w:pPr>
              <w:pStyle w:val="Compact"/>
              <w:jc w:val="left"/>
            </w:pPr>
            <w:r>
              <w:t xml:space="preserve">D1</w:t>
            </w:r>
          </w:p>
        </w:tc>
        <w:tc>
          <w:tcPr/>
          <w:p>
            <w:pPr>
              <w:pStyle w:val="Compact"/>
              <w:jc w:val="left"/>
            </w:pPr>
            <w:r>
              <w:t xml:space="preserve">Deficiency cure period</w:t>
            </w:r>
          </w:p>
        </w:tc>
        <w:tc>
          <w:tcPr/>
          <w:p>
            <w:pPr>
              <w:pStyle w:val="Compact"/>
              <w:jc w:val="left"/>
            </w:pPr>
            <w:r>
              <w:t xml:space="preserve">§9-5-7(C): 30 calendar days</w:t>
            </w:r>
          </w:p>
        </w:tc>
        <w:tc>
          <w:tcPr/>
          <w:p>
            <w:pPr>
              <w:pStyle w:val="Compact"/>
              <w:jc w:val="left"/>
            </w:pPr>
            <w:r>
              <w:t xml:space="preserve">§1/§3/§5: 14 calendar days</w:t>
            </w:r>
          </w:p>
        </w:tc>
        <w:tc>
          <w:tcPr/>
          <w:p>
            <w:pPr>
              <w:pStyle w:val="Compact"/>
              <w:jc w:val="left"/>
            </w:pPr>
            <w:r>
              <w:t xml:space="preserve">§13: 14 calendar days</w:t>
            </w:r>
          </w:p>
        </w:tc>
        <w:tc>
          <w:tcPr/>
          <w:p>
            <w:pPr>
              <w:pStyle w:val="Compact"/>
              <w:jc w:val="left"/>
            </w:pPr>
            <w:r>
              <w:t xml:space="preserve">The Code controls (30 days); prepare to cure within 14 days as a conservative matter; seek written confirmation.</w:t>
            </w:r>
          </w:p>
        </w:tc>
      </w:tr>
      <w:tr>
        <w:tc>
          <w:tcPr/>
          <w:p>
            <w:pPr>
              <w:pStyle w:val="Compact"/>
              <w:jc w:val="left"/>
            </w:pPr>
            <w:r>
              <w:t xml:space="preserve">D2</w:t>
            </w:r>
          </w:p>
        </w:tc>
        <w:tc>
          <w:tcPr/>
          <w:p>
            <w:pPr>
              <w:pStyle w:val="Compact"/>
              <w:jc w:val="left"/>
            </w:pPr>
            <w:r>
              <w:t xml:space="preserve">Completeness-review timeline</w:t>
            </w:r>
          </w:p>
        </w:tc>
        <w:tc>
          <w:tcPr/>
          <w:p>
            <w:pPr>
              <w:pStyle w:val="Compact"/>
              <w:jc w:val="left"/>
            </w:pPr>
            <w:r>
              <w:t xml:space="preserve">§9-5-7(C): completeness determination within 90 days of receipt</w:t>
            </w:r>
          </w:p>
        </w:tc>
        <w:tc>
          <w:tcPr/>
          <w:p>
            <w:pPr>
              <w:pStyle w:val="Compact"/>
              <w:jc w:val="left"/>
            </w:pPr>
            <w:r>
              <w:t xml:space="preserve">§4/§5: completeness review target 30 days; substantive 60 days</w:t>
            </w:r>
          </w:p>
        </w:tc>
        <w:tc>
          <w:tcPr/>
          <w:p>
            <w:pPr>
              <w:pStyle w:val="Compact"/>
              <w:jc w:val="left"/>
            </w:pPr>
            <w:r>
              <w:t xml:space="preserve">Instruction 6: 90 days from completeness determination (substantive)</w:t>
            </w:r>
          </w:p>
        </w:tc>
        <w:tc>
          <w:tcPr/>
          <w:p>
            <w:pPr>
              <w:pStyle w:val="Compact"/>
              <w:jc w:val="left"/>
            </w:pPr>
            <w:r>
              <w:t xml:space="preserve">Distinguish completeness (Code: 90 days) from substantive review; confirm with Coordinator.</w:t>
            </w:r>
          </w:p>
        </w:tc>
      </w:tr>
      <w:tr>
        <w:tc>
          <w:tcPr/>
          <w:p>
            <w:pPr>
              <w:pStyle w:val="Compact"/>
              <w:jc w:val="left"/>
            </w:pPr>
            <w:r>
              <w:t xml:space="preserve">D3</w:t>
            </w:r>
          </w:p>
        </w:tc>
        <w:tc>
          <w:tcPr/>
          <w:p>
            <w:pPr>
              <w:pStyle w:val="Compact"/>
              <w:jc w:val="left"/>
            </w:pPr>
            <w:r>
              <w:t xml:space="preserve">Acceptable fee instruments</w:t>
            </w:r>
          </w:p>
        </w:tc>
        <w:tc>
          <w:tcPr/>
          <w:p>
            <w:pPr>
              <w:pStyle w:val="Compact"/>
              <w:jc w:val="left"/>
            </w:pPr>
            <w:r>
              <w:t xml:space="preserve">§9-5-6(C): certified check or EFT</w:t>
            </w:r>
          </w:p>
        </w:tc>
        <w:tc>
          <w:tcPr/>
          <w:p>
            <w:pPr>
              <w:pStyle w:val="Compact"/>
              <w:jc w:val="left"/>
            </w:pPr>
            <w:r>
              <w:t xml:space="preserve">§1: cashier’s check or money order</w:t>
            </w:r>
          </w:p>
        </w:tc>
        <w:tc>
          <w:tcPr/>
          <w:p>
            <w:pPr>
              <w:pStyle w:val="Compact"/>
              <w:jc w:val="left"/>
            </w:pPr>
            <w:r>
              <w:t xml:space="preserve">§13: certified check, cashier’s check, or wire transfer</w:t>
            </w:r>
          </w:p>
        </w:tc>
        <w:tc>
          <w:tcPr/>
          <w:p>
            <w:pPr>
              <w:pStyle w:val="Compact"/>
              <w:jc w:val="left"/>
            </w:pPr>
            <w:r>
              <w:t xml:space="preserve">Use certified check or EFT/wire per the Code; confirm money-order acceptability.</w:t>
            </w:r>
          </w:p>
        </w:tc>
      </w:tr>
      <w:tr>
        <w:tc>
          <w:tcPr/>
          <w:p>
            <w:pPr>
              <w:pStyle w:val="Compact"/>
              <w:jc w:val="left"/>
            </w:pPr>
            <w:r>
              <w:t xml:space="preserve">D4</w:t>
            </w:r>
          </w:p>
        </w:tc>
        <w:tc>
          <w:tcPr/>
          <w:p>
            <w:pPr>
              <w:pStyle w:val="Compact"/>
              <w:jc w:val="left"/>
            </w:pPr>
            <w:r>
              <w:t xml:space="preserve">Certificate of Good Standing freshness</w:t>
            </w:r>
          </w:p>
        </w:tc>
        <w:tc>
          <w:tcPr/>
          <w:p>
            <w:pPr>
              <w:pStyle w:val="Compact"/>
              <w:jc w:val="left"/>
            </w:pPr>
            <w:r>
              <w:t xml:space="preserve">§9-5-5(B)(3): within 60 days</w:t>
            </w:r>
          </w:p>
        </w:tc>
        <w:tc>
          <w:tcPr/>
          <w:p>
            <w:pPr>
              <w:pStyle w:val="Compact"/>
              <w:jc w:val="left"/>
            </w:pPr>
            <w:r>
              <w:t xml:space="preserve">Item 4: within 60 days</w:t>
            </w:r>
          </w:p>
        </w:tc>
        <w:tc>
          <w:tcPr/>
          <w:p>
            <w:pPr>
              <w:pStyle w:val="Compact"/>
              <w:jc w:val="left"/>
            </w:pPr>
            <w:r>
              <w:t xml:space="preserve">Checklist: within 30 days</w:t>
            </w:r>
          </w:p>
        </w:tc>
        <w:tc>
          <w:tcPr/>
          <w:p>
            <w:pPr>
              <w:pStyle w:val="Compact"/>
              <w:jc w:val="left"/>
            </w:pPr>
            <w:r>
              <w:t xml:space="preserve">Obtain within 30 days to satisfy the strictest standard.</w:t>
            </w:r>
          </w:p>
        </w:tc>
      </w:tr>
      <w:tr>
        <w:tc>
          <w:tcPr/>
          <w:p>
            <w:pPr>
              <w:pStyle w:val="Compact"/>
              <w:jc w:val="left"/>
            </w:pPr>
            <w:r>
              <w:t xml:space="preserve">D5</w:t>
            </w:r>
          </w:p>
        </w:tc>
        <w:tc>
          <w:tcPr/>
          <w:p>
            <w:pPr>
              <w:pStyle w:val="Compact"/>
              <w:jc w:val="left"/>
            </w:pPr>
            <w:r>
              <w:t xml:space="preserve">Qualifying zoning districts</w:t>
            </w:r>
          </w:p>
        </w:tc>
        <w:tc>
          <w:tcPr/>
          <w:p>
            <w:pPr>
              <w:pStyle w:val="Compact"/>
              <w:jc w:val="left"/>
            </w:pPr>
            <w:r>
              <w:t xml:space="preserve">§9-5-9(A): C1a, C2, oC1</w:t>
            </w:r>
          </w:p>
        </w:tc>
        <w:tc>
          <w:tcPr/>
          <w:p>
            <w:pPr>
              <w:pStyle w:val="Compact"/>
              <w:jc w:val="left"/>
            </w:pPr>
            <w:r>
              <w:t xml:space="preserve">Item 20: C1a (special use)</w:t>
            </w:r>
          </w:p>
        </w:tc>
        <w:tc>
          <w:tcPr/>
          <w:p>
            <w:pPr>
              <w:pStyle w:val="Compact"/>
              <w:jc w:val="left"/>
            </w:pPr>
            <w:r>
              <w:t xml:space="preserve">Q3 note: C1a, C1, B2</w:t>
            </w:r>
          </w:p>
        </w:tc>
        <w:tc>
          <w:tcPr/>
          <w:p>
            <w:pPr>
              <w:pStyle w:val="Compact"/>
              <w:jc w:val="left"/>
            </w:pPr>
            <w:r>
              <w:t xml:space="preserve">Rely on the Code (C1a/C2/oC1); the Form’s C1/B2 listing is erroneous.</w:t>
            </w:r>
          </w:p>
        </w:tc>
      </w:tr>
      <w:tr>
        <w:tc>
          <w:tcPr/>
          <w:p>
            <w:pPr>
              <w:pStyle w:val="Compact"/>
              <w:jc w:val="left"/>
            </w:pPr>
            <w:r>
              <w:t xml:space="preserve">D6</w:t>
            </w:r>
          </w:p>
        </w:tc>
        <w:tc>
          <w:tcPr/>
          <w:p>
            <w:pPr>
              <w:pStyle w:val="Compact"/>
              <w:jc w:val="left"/>
            </w:pPr>
            <w:r>
              <w:t xml:space="preserve">Maximum-occupancy calculation base</w:t>
            </w:r>
          </w:p>
        </w:tc>
        <w:tc>
          <w:tcPr/>
          <w:p>
            <w:pPr>
              <w:pStyle w:val="Compact"/>
              <w:jc w:val="left"/>
            </w:pPr>
            <w:r>
              <w:t xml:space="preserve">§9-5-13(J): retail floor area (1,600 ÷ 40 = 40)</w:t>
            </w:r>
          </w:p>
        </w:tc>
        <w:tc>
          <w:tcPr/>
          <w:p>
            <w:pPr>
              <w:pStyle w:val="Compact"/>
              <w:jc w:val="left"/>
            </w:pPr>
            <w:r>
              <w:t xml:space="preserve">§7(8): per retail floor area</w:t>
            </w:r>
          </w:p>
        </w:tc>
        <w:tc>
          <w:tcPr/>
          <w:p>
            <w:pPr>
              <w:pStyle w:val="Compact"/>
              <w:jc w:val="left"/>
            </w:pPr>
            <w:r>
              <w:t xml:space="preserve">Q12: total dispensary area (3,200 ÷ 40 = 80)</w:t>
            </w:r>
          </w:p>
        </w:tc>
        <w:tc>
          <w:tcPr/>
          <w:p>
            <w:pPr>
              <w:pStyle w:val="Compact"/>
              <w:jc w:val="left"/>
            </w:pPr>
            <w:r>
              <w:t xml:space="preserve">Use retail floor area per the Code (40).</w:t>
            </w:r>
          </w:p>
        </w:tc>
      </w:tr>
      <w:tr>
        <w:tc>
          <w:tcPr/>
          <w:p>
            <w:pPr>
              <w:pStyle w:val="Compact"/>
              <w:jc w:val="left"/>
            </w:pPr>
            <w:r>
              <w:t xml:space="preserve">D7</w:t>
            </w:r>
          </w:p>
        </w:tc>
        <w:tc>
          <w:tcPr/>
          <w:p>
            <w:pPr>
              <w:pStyle w:val="Compact"/>
              <w:jc w:val="left"/>
            </w:pPr>
            <w:r>
              <w:t xml:space="preserve">Operating-hours citation</w:t>
            </w:r>
          </w:p>
        </w:tc>
        <w:tc>
          <w:tcPr/>
          <w:p>
            <w:pPr>
              <w:pStyle w:val="Compact"/>
              <w:jc w:val="left"/>
            </w:pPr>
            <w:r>
              <w:t xml:space="preserve">§9-5-13(F)</w:t>
            </w:r>
          </w:p>
        </w:tc>
        <w:tc>
          <w:tcPr/>
          <w:p>
            <w:pPr>
              <w:pStyle w:val="Compact"/>
              <w:jc w:val="left"/>
            </w:pPr>
            <w:r>
              <w:t xml:space="preserve">§7(7): 6 AM–10 PM</w:t>
            </w:r>
          </w:p>
        </w:tc>
        <w:tc>
          <w:tcPr/>
          <w:p>
            <w:pPr>
              <w:pStyle w:val="Compact"/>
              <w:jc w:val="left"/>
            </w:pPr>
            <w:r>
              <w:t xml:space="preserve">Q11: cites</w:t>
            </w:r>
            <w:r>
              <w:t xml:space="preserve"> </w:t>
            </w:r>
            <w:r>
              <w:t xml:space="preserve">“</w:t>
            </w:r>
            <w:r>
              <w:t xml:space="preserve">§9-5-17</w:t>
            </w:r>
            <w:r>
              <w:t xml:space="preserve">”</w:t>
            </w:r>
            <w:r>
              <w:t xml:space="preserve"> </w:t>
            </w:r>
            <w:r>
              <w:t xml:space="preserve">(the bond section)</w:t>
            </w:r>
          </w:p>
        </w:tc>
        <w:tc>
          <w:tcPr/>
          <w:p>
            <w:pPr>
              <w:pStyle w:val="Compact"/>
              <w:jc w:val="left"/>
            </w:pPr>
            <w:r>
              <w:t xml:space="preserve">Apply §9-5-13(F); the Form’s citation is incorrect.</w:t>
            </w:r>
          </w:p>
        </w:tc>
      </w:tr>
      <w:tr>
        <w:tc>
          <w:tcPr/>
          <w:p>
            <w:pPr>
              <w:pStyle w:val="Compact"/>
              <w:jc w:val="left"/>
            </w:pPr>
            <w:r>
              <w:t xml:space="preserve">D8</w:t>
            </w:r>
          </w:p>
        </w:tc>
        <w:tc>
          <w:tcPr/>
          <w:p>
            <w:pPr>
              <w:pStyle w:val="Compact"/>
              <w:jc w:val="left"/>
            </w:pPr>
            <w:r>
              <w:t xml:space="preserve">Employer’s Liability limit</w:t>
            </w:r>
          </w:p>
        </w:tc>
        <w:tc>
          <w:tcPr/>
          <w:p>
            <w:pPr>
              <w:pStyle w:val="Compact"/>
              <w:jc w:val="left"/>
            </w:pPr>
            <w:r>
              <w:t xml:space="preserve">§9-5-16(A)(3): $1,000,000/accident</w:t>
            </w:r>
          </w:p>
        </w:tc>
        <w:tc>
          <w:tcPr/>
          <w:p>
            <w:pPr>
              <w:pStyle w:val="Compact"/>
              <w:jc w:val="left"/>
            </w:pPr>
            <w:r>
              <w:t xml:space="preserve">Item 16: silent</w:t>
            </w:r>
          </w:p>
        </w:tc>
        <w:tc>
          <w:tcPr/>
          <w:p>
            <w:pPr>
              <w:pStyle w:val="Compact"/>
              <w:jc w:val="left"/>
            </w:pPr>
            <w:r>
              <w:t xml:space="preserve">Q27: silent</w:t>
            </w:r>
          </w:p>
        </w:tc>
        <w:tc>
          <w:tcPr/>
          <w:p>
            <w:pPr>
              <w:pStyle w:val="Compact"/>
              <w:jc w:val="left"/>
            </w:pPr>
            <w:r>
              <w:t xml:space="preserve">Bind $1M EL per the Code.</w:t>
            </w:r>
          </w:p>
        </w:tc>
      </w:tr>
      <w:tr>
        <w:tc>
          <w:tcPr/>
          <w:p>
            <w:pPr>
              <w:pStyle w:val="Compact"/>
              <w:jc w:val="left"/>
            </w:pPr>
            <w:r>
              <w:t xml:space="preserve">D9</w:t>
            </w:r>
          </w:p>
        </w:tc>
        <w:tc>
          <w:tcPr/>
          <w:p>
            <w:pPr>
              <w:pStyle w:val="Compact"/>
              <w:jc w:val="left"/>
            </w:pPr>
            <w:r>
              <w:t xml:space="preserve">SSN disclosure</w:t>
            </w:r>
          </w:p>
        </w:tc>
        <w:tc>
          <w:tcPr/>
          <w:p>
            <w:pPr>
              <w:pStyle w:val="Compact"/>
              <w:jc w:val="left"/>
            </w:pPr>
            <w:r>
              <w:t xml:space="preserve">§9-5-5(B)(4): full SSN</w:t>
            </w:r>
          </w:p>
        </w:tc>
        <w:tc>
          <w:tcPr/>
          <w:p>
            <w:pPr>
              <w:pStyle w:val="Compact"/>
              <w:jc w:val="left"/>
            </w:pPr>
            <w:r>
              <w:t xml:space="preserve">Item 5: not specified</w:t>
            </w:r>
          </w:p>
        </w:tc>
        <w:tc>
          <w:tcPr/>
          <w:p>
            <w:pPr>
              <w:pStyle w:val="Compact"/>
              <w:jc w:val="left"/>
            </w:pPr>
            <w:r>
              <w:t xml:space="preserve">Q14A: last 4 only</w:t>
            </w:r>
          </w:p>
        </w:tc>
        <w:tc>
          <w:tcPr/>
          <w:p>
            <w:pPr>
              <w:pStyle w:val="Compact"/>
              <w:jc w:val="left"/>
            </w:pPr>
            <w:r>
              <w:t xml:space="preserve">Provide full SSN in a confidential/FOIA-exempt supplement if the Code controls.</w:t>
            </w:r>
          </w:p>
        </w:tc>
      </w:tr>
      <w:tr>
        <w:tc>
          <w:tcPr/>
          <w:p>
            <w:pPr>
              <w:pStyle w:val="Compact"/>
              <w:jc w:val="left"/>
            </w:pPr>
            <w:r>
              <w:t xml:space="preserve">D10</w:t>
            </w:r>
          </w:p>
        </w:tc>
        <w:tc>
          <w:tcPr/>
          <w:p>
            <w:pPr>
              <w:pStyle w:val="Compact"/>
              <w:jc w:val="left"/>
            </w:pPr>
            <w:r>
              <w:t xml:space="preserve">Agent-in-Charge availability</w:t>
            </w:r>
          </w:p>
        </w:tc>
        <w:tc>
          <w:tcPr/>
          <w:p>
            <w:pPr>
              <w:pStyle w:val="Compact"/>
              <w:jc w:val="left"/>
            </w:pPr>
            <w:r>
              <w:t xml:space="preserve">§9-5-13(I): present or return within 30 minutes</w:t>
            </w:r>
          </w:p>
        </w:tc>
        <w:tc>
          <w:tcPr/>
          <w:p>
            <w:pPr>
              <w:pStyle w:val="Compact"/>
              <w:jc w:val="left"/>
            </w:pPr>
            <w:r>
              <w:t xml:space="preserve">Item 19: not specified</w:t>
            </w:r>
          </w:p>
        </w:tc>
        <w:tc>
          <w:tcPr/>
          <w:p>
            <w:pPr>
              <w:pStyle w:val="Compact"/>
              <w:jc w:val="left"/>
            </w:pPr>
            <w:r>
              <w:t xml:space="preserve">Q13(b): present or available by telephone</w:t>
            </w:r>
          </w:p>
        </w:tc>
        <w:tc>
          <w:tcPr/>
          <w:p>
            <w:pPr>
              <w:pStyle w:val="Compact"/>
              <w:jc w:val="left"/>
            </w:pPr>
            <w:r>
              <w:t xml:space="preserve">Meet the 30-minute-return standard.</w:t>
            </w:r>
          </w:p>
        </w:tc>
      </w:tr>
      <w:tr>
        <w:tc>
          <w:tcPr/>
          <w:p>
            <w:pPr>
              <w:pStyle w:val="Compact"/>
              <w:jc w:val="left"/>
            </w:pPr>
            <w:r>
              <w:t xml:space="preserve">D11</w:t>
            </w:r>
          </w:p>
        </w:tc>
        <w:tc>
          <w:tcPr/>
          <w:p>
            <w:pPr>
              <w:pStyle w:val="Compact"/>
              <w:jc w:val="left"/>
            </w:pPr>
            <w:r>
              <w:t xml:space="preserve">Social-equity workforce definition</w:t>
            </w:r>
          </w:p>
        </w:tc>
        <w:tc>
          <w:tcPr/>
          <w:p>
            <w:pPr>
              <w:pStyle w:val="Compact"/>
              <w:jc w:val="left"/>
            </w:pPr>
            <w:r>
              <w:t xml:space="preserve">§9-5-19(D): all FT/PT employees</w:t>
            </w:r>
          </w:p>
        </w:tc>
        <w:tc>
          <w:tcPr/>
          <w:p>
            <w:pPr>
              <w:pStyle w:val="Compact"/>
              <w:jc w:val="left"/>
            </w:pPr>
            <w:r>
              <w:t xml:space="preserve">Item 14: 50% R3</w:t>
            </w:r>
          </w:p>
        </w:tc>
        <w:tc>
          <w:tcPr/>
          <w:p>
            <w:pPr>
              <w:pStyle w:val="Compact"/>
              <w:jc w:val="left"/>
            </w:pPr>
            <w:r>
              <w:t xml:space="preserve">Q21(a): employees + contractors, excluding principal officers/counsel</w:t>
            </w:r>
          </w:p>
        </w:tc>
        <w:tc>
          <w:tcPr/>
          <w:p>
            <w:pPr>
              <w:pStyle w:val="Compact"/>
              <w:jc w:val="left"/>
            </w:pPr>
            <w:r>
              <w:t xml:space="preserve">Apply the Code’s definition; seek clarification on the Form’s exclusions.</w:t>
            </w:r>
          </w:p>
        </w:tc>
      </w:tr>
      <w:tr>
        <w:tc>
          <w:tcPr/>
          <w:p>
            <w:pPr>
              <w:pStyle w:val="Compact"/>
              <w:jc w:val="left"/>
            </w:pPr>
            <w:r>
              <w:t xml:space="preserve">D12</w:t>
            </w:r>
          </w:p>
        </w:tc>
        <w:tc>
          <w:tcPr/>
          <w:p>
            <w:pPr>
              <w:pStyle w:val="Compact"/>
              <w:jc w:val="left"/>
            </w:pPr>
            <w:r>
              <w:t xml:space="preserve">Felony lookback period</w:t>
            </w:r>
          </w:p>
        </w:tc>
        <w:tc>
          <w:tcPr/>
          <w:p>
            <w:pPr>
              <w:pStyle w:val="Compact"/>
              <w:jc w:val="left"/>
            </w:pPr>
            <w:r>
              <w:t xml:space="preserve">§9-5-22(C)(1): 10 years</w:t>
            </w:r>
          </w:p>
        </w:tc>
        <w:tc>
          <w:tcPr/>
          <w:p>
            <w:pPr>
              <w:pStyle w:val="Compact"/>
              <w:jc w:val="left"/>
            </w:pPr>
            <w:r>
              <w:t xml:space="preserve">§2: 10 years</w:t>
            </w:r>
          </w:p>
        </w:tc>
        <w:tc>
          <w:tcPr/>
          <w:p>
            <w:pPr>
              <w:pStyle w:val="Compact"/>
              <w:jc w:val="left"/>
            </w:pPr>
            <w:r>
              <w:t xml:space="preserve">Q14A: 10 years</w:t>
            </w:r>
          </w:p>
        </w:tc>
        <w:tc>
          <w:tcPr/>
          <w:p>
            <w:pPr>
              <w:pStyle w:val="Compact"/>
              <w:jc w:val="left"/>
            </w:pPr>
            <w:r>
              <w:t xml:space="preserve">State License uses 5 years; screen to the City’s 10-year standard.</w:t>
            </w:r>
          </w:p>
        </w:tc>
      </w:tr>
      <w:tr>
        <w:tc>
          <w:tcPr/>
          <w:p>
            <w:pPr>
              <w:pStyle w:val="Compact"/>
              <w:jc w:val="left"/>
            </w:pPr>
            <w:r>
              <w:t xml:space="preserve">D13</w:t>
            </w:r>
          </w:p>
        </w:tc>
        <w:tc>
          <w:tcPr/>
          <w:p>
            <w:pPr>
              <w:pStyle w:val="Compact"/>
              <w:jc w:val="left"/>
            </w:pPr>
            <w:r>
              <w:t xml:space="preserve">Social-equity residency standard</w:t>
            </w:r>
          </w:p>
        </w:tc>
        <w:tc>
          <w:tcPr/>
          <w:p>
            <w:pPr>
              <w:pStyle w:val="Compact"/>
              <w:jc w:val="left"/>
            </w:pPr>
            <w:r>
              <w:t xml:space="preserve">§9-5-19(B)(1): R3, 24 months continuous</w:t>
            </w:r>
          </w:p>
        </w:tc>
        <w:tc>
          <w:tcPr/>
          <w:p>
            <w:pPr>
              <w:pStyle w:val="Compact"/>
              <w:jc w:val="left"/>
            </w:pPr>
            <w:r>
              <w:t xml:space="preserve">§2: R3 residency</w:t>
            </w:r>
          </w:p>
        </w:tc>
        <w:tc>
          <w:tcPr/>
          <w:p>
            <w:pPr>
              <w:pStyle w:val="Compact"/>
              <w:jc w:val="left"/>
            </w:pPr>
            <w:r>
              <w:t xml:space="preserve">Q19/Q20: R3 tract + duration</w:t>
            </w:r>
          </w:p>
        </w:tc>
        <w:tc>
          <w:tcPr/>
          <w:p>
            <w:pPr>
              <w:pStyle w:val="Compact"/>
              <w:jc w:val="left"/>
            </w:pPr>
            <w:r>
              <w:t xml:space="preserve">State DIA/5-of-10-years does not satisfy the City test; document 24-month R3 residency.</w:t>
            </w:r>
          </w:p>
        </w:tc>
      </w:tr>
      <w:tr>
        <w:tc>
          <w:tcPr/>
          <w:p>
            <w:pPr>
              <w:pStyle w:val="Compact"/>
              <w:jc w:val="left"/>
            </w:pPr>
            <w:r>
              <w:t xml:space="preserve">D14</w:t>
            </w:r>
          </w:p>
        </w:tc>
        <w:tc>
          <w:tcPr/>
          <w:p>
            <w:pPr>
              <w:pStyle w:val="Compact"/>
              <w:jc w:val="left"/>
            </w:pPr>
            <w:r>
              <w:t xml:space="preserve">Review-panel composition</w:t>
            </w:r>
          </w:p>
        </w:tc>
        <w:tc>
          <w:tcPr/>
          <w:p>
            <w:pPr>
              <w:pStyle w:val="Compact"/>
              <w:jc w:val="left"/>
            </w:pPr>
            <w:r>
              <w:t xml:space="preserve">§9-5-10(A): Coordinator + Liquor &amp; Cannabis Board</w:t>
            </w:r>
          </w:p>
        </w:tc>
        <w:tc>
          <w:tcPr/>
          <w:p>
            <w:pPr>
              <w:pStyle w:val="Compact"/>
              <w:jc w:val="left"/>
            </w:pPr>
            <w:r>
              <w:t xml:space="preserve">§4: DCD/City Manager/EPD panel</w:t>
            </w:r>
          </w:p>
        </w:tc>
        <w:tc>
          <w:tcPr/>
          <w:p>
            <w:pPr>
              <w:pStyle w:val="Compact"/>
              <w:jc w:val="left"/>
            </w:pPr>
            <w:r>
              <w:t xml:space="preserve">Rubric: adds</w:t>
            </w:r>
            <w:r>
              <w:t xml:space="preserve"> </w:t>
            </w:r>
            <w:r>
              <w:t xml:space="preserve">“</w:t>
            </w:r>
            <w:r>
              <w:t xml:space="preserve">two community members appointed by the Mayor</w:t>
            </w:r>
            <w:r>
              <w:t xml:space="preserve">”</w:t>
            </w:r>
          </w:p>
        </w:tc>
        <w:tc>
          <w:tcPr/>
          <w:p>
            <w:pPr>
              <w:pStyle w:val="Compact"/>
              <w:jc w:val="left"/>
            </w:pPr>
            <w:r>
              <w:t xml:space="preserve">Note the discrepancy; scoring authority ultimately rests with the Coordinator/Board per the Code.</w:t>
            </w:r>
          </w:p>
        </w:tc>
      </w:tr>
      <w:tr>
        <w:tc>
          <w:tcPr/>
          <w:p>
            <w:pPr>
              <w:pStyle w:val="Compact"/>
              <w:jc w:val="left"/>
            </w:pPr>
            <w:r>
              <w:t xml:space="preserve">D15</w:t>
            </w:r>
          </w:p>
        </w:tc>
        <w:tc>
          <w:tcPr/>
          <w:p>
            <w:pPr>
              <w:pStyle w:val="Compact"/>
              <w:jc w:val="left"/>
            </w:pPr>
            <w:r>
              <w:t xml:space="preserve">Form Q8 sensitive-use categories</w:t>
            </w:r>
          </w:p>
        </w:tc>
        <w:tc>
          <w:tcPr/>
          <w:p>
            <w:pPr>
              <w:pStyle w:val="Compact"/>
              <w:jc w:val="left"/>
            </w:pPr>
            <w:r>
              <w:t xml:space="preserve">§9-5-9(E): excludes religious, parks, libraries, hospitals, residential</w:t>
            </w:r>
          </w:p>
        </w:tc>
        <w:tc>
          <w:tcPr/>
          <w:p>
            <w:pPr>
              <w:pStyle w:val="Compact"/>
              <w:jc w:val="left"/>
            </w:pPr>
            <w:r>
              <w:t xml:space="preserve">Item 8: schools/daycare/dispensary</w:t>
            </w:r>
          </w:p>
        </w:tc>
        <w:tc>
          <w:tcPr/>
          <w:p>
            <w:pPr>
              <w:pStyle w:val="Compact"/>
              <w:jc w:val="left"/>
            </w:pPr>
            <w:r>
              <w:t xml:space="preserve">Q8: park/library/</w:t>
            </w:r>
            <w:r>
              <w:t xml:space="preserve">“</w:t>
            </w:r>
            <w:r>
              <w:t xml:space="preserve">residential treatment facility</w:t>
            </w:r>
            <w:r>
              <w:t xml:space="preserve">”</w:t>
            </w:r>
            <w:r>
              <w:t xml:space="preserve">; note mentions only religious</w:t>
            </w:r>
          </w:p>
        </w:tc>
        <w:tc>
          <w:tcPr/>
          <w:p>
            <w:pPr>
              <w:pStyle w:val="Compact"/>
              <w:jc w:val="left"/>
            </w:pPr>
            <w:r>
              <w:t xml:space="preserve">Rely on the Code’s excluded-use list.</w:t>
            </w:r>
          </w:p>
        </w:tc>
      </w:tr>
      <w:tr>
        <w:tc>
          <w:tcPr/>
          <w:p>
            <w:pPr>
              <w:pStyle w:val="Compact"/>
              <w:jc w:val="left"/>
            </w:pPr>
            <w:r>
              <w:t xml:space="preserve">D16</w:t>
            </w:r>
          </w:p>
        </w:tc>
        <w:tc>
          <w:tcPr/>
          <w:p>
            <w:pPr>
              <w:pStyle w:val="Compact"/>
              <w:jc w:val="left"/>
            </w:pPr>
            <w:r>
              <w:t xml:space="preserve">Form Q19</w:t>
            </w:r>
            <w:r>
              <w:t xml:space="preserve"> </w:t>
            </w:r>
            <w:r>
              <w:t xml:space="preserve">“</w:t>
            </w:r>
            <w:r>
              <w:t xml:space="preserve">DIA</w:t>
            </w:r>
            <w:r>
              <w:t xml:space="preserve">”</w:t>
            </w:r>
            <w:r>
              <w:t xml:space="preserve"> </w:t>
            </w:r>
            <w:r>
              <w:t xml:space="preserve">qualifying basis</w:t>
            </w:r>
          </w:p>
        </w:tc>
        <w:tc>
          <w:tcPr/>
          <w:p>
            <w:pPr>
              <w:pStyle w:val="Compact"/>
              <w:jc w:val="left"/>
            </w:pPr>
            <w:r>
              <w:t xml:space="preserve">§9-5-19(B): R3 residency / conviction / family member</w:t>
            </w:r>
          </w:p>
        </w:tc>
        <w:tc>
          <w:tcPr/>
          <w:p>
            <w:pPr>
              <w:pStyle w:val="Compact"/>
              <w:jc w:val="left"/>
            </w:pPr>
            <w:r>
              <w:t xml:space="preserve">§2: R3 or prior cannabis arrest/conviction</w:t>
            </w:r>
          </w:p>
        </w:tc>
        <w:tc>
          <w:tcPr/>
          <w:p>
            <w:pPr>
              <w:pStyle w:val="Compact"/>
              <w:jc w:val="left"/>
            </w:pPr>
            <w:r>
              <w:t xml:space="preserve">Q19: adds</w:t>
            </w:r>
            <w:r>
              <w:t xml:space="preserve"> </w:t>
            </w:r>
            <w:r>
              <w:t xml:space="preserve">“</w:t>
            </w:r>
            <w:r>
              <w:t xml:space="preserve">Resident of Disproportionately Impacted Area</w:t>
            </w:r>
            <w:r>
              <w:t xml:space="preserve">”</w:t>
            </w:r>
          </w:p>
        </w:tc>
        <w:tc>
          <w:tcPr/>
          <w:p>
            <w:pPr>
              <w:pStyle w:val="Compact"/>
              <w:jc w:val="left"/>
            </w:pPr>
            <w:r>
              <w:t xml:space="preserve">Claim the City’s R3/conviction bases; the DIA option is a State-law concept.</w:t>
            </w:r>
          </w:p>
        </w:tc>
      </w:tr>
      <w:tr>
        <w:tc>
          <w:tcPr/>
          <w:p>
            <w:pPr>
              <w:pStyle w:val="Compact"/>
              <w:jc w:val="left"/>
            </w:pPr>
            <w:r>
              <w:t xml:space="preserve">D17</w:t>
            </w:r>
          </w:p>
        </w:tc>
        <w:tc>
          <w:tcPr/>
          <w:p>
            <w:pPr>
              <w:pStyle w:val="Compact"/>
              <w:jc w:val="left"/>
            </w:pPr>
            <w:r>
              <w:t xml:space="preserve">Insurance-lapse immediate-suspension threshold</w:t>
            </w:r>
          </w:p>
        </w:tc>
        <w:tc>
          <w:tcPr/>
          <w:p>
            <w:pPr>
              <w:pStyle w:val="Compact"/>
              <w:jc w:val="left"/>
            </w:pPr>
            <w:r>
              <w:t xml:space="preserve">§9-5-16(E): lapse exceeding 14 consecutive calendar days = immediate suspension</w:t>
            </w:r>
          </w:p>
        </w:tc>
        <w:tc>
          <w:tcPr/>
          <w:p>
            <w:pPr>
              <w:pStyle w:val="Compact"/>
              <w:jc w:val="left"/>
            </w:pPr>
            <w:r>
              <w:t xml:space="preserve">—</w:t>
            </w:r>
          </w:p>
        </w:tc>
        <w:tc>
          <w:tcPr/>
          <w:p>
            <w:pPr>
              <w:pStyle w:val="Compact"/>
              <w:jc w:val="left"/>
            </w:pPr>
            <w:r>
              <w:t xml:space="preserve">§9-5-25(C)(3): lapse exceeding 48 hours = immediate suspension</w:t>
            </w:r>
          </w:p>
        </w:tc>
        <w:tc>
          <w:tcPr/>
          <w:p>
            <w:pPr>
              <w:pStyle w:val="Compact"/>
              <w:jc w:val="left"/>
            </w:pPr>
            <w:r>
              <w:t xml:space="preserve">The Code is internally inconsistent; apply the stricter 48-hour standard of §9-5-25(C)(3) to avoid suspension risk.</w:t>
            </w:r>
          </w:p>
        </w:tc>
      </w:tr>
      <w:tr>
        <w:tc>
          <w:tcPr/>
          <w:p>
            <w:pPr>
              <w:pStyle w:val="Compact"/>
              <w:jc w:val="left"/>
            </w:pPr>
            <w:r>
              <w:t xml:space="preserve">D18</w:t>
            </w:r>
          </w:p>
        </w:tc>
        <w:tc>
          <w:tcPr/>
          <w:p>
            <w:pPr>
              <w:pStyle w:val="Compact"/>
              <w:jc w:val="left"/>
            </w:pPr>
            <w:r>
              <w:t xml:space="preserve">Community-engagement statutory citation</w:t>
            </w:r>
          </w:p>
        </w:tc>
        <w:tc>
          <w:tcPr/>
          <w:p>
            <w:pPr>
              <w:pStyle w:val="Compact"/>
              <w:jc w:val="left"/>
            </w:pPr>
            <w:r>
              <w:t xml:space="preserve">§9-5-8 (community engagement)</w:t>
            </w:r>
          </w:p>
        </w:tc>
        <w:tc>
          <w:tcPr/>
          <w:p>
            <w:pPr>
              <w:pStyle w:val="Compact"/>
              <w:jc w:val="left"/>
            </w:pPr>
            <w:r>
              <w:t xml:space="preserve">Item 12 cites §9-5-8</w:t>
            </w:r>
          </w:p>
        </w:tc>
        <w:tc>
          <w:tcPr/>
          <w:p>
            <w:pPr>
              <w:pStyle w:val="Compact"/>
              <w:jc w:val="left"/>
            </w:pPr>
            <w:r>
              <w:t xml:space="preserve">Form Q22 cites</w:t>
            </w:r>
            <w:r>
              <w:t xml:space="preserve"> </w:t>
            </w:r>
            <w:r>
              <w:t xml:space="preserve">“</w:t>
            </w:r>
            <w:r>
              <w:t xml:space="preserve">Section 9-5-15</w:t>
            </w:r>
            <w:r>
              <w:t xml:space="preserve">”</w:t>
            </w:r>
            <w:r>
              <w:t xml:space="preserve"> </w:t>
            </w:r>
            <w:r>
              <w:t xml:space="preserve">(community benefit contribution) for the engagement requirement</w:t>
            </w:r>
          </w:p>
        </w:tc>
        <w:tc>
          <w:tcPr/>
          <w:p>
            <w:pPr>
              <w:pStyle w:val="Compact"/>
              <w:jc w:val="left"/>
            </w:pPr>
            <w:r>
              <w:t xml:space="preserve">Correct the Form citation to §9-5-8; §9-5-15 governs the community benefit contribution, not engagement sessions.</w:t>
            </w:r>
          </w:p>
        </w:tc>
      </w:tr>
    </w:tbl>
    <w:p>
      <w:r>
        <w:pict>
          <v:rect style="width:0;height:1.5pt" o:hralign="center" o:hrstd="t" o:hr="t"/>
        </w:pict>
      </w:r>
    </w:p>
    <w:bookmarkEnd w:id="50"/>
    <w:bookmarkStart w:id="51" w:name="X852b6c52985e5a8ca17dd4f289389867701b6a5"/>
    <w:p>
      <w:pPr>
        <w:pStyle w:val="Heading2"/>
      </w:pPr>
      <w:r>
        <w:t xml:space="preserve">6. Data Inconsistencies Within the Application Package</w:t>
      </w:r>
    </w:p>
    <w:p>
      <w:pPr>
        <w:pStyle w:val="FirstParagraph"/>
      </w:pPr>
      <w:r>
        <w:t xml:space="preserve">These internal inconsistencies must be reconciled across documents before submission to avoid a material-misrepresentation risk under Code §9-5-25(D)(6).</w:t>
      </w:r>
    </w:p>
    <w:tbl>
      <w:tblPr>
        <w:tblStyle w:val="Table"/>
        <w:tblW w:type="pct" w:w="5000"/>
        <w:jc w:val="left"/>
        <w:tblLayout w:type="fixed"/>
        <w:tblLook w:firstRow="1" w:lastRow="0" w:firstColumn="0" w:lastColumn="0" w:noHBand="0" w:noVBand="0" w:val="0020"/>
      </w:tblPr>
      <w:tblGrid>
        <w:gridCol w:w="565"/>
        <w:gridCol w:w="848"/>
        <w:gridCol w:w="1838"/>
        <w:gridCol w:w="1414"/>
        <w:gridCol w:w="1414"/>
        <w:gridCol w:w="1838"/>
      </w:tblGrid>
      <w:tr>
        <w:trPr>
          <w:tblHeader w:val="on"/>
        </w:trPr>
        <w:tc>
          <w:tcPr/>
          <w:p>
            <w:pPr>
              <w:pStyle w:val="Compact"/>
              <w:jc w:val="left"/>
            </w:pPr>
            <w:r>
              <w:t xml:space="preserve">ID</w:t>
            </w:r>
          </w:p>
        </w:tc>
        <w:tc>
          <w:tcPr/>
          <w:p>
            <w:pPr>
              <w:pStyle w:val="Compact"/>
              <w:jc w:val="left"/>
            </w:pPr>
            <w:r>
              <w:t xml:space="preserve">Item</w:t>
            </w:r>
          </w:p>
        </w:tc>
        <w:tc>
          <w:tcPr/>
          <w:p>
            <w:pPr>
              <w:pStyle w:val="Compact"/>
              <w:jc w:val="left"/>
            </w:pPr>
            <w:r>
              <w:t xml:space="preserve">Discrepancy</w:t>
            </w:r>
          </w:p>
        </w:tc>
        <w:tc>
          <w:tcPr/>
          <w:p>
            <w:pPr>
              <w:pStyle w:val="Compact"/>
              <w:jc w:val="left"/>
            </w:pPr>
            <w:r>
              <w:t xml:space="preserve">Source A</w:t>
            </w:r>
          </w:p>
        </w:tc>
        <w:tc>
          <w:tcPr/>
          <w:p>
            <w:pPr>
              <w:pStyle w:val="Compact"/>
              <w:jc w:val="left"/>
            </w:pPr>
            <w:r>
              <w:t xml:space="preserve">Source B</w:t>
            </w:r>
          </w:p>
        </w:tc>
        <w:tc>
          <w:tcPr/>
          <w:p>
            <w:pPr>
              <w:pStyle w:val="Compact"/>
              <w:jc w:val="left"/>
            </w:pPr>
            <w:r>
              <w:t xml:space="preserve">Remediation</w:t>
            </w:r>
          </w:p>
        </w:tc>
      </w:tr>
      <w:tr>
        <w:tc>
          <w:tcPr/>
          <w:p>
            <w:pPr>
              <w:pStyle w:val="Compact"/>
              <w:jc w:val="left"/>
            </w:pPr>
            <w:r>
              <w:t xml:space="preserve">I1</w:t>
            </w:r>
          </w:p>
        </w:tc>
        <w:tc>
          <w:tcPr/>
          <w:p>
            <w:pPr>
              <w:pStyle w:val="Compact"/>
              <w:jc w:val="left"/>
            </w:pPr>
            <w:r>
              <w:t xml:space="preserve">Registered agent name</w:t>
            </w:r>
          </w:p>
        </w:tc>
        <w:tc>
          <w:tcPr/>
          <w:p>
            <w:pPr>
              <w:pStyle w:val="Compact"/>
              <w:jc w:val="left"/>
            </w:pPr>
            <w:r>
              <w:t xml:space="preserve">“</w:t>
            </w:r>
            <w:r>
              <w:t xml:space="preserve">Northwest Statutory Services</w:t>
            </w:r>
            <w:r>
              <w:t xml:space="preserve">”</w:t>
            </w:r>
            <w:r>
              <w:t xml:space="preserve"> </w:t>
            </w:r>
            <w:r>
              <w:t xml:space="preserve">vs. </w:t>
            </w:r>
            <w:r>
              <w:t xml:space="preserve">“</w:t>
            </w:r>
            <w:r>
              <w:t xml:space="preserve">Keystone Statutory Services</w:t>
            </w:r>
            <w:r>
              <w:t xml:space="preserve">”</w:t>
            </w:r>
            <w:r>
              <w:t xml:space="preserve"> </w:t>
            </w:r>
            <w:r>
              <w:t xml:space="preserve">(same address, 205 N. Michigan Ave., Suite 810, Chicago)</w:t>
            </w:r>
          </w:p>
        </w:tc>
        <w:tc>
          <w:tcPr/>
          <w:p>
            <w:pPr>
              <w:pStyle w:val="Compact"/>
              <w:jc w:val="left"/>
            </w:pPr>
            <w:r>
              <w:t xml:space="preserve">Business plan §2.1; Lease Summary §1</w:t>
            </w:r>
          </w:p>
        </w:tc>
        <w:tc>
          <w:tcPr/>
          <w:p>
            <w:pPr>
              <w:pStyle w:val="Compact"/>
              <w:jc w:val="left"/>
            </w:pPr>
            <w:r>
              <w:t xml:space="preserve">State License §1</w:t>
            </w:r>
          </w:p>
        </w:tc>
        <w:tc>
          <w:tcPr/>
          <w:p>
            <w:pPr>
              <w:pStyle w:val="Compact"/>
              <w:jc w:val="left"/>
            </w:pPr>
            <w:r>
              <w:t xml:space="preserve">Confirm the correct registered agent name with the IL SOS and use one consistent name throughout.</w:t>
            </w:r>
          </w:p>
        </w:tc>
      </w:tr>
      <w:tr>
        <w:tc>
          <w:tcPr/>
          <w:p>
            <w:pPr>
              <w:pStyle w:val="Compact"/>
              <w:jc w:val="left"/>
            </w:pPr>
            <w:r>
              <w:t xml:space="preserve">I2</w:t>
            </w:r>
          </w:p>
        </w:tc>
        <w:tc>
          <w:tcPr/>
          <w:p>
            <w:pPr>
              <w:pStyle w:val="Compact"/>
              <w:jc w:val="left"/>
            </w:pPr>
            <w:r>
              <w:t xml:space="preserve">Applicant telephone</w:t>
            </w:r>
          </w:p>
        </w:tc>
        <w:tc>
          <w:tcPr/>
          <w:p>
            <w:pPr>
              <w:pStyle w:val="Compact"/>
              <w:jc w:val="left"/>
            </w:pPr>
            <w:r>
              <w:t xml:space="preserve">(872) 555-0193 vs. (847) 555-0193</w:t>
            </w:r>
          </w:p>
        </w:tc>
        <w:tc>
          <w:tcPr/>
          <w:p>
            <w:pPr>
              <w:pStyle w:val="Compact"/>
              <w:jc w:val="left"/>
            </w:pPr>
            <w:r>
              <w:t xml:space="preserve">Business plan cover page</w:t>
            </w:r>
          </w:p>
        </w:tc>
        <w:tc>
          <w:tcPr/>
          <w:p>
            <w:pPr>
              <w:pStyle w:val="Compact"/>
              <w:jc w:val="left"/>
            </w:pPr>
            <w:r>
              <w:t xml:space="preserve">Insurance/Bonding Memo signature block</w:t>
            </w:r>
          </w:p>
        </w:tc>
        <w:tc>
          <w:tcPr/>
          <w:p>
            <w:pPr>
              <w:pStyle w:val="Compact"/>
              <w:jc w:val="left"/>
            </w:pPr>
            <w:r>
              <w:t xml:space="preserve">Correct and standardize one telephone number.</w:t>
            </w:r>
          </w:p>
        </w:tc>
      </w:tr>
      <w:tr>
        <w:tc>
          <w:tcPr/>
          <w:p>
            <w:pPr>
              <w:pStyle w:val="Compact"/>
              <w:jc w:val="left"/>
            </w:pPr>
            <w:r>
              <w:t xml:space="preserve">I3</w:t>
            </w:r>
          </w:p>
        </w:tc>
        <w:tc>
          <w:tcPr/>
          <w:p>
            <w:pPr>
              <w:pStyle w:val="Compact"/>
              <w:jc w:val="left"/>
            </w:pPr>
            <w:r>
              <w:t xml:space="preserve">Applicant email</w:t>
            </w:r>
          </w:p>
        </w:tc>
        <w:tc>
          <w:tcPr/>
          <w:p>
            <w:pPr>
              <w:pStyle w:val="Compact"/>
              <w:jc w:val="left"/>
            </w:pPr>
            <w:r>
              <w:t xml:space="preserve">dokonkwo@greenleaftherapeuticsllc.com vs. dokonkwo@greenleaftherapeutics.com</w:t>
            </w:r>
          </w:p>
        </w:tc>
        <w:tc>
          <w:tcPr/>
          <w:p>
            <w:pPr>
              <w:pStyle w:val="Compact"/>
              <w:jc w:val="left"/>
            </w:pPr>
            <w:r>
              <w:t xml:space="preserve">Business plan; Engagement Report</w:t>
            </w:r>
          </w:p>
        </w:tc>
        <w:tc>
          <w:tcPr/>
          <w:p>
            <w:pPr>
              <w:pStyle w:val="Compact"/>
              <w:jc w:val="left"/>
            </w:pPr>
            <w:r>
              <w:t xml:space="preserve">Insurance/Bonding Memo</w:t>
            </w:r>
          </w:p>
        </w:tc>
        <w:tc>
          <w:tcPr/>
          <w:p>
            <w:pPr>
              <w:pStyle w:val="Compact"/>
              <w:jc w:val="left"/>
            </w:pPr>
            <w:r>
              <w:t xml:space="preserve">Standardize one email domain.</w:t>
            </w:r>
          </w:p>
        </w:tc>
      </w:tr>
      <w:tr>
        <w:tc>
          <w:tcPr/>
          <w:p>
            <w:pPr>
              <w:pStyle w:val="Compact"/>
              <w:jc w:val="left"/>
            </w:pPr>
            <w:r>
              <w:t xml:space="preserve">I4</w:t>
            </w:r>
          </w:p>
        </w:tc>
        <w:tc>
          <w:tcPr/>
          <w:p>
            <w:pPr>
              <w:pStyle w:val="Compact"/>
              <w:jc w:val="left"/>
            </w:pPr>
            <w:r>
              <w:t xml:space="preserve">Dedicated parking spaces</w:t>
            </w:r>
          </w:p>
        </w:tc>
        <w:tc>
          <w:tcPr/>
          <w:p>
            <w:pPr>
              <w:pStyle w:val="Compact"/>
              <w:jc w:val="left"/>
            </w:pPr>
            <w:r>
              <w:t xml:space="preserve">12 spaces vs. 8 spaces</w:t>
            </w:r>
          </w:p>
        </w:tc>
        <w:tc>
          <w:tcPr/>
          <w:p>
            <w:pPr>
              <w:pStyle w:val="Compact"/>
              <w:jc w:val="left"/>
            </w:pPr>
            <w:r>
              <w:t xml:space="preserve">Community Engagement Report §2.3</w:t>
            </w:r>
          </w:p>
        </w:tc>
        <w:tc>
          <w:tcPr/>
          <w:p>
            <w:pPr>
              <w:pStyle w:val="Compact"/>
              <w:jc w:val="left"/>
            </w:pPr>
            <w:r>
              <w:t xml:space="preserve">Lease Summary §2 (Exhibit B)</w:t>
            </w:r>
          </w:p>
        </w:tc>
        <w:tc>
          <w:tcPr/>
          <w:p>
            <w:pPr>
              <w:pStyle w:val="Compact"/>
              <w:jc w:val="left"/>
            </w:pPr>
            <w:r>
              <w:t xml:space="preserve">Reconcile to the lease figure (8) or amend the lease; correct the engagement report.</w:t>
            </w:r>
          </w:p>
        </w:tc>
      </w:tr>
      <w:tr>
        <w:tc>
          <w:tcPr/>
          <w:p>
            <w:pPr>
              <w:pStyle w:val="Compact"/>
              <w:jc w:val="left"/>
            </w:pPr>
            <w:r>
              <w:t xml:space="preserve">I5</w:t>
            </w:r>
          </w:p>
        </w:tc>
        <w:tc>
          <w:tcPr/>
          <w:p>
            <w:pPr>
              <w:pStyle w:val="Compact"/>
              <w:jc w:val="left"/>
            </w:pPr>
            <w:r>
              <w:t xml:space="preserve">Coordinator telephone</w:t>
            </w:r>
          </w:p>
        </w:tc>
        <w:tc>
          <w:tcPr/>
          <w:p>
            <w:pPr>
              <w:pStyle w:val="Compact"/>
              <w:jc w:val="left"/>
            </w:pPr>
            <w:r>
              <w:t xml:space="preserve">(847) 448-8163 vs. (847) 448-4311</w:t>
            </w:r>
          </w:p>
        </w:tc>
        <w:tc>
          <w:tcPr/>
          <w:p>
            <w:pPr>
              <w:pStyle w:val="Compact"/>
              <w:jc w:val="left"/>
            </w:pPr>
            <w:r>
              <w:t xml:space="preserve">Application Form header</w:t>
            </w:r>
          </w:p>
        </w:tc>
        <w:tc>
          <w:tcPr/>
          <w:p>
            <w:pPr>
              <w:pStyle w:val="Compact"/>
              <w:jc w:val="left"/>
            </w:pPr>
            <w:r>
              <w:t xml:space="preserve">Submission Guide §8</w:t>
            </w:r>
          </w:p>
        </w:tc>
        <w:tc>
          <w:tcPr/>
          <w:p>
            <w:pPr>
              <w:pStyle w:val="Compact"/>
              <w:jc w:val="left"/>
            </w:pPr>
            <w:r>
              <w:t xml:space="preserve">Confirm the correct City contact number; correct the Form or Guide as appropriate.</w:t>
            </w:r>
          </w:p>
        </w:tc>
      </w:tr>
      <w:tr>
        <w:tc>
          <w:tcPr/>
          <w:p>
            <w:pPr>
              <w:pStyle w:val="Compact"/>
              <w:jc w:val="left"/>
            </w:pPr>
            <w:r>
              <w:t xml:space="preserve">I6</w:t>
            </w:r>
          </w:p>
        </w:tc>
        <w:tc>
          <w:tcPr/>
          <w:p>
            <w:pPr>
              <w:pStyle w:val="Compact"/>
              <w:jc w:val="left"/>
            </w:pPr>
            <w:r>
              <w:t xml:space="preserve">Coordinator email</w:t>
            </w:r>
          </w:p>
        </w:tc>
        <w:tc>
          <w:tcPr/>
          <w:p>
            <w:pPr>
              <w:pStyle w:val="Compact"/>
              <w:jc w:val="left"/>
            </w:pPr>
            <w:r>
              <w:t xml:space="preserve">rvasquez-morris@cityofevanston.org vs. rvasquezmorris@cityofevanston.org</w:t>
            </w:r>
          </w:p>
        </w:tc>
        <w:tc>
          <w:tcPr/>
          <w:p>
            <w:pPr>
              <w:pStyle w:val="Compact"/>
              <w:jc w:val="left"/>
            </w:pPr>
            <w:r>
              <w:t xml:space="preserve">Application Form header</w:t>
            </w:r>
          </w:p>
        </w:tc>
        <w:tc>
          <w:tcPr/>
          <w:p>
            <w:pPr>
              <w:pStyle w:val="Compact"/>
              <w:jc w:val="left"/>
            </w:pPr>
            <w:r>
              <w:t xml:space="preserve">Submission Guide §8</w:t>
            </w:r>
          </w:p>
        </w:tc>
        <w:tc>
          <w:tcPr/>
          <w:p>
            <w:pPr>
              <w:pStyle w:val="Compact"/>
              <w:jc w:val="left"/>
            </w:pPr>
            <w:r>
              <w:t xml:space="preserve">Confirm the correct email; standardize.</w:t>
            </w:r>
          </w:p>
        </w:tc>
      </w:tr>
      <w:tr>
        <w:tc>
          <w:tcPr/>
          <w:p>
            <w:pPr>
              <w:pStyle w:val="Compact"/>
              <w:jc w:val="left"/>
            </w:pPr>
            <w:r>
              <w:t xml:space="preserve">I7</w:t>
            </w:r>
          </w:p>
        </w:tc>
        <w:tc>
          <w:tcPr/>
          <w:p>
            <w:pPr>
              <w:pStyle w:val="Compact"/>
              <w:jc w:val="left"/>
            </w:pPr>
            <w:r>
              <w:t xml:space="preserve">Community-engagement statutory citation</w:t>
            </w:r>
          </w:p>
        </w:tc>
        <w:tc>
          <w:tcPr/>
          <w:p>
            <w:pPr>
              <w:pStyle w:val="Compact"/>
              <w:jc w:val="left"/>
            </w:pPr>
            <w:r>
              <w:t xml:space="preserve">Form Q22 cites</w:t>
            </w:r>
            <w:r>
              <w:t xml:space="preserve"> </w:t>
            </w:r>
            <w:r>
              <w:t xml:space="preserve">“</w:t>
            </w:r>
            <w:r>
              <w:t xml:space="preserve">Section 9-5-15</w:t>
            </w:r>
            <w:r>
              <w:t xml:space="preserve">”</w:t>
            </w:r>
            <w:r>
              <w:t xml:space="preserve"> </w:t>
            </w:r>
            <w:r>
              <w:t xml:space="preserve">for the two-session community-engagement requirement; §9-5-15 actually governs the community benefit contribution</w:t>
            </w:r>
          </w:p>
        </w:tc>
        <w:tc>
          <w:tcPr/>
          <w:p>
            <w:pPr>
              <w:pStyle w:val="Compact"/>
              <w:jc w:val="left"/>
            </w:pPr>
            <w:r>
              <w:t xml:space="preserve">Application Form Q22</w:t>
            </w:r>
          </w:p>
        </w:tc>
        <w:tc>
          <w:tcPr/>
          <w:p>
            <w:pPr>
              <w:pStyle w:val="Compact"/>
              <w:jc w:val="left"/>
            </w:pPr>
            <w:r>
              <w:t xml:space="preserve">Municipal Code §9-5-8 (community engagement)</w:t>
            </w:r>
          </w:p>
        </w:tc>
        <w:tc>
          <w:tcPr/>
          <w:p>
            <w:pPr>
              <w:pStyle w:val="Compact"/>
              <w:jc w:val="left"/>
            </w:pPr>
            <w:r>
              <w:t xml:space="preserve">Correct the citation to §9-5-8 in the Form and any engagement-report references; confirm the engagement report’s general</w:t>
            </w:r>
            <w:r>
              <w:t xml:space="preserve"> </w:t>
            </w:r>
            <w:r>
              <w:t xml:space="preserve">“</w:t>
            </w:r>
            <w:r>
              <w:t xml:space="preserve">Chapter 9, Article 5</w:t>
            </w:r>
            <w:r>
              <w:t xml:space="preserve">”</w:t>
            </w:r>
            <w:r>
              <w:t xml:space="preserve"> </w:t>
            </w:r>
            <w:r>
              <w:t xml:space="preserve">citation is acceptable.</w:t>
            </w:r>
          </w:p>
        </w:tc>
      </w:tr>
    </w:tbl>
    <w:p>
      <w:r>
        <w:pict>
          <v:rect style="width:0;height:1.5pt" o:hralign="center" o:hrstd="t" o:hr="t"/>
        </w:pict>
      </w:r>
    </w:p>
    <w:bookmarkEnd w:id="51"/>
    <w:bookmarkStart w:id="52" w:name="Xdcc3f3375014794b83e2553eb2cccbf93d5fc05"/>
    <w:p>
      <w:pPr>
        <w:pStyle w:val="Heading2"/>
      </w:pPr>
      <w:r>
        <w:t xml:space="preserve">7. Remediation Action Plan — Sequenced Next Steps</w:t>
      </w:r>
    </w:p>
    <w:p>
      <w:pPr>
        <w:pStyle w:val="FirstParagraph"/>
      </w:pPr>
      <w:r>
        <w:rPr>
          <w:b/>
          <w:bCs/>
        </w:rPr>
        <w:t xml:space="preserve">Immediately (before May 15, 2024 submission):</w:t>
      </w:r>
    </w:p>
    <w:p>
      <w:pPr>
        <w:pStyle w:val="Compact"/>
        <w:numPr>
          <w:ilvl w:val="0"/>
          <w:numId w:val="1004"/>
        </w:numPr>
      </w:pPr>
      <w:r>
        <w:t xml:space="preserve">Complete, sign, and notarize the Application Form; transcribe all supporting-document content into the appropriate Form sections.</w:t>
      </w:r>
    </w:p>
    <w:p>
      <w:pPr>
        <w:pStyle w:val="Compact"/>
        <w:numPr>
          <w:ilvl w:val="0"/>
          <w:numId w:val="1004"/>
        </w:numPr>
      </w:pPr>
      <w:r>
        <w:t xml:space="preserve">Engage an Illinois-licensed P.E. to design and certify the odor-mitigation system; produce the signed/sealed certification and specific HVAC/carbon-filtration specifications.</w:t>
      </w:r>
    </w:p>
    <w:p>
      <w:pPr>
        <w:pStyle w:val="Compact"/>
        <w:numPr>
          <w:ilvl w:val="0"/>
          <w:numId w:val="1004"/>
        </w:numPr>
      </w:pPr>
      <w:r>
        <w:t xml:space="preserve">Direct Pinnacle Compliance Advisors to finalize and deliver the complete Security Plan (including parking/loading/alleyway camera coverage, acceptable-ID-forms list, and quarterly panic-alarm test protocol).</w:t>
      </w:r>
    </w:p>
    <w:p>
      <w:pPr>
        <w:pStyle w:val="Compact"/>
        <w:numPr>
          <w:ilvl w:val="0"/>
          <w:numId w:val="1004"/>
        </w:numPr>
      </w:pPr>
      <w:r>
        <w:t xml:space="preserve">Obtain a binding commitment letter (or binder) for the $500,000 cannabis crime/theft policy from Canopy Risk Underwriters (or a contingency carrier); bind Employer’s Liability at $1M; confirm AM Best ratings and 30-day notice provisions; obtain City additional-insured endorsements.</w:t>
      </w:r>
    </w:p>
    <w:p>
      <w:pPr>
        <w:pStyle w:val="Compact"/>
        <w:numPr>
          <w:ilvl w:val="0"/>
          <w:numId w:val="1004"/>
        </w:numPr>
      </w:pPr>
      <w:r>
        <w:t xml:space="preserve">Obtain a formal bonding-capacity commitment letter from Thornfield Surety Group (or an LOC commitment from Ridgeline Community Bank) dated within 60 days of submission.</w:t>
      </w:r>
    </w:p>
    <w:p>
      <w:pPr>
        <w:pStyle w:val="Compact"/>
        <w:numPr>
          <w:ilvl w:val="0"/>
          <w:numId w:val="1004"/>
        </w:numPr>
      </w:pPr>
      <w:r>
        <w:t xml:space="preserve">Hold a third community-engagement session with ≥14-day newspaper and website notice; include a telephone number and</w:t>
      </w:r>
      <w:r>
        <w:t xml:space="preserve"> </w:t>
      </w:r>
      <w:r>
        <w:t xml:space="preserve">“</w:t>
      </w:r>
      <w:r>
        <w:t xml:space="preserve">adult-use and medical</w:t>
      </w:r>
      <w:r>
        <w:t xml:space="preserve">”</w:t>
      </w:r>
      <w:r>
        <w:t xml:space="preserve"> </w:t>
      </w:r>
      <w:r>
        <w:t xml:space="preserve">in the notice; attach publisher’s affidavit and website-posting confirmations.</w:t>
      </w:r>
    </w:p>
    <w:p>
      <w:pPr>
        <w:pStyle w:val="Compact"/>
        <w:numPr>
          <w:ilvl w:val="0"/>
          <w:numId w:val="1004"/>
        </w:numPr>
      </w:pPr>
      <w:r>
        <w:t xml:space="preserve">Commission a fresh (≤60-day) buffer survey using nearest-pedestrian-route measurement, property-line to property-line, identifying each sensitive use by name and address.</w:t>
      </w:r>
    </w:p>
    <w:p>
      <w:pPr>
        <w:pStyle w:val="Compact"/>
        <w:numPr>
          <w:ilvl w:val="0"/>
          <w:numId w:val="1004"/>
        </w:numPr>
      </w:pPr>
      <w:r>
        <w:t xml:space="preserve">Assemble entity-formation documents (Articles, Operating Agreement, fresh Certificate of Good Standing, IRS EIN letter, ownership chart).</w:t>
      </w:r>
    </w:p>
    <w:p>
      <w:pPr>
        <w:pStyle w:val="Compact"/>
        <w:numPr>
          <w:ilvl w:val="0"/>
          <w:numId w:val="1004"/>
        </w:numPr>
      </w:pPr>
      <w:r>
        <w:t xml:space="preserve">Execute City background-check authorizations and complete Live Scan fingerprinting for Okonkwo and Ramachandran; complete Form Q14A/Q14B disclosures.</w:t>
      </w:r>
    </w:p>
    <w:p>
      <w:pPr>
        <w:pStyle w:val="Compact"/>
        <w:numPr>
          <w:ilvl w:val="0"/>
          <w:numId w:val="1004"/>
        </w:numPr>
      </w:pPr>
      <w:r>
        <w:t xml:space="preserve">Prepare standalone Diversity &amp; Inclusion and Environmental Sustainability Plans; formalize the social-equity hiring pipeline (named partners, timeline, contingency).</w:t>
      </w:r>
    </w:p>
    <w:p>
      <w:pPr>
        <w:pStyle w:val="Compact"/>
        <w:numPr>
          <w:ilvl w:val="0"/>
          <w:numId w:val="1004"/>
        </w:numPr>
      </w:pPr>
      <w:r>
        <w:t xml:space="preserve">Assemble the social-equity documentation packet (R3 residency proof with 24-month duration and census-tract verification; expungement court order; signed 50%-hiring and 2-year-mentorship commitments).</w:t>
      </w:r>
    </w:p>
    <w:p>
      <w:pPr>
        <w:pStyle w:val="Compact"/>
        <w:numPr>
          <w:ilvl w:val="0"/>
          <w:numId w:val="1004"/>
        </w:numPr>
      </w:pPr>
      <w:r>
        <w:t xml:space="preserve">File the special-use permit application with the ZBA; record the case number in Form Q3.</w:t>
      </w:r>
    </w:p>
    <w:p>
      <w:pPr>
        <w:pStyle w:val="Compact"/>
        <w:numPr>
          <w:ilvl w:val="0"/>
          <w:numId w:val="1004"/>
        </w:numPr>
      </w:pPr>
      <w:r>
        <w:t xml:space="preserve">Identify specific community-benefit beneficiary organizations.</w:t>
      </w:r>
    </w:p>
    <w:p>
      <w:pPr>
        <w:pStyle w:val="Compact"/>
        <w:numPr>
          <w:ilvl w:val="0"/>
          <w:numId w:val="1004"/>
        </w:numPr>
      </w:pPr>
      <w:r>
        <w:t xml:space="preserve">Reconcile all data inconsistencies (Section 6) across documents.</w:t>
      </w:r>
    </w:p>
    <w:p>
      <w:pPr>
        <w:pStyle w:val="FirstParagraph"/>
      </w:pPr>
      <w:r>
        <w:rPr>
          <w:b/>
          <w:bCs/>
        </w:rPr>
        <w:t xml:space="preserve">Before ~July 23, 2024:</w:t>
      </w:r>
    </w:p>
    <w:p>
      <w:pPr>
        <w:pStyle w:val="Compact"/>
        <w:numPr>
          <w:ilvl w:val="0"/>
          <w:numId w:val="1005"/>
        </w:numPr>
      </w:pPr>
      <w:r>
        <w:t xml:space="preserve">Petition IDFPR for a conditional-license extension (up to 6 months) using Form CR-EXT-01, to protect against the September 21, 2024 expiration.</w:t>
      </w:r>
    </w:p>
    <w:p>
      <w:pPr>
        <w:pStyle w:val="FirstParagraph"/>
      </w:pPr>
      <w:r>
        <w:rPr>
          <w:b/>
          <w:bCs/>
        </w:rPr>
        <w:t xml:space="preserve">At/after City Council approval (pre-issuance, within 30 days):</w:t>
      </w:r>
    </w:p>
    <w:p>
      <w:pPr>
        <w:pStyle w:val="Compact"/>
        <w:numPr>
          <w:ilvl w:val="0"/>
          <w:numId w:val="1006"/>
        </w:numPr>
      </w:pPr>
      <w:r>
        <w:t xml:space="preserve">Pay the $15,000 annual permit fee; obtain the $50,000 bond/LOC in City Attorney-approved form (with permit-term-plus-one-year duration); submit final insurance certificates; complete build-out and obtain the Certificate of Occupancy; install and verify security systems; verify employee Agent ID Cards; execute the community benefit agreement; obtain final special-use approval.</w:t>
      </w:r>
    </w:p>
    <w:p>
      <w:pPr>
        <w:pStyle w:val="FirstParagraph"/>
      </w:pPr>
      <w:r>
        <w:rPr>
          <w:b/>
          <w:bCs/>
        </w:rPr>
        <w:t xml:space="preserve">Ongoing (post-issuance):</w:t>
      </w:r>
    </w:p>
    <w:p>
      <w:pPr>
        <w:pStyle w:val="Compact"/>
        <w:numPr>
          <w:ilvl w:val="0"/>
          <w:numId w:val="1007"/>
        </w:numPr>
      </w:pPr>
      <w:r>
        <w:t xml:space="preserve">Implement quarterly self-audits (due 15 days after each quarter end), annual audited financials, annual workforce demographics report, 24-hour incident reporting, 5-year records retention, annual permit renewal (60–90 days before expiration), continuous insurance with 30-day change notices, annual odor-system recertification, State-license maintenance with 24-hour notice, and the 50% R3 workforce and 2-year mentorship obligations with annual re-verification.</w:t>
      </w:r>
    </w:p>
    <w:p>
      <w:r>
        <w:pict>
          <v:rect style="width:0;height:1.5pt" o:hralign="center" o:hrstd="t" o:hr="t"/>
        </w:pict>
      </w:r>
    </w:p>
    <w:bookmarkEnd w:id="52"/>
    <w:bookmarkStart w:id="53" w:name="conclusion"/>
    <w:p>
      <w:pPr>
        <w:pStyle w:val="Heading2"/>
      </w:pPr>
      <w:r>
        <w:t xml:space="preserve">8. Conclusion</w:t>
      </w:r>
    </w:p>
    <w:p>
      <w:pPr>
        <w:pStyle w:val="FirstParagraph"/>
      </w:pPr>
      <w:r>
        <w:t xml:space="preserve">Greenleaf Therapeutics LLC presents a substantively developed application supported by a detailed business plan, a favorable lease, a valid State conditional license, completed community-engagement sessions, and a credible social-equity narrative. However, the package is</w:t>
      </w:r>
      <w:r>
        <w:t xml:space="preserve"> </w:t>
      </w:r>
      <w:r>
        <w:rPr>
          <w:b/>
          <w:bCs/>
        </w:rPr>
        <w:t xml:space="preserve">not yet submission-ready</w:t>
      </w:r>
      <w:r>
        <w:t xml:space="preserve">. The application form is unexecuted; the odor-mitigation plan lacks the mandatory P.E. certification and engineered specifications; the security plan is unfinished; the cannabis crime/theft insurance and bonding-capacity evidence are not in place; the second community-engagement session was under-noticed; the buffer survey is stale and uses the wrong measurement methodology; and the conditional-license expiration creates a real timeline risk. Standalone diversity and environmental plans, the social-equity documentation packet, entity-formation documents, and City background-check authorizations remain outstanding. Finally, multiple conflicts among the Code, the Guide, and the Form — and several internal data inconsistencies — must be reconciled before filing. A completeness audit also identified additional items not addressed in the initial package: the floor plan’s omission of restrooms (§9-5-5(B)(6); §9-5-2(O)), the material-change notification duty during pendency (§9-5-5(D)), the public-hearing 500-foot owner mailing (§9-5-7(D)), the Experience &amp; Qualifications scoring category and tiebreaker (§9-5-10(C)(7),(D)), the four-permit cap (§9-5-4(B)), the insurance-lapse response protocol (§9-5-16(E)), the prohibited-acts and inspection obligations (§§9-5-21, 9-5-23), the waiver framework (§9-5-26), and the Form Q10/Q14C prior-license disclosures. Curing the items in Sections 4 and 7 will bring the package into compliance with Article 5 and the Submission Guide.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2026-06-27T01:26:02Z</dcterms:created>
  <dcterms:modified xsi:type="dcterms:W3CDTF">2026-06-27T01:26:02Z</dcterms:modified>
</cp:coreProperties>
</file>

<file path=docProps/custom.xml><?xml version="1.0" encoding="utf-8"?>
<Properties xmlns="http://schemas.openxmlformats.org/officeDocument/2006/custom-properties" xmlns:vt="http://schemas.openxmlformats.org/officeDocument/2006/docPropsVTypes"/>
</file>