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nfidential-internal-memorandum"/>
    <w:p>
      <w:pPr>
        <w:pStyle w:val="Heading1"/>
      </w:pPr>
      <w:r>
        <w:t xml:space="preserve">CONFIDENTIAL — INTERNAL MEMORANDUM</w:t>
      </w:r>
    </w:p>
    <w:p>
      <w:pPr>
        <w:pStyle w:val="FirstParagraph"/>
      </w:pPr>
      <w:r>
        <w:rPr>
          <w:b/>
          <w:bCs/>
        </w:rPr>
        <w:t xml:space="preserve">THORNFIELD CAPITAL PARTNERS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CC:</w:t>
            </w:r>
          </w:p>
        </w:tc>
        <w:tc>
          <w:tcPr/>
          <w:p>
            <w:pPr>
              <w:pStyle w:val="Compact"/>
              <w:jc w:val="left"/>
            </w:pPr>
            <w:r>
              <w:t xml:space="preserve">Sarah Lindgren, Vice President</w:t>
            </w:r>
          </w:p>
        </w:tc>
      </w:tr>
      <w:tr>
        <w:tc>
          <w:tcPr/>
          <w:p>
            <w:pPr>
              <w:pStyle w:val="Compact"/>
              <w:jc w:val="left"/>
            </w:pPr>
            <w:r>
              <w:rPr>
                <w:b/>
                <w:bCs/>
              </w:rPr>
              <w:t xml:space="preserve">Date:</w:t>
            </w:r>
          </w:p>
        </w:tc>
        <w:tc>
          <w:tcPr/>
          <w:p>
            <w:pPr>
              <w:pStyle w:val="Compact"/>
              <w:jc w:val="left"/>
            </w:pPr>
            <w:r>
              <w:t xml:space="preserve">June 24, 2025</w:t>
            </w:r>
          </w:p>
        </w:tc>
      </w:tr>
      <w:tr>
        <w:tc>
          <w:tcPr/>
          <w:p>
            <w:pPr>
              <w:pStyle w:val="Compact"/>
              <w:jc w:val="left"/>
            </w:pPr>
            <w:r>
              <w:rPr>
                <w:b/>
                <w:bCs/>
              </w:rPr>
              <w:t xml:space="preserve">Re:</w:t>
            </w:r>
          </w:p>
        </w:tc>
        <w:tc>
          <w:tcPr/>
          <w:p>
            <w:pPr>
              <w:pStyle w:val="Compact"/>
              <w:jc w:val="left"/>
            </w:pPr>
            <w:r>
              <w:t xml:space="preserve">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 Review of Confidential Information Memorandum and Supporting Materials</w:t>
            </w:r>
          </w:p>
        </w:tc>
      </w:tr>
    </w:tbl>
    <w:p>
      <w:pPr>
        <w:pStyle w:val="BodyText"/>
      </w:pPr>
      <w:r>
        <w:rPr>
          <w:i/>
          <w:iCs/>
        </w:rPr>
        <w:t xml:space="preserve">Prepared in connection with Project Cascade. This memorandum is intended solely for internal use by Thornfield Capital Partners investment professionals and is subject to the Confidentiality Agreement executed with Greenleaf Advisory Group, LLC. It should not be shared with any external party, including Greenleaf, CES, or its management. IOI deadline: July 14, 2025.</w:t>
      </w:r>
    </w:p>
    <w:p>
      <w:r>
        <w:pict>
          <v:rect style="width:0;height:1.5pt" o:hralign="center" o:hrstd="t" o:hr="t"/>
        </w:pict>
      </w:r>
    </w:p>
    <w:bookmarkStart w:id="24" w:name="executive-summary-and-recommendation"/>
    <w:p>
      <w:pPr>
        <w:pStyle w:val="Heading2"/>
      </w:pPr>
      <w:r>
        <w:t xml:space="preserve">1. Executive Summary and Recommendation</w:t>
      </w:r>
    </w:p>
    <w:bookmarkStart w:id="20" w:name="overview"/>
    <w:p>
      <w:pPr>
        <w:pStyle w:val="Heading3"/>
      </w:pPr>
      <w:r>
        <w:t xml:space="preserve">1.1 Overview</w:t>
      </w:r>
    </w:p>
    <w:p>
      <w:pPr>
        <w:pStyle w:val="FirstParagraph"/>
      </w:pPr>
      <w:r>
        <w:t xml:space="preserve">Greenleaf Advisory Group (</w:t>
      </w:r>
      <w:r>
        <w:t xml:space="preserve">“</w:t>
      </w:r>
      <w:r>
        <w:t xml:space="preserve">Greenleaf</w:t>
      </w:r>
      <w:r>
        <w:t xml:space="preserve">”</w:t>
      </w:r>
      <w:r>
        <w:t xml:space="preserve">) is running a competitive sale process for 100%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a Portland-based environmental services platform founded in 2009 by CEO Randall Oakes. CES generated FY2024 revenue of $87.3 million across three segments — Environmental Remediation ($48.2M, 55.2%), Industrial Cleaning ($27.8M, 31.8%), and Emergency Response ($11.3M, 12.9%) — and reported Adjusted EBITDA of $17.1 million (19.6% margin) per the CIM. The Company operates across Oregon, Washington, Idaho, and Northern California, employs 412 people, and holds a contracted backlog of $42.6 million as of December 31, 2024. CES fits squarely within Fund III’s target parameters ($30M–$100M EV range, industrial/environmental services).</w:t>
      </w:r>
    </w:p>
    <w:p>
      <w:pPr>
        <w:pStyle w:val="BodyText"/>
      </w:pPr>
      <w:r>
        <w:t xml:space="preserve">This memorandum supplements Sarah Lindgren’s June 12, 2025 sector memo and presents a detailed buy-side analysis of the CIM, the Customer Summary and Backlog Report, the Financial Exhibits workbook, and the process letter. It identifies financial inconsistencies, data integrity issues, and risk factors, and concludes with a recommended valuation and IOI strategy.</w:t>
      </w:r>
    </w:p>
    <w:bookmarkEnd w:id="20"/>
    <w:bookmarkStart w:id="21" w:name="recommendation"/>
    <w:p>
      <w:pPr>
        <w:pStyle w:val="Heading3"/>
      </w:pPr>
      <w:r>
        <w:t xml:space="preserve">1.2 Recommendation</w:t>
      </w:r>
    </w:p>
    <w:p>
      <w:pPr>
        <w:pStyle w:val="FirstParagraph"/>
      </w:pPr>
      <w:r>
        <w:rPr>
          <w:b/>
          <w:bCs/>
        </w:rPr>
        <w:t xml:space="preserve">Proceed to submit an Indication of Interest, but at an enterprise value meaningfully below the sell-side’s implied range, with the valuation anchored to trailing (FY2024) buy-side Adjusted EBITDA rather than management’s forward projections, and structured with an earnout tied to PFAS revenue achievement.</w:t>
      </w:r>
    </w:p>
    <w:p>
      <w:pPr>
        <w:pStyle w:val="BodyText"/>
      </w:pPr>
      <w:r>
        <w:t xml:space="preserve">The underlying business is genuinely attractive — an integrated, regulated, regional environmental services platform with real regulatory tailwinds and a credible (if overstated) PFAS growth vector. However, the sell-side materials contain a material arithmetic error in the headline Adjusted EBITDA figure, pervasive data integrity inconsistencies across the CIM and financial exhibits, aggressive PFAS projections that are not supported by contracted backlog, likely understated maintenance capital expenditures, and a series of EBITDA adjustments that are only partially defensible. These issues, taken together, warrant a valuation toward the lower end of the sector’s 8.0x–10.0x range and a disciplined IOI.</w:t>
      </w:r>
    </w:p>
    <w:bookmarkEnd w:id="21"/>
    <w:bookmarkStart w:id="22" w:name="headline-findings"/>
    <w:p>
      <w:pPr>
        <w:pStyle w:val="Heading3"/>
      </w:pPr>
      <w:r>
        <w:t xml:space="preserve">1.3 Headline Findings</w:t>
      </w:r>
    </w:p>
    <w:p>
      <w:pPr>
        <w:numPr>
          <w:ilvl w:val="0"/>
          <w:numId w:val="1001"/>
        </w:numPr>
      </w:pPr>
      <w:r>
        <w:rPr>
          <w:b/>
          <w:bCs/>
        </w:rPr>
        <w:t xml:space="preserve">The headline Adjusted EBITDA of $17.1M does not foot.</w:t>
      </w:r>
      <w:r>
        <w:t xml:space="preserve"> </w:t>
      </w:r>
      <w:r>
        <w:t xml:space="preserve">The six listed adjustments in the CIM (Section VI.C) and the EBITDA Bridge tab of the Financial Exhibits sum to $4.7M, which when added to reported EBITDA of $12.1M yields $16.8M — not the $17.1M stated. The $0.3M overstatement appears in the FY2024 bridge only (the FY2021–FY2023 bridges foot correctly) and flows directly into the valuation. At a 9.0x multiple, this single error inflates enterprise value by ~$2.7M.</w:t>
      </w:r>
    </w:p>
    <w:p>
      <w:pPr>
        <w:numPr>
          <w:ilvl w:val="0"/>
          <w:numId w:val="1001"/>
        </w:numPr>
      </w:pPr>
      <w:r>
        <w:rPr>
          <w:b/>
          <w:bCs/>
        </w:rPr>
        <w:t xml:space="preserve">The CIM and the Financial Exhibits tell materially different stories.</w:t>
      </w:r>
      <w:r>
        <w:t xml:space="preserve"> </w:t>
      </w:r>
      <w:r>
        <w:t xml:space="preserve">The CIM’s condensed income statement (Appendix A) and the Financial Exhibits workbook show different gross profit, operating income, pre-tax income, and net income figures for the same fiscal years. Net income differs by $1.7M in FY2024 ($5.0M CIM vs. $6.7M exhibits). The exhibits’ income statement is internally inconsistent — operating income plus D&amp;A does not equal reported EBITDA, with a gap that grows from $1.5M (FY2021) to $3.2M (FY2024).</w:t>
      </w:r>
    </w:p>
    <w:p>
      <w:pPr>
        <w:numPr>
          <w:ilvl w:val="0"/>
          <w:numId w:val="1001"/>
        </w:numPr>
      </w:pPr>
      <w:r>
        <w:rPr>
          <w:b/>
          <w:bCs/>
        </w:rPr>
        <w:t xml:space="preserve">The balance sheet does not reconcile across documents.</w:t>
      </w:r>
      <w:r>
        <w:t xml:space="preserve"> </w:t>
      </w:r>
      <w:r>
        <w:t xml:space="preserve">Total assets differ by $3.9M ($46.1M CIM vs. $50.0M exhibits), PP&amp;E by $2.6M, and total term-loan debt by $1.8M ($14.2M CIM vs. $16.0M exhibits). Net debt coincidentally matches at $15.0M only because cash differs by the same $1.8M.</w:t>
      </w:r>
    </w:p>
    <w:p>
      <w:pPr>
        <w:numPr>
          <w:ilvl w:val="0"/>
          <w:numId w:val="1001"/>
        </w:numPr>
      </w:pPr>
      <w:r>
        <w:rPr>
          <w:b/>
          <w:bCs/>
        </w:rPr>
        <w:t xml:space="preserve">The top-10 customer list is inconsistent between the CIM and the Backlog Report.</w:t>
      </w:r>
      <w:r>
        <w:t xml:space="preserve"> </w:t>
      </w:r>
      <w:r>
        <w:t xml:space="preserve">Customers ranked #6–#10 carry identical revenue amounts and percentages in both documents but have entirely different names, segments served, contract types, and expiration dates. Even the top-5 customers show conflicting segment and relationship-tenure data. The customer data cannot be relied upon as presented.</w:t>
      </w:r>
    </w:p>
    <w:p>
      <w:pPr>
        <w:numPr>
          <w:ilvl w:val="0"/>
          <w:numId w:val="1001"/>
        </w:numPr>
      </w:pPr>
      <w:r>
        <w:rPr>
          <w:b/>
          <w:bCs/>
        </w:rPr>
        <w:t xml:space="preserve">Stated DSO of 52 days does not reconcile to the balance sheet.</w:t>
      </w:r>
      <w:r>
        <w:t xml:space="preserve"> </w:t>
      </w:r>
      <w:r>
        <w:t xml:space="preserve">Accounts receivable of $16.9M against FY2024 revenue of $87.3M implies DSO of ~71 days (or ~82 days including $2.7M of unbilled revenue shown in the exhibits) — well above the stated 52 days and above the 60-day threshold that signals collection or revenue-recognition concerns.</w:t>
      </w:r>
    </w:p>
    <w:p>
      <w:pPr>
        <w:numPr>
          <w:ilvl w:val="0"/>
          <w:numId w:val="1001"/>
        </w:numPr>
      </w:pPr>
      <w:r>
        <w:rPr>
          <w:b/>
          <w:bCs/>
        </w:rPr>
        <w:t xml:space="preserve">PFAS projections are aggressive and unsupported by contracted backlog.</w:t>
      </w:r>
      <w:r>
        <w:t xml:space="preserve"> </w:t>
      </w:r>
      <w:r>
        <w:t xml:space="preserve">The CIM projects PFAS revenue growing 125.8% to $14.0M in FY2025 and 57.1% to $22.0M in FY2026, with PFAS driving ~64% of incremental revenue. This is roughly 3x the company-level growth rate indicated by sector data and Thornfield’s GreenWorks experience. Only ~46% of FY2025E total revenue is covered by signed backlog plus expected pipeline conversion.</w:t>
      </w:r>
    </w:p>
    <w:p>
      <w:pPr>
        <w:numPr>
          <w:ilvl w:val="0"/>
          <w:numId w:val="1001"/>
        </w:numPr>
      </w:pPr>
      <w:r>
        <w:rPr>
          <w:b/>
          <w:bCs/>
        </w:rPr>
        <w:t xml:space="preserve">Maintenance capex is materially below sector norms.</w:t>
      </w:r>
      <w:r>
        <w:t xml:space="preserve"> </w:t>
      </w:r>
      <w:r>
        <w:t xml:space="preserve">Stated maintenance capex of $3.0M (3.4% of revenue) is 150–200 bps below the 5–7% sector range, implying either deferred maintenance or understatement — a pattern consistent with Thornfield’s GreenWorks experience, where true maintenance capex was nearly double the sell-side figure post-close.</w:t>
      </w:r>
    </w:p>
    <w:bookmarkEnd w:id="22"/>
    <w:bookmarkStart w:id="23" w:name="recommended-ioi-valuation"/>
    <w:p>
      <w:pPr>
        <w:pStyle w:val="Heading3"/>
      </w:pPr>
      <w:r>
        <w:t xml:space="preserve">1.4 Recommended IOI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Sell-Side (CIM)</w:t>
            </w:r>
          </w:p>
        </w:tc>
        <w:tc>
          <w:tcPr/>
          <w:p>
            <w:pPr>
              <w:pStyle w:val="Compact"/>
              <w:jc w:val="left"/>
            </w:pPr>
            <w:r>
              <w:t xml:space="preserve">Buy-Side (This Memo)</w:t>
            </w:r>
          </w:p>
        </w:tc>
      </w:tr>
      <w:tr>
        <w:tc>
          <w:tcPr/>
          <w:p>
            <w:pPr>
              <w:pStyle w:val="Compact"/>
              <w:jc w:val="left"/>
            </w:pPr>
            <w:r>
              <w:t xml:space="preserve">FY2024 Adjusted EBITDA</w:t>
            </w:r>
          </w:p>
        </w:tc>
        <w:tc>
          <w:tcPr/>
          <w:p>
            <w:pPr>
              <w:pStyle w:val="Compact"/>
              <w:jc w:val="left"/>
            </w:pPr>
            <w:r>
              <w:t xml:space="preserve">$17.1M</w:t>
            </w:r>
          </w:p>
        </w:tc>
        <w:tc>
          <w:tcPr/>
          <w:p>
            <w:pPr>
              <w:pStyle w:val="Compact"/>
              <w:jc w:val="left"/>
            </w:pPr>
            <w:r>
              <w:t xml:space="preserve">~$15.5M</w:t>
            </w:r>
          </w:p>
        </w:tc>
      </w:tr>
      <w:tr>
        <w:tc>
          <w:tcPr/>
          <w:p>
            <w:pPr>
              <w:pStyle w:val="Compact"/>
              <w:jc w:val="left"/>
            </w:pPr>
            <w:r>
              <w:t xml:space="preserve">Implied multiple range</w:t>
            </w:r>
          </w:p>
        </w:tc>
        <w:tc>
          <w:tcPr/>
          <w:p>
            <w:pPr>
              <w:pStyle w:val="Compact"/>
              <w:jc w:val="left"/>
            </w:pPr>
            <w:r>
              <w:t xml:space="preserve">8.0x–10.0x</w:t>
            </w:r>
          </w:p>
        </w:tc>
        <w:tc>
          <w:tcPr/>
          <w:p>
            <w:pPr>
              <w:pStyle w:val="Compact"/>
              <w:jc w:val="left"/>
            </w:pPr>
            <w:r>
              <w:t xml:space="preserve">8.0x–8.5x</w:t>
            </w:r>
          </w:p>
        </w:tc>
      </w:tr>
      <w:tr>
        <w:tc>
          <w:tcPr/>
          <w:p>
            <w:pPr>
              <w:pStyle w:val="Compact"/>
              <w:jc w:val="left"/>
            </w:pPr>
            <w:r>
              <w:t xml:space="preserve">Enterprise value range</w:t>
            </w:r>
          </w:p>
        </w:tc>
        <w:tc>
          <w:tcPr/>
          <w:p>
            <w:pPr>
              <w:pStyle w:val="Compact"/>
              <w:jc w:val="left"/>
            </w:pPr>
            <w:r>
              <w:t xml:space="preserve">$136.8M–$171.0M</w:t>
            </w:r>
          </w:p>
        </w:tc>
        <w:tc>
          <w:tcPr/>
          <w:p>
            <w:pPr>
              <w:pStyle w:val="Compact"/>
              <w:jc w:val="left"/>
            </w:pPr>
            <w:r>
              <w:rPr>
                <w:b/>
                <w:bCs/>
              </w:rPr>
              <w:t xml:space="preserve">$125M–$135M</w:t>
            </w:r>
          </w:p>
        </w:tc>
      </w:tr>
      <w:tr>
        <w:tc>
          <w:tcPr/>
          <w:p>
            <w:pPr>
              <w:pStyle w:val="Compact"/>
              <w:jc w:val="left"/>
            </w:pPr>
            <w:r>
              <w:t xml:space="preserve">Basis</w:t>
            </w:r>
          </w:p>
        </w:tc>
        <w:tc>
          <w:tcPr/>
          <w:p>
            <w:pPr>
              <w:pStyle w:val="Compact"/>
              <w:jc w:val="left"/>
            </w:pPr>
            <w:r>
              <w:t xml:space="preserve">FY2024A / FY2025E</w:t>
            </w:r>
          </w:p>
        </w:tc>
        <w:tc>
          <w:tcPr/>
          <w:p>
            <w:pPr>
              <w:pStyle w:val="Compact"/>
              <w:jc w:val="left"/>
            </w:pPr>
            <w:r>
              <w:t xml:space="preserve">FY2024A (trailing)</w:t>
            </w:r>
          </w:p>
        </w:tc>
      </w:tr>
    </w:tbl>
    <w:p>
      <w:pPr>
        <w:pStyle w:val="BodyText"/>
      </w:pPr>
      <w:r>
        <w:t xml:space="preserve">The recommended IOI enterprise value range of</w:t>
      </w:r>
      <w:r>
        <w:t xml:space="preserve"> </w:t>
      </w:r>
      <w:r>
        <w:rPr>
          <w:b/>
          <w:bCs/>
        </w:rPr>
        <w:t xml:space="preserve">$125M–$135M</w:t>
      </w:r>
      <w:r>
        <w:t xml:space="preserve"> </w:t>
      </w:r>
      <w:r>
        <w:t xml:space="preserve">reflects (i) a corrected and more conservatively adjusted EBITDA base of ~$15.5M, (ii) a multiple toward the lower end of the sector range given concentration, key-person, capex, and data-integrity risks, and (iii) anchoring to trailing rather than projected earnings. An earnout tied to PFAS revenue achievement is recommended to bridge the valuation gap with the seller. Detailed support is in Section 7.</w:t>
      </w:r>
    </w:p>
    <w:p>
      <w:r>
        <w:pict>
          <v:rect style="width:0;height:1.5pt" o:hralign="center" o:hrstd="t" o:hr="t"/>
        </w:pict>
      </w:r>
    </w:p>
    <w:bookmarkEnd w:id="23"/>
    <w:bookmarkEnd w:id="24"/>
    <w:bookmarkStart w:id="28" w:name="transaction-overview-and-process"/>
    <w:p>
      <w:pPr>
        <w:pStyle w:val="Heading2"/>
      </w:pPr>
      <w:r>
        <w:t xml:space="preserve">2. Transaction Overview and Process</w:t>
      </w:r>
    </w:p>
    <w:bookmarkStart w:id="25" w:name="the-asset"/>
    <w:p>
      <w:pPr>
        <w:pStyle w:val="Heading3"/>
      </w:pPr>
      <w:r>
        <w:t xml:space="preserve">2.1 The Asset</w:t>
      </w:r>
    </w:p>
    <w:p>
      <w:pPr>
        <w:pStyle w:val="FirstParagraph"/>
      </w:pPr>
      <w:r>
        <w:t xml:space="preserve">CES is a Delaware C-corporation, headquartered at 4200 Industrial Way, Portland, OR, with additional facilities in Seattle, WA and Boise, ID. Founded in 2009 by Randall Oakes (age 61, 68% equity holder), the Company has grown organically into a three-segment environmental services platform. There are no institutional investors; the remaining 32% equity is held by early investors and key employees. The Company maintains a phantom equity incentive plan for senior managers, with all outstanding units expected to be settled in cash at closing.</w:t>
      </w:r>
    </w:p>
    <w:bookmarkEnd w:id="25"/>
    <w:bookmarkStart w:id="26" w:name="seller-motivation-and-process"/>
    <w:p>
      <w:pPr>
        <w:pStyle w:val="Heading3"/>
      </w:pPr>
      <w:r>
        <w:t xml:space="preserve">2.2 Seller Motivation and Process</w:t>
      </w:r>
    </w:p>
    <w:p>
      <w:pPr>
        <w:pStyle w:val="FirstParagraph"/>
      </w:pPr>
      <w:r>
        <w:t xml:space="preserve">Mr. Oakes has expressed a desire to transition out of day-to-day operations within 18–24 months following a completed transaction and is willing to serve in a transitional advisory capacity. The process is being run by Philip Tran, Managing Director at Greenleaf, with Wexford, Mallory &amp; Chen LLP as Company counsel and Ridgeline Accounting Group, PC as auditor. The process is structured in three phases:</w:t>
      </w:r>
    </w:p>
    <w:p>
      <w:pPr>
        <w:pStyle w:val="Compact"/>
        <w:numPr>
          <w:ilvl w:val="0"/>
          <w:numId w:val="1002"/>
        </w:numPr>
      </w:pPr>
      <w:r>
        <w:rPr>
          <w:b/>
          <w:bCs/>
        </w:rPr>
        <w:t xml:space="preserve">Phase I</w:t>
      </w:r>
      <w:r>
        <w:t xml:space="preserve"> </w:t>
      </w:r>
      <w:r>
        <w:t xml:space="preserve">— CIM review and non-binding IOIs, due</w:t>
      </w:r>
      <w:r>
        <w:t xml:space="preserve"> </w:t>
      </w:r>
      <w:r>
        <w:rPr>
          <w:b/>
          <w:bCs/>
        </w:rPr>
        <w:t xml:space="preserve">July 14, 2025</w:t>
      </w:r>
      <w:r>
        <w:t xml:space="preserve"> </w:t>
      </w:r>
      <w:r>
        <w:t xml:space="preserve">(5:00 PM PT).</w:t>
      </w:r>
    </w:p>
    <w:p>
      <w:pPr>
        <w:pStyle w:val="Compact"/>
        <w:numPr>
          <w:ilvl w:val="0"/>
          <w:numId w:val="1002"/>
        </w:numPr>
      </w:pPr>
      <w:r>
        <w:rPr>
          <w:b/>
          <w:bCs/>
        </w:rPr>
        <w:t xml:space="preserve">Phase II</w:t>
      </w:r>
      <w:r>
        <w:t xml:space="preserve"> </w:t>
      </w:r>
      <w:r>
        <w:t xml:space="preserve">— Management presentations (August 2025) and confirmatory diligence for selected bidders; VDR access.</w:t>
      </w:r>
    </w:p>
    <w:p>
      <w:pPr>
        <w:pStyle w:val="Compact"/>
        <w:numPr>
          <w:ilvl w:val="0"/>
          <w:numId w:val="1002"/>
        </w:numPr>
      </w:pPr>
      <w:r>
        <w:rPr>
          <w:b/>
          <w:bCs/>
        </w:rPr>
        <w:t xml:space="preserve">Phase III</w:t>
      </w:r>
      <w:r>
        <w:t xml:space="preserve"> </w:t>
      </w:r>
      <w:r>
        <w:t xml:space="preserve">— Final binding bids and definitive documentation; target signing and closing in</w:t>
      </w:r>
      <w:r>
        <w:t xml:space="preserve"> </w:t>
      </w:r>
      <w:r>
        <w:rPr>
          <w:b/>
          <w:bCs/>
        </w:rPr>
        <w:t xml:space="preserve">Q4 2025</w:t>
      </w:r>
      <w:r>
        <w:t xml:space="preserve">. Draft stock purchase agreement to be distributed for markup.</w:t>
      </w:r>
    </w:p>
    <w:p>
      <w:pPr>
        <w:pStyle w:val="FirstParagraph"/>
      </w:pPr>
      <w:r>
        <w:t xml:space="preserve">The process letter requests that IOIs specify an enterprise value range on a cash-free, debt-free basis with normalized net working capital, identify the trailing or projected basis and implied EBITDA multiple, and address transaction structure (including treatment of existing indebtedness, the headquarters real estate owned by Mr. Oakes, and any rollover equity or earnout), financing sources, diligence items, management/retention views, and approvals.</w:t>
      </w:r>
    </w:p>
    <w:bookmarkEnd w:id="26"/>
    <w:bookmarkStart w:id="27" w:name="key-process-observations"/>
    <w:p>
      <w:pPr>
        <w:pStyle w:val="Heading3"/>
      </w:pPr>
      <w:r>
        <w:t xml:space="preserve">2.3 Key Process Observations</w:t>
      </w:r>
    </w:p>
    <w:p>
      <w:pPr>
        <w:pStyle w:val="Compact"/>
        <w:numPr>
          <w:ilvl w:val="0"/>
          <w:numId w:val="1003"/>
        </w:numPr>
      </w:pPr>
      <w:r>
        <w:t xml:space="preserve">The transaction is structured as a stock purchase, which carries the full historical liability profile of the Company (relevant given the August 2024 DEQ enforcement action — see Section 6.4).</w:t>
      </w:r>
    </w:p>
    <w:p>
      <w:pPr>
        <w:pStyle w:val="Compact"/>
        <w:numPr>
          <w:ilvl w:val="0"/>
          <w:numId w:val="1003"/>
        </w:numPr>
      </w:pPr>
      <w:r>
        <w:t xml:space="preserve">The headquarters real estate is owned personally by Mr. Oakes and leased to the Company at above-market rent. Bidders must address this explicitly; it is both a normalization issue (the $0.8M lease add-back) and a structural issue (post-close occupancy).</w:t>
      </w:r>
    </w:p>
    <w:p>
      <w:pPr>
        <w:pStyle w:val="Compact"/>
        <w:numPr>
          <w:ilvl w:val="0"/>
          <w:numId w:val="1003"/>
        </w:numPr>
      </w:pPr>
      <w:r>
        <w:t xml:space="preserve">Existing indebtedness with Cascadia Commercial Bank (term loan maturing August 2026 plus revolver) is expected to be refinanced or repaid at closing.</w:t>
      </w:r>
    </w:p>
    <w:p>
      <w:pPr>
        <w:pStyle w:val="Compact"/>
        <w:numPr>
          <w:ilvl w:val="0"/>
          <w:numId w:val="1003"/>
        </w:numPr>
      </w:pPr>
      <w:r>
        <w:t xml:space="preserve">The IOI deadline (July 14) postdates the expiration of the largest customer’s MSA (PNR, March 31, 2025) — see Section 6.2.</w:t>
      </w:r>
    </w:p>
    <w:p>
      <w:r>
        <w:pict>
          <v:rect style="width:0;height:1.5pt" o:hralign="center" o:hrstd="t" o:hr="t"/>
        </w:pict>
      </w:r>
    </w:p>
    <w:bookmarkEnd w:id="27"/>
    <w:bookmarkEnd w:id="28"/>
    <w:bookmarkStart w:id="31" w:name="business-overview-and-investment-thesis"/>
    <w:p>
      <w:pPr>
        <w:pStyle w:val="Heading2"/>
      </w:pPr>
      <w:r>
        <w:t xml:space="preserve">3. Business Overview and Investment Thesis</w:t>
      </w:r>
    </w:p>
    <w:bookmarkStart w:id="29" w:name="what-is-attractive"/>
    <w:p>
      <w:pPr>
        <w:pStyle w:val="Heading3"/>
      </w:pPr>
      <w:r>
        <w:t xml:space="preserve">3.1 What Is Attractive</w:t>
      </w:r>
    </w:p>
    <w:p>
      <w:pPr>
        <w:pStyle w:val="FirstParagraph"/>
      </w:pPr>
      <w:r>
        <w:t xml:space="preserve">The core investment thesis has merit and is consistent with Fund III’s strategy:</w:t>
      </w:r>
    </w:p>
    <w:p>
      <w:pPr>
        <w:pStyle w:val="Compact"/>
        <w:numPr>
          <w:ilvl w:val="0"/>
          <w:numId w:val="1004"/>
        </w:numPr>
      </w:pPr>
      <w:r>
        <w:rPr>
          <w:b/>
          <w:bCs/>
        </w:rPr>
        <w:t xml:space="preserve">Integrated, regulated platform.</w:t>
      </w:r>
      <w:r>
        <w:t xml:space="preserve"> </w:t>
      </w:r>
      <w:r>
        <w:t xml:space="preserve">CES offers remediation, industrial cleaning, and emergency response under one roof, with hazardous waste transporter permits in four states and an Oregon DEQ contractor license. These credentials take years to accumulate and create meaningful barriers to entry. The integrated model drives cross-selling and share-of-wallet expansion.</w:t>
      </w:r>
    </w:p>
    <w:p>
      <w:pPr>
        <w:pStyle w:val="Compact"/>
        <w:numPr>
          <w:ilvl w:val="0"/>
          <w:numId w:val="1004"/>
        </w:numPr>
      </w:pPr>
      <w:r>
        <w:rPr>
          <w:b/>
          <w:bCs/>
        </w:rPr>
        <w:t xml:space="preserve">Genuine regulatory tailwinds.</w:t>
      </w:r>
      <w:r>
        <w:t xml:space="preserve"> </w:t>
      </w:r>
      <w:r>
        <w:t xml:space="preserve">PFAS regulation (EPA’s April 2024 drinking water MCLs, state-level mandates in OR/WA) and ongoing enforcement create durable, non-discretionary demand. Environmental services is a non-cyclical, compliance-driven spend category.</w:t>
      </w:r>
    </w:p>
    <w:p>
      <w:pPr>
        <w:pStyle w:val="Compact"/>
        <w:numPr>
          <w:ilvl w:val="0"/>
          <w:numId w:val="1004"/>
        </w:numPr>
      </w:pPr>
      <w:r>
        <w:rPr>
          <w:b/>
          <w:bCs/>
        </w:rPr>
        <w:t xml:space="preserve">Recurring revenue characteristics.</w:t>
      </w:r>
      <w:r>
        <w:t xml:space="preserve"> </w:t>
      </w:r>
      <w:r>
        <w:t xml:space="preserve">Industrial cleaning is tied to scheduled turnaround cycles; remediation projects follow multi-phase lifecycles (assessment → remediation → monitoring → closure) that create recurring revenue; emergency response is supported by standby retainer arrangements. ~60% of revenue is under MSAs.</w:t>
      </w:r>
    </w:p>
    <w:p>
      <w:pPr>
        <w:pStyle w:val="Compact"/>
        <w:numPr>
          <w:ilvl w:val="0"/>
          <w:numId w:val="1004"/>
        </w:numPr>
      </w:pPr>
      <w:r>
        <w:rPr>
          <w:b/>
          <w:bCs/>
        </w:rPr>
        <w:t xml:space="preserve">Backlog and visibility.</w:t>
      </w:r>
      <w:r>
        <w:t xml:space="preserve"> </w:t>
      </w:r>
      <w:r>
        <w:t xml:space="preserve">$42.6M contracted backlog plus $31.4M pipeline ($74.0M total opportunity set) provides a foundation of near-term visibility, even if it does not fully cover forward projections (see Section 6.1).</w:t>
      </w:r>
    </w:p>
    <w:p>
      <w:pPr>
        <w:pStyle w:val="Compact"/>
        <w:numPr>
          <w:ilvl w:val="0"/>
          <w:numId w:val="1004"/>
        </w:numPr>
      </w:pPr>
      <w:r>
        <w:rPr>
          <w:b/>
          <w:bCs/>
        </w:rPr>
        <w:t xml:space="preserve">Platform for consolidation.</w:t>
      </w:r>
      <w:r>
        <w:t xml:space="preserve"> </w:t>
      </w:r>
      <w:r>
        <w:t xml:space="preserve">The Pacific Northwest environmental services market is fragmented; CES is well-positioned as a buy-and-build platform with 5–7 identified tuck-in targets, consistent with Thornfield’s value-creation playbook.</w:t>
      </w:r>
    </w:p>
    <w:p>
      <w:pPr>
        <w:pStyle w:val="Compact"/>
        <w:numPr>
          <w:ilvl w:val="0"/>
          <w:numId w:val="1004"/>
        </w:numPr>
      </w:pPr>
      <w:r>
        <w:rPr>
          <w:b/>
          <w:bCs/>
        </w:rPr>
        <w:t xml:space="preserve">Fit with Fund III.</w:t>
      </w:r>
      <w:r>
        <w:t xml:space="preserve"> </w:t>
      </w:r>
      <w:r>
        <w:t xml:space="preserve">Size ($87M revenue, ~$15–17M EBITDA), sector (environmental services), and geography (Pacific Northwest) fit Fund III’s mandate. Thornfield’s GreenWorks and Allied Waste experience provides directly relevant operating benchmarks.</w:t>
      </w:r>
    </w:p>
    <w:bookmarkEnd w:id="29"/>
    <w:bookmarkStart w:id="30" w:name="what-gives-us-pause"/>
    <w:p>
      <w:pPr>
        <w:pStyle w:val="Heading3"/>
      </w:pPr>
      <w:r>
        <w:t xml:space="preserve">3.2 What Gives Us Pause</w:t>
      </w:r>
    </w:p>
    <w:p>
      <w:pPr>
        <w:pStyle w:val="FirstParagraph"/>
      </w:pPr>
      <w:r>
        <w:t xml:space="preserve">The thesis is sound, but the execution and the numbers as presented require significant validation:</w:t>
      </w:r>
    </w:p>
    <w:p>
      <w:pPr>
        <w:pStyle w:val="Compact"/>
        <w:numPr>
          <w:ilvl w:val="0"/>
          <w:numId w:val="1005"/>
        </w:numPr>
      </w:pPr>
      <w:r>
        <w:t xml:space="preserve">The growth story is disproportionately dependent on a two-year-old service line (PFAS) with unproven projections.</w:t>
      </w:r>
    </w:p>
    <w:p>
      <w:pPr>
        <w:pStyle w:val="Compact"/>
        <w:numPr>
          <w:ilvl w:val="0"/>
          <w:numId w:val="1005"/>
        </w:numPr>
      </w:pPr>
      <w:r>
        <w:t xml:space="preserve">The founder/CEO is retiring, and no successor is identified; the organization appears to run through Mr. Oakes personally.</w:t>
      </w:r>
    </w:p>
    <w:p>
      <w:pPr>
        <w:pStyle w:val="Compact"/>
        <w:numPr>
          <w:ilvl w:val="0"/>
          <w:numId w:val="1005"/>
        </w:numPr>
      </w:pPr>
      <w:r>
        <w:t xml:space="preserve">The financial materials contain errors and inconsistencies that have not been reconciled by the sell-side.</w:t>
      </w:r>
    </w:p>
    <w:p>
      <w:pPr>
        <w:pStyle w:val="Compact"/>
        <w:numPr>
          <w:ilvl w:val="0"/>
          <w:numId w:val="1005"/>
        </w:numPr>
      </w:pPr>
      <w:r>
        <w:t xml:space="preserve">The Company has a recent regulatory enforcement action and an above-market related-party lease with the selling shareholder.</w:t>
      </w:r>
    </w:p>
    <w:p>
      <w:pPr>
        <w:pStyle w:val="Compact"/>
        <w:numPr>
          <w:ilvl w:val="0"/>
          <w:numId w:val="1005"/>
        </w:numPr>
      </w:pPr>
      <w:r>
        <w:t xml:space="preserve">Free cash flow is weak and likely weaker than presented once maintenance capex is normalized.</w:t>
      </w:r>
    </w:p>
    <w:p>
      <w:r>
        <w:pict>
          <v:rect style="width:0;height:1.5pt" o:hralign="center" o:hrstd="t" o:hr="t"/>
        </w:pict>
      </w:r>
    </w:p>
    <w:bookmarkEnd w:id="30"/>
    <w:bookmarkEnd w:id="31"/>
    <w:bookmarkStart w:id="37" w:name="financial-analysis"/>
    <w:p>
      <w:pPr>
        <w:pStyle w:val="Heading2"/>
      </w:pPr>
      <w:r>
        <w:t xml:space="preserve">4. Financial Analysis</w:t>
      </w:r>
    </w:p>
    <w:bookmarkStart w:id="32" w:name="revenue-and-growth"/>
    <w:p>
      <w:pPr>
        <w:pStyle w:val="Heading3"/>
      </w:pPr>
      <w:r>
        <w:t xml:space="preserve">4.1 Revenue and Growth</w:t>
      </w:r>
    </w:p>
    <w:p>
      <w:pPr>
        <w:pStyle w:val="FirstParagraph"/>
      </w:pPr>
      <w:r>
        <w:t xml:space="preserve">CES has grown revenue from $61.4M (FY2021) to $87.3M (FY2024), a 12.5% CAGR. This is above the 5–10% sector norm identified in the sector memo, and the outperformance is attributable to the PFAS practice ramp and geographic expansion. Decomposing the growth is important: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FY2021</w:t>
            </w:r>
          </w:p>
        </w:tc>
        <w:tc>
          <w:tcPr/>
          <w:p>
            <w:pPr>
              <w:pStyle w:val="Compact"/>
              <w:jc w:val="left"/>
            </w:pPr>
            <w:r>
              <w:t xml:space="preserve">FY2024</w:t>
            </w:r>
          </w:p>
        </w:tc>
        <w:tc>
          <w:tcPr/>
          <w:p>
            <w:pPr>
              <w:pStyle w:val="Compact"/>
              <w:jc w:val="left"/>
            </w:pPr>
            <w:r>
              <w:t xml:space="preserve">CAGR</w:t>
            </w:r>
          </w:p>
        </w:tc>
        <w:tc>
          <w:tcPr/>
          <w:p>
            <w:pPr>
              <w:pStyle w:val="Compact"/>
              <w:jc w:val="left"/>
            </w:pPr>
            <w:r>
              <w:t xml:space="preserve">FY2024 %</w:t>
            </w:r>
          </w:p>
        </w:tc>
      </w:tr>
      <w:tr>
        <w:tc>
          <w:tcPr/>
          <w:p>
            <w:pPr>
              <w:pStyle w:val="Compact"/>
              <w:jc w:val="left"/>
            </w:pPr>
            <w:r>
              <w:t xml:space="preserve">Environmental Remediation</w:t>
            </w:r>
          </w:p>
        </w:tc>
        <w:tc>
          <w:tcPr/>
          <w:p>
            <w:pPr>
              <w:pStyle w:val="Compact"/>
              <w:jc w:val="left"/>
            </w:pPr>
            <w:r>
              <w:t xml:space="preserve">$34.1M</w:t>
            </w:r>
          </w:p>
        </w:tc>
        <w:tc>
          <w:tcPr/>
          <w:p>
            <w:pPr>
              <w:pStyle w:val="Compact"/>
              <w:jc w:val="left"/>
            </w:pPr>
            <w:r>
              <w:t xml:space="preserve">$48.2M</w:t>
            </w:r>
          </w:p>
        </w:tc>
        <w:tc>
          <w:tcPr/>
          <w:p>
            <w:pPr>
              <w:pStyle w:val="Compact"/>
              <w:jc w:val="left"/>
            </w:pPr>
            <w:r>
              <w:t xml:space="preserve">12.2%</w:t>
            </w:r>
          </w:p>
        </w:tc>
        <w:tc>
          <w:tcPr/>
          <w:p>
            <w:pPr>
              <w:pStyle w:val="Compact"/>
              <w:jc w:val="left"/>
            </w:pPr>
            <w:r>
              <w:t xml:space="preserve">55.2%</w:t>
            </w:r>
          </w:p>
        </w:tc>
      </w:tr>
      <w:tr>
        <w:tc>
          <w:tcPr/>
          <w:p>
            <w:pPr>
              <w:pStyle w:val="Compact"/>
              <w:jc w:val="left"/>
            </w:pPr>
            <w:r>
              <w:t xml:space="preserve">— of which PFAS</w:t>
            </w:r>
          </w:p>
        </w:tc>
        <w:tc>
          <w:tcPr/>
          <w:p>
            <w:pPr>
              <w:pStyle w:val="Compact"/>
              <w:jc w:val="left"/>
            </w:pPr>
            <w:r>
              <w:t xml:space="preserve">—</w:t>
            </w:r>
          </w:p>
        </w:tc>
        <w:tc>
          <w:tcPr/>
          <w:p>
            <w:pPr>
              <w:pStyle w:val="Compact"/>
              <w:jc w:val="left"/>
            </w:pPr>
            <w:r>
              <w:t xml:space="preserve">$6.2M</w:t>
            </w:r>
          </w:p>
        </w:tc>
        <w:tc>
          <w:tcPr/>
          <w:p>
            <w:pPr>
              <w:pStyle w:val="Compact"/>
              <w:jc w:val="left"/>
            </w:pPr>
            <w:r>
              <w:t xml:space="preserve">n/a (launched 2022)</w:t>
            </w:r>
          </w:p>
        </w:tc>
        <w:tc>
          <w:tcPr/>
          <w:p>
            <w:pPr>
              <w:pStyle w:val="Compact"/>
              <w:jc w:val="left"/>
            </w:pPr>
            <w:r>
              <w:t xml:space="preserve">7.1%</w:t>
            </w:r>
          </w:p>
        </w:tc>
      </w:tr>
      <w:tr>
        <w:tc>
          <w:tcPr/>
          <w:p>
            <w:pPr>
              <w:pStyle w:val="Compact"/>
              <w:jc w:val="left"/>
            </w:pPr>
            <w:r>
              <w:t xml:space="preserve">— of which Traditional Remediation</w:t>
            </w:r>
          </w:p>
        </w:tc>
        <w:tc>
          <w:tcPr/>
          <w:p>
            <w:pPr>
              <w:pStyle w:val="Compact"/>
              <w:jc w:val="left"/>
            </w:pPr>
            <w:r>
              <w:t xml:space="preserve">$34.1M</w:t>
            </w:r>
          </w:p>
        </w:tc>
        <w:tc>
          <w:tcPr/>
          <w:p>
            <w:pPr>
              <w:pStyle w:val="Compact"/>
              <w:jc w:val="left"/>
            </w:pPr>
            <w:r>
              <w:t xml:space="preserve">$42.0M</w:t>
            </w:r>
          </w:p>
        </w:tc>
        <w:tc>
          <w:tcPr/>
          <w:p>
            <w:pPr>
              <w:pStyle w:val="Compact"/>
              <w:jc w:val="left"/>
            </w:pPr>
            <w:r>
              <w:t xml:space="preserve">~7.2%</w:t>
            </w:r>
          </w:p>
        </w:tc>
        <w:tc>
          <w:tcPr/>
          <w:p>
            <w:pPr>
              <w:pStyle w:val="Compact"/>
              <w:jc w:val="left"/>
            </w:pPr>
            <w:r>
              <w:t xml:space="preserve">48.1%</w:t>
            </w:r>
          </w:p>
        </w:tc>
      </w:tr>
      <w:tr>
        <w:tc>
          <w:tcPr/>
          <w:p>
            <w:pPr>
              <w:pStyle w:val="Compact"/>
              <w:jc w:val="left"/>
            </w:pPr>
            <w:r>
              <w:t xml:space="preserve">Industrial Cleaning</w:t>
            </w:r>
          </w:p>
        </w:tc>
        <w:tc>
          <w:tcPr/>
          <w:p>
            <w:pPr>
              <w:pStyle w:val="Compact"/>
              <w:jc w:val="left"/>
            </w:pPr>
            <w:r>
              <w:t xml:space="preserve">$20.1M</w:t>
            </w:r>
          </w:p>
        </w:tc>
        <w:tc>
          <w:tcPr/>
          <w:p>
            <w:pPr>
              <w:pStyle w:val="Compact"/>
              <w:jc w:val="left"/>
            </w:pPr>
            <w:r>
              <w:t xml:space="preserve">$27.8M</w:t>
            </w:r>
          </w:p>
        </w:tc>
        <w:tc>
          <w:tcPr/>
          <w:p>
            <w:pPr>
              <w:pStyle w:val="Compact"/>
              <w:jc w:val="left"/>
            </w:pPr>
            <w:r>
              <w:t xml:space="preserve">11.4%</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$7.2M</w:t>
            </w:r>
          </w:p>
        </w:tc>
        <w:tc>
          <w:tcPr/>
          <w:p>
            <w:pPr>
              <w:pStyle w:val="Compact"/>
              <w:jc w:val="left"/>
            </w:pPr>
            <w:r>
              <w:t xml:space="preserve">$11.3M</w:t>
            </w:r>
          </w:p>
        </w:tc>
        <w:tc>
          <w:tcPr/>
          <w:p>
            <w:pPr>
              <w:pStyle w:val="Compact"/>
              <w:jc w:val="left"/>
            </w:pPr>
            <w:r>
              <w:t xml:space="preserve">16.2%</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$61.4M</w:t>
            </w:r>
          </w:p>
        </w:tc>
        <w:tc>
          <w:tcPr/>
          <w:p>
            <w:pPr>
              <w:pStyle w:val="Compact"/>
              <w:jc w:val="left"/>
            </w:pPr>
            <w:r>
              <w:rPr>
                <w:b/>
                <w:bCs/>
              </w:rPr>
              <w:t xml:space="preserve">$87.3M</w:t>
            </w:r>
          </w:p>
        </w:tc>
        <w:tc>
          <w:tcPr/>
          <w:p>
            <w:pPr>
              <w:pStyle w:val="Compact"/>
              <w:jc w:val="left"/>
            </w:pPr>
            <w:r>
              <w:rPr>
                <w:b/>
                <w:bCs/>
              </w:rPr>
              <w:t xml:space="preserve">12.5%</w:t>
            </w:r>
          </w:p>
        </w:tc>
        <w:tc>
          <w:tcPr/>
          <w:p>
            <w:pPr>
              <w:pStyle w:val="Compact"/>
              <w:jc w:val="left"/>
            </w:pPr>
            <w:r>
              <w:rPr>
                <w:b/>
                <w:bCs/>
              </w:rPr>
              <w:t xml:space="preserve">100.0%</w:t>
            </w:r>
          </w:p>
        </w:tc>
      </w:tr>
    </w:tbl>
    <w:p>
      <w:pPr>
        <w:pStyle w:val="BodyText"/>
      </w:pPr>
      <w:r>
        <w:rPr>
          <w:i/>
          <w:iCs/>
        </w:rPr>
        <w:t xml:space="preserve">Note: Traditional Remediation is derived from the Financial Exhibits</w:t>
      </w:r>
      <w:r>
        <w:rPr>
          <w:i/>
          <w:iCs/>
        </w:rPr>
        <w:t xml:space="preserve"> </w:t>
      </w:r>
      <w:r>
        <w:rPr>
          <w:i/>
          <w:iCs/>
        </w:rPr>
        <w:t xml:space="preserve">“</w:t>
      </w:r>
      <w:r>
        <w:rPr>
          <w:i/>
          <w:iCs/>
        </w:rPr>
        <w:t xml:space="preserve">Revenue by Segment</w:t>
      </w:r>
      <w:r>
        <w:rPr>
          <w:i/>
          <w:iCs/>
        </w:rPr>
        <w:t xml:space="preserve">”</w:t>
      </w:r>
      <w:r>
        <w:rPr>
          <w:i/>
          <w:iCs/>
        </w:rPr>
        <w:t xml:space="preserve"> </w:t>
      </w:r>
      <w:r>
        <w:rPr>
          <w:i/>
          <w:iCs/>
        </w:rPr>
        <w:t xml:space="preserve">tab (Remediation less PFAS). The CIM’s segment figures for FY2021–FY2023 differ slightly from the exhibits (see Section 5.3), though FY2024 reconciles.</w:t>
      </w:r>
    </w:p>
    <w:p>
      <w:pPr>
        <w:pStyle w:val="BodyText"/>
      </w:pPr>
      <w:r>
        <w:t xml:space="preserve">Stripping out PFAS, the core business (traditional remediation + industrial cleaning + emergency response) grew at roughly 9–10% — still healthy but more in line with sector norms and less reliant on an emerging, unproven practice. The PFAS practice, launched in 2022, grew from $1.1M to $6.2M in two years (a genuine early-mover success), but the forward projections assume this rate accelerates rather than moderates.</w:t>
      </w:r>
    </w:p>
    <w:p>
      <w:pPr>
        <w:pStyle w:val="BodyText"/>
      </w:pPr>
      <w:r>
        <w:rPr>
          <w:b/>
          <w:bCs/>
        </w:rPr>
        <w:t xml:space="preserve">Forward projections (management):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Revenue (</w:t>
            </w:r>
            <m:oMath>
              <m:r>
                <m:t>M</m:t>
              </m:r>
              <m:r>
                <m:rPr>
                  <m:sty m:val="p"/>
                </m:rPr>
                <m:t>)</m:t>
              </m:r>
              <m:d>
                <m:dPr>
                  <m:begChr m:val="|"/>
                  <m:endChr m:val="|"/>
                  <m:sepChr m:val=""/>
                  <m:grow/>
                </m:dPr>
                <m:e>
                  <m:r>
                    <m:t>87.3</m:t>
                  </m:r>
                </m:e>
              </m:d>
              <m:r>
                <m:t>98.5</m:t>
              </m:r>
              <m:d>
                <m:dPr>
                  <m:begChr m:val="|"/>
                  <m:endChr m:val="|"/>
                  <m:sepChr m:val=""/>
                  <m:grow/>
                </m:dPr>
                <m:e>
                  <m:r>
                    <m:t>112.0</m:t>
                  </m:r>
                </m:e>
              </m:d>
              <m:r>
                <m:t>124.0</m:t>
              </m:r>
              <m:d>
                <m:dPr>
                  <m:begChr m:val="|"/>
                  <m:endChr m:val="|"/>
                  <m:sepChr m:val=""/>
                  <m:grow/>
                </m:dPr>
                <m:e/>
              </m:d>
              <m:r>
                <m:t>Y</m:t>
              </m:r>
              <m:r>
                <m:t>o</m:t>
              </m:r>
              <m:r>
                <m:t>Y</m:t>
              </m:r>
              <m:r>
                <m:t>g</m:t>
              </m:r>
              <m:r>
                <m:t>r</m:t>
              </m:r>
              <m:r>
                <m:t>o</m:t>
              </m:r>
              <m:r>
                <m:t>w</m:t>
              </m:r>
              <m:r>
                <m:t>t</m:t>
              </m:r>
              <m:r>
                <m:t>h</m:t>
              </m:r>
              <m:d>
                <m:dPr>
                  <m:begChr m:val="|"/>
                  <m:endChr m:val="|"/>
                  <m:sepChr m:val=""/>
                  <m:grow/>
                </m:dPr>
                <m:e>
                  <m:r>
                    <m:t>14.7</m:t>
                  </m:r>
                </m:e>
              </m:d>
              <m:r>
                <m:rPr>
                  <m:sty m:val="p"/>
                </m:rPr>
                <m:t>—</m:t>
              </m:r>
              <m:r>
                <m:t>P</m:t>
              </m:r>
              <m:r>
                <m:t>F</m:t>
              </m:r>
              <m:r>
                <m:t>A</m:t>
              </m:r>
              <m:r>
                <m:t>S</m:t>
              </m:r>
              <m:r>
                <m:rPr>
                  <m:sty m:val="p"/>
                </m:rPr>
                <m:t>(</m:t>
              </m:r>
            </m:oMath>
            <w:r>
              <w:t xml:space="preserve">M)</w:t>
            </w:r>
          </w:p>
        </w:tc>
        <w:tc>
          <w:tcPr/>
          <w:p>
            <w:pPr>
              <w:pStyle w:val="Compact"/>
              <w:jc w:val="left"/>
            </w:pPr>
            <w:r>
              <w:t xml:space="preserve">6.2</w:t>
            </w:r>
          </w:p>
        </w:tc>
        <w:tc>
          <w:tcPr/>
          <w:p>
            <w:pPr>
              <w:pStyle w:val="Compact"/>
              <w:jc w:val="left"/>
            </w:pPr>
            <w:r>
              <w:t xml:space="preserve">14.0</w:t>
            </w:r>
          </w:p>
        </w:tc>
        <w:tc>
          <w:tcPr/>
          <w:p>
            <w:pPr>
              <w:pStyle w:val="Compact"/>
              <w:jc w:val="left"/>
            </w:pPr>
            <w:r>
              <w:t xml:space="preserve">22.0</w:t>
            </w:r>
          </w:p>
        </w:tc>
        <w:tc>
          <w:tcPr/>
          <w:p>
            <w:pPr>
              <w:pStyle w:val="Compact"/>
              <w:jc w:val="left"/>
            </w:pPr>
            <w:r>
              <w:t xml:space="preserve">27.0</w:t>
            </w:r>
          </w:p>
        </w:tc>
      </w:tr>
      <w:tr>
        <w:tc>
          <w:tcPr/>
          <w:p>
            <w:pPr>
              <w:pStyle w:val="Compact"/>
              <w:jc w:val="left"/>
            </w:pPr>
            <w:r>
              <w:t xml:space="preserve">— PFAS YoY growth</w:t>
            </w:r>
          </w:p>
        </w:tc>
        <w:tc>
          <w:tcPr/>
          <w:p>
            <w:pPr>
              <w:pStyle w:val="Compact"/>
              <w:jc w:val="left"/>
            </w:pPr>
            <w:r>
              <w:t xml:space="preserve">82.4%</w:t>
            </w:r>
          </w:p>
        </w:tc>
        <w:tc>
          <w:tcPr/>
          <w:p>
            <w:pPr>
              <w:pStyle w:val="Compact"/>
              <w:jc w:val="left"/>
            </w:pPr>
            <w:r>
              <w:t xml:space="preserve">125.8%</w:t>
            </w:r>
          </w:p>
        </w:tc>
        <w:tc>
          <w:tcPr/>
          <w:p>
            <w:pPr>
              <w:pStyle w:val="Compact"/>
              <w:jc w:val="left"/>
            </w:pPr>
            <w:r>
              <w:t xml:space="preserve">57.1%</w:t>
            </w:r>
          </w:p>
        </w:tc>
        <w:tc>
          <w:tcPr/>
          <w:p>
            <w:pPr>
              <w:pStyle w:val="Compact"/>
              <w:jc w:val="left"/>
            </w:pPr>
            <w:r>
              <w:t xml:space="preserve">22.7%</w:t>
            </w:r>
          </w:p>
        </w:tc>
      </w:tr>
      <w:tr>
        <w:tc>
          <w:tcPr/>
          <w:p>
            <w:pPr>
              <w:pStyle w:val="Compact"/>
              <w:jc w:val="left"/>
            </w:pPr>
            <w:r>
              <w:t xml:space="preserve">Adjusted EBITDA ($M)</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c>
          <w:tcPr/>
          <w:p>
            <w:pPr>
              <w:pStyle w:val="Compact"/>
              <w:jc w:val="left"/>
            </w:pPr>
            <w:r>
              <w:t xml:space="preserve">26.7</w:t>
            </w:r>
          </w:p>
        </w:tc>
      </w:tr>
      <w:tr>
        <w:tc>
          <w:tcPr/>
          <w:p>
            <w:pPr>
              <w:pStyle w:val="Compact"/>
              <w:jc w:val="left"/>
            </w:pPr>
            <w:r>
              <w:t xml:space="preserve">Adj. EBITDA margin</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c>
          <w:tcPr/>
          <w:p>
            <w:pPr>
              <w:pStyle w:val="Compact"/>
              <w:jc w:val="left"/>
            </w:pPr>
            <w:r>
              <w:t xml:space="preserve">21.5%</w:t>
            </w:r>
          </w:p>
        </w:tc>
      </w:tr>
    </w:tbl>
    <w:p>
      <w:pPr>
        <w:pStyle w:val="BodyText"/>
      </w:pPr>
      <w:r>
        <w:t xml:space="preserve">PFAS is projected to drive ~64% of incremental revenue from FY2024 to FY2026 ($15.8M of $24.7M). The margin expansion from 19.6% to 21.5% is attributed to</w:t>
      </w:r>
      <w:r>
        <w:t xml:space="preserve"> </w:t>
      </w:r>
      <w:r>
        <w:t xml:space="preserve">“</w:t>
      </w:r>
      <w:r>
        <w:t xml:space="preserve">a favorable mix shift toward higher-margin remediation and PFAS services</w:t>
      </w:r>
      <w:r>
        <w:t xml:space="preserve">”</w:t>
      </w:r>
      <w:r>
        <w:t xml:space="preserve"> </w:t>
      </w:r>
      <w:r>
        <w:t xml:space="preserve">— but</w:t>
      </w:r>
      <w:r>
        <w:t xml:space="preserve"> </w:t>
      </w:r>
      <w:r>
        <w:rPr>
          <w:b/>
          <w:bCs/>
        </w:rPr>
        <w:t xml:space="preserve">no segment-level margin data is provided anywhere in the materials</w:t>
      </w:r>
      <w:r>
        <w:t xml:space="preserve">, so the claim that PFAS carries above-average margins is unsupported and must be tested in diligence.</w:t>
      </w:r>
    </w:p>
    <w:bookmarkEnd w:id="32"/>
    <w:bookmarkStart w:id="33" w:name="ebitda-and-the-adjusted-ebitda-bridge"/>
    <w:p>
      <w:pPr>
        <w:pStyle w:val="Heading3"/>
      </w:pPr>
      <w:r>
        <w:t xml:space="preserve">4.2 EBITDA and the Adjusted EBITDA Bridge</w:t>
      </w:r>
    </w:p>
    <w:p>
      <w:pPr>
        <w:pStyle w:val="FirstParagraph"/>
      </w:pPr>
      <w:r>
        <w:t xml:space="preserve">Reported EBITDA grew from $7.4M (FY2021) to $12.1M (FY2024), with margin expanding from 12.1% to 13.9% — within the sector’s 10–15% reported range and the most reliable figure in the materials (it is consistent across the CIM and exhibits and is described as</w:t>
      </w:r>
      <w:r>
        <w:t xml:space="preserve"> </w:t>
      </w:r>
      <w:r>
        <w:t xml:space="preserve">“</w:t>
      </w:r>
      <w:r>
        <w:t xml:space="preserve">per audited financials</w:t>
      </w:r>
      <w:r>
        <w:t xml:space="preserve">”</w:t>
      </w:r>
      <w:r>
        <w:t xml:space="preserve">).</w:t>
      </w:r>
    </w:p>
    <w:p>
      <w:pPr>
        <w:pStyle w:val="BodyText"/>
      </w:pPr>
      <w:r>
        <w:t xml:space="preserve">The Adjusted EBITDA bridge is where the analysis requires the most scrutiny. The FY2024 bridge as presented: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CIM / Exhibits ($M)</w:t>
            </w:r>
          </w:p>
        </w:tc>
        <w:tc>
          <w:tcPr/>
          <w:p>
            <w:pPr>
              <w:pStyle w:val="Compact"/>
              <w:jc w:val="left"/>
            </w:pPr>
            <w:r>
              <w:t xml:space="preserve">Buy-Side View</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 (audited; reliable)</w:t>
            </w:r>
          </w:p>
        </w:tc>
      </w:tr>
      <w:tr>
        <w:tc>
          <w:tcPr/>
          <w:p>
            <w:pPr>
              <w:pStyle w:val="Compact"/>
              <w:jc w:val="left"/>
            </w:pPr>
            <w:r>
              <w:t xml:space="preserve">(+) Owner compensation normalization</w:t>
            </w:r>
          </w:p>
        </w:tc>
        <w:tc>
          <w:tcPr/>
          <w:p>
            <w:pPr>
              <w:pStyle w:val="Compact"/>
              <w:jc w:val="left"/>
            </w:pPr>
            <w:r>
              <w:t xml:space="preserve">1.9</w:t>
            </w:r>
          </w:p>
        </w:tc>
        <w:tc>
          <w:tcPr/>
          <w:p>
            <w:pPr>
              <w:pStyle w:val="Compact"/>
              <w:jc w:val="left"/>
            </w:pPr>
            <w:r>
              <w:t xml:space="preserve">1.65 — see below</w:t>
            </w:r>
          </w:p>
        </w:tc>
      </w:tr>
      <w:tr>
        <w:tc>
          <w:tcPr/>
          <w:p>
            <w:pPr>
              <w:pStyle w:val="Compact"/>
              <w:jc w:val="left"/>
            </w:pPr>
            <w:r>
              <w:t xml:space="preserve">(+) Related-party lease normalization</w:t>
            </w:r>
          </w:p>
        </w:tc>
        <w:tc>
          <w:tcPr/>
          <w:p>
            <w:pPr>
              <w:pStyle w:val="Compact"/>
              <w:jc w:val="left"/>
            </w:pPr>
            <w:r>
              <w:t xml:space="preserve">0.8</w:t>
            </w:r>
          </w:p>
        </w:tc>
        <w:tc>
          <w:tcPr/>
          <w:p>
            <w:pPr>
              <w:pStyle w:val="Compact"/>
              <w:jc w:val="left"/>
            </w:pPr>
            <w:r>
              <w:t xml:space="preserve">0.40 — see below</w:t>
            </w:r>
          </w:p>
        </w:tc>
      </w:tr>
      <w:tr>
        <w:tc>
          <w:tcPr/>
          <w:p>
            <w:pPr>
              <w:pStyle w:val="Compact"/>
              <w:jc w:val="left"/>
            </w:pPr>
            <w:r>
              <w:t xml:space="preserve">(+) One-time legal/regulatory costs</w:t>
            </w:r>
          </w:p>
        </w:tc>
        <w:tc>
          <w:tcPr/>
          <w:p>
            <w:pPr>
              <w:pStyle w:val="Compact"/>
              <w:jc w:val="left"/>
            </w:pPr>
            <w:r>
              <w:t xml:space="preserve">1.2</w:t>
            </w:r>
          </w:p>
        </w:tc>
        <w:tc>
          <w:tcPr/>
          <w:p>
            <w:pPr>
              <w:pStyle w:val="Compact"/>
              <w:jc w:val="left"/>
            </w:pPr>
            <w:r>
              <w:t xml:space="preserve">0.80 — see below</w:t>
            </w:r>
          </w:p>
        </w:tc>
      </w:tr>
      <w:tr>
        <w:tc>
          <w:tcPr/>
          <w:p>
            <w:pPr>
              <w:pStyle w:val="Compact"/>
              <w:jc w:val="left"/>
            </w:pPr>
            <w:r>
              <w:t xml:space="preserve">(+) Non-recurring equipment relocation</w:t>
            </w:r>
          </w:p>
        </w:tc>
        <w:tc>
          <w:tcPr/>
          <w:p>
            <w:pPr>
              <w:pStyle w:val="Compact"/>
              <w:jc w:val="left"/>
            </w:pPr>
            <w:r>
              <w:t xml:space="preserve">0.4</w:t>
            </w:r>
          </w:p>
        </w:tc>
        <w:tc>
          <w:tcPr/>
          <w:p>
            <w:pPr>
              <w:pStyle w:val="Compact"/>
              <w:jc w:val="left"/>
            </w:pPr>
            <w:r>
              <w:t xml:space="preserve">0.20 — see below</w:t>
            </w:r>
          </w:p>
        </w:tc>
      </w:tr>
      <w:tr>
        <w:tc>
          <w:tcPr/>
          <w:p>
            <w:pPr>
              <w:pStyle w:val="Compact"/>
              <w:jc w:val="left"/>
            </w:pPr>
            <w:r>
              <w:t xml:space="preserve">(+) Stock-based compensation (phantom)</w:t>
            </w:r>
          </w:p>
        </w:tc>
        <w:tc>
          <w:tcPr/>
          <w:p>
            <w:pPr>
              <w:pStyle w:val="Compact"/>
              <w:jc w:val="left"/>
            </w:pPr>
            <w:r>
              <w:t xml:space="preserve">0.3</w:t>
            </w:r>
          </w:p>
        </w:tc>
        <w:tc>
          <w:tcPr/>
          <w:p>
            <w:pPr>
              <w:pStyle w:val="Compact"/>
              <w:jc w:val="left"/>
            </w:pPr>
            <w:r>
              <w:t xml:space="preserve">0.30 — see below</w:t>
            </w:r>
          </w:p>
        </w:tc>
      </w:tr>
      <w:tr>
        <w:tc>
          <w:tcPr/>
          <w:p>
            <w:pPr>
              <w:pStyle w:val="Compact"/>
              <w:jc w:val="left"/>
            </w:pPr>
            <w:r>
              <w:t xml:space="preserve">(+) One-time IT implementation</w:t>
            </w:r>
          </w:p>
        </w:tc>
        <w:tc>
          <w:tcPr/>
          <w:p>
            <w:pPr>
              <w:pStyle w:val="Compact"/>
              <w:jc w:val="left"/>
            </w:pPr>
            <w:r>
              <w:t xml:space="preserve">0.1</w:t>
            </w:r>
          </w:p>
        </w:tc>
        <w:tc>
          <w:tcPr/>
          <w:p>
            <w:pPr>
              <w:pStyle w:val="Compact"/>
              <w:jc w:val="left"/>
            </w:pPr>
            <w:r>
              <w:t xml:space="preserve">0.00 — see below</w:t>
            </w:r>
          </w:p>
        </w:tc>
      </w:tr>
      <w:tr>
        <w:tc>
          <w:tcPr/>
          <w:p>
            <w:pPr>
              <w:pStyle w:val="Compact"/>
              <w:jc w:val="left"/>
            </w:pPr>
            <w:r>
              <w:rPr>
                <w:b/>
                <w:bCs/>
              </w:rPr>
              <w:t xml:space="preserve">Sum of listed adjustments</w:t>
            </w:r>
          </w:p>
        </w:tc>
        <w:tc>
          <w:tcPr/>
          <w:p>
            <w:pPr>
              <w:pStyle w:val="Compact"/>
              <w:jc w:val="left"/>
            </w:pPr>
            <w:r>
              <w:rPr>
                <w:b/>
                <w:bCs/>
              </w:rPr>
              <w:t xml:space="preserve">4.7</w:t>
            </w:r>
          </w:p>
        </w:tc>
        <w:tc>
          <w:tcPr/>
          <w:p>
            <w:pPr>
              <w:pStyle w:val="Compact"/>
              <w:jc w:val="left"/>
            </w:pPr>
            <w:r>
              <w:rPr>
                <w:b/>
                <w:bCs/>
              </w:rPr>
              <w:t xml:space="preserve">3.35</w:t>
            </w:r>
          </w:p>
        </w:tc>
      </w:tr>
      <w:tr>
        <w:tc>
          <w:tcPr/>
          <w:p>
            <w:pPr>
              <w:pStyle w:val="Compact"/>
              <w:jc w:val="left"/>
            </w:pPr>
            <w:r>
              <w:rPr>
                <w:b/>
                <w:bCs/>
              </w:rPr>
              <w:t xml:space="preserve">Adjusted EBITDA (as stated)</w:t>
            </w:r>
          </w:p>
        </w:tc>
        <w:tc>
          <w:tcPr/>
          <w:p>
            <w:pPr>
              <w:pStyle w:val="Compact"/>
              <w:jc w:val="left"/>
            </w:pPr>
            <w:r>
              <w:rPr>
                <w:b/>
                <w:bCs/>
              </w:rPr>
              <w:t xml:space="preserve">17.1</w:t>
            </w:r>
          </w:p>
        </w:tc>
        <w:tc>
          <w:tcPr/>
          <w:p>
            <w:pPr>
              <w:pStyle w:val="Compact"/>
              <w:jc w:val="left"/>
            </w:pPr>
            <w:r>
              <w:t xml:space="preserve">—</w:t>
            </w:r>
          </w:p>
        </w:tc>
      </w:tr>
      <w:tr>
        <w:tc>
          <w:tcPr/>
          <w:p>
            <w:pPr>
              <w:pStyle w:val="Compact"/>
              <w:jc w:val="left"/>
            </w:pPr>
            <w:r>
              <w:rPr>
                <w:b/>
                <w:bCs/>
              </w:rPr>
              <w:t xml:space="preserve">Adjusted EBITDA (sum actually foots to)</w:t>
            </w:r>
          </w:p>
        </w:tc>
        <w:tc>
          <w:tcPr/>
          <w:p>
            <w:pPr>
              <w:pStyle w:val="Compact"/>
              <w:jc w:val="left"/>
            </w:pPr>
            <w:r>
              <w:rPr>
                <w:b/>
                <w:bCs/>
              </w:rPr>
              <w:t xml:space="preserve">16.8</w:t>
            </w:r>
          </w:p>
        </w:tc>
        <w:tc>
          <w:tcPr/>
          <w:p>
            <w:pPr>
              <w:pStyle w:val="Compact"/>
              <w:jc w:val="left"/>
            </w:pPr>
            <w:r>
              <w:rPr>
                <w:b/>
                <w:bCs/>
              </w:rPr>
              <w:t xml:space="preserve">15.45</w:t>
            </w:r>
          </w:p>
        </w:tc>
      </w:tr>
    </w:tbl>
    <w:p>
      <w:pPr>
        <w:pStyle w:val="BodyText"/>
      </w:pPr>
      <w:r>
        <w:rPr>
          <w:b/>
          <w:bCs/>
        </w:rPr>
        <w:t xml:space="preserve">Critical: the bridge does not foot.</w:t>
      </w:r>
      <w:r>
        <w:t xml:space="preserve"> </w:t>
      </w:r>
      <w:r>
        <w:t xml:space="preserve">The six listed adjustments sum to $4.7M. Reported EBITDA ($12.1M) plus $4.7M equals $16.8M, not the $17.1M stated in both the CIM (Section VI.C) and the EBITDA Bridge tab of the Financial Exhibits (which explicitly shows</w:t>
      </w:r>
      <w:r>
        <w:t xml:space="preserve"> </w:t>
      </w:r>
      <w:r>
        <w:t xml:space="preserve">“</w:t>
      </w:r>
      <w:r>
        <w:t xml:space="preserve">Total Adjustments 4,700</w:t>
      </w:r>
      <w:r>
        <w:t xml:space="preserve">”</w:t>
      </w:r>
      <w:r>
        <w:t xml:space="preserve"> </w:t>
      </w:r>
      <w:r>
        <w:t xml:space="preserve">and</w:t>
      </w:r>
      <w:r>
        <w:t xml:space="preserve"> </w:t>
      </w:r>
      <w:r>
        <w:t xml:space="preserve">“</w:t>
      </w:r>
      <w:r>
        <w:t xml:space="preserve">Adjusted EBITDA 17,100</w:t>
      </w:r>
      <w:r>
        <w:t xml:space="preserve">”</w:t>
      </w:r>
      <w:r>
        <w:t xml:space="preserve">). The $0.3M discrepancy is present only in FY2024 — the FY2021, FY2022, and FY2023 bridges in CIM Appendix B foot correctly. Because FY2024 is the valuation reference year, this error directly inflates the headline metric and the implied enterprise value.</w:t>
      </w:r>
      <w:r>
        <w:t xml:space="preserve"> </w:t>
      </w:r>
      <w:r>
        <w:rPr>
          <w:b/>
          <w:bCs/>
        </w:rPr>
        <w:t xml:space="preserve">The correct arithmetic Adjusted EBITDA, before any buy-side judgment, is $16.8M, not $17.1M.</w:t>
      </w:r>
    </w:p>
    <w:p>
      <w:pPr>
        <w:pStyle w:val="BodyText"/>
      </w:pPr>
      <w:r>
        <w:rPr>
          <w:b/>
          <w:bCs/>
        </w:rPr>
        <w:t xml:space="preserve">Adjustment-by-adjustment assessment:</w:t>
      </w:r>
    </w:p>
    <w:p>
      <w:pPr>
        <w:numPr>
          <w:ilvl w:val="0"/>
          <w:numId w:val="1006"/>
        </w:numPr>
      </w:pPr>
      <w:r>
        <w:rPr>
          <w:b/>
          <w:bCs/>
        </w:rPr>
        <w:t xml:space="preserve">Owner compensation normalization ($1.9M → $1.65M).</w:t>
      </w:r>
      <w:r>
        <w:t xml:space="preserve"> </w:t>
      </w:r>
      <w:r>
        <w:t xml:space="preserve">The adjustment assumes a replacement CEO at $500K total compensation against Mr. Oakes’s $2.4M. A $500K package is low for a CEO of a $90M+ revenue, 412-employee, multi-state environmental services platform; a more realistic replacement cost is $650K–$800K. Using $750K, the defensible adjustment is $1.65M. Additionally, during the 18–24 month transition, the buyer may incur both transition compensation for Mr. Oakes and the new CEO’s cost, partially offsetting the normalization in the near term. The $2.4M also includes</w:t>
      </w:r>
      <w:r>
        <w:t xml:space="preserve"> </w:t>
      </w:r>
      <w:r>
        <w:t xml:space="preserve">“</w:t>
      </w:r>
      <w:r>
        <w:t xml:space="preserve">personal expenses allocated to the Company,</w:t>
      </w:r>
      <w:r>
        <w:t xml:space="preserve">”</w:t>
      </w:r>
      <w:r>
        <w:t xml:space="preserve"> </w:t>
      </w:r>
      <w:r>
        <w:t xml:space="preserve">which QoE must verify are genuinely personal (and quantify any business expenses paid personally by Mr. Oakes that would need to be added back as unbooked costs).</w:t>
      </w:r>
    </w:p>
    <w:p>
      <w:pPr>
        <w:numPr>
          <w:ilvl w:val="0"/>
          <w:numId w:val="1006"/>
        </w:numPr>
      </w:pPr>
      <w:r>
        <w:rPr>
          <w:b/>
          <w:bCs/>
        </w:rPr>
        <w:t xml:space="preserve">Related-party lease normalization ($0.8M → $0.4M).</w:t>
      </w:r>
      <w:r>
        <w:t xml:space="preserve"> </w:t>
      </w:r>
      <w:r>
        <w:t xml:space="preserve">The adjustment assumes market rent of $600K against actual rent of $1.4M paid to Mr. Oakes. However, the CIM itself states (Section IV.C) that</w:t>
      </w:r>
      <w:r>
        <w:t xml:space="preserve"> </w:t>
      </w:r>
      <w:r>
        <w:t xml:space="preserve">“</w:t>
      </w:r>
      <w:r>
        <w:t xml:space="preserve">specialized environmental staging facilities commanding rates of $1.0 million to $1.2 million annually for properties of comparable acreage and infrastructure.</w:t>
      </w:r>
      <w:r>
        <w:t xml:space="preserve">”</w:t>
      </w:r>
      <w:r>
        <w:t xml:space="preserve"> </w:t>
      </w:r>
      <w:r>
        <w:t xml:space="preserve">The Portland HQ is precisely such a specialized facility (permitted wash rack, secondary containment, soil stockpile areas). The $600K market-rent assumption in Section VIII.A directly contradicts the $1.0–1.2M figure in Section IV.C. If market rent is $1.0M, the above-market portion is only $0.4M, not $0.8M. The adjustment is likely overstated by $0.2–0.4M, and the true normalized occupancy cost is higher than the CIM implies — which reduces true earnings power.</w:t>
      </w:r>
    </w:p>
    <w:p>
      <w:pPr>
        <w:numPr>
          <w:ilvl w:val="0"/>
          <w:numId w:val="1006"/>
        </w:numPr>
      </w:pPr>
      <w:r>
        <w:rPr>
          <w:b/>
          <w:bCs/>
        </w:rPr>
        <w:t xml:space="preserve">One-time legal/regulatory costs ($1.2M → $0.8M).</w:t>
      </w:r>
      <w:r>
        <w:t xml:space="preserve"> </w:t>
      </w:r>
      <w:r>
        <w:t xml:space="preserve">The $1.2M comprises an $875K Oregon DEQ settlement (August 14, 2024, for improper storage of contaminated soils) plus $325K legal fees. As the sector memo establishes (and GreenWorks and Allied Waste experience confirms), regulatory and compliance costs are recurring in this sector at a $200K–$500K annual run-rate. Best practice is to add back only the amount in excess of a normalized run-rate. Using a $400K run-rate, the defensible add-back is ~$800K. The full $1.2M add-back is likely overstated by $300K–$500K. At a 9.0x multiple, this alone is $2.7M–$4.5M of enterprise value.</w:t>
      </w:r>
      <w:r>
        <w:t xml:space="preserve"> </w:t>
      </w:r>
      <w:r>
        <w:rPr>
          <w:b/>
          <w:bCs/>
        </w:rPr>
        <w:t xml:space="preserve">Additionally, the Financial Exhibits classify the $875K settlement as</w:t>
      </w:r>
      <w:r>
        <w:rPr>
          <w:b/>
          <w:bCs/>
        </w:rPr>
        <w:t xml:space="preserve"> </w:t>
      </w:r>
      <w:r>
        <w:rPr>
          <w:b/>
          <w:bCs/>
        </w:rPr>
        <w:t xml:space="preserve">“</w:t>
      </w:r>
      <w:r>
        <w:rPr>
          <w:b/>
          <w:bCs/>
        </w:rPr>
        <w:t xml:space="preserve">Other Income / (Expense)</w:t>
      </w:r>
      <w:r>
        <w:rPr>
          <w:b/>
          <w:bCs/>
        </w:rPr>
        <w:t xml:space="preserve">”</w:t>
      </w:r>
      <w:r>
        <w:rPr>
          <w:b/>
          <w:bCs/>
        </w:rPr>
        <w:t xml:space="preserve"> </w:t>
      </w:r>
      <w:r>
        <w:rPr>
          <w:b/>
          <w:bCs/>
        </w:rPr>
        <w:t xml:space="preserve">below the operating income line — if it sits below EBITDA, adding it back to EBITDA may be partially double-counting; the classification must be clarified in QoE.</w:t>
      </w:r>
    </w:p>
    <w:p>
      <w:pPr>
        <w:numPr>
          <w:ilvl w:val="0"/>
          <w:numId w:val="1006"/>
        </w:numPr>
      </w:pPr>
      <w:r>
        <w:rPr>
          <w:b/>
          <w:bCs/>
        </w:rPr>
        <w:t xml:space="preserve">Non-recurring equipment relocation ($0.4M → $0.2M).</w:t>
      </w:r>
      <w:r>
        <w:t xml:space="preserve"> </w:t>
      </w:r>
      <w:r>
        <w:t xml:space="preserve">Boise depot relocation/expansion costs. For a company actively expanding geographically (with stated plans for further expansion into Montana, Nevada, and broader California), facility relocation and build-out costs are semi-recurring. A 50% credit ($0.2M) is more defensible.</w:t>
      </w:r>
    </w:p>
    <w:p>
      <w:pPr>
        <w:numPr>
          <w:ilvl w:val="0"/>
          <w:numId w:val="1006"/>
        </w:numPr>
      </w:pPr>
      <w:r>
        <w:rPr>
          <w:b/>
          <w:bCs/>
        </w:rPr>
        <w:t xml:space="preserve">Stock-based compensation / phantom units ($0.3M → $0.3M).</w:t>
      </w:r>
      <w:r>
        <w:t xml:space="preserve"> </w:t>
      </w:r>
      <w:r>
        <w:t xml:space="preserve">Non-cash expense; defensible as an add-back if the phantom plan terminates at closing. However, the cash settlement of outstanding phantom units at closing is a separate transaction obligation that must be quantified and addressed in sources/uses (see Section 6.8). If a new retention plan is instituted post-close, a comparable expense recurs.</w:t>
      </w:r>
    </w:p>
    <w:p>
      <w:pPr>
        <w:numPr>
          <w:ilvl w:val="0"/>
          <w:numId w:val="1006"/>
        </w:numPr>
      </w:pPr>
      <w:r>
        <w:rPr>
          <w:b/>
          <w:bCs/>
        </w:rPr>
        <w:t xml:space="preserve">One-time IT implementation ($0.1M → $0.0M).</w:t>
      </w:r>
      <w:r>
        <w:t xml:space="preserve"> </w:t>
      </w:r>
      <w:r>
        <w:t xml:space="preserve">ERP upgrades recur on 5–7 year cycles and are a normal cost of doing business; treating as fully non-recurring is not defensible. The amount is small but the principle matters.</w:t>
      </w:r>
    </w:p>
    <w:p>
      <w:pPr>
        <w:pStyle w:val="FirstParagraph"/>
      </w:pPr>
      <w:r>
        <w:rPr>
          <w:b/>
          <w:bCs/>
        </w:rPr>
        <w:t xml:space="preserve">Resulting buy-side FY2024 Adjusted EBITDA: ~$15.5M</w:t>
      </w:r>
      <w:r>
        <w:t xml:space="preserve"> </w:t>
      </w:r>
      <w:r>
        <w:t xml:space="preserve">(vs. $17.1M stated; a ~$1.65M / ~10% reduction, of which $0.3M is pure arithmetic correction and ~$1.35M reflects more defensible adjustment assumptions). The buy-side Adjusted EBITDA margin is ~17.7%, which is within the sector’s plausible 15–18% adjusted range identified in the sector memo — and notably below the CIM’s 19.6%, which the sector memo flagged as</w:t>
      </w:r>
      <w:r>
        <w:t xml:space="preserve"> </w:t>
      </w:r>
      <w:r>
        <w:t xml:space="preserve">“</w:t>
      </w:r>
      <w:r>
        <w:t xml:space="preserve">at the upper boundary of what we would consider plausible.</w:t>
      </w:r>
      <w:r>
        <w:t xml:space="preserve">”</w:t>
      </w:r>
    </w:p>
    <w:bookmarkEnd w:id="33"/>
    <w:bookmarkStart w:id="34" w:name="balance-sheet-and-net-debt"/>
    <w:p>
      <w:pPr>
        <w:pStyle w:val="Heading3"/>
      </w:pPr>
      <w:r>
        <w:t xml:space="preserve">4.3 Balance Sheet and Net Debt</w:t>
      </w:r>
    </w:p>
    <w:p>
      <w:pPr>
        <w:pStyle w:val="FirstParagraph"/>
      </w:pPr>
      <w:r>
        <w:t xml:space="preserve">The balance sheet is presented in two places — the CIM (Section VI.D and Appendix A) and the Financial Exhibits</w:t>
      </w:r>
      <w:r>
        <w:t xml:space="preserve"> </w:t>
      </w:r>
      <w:r>
        <w:t xml:space="preserve">“</w:t>
      </w:r>
      <w:r>
        <w:t xml:space="preserve">Balance Sheet</w:t>
      </w:r>
      <w:r>
        <w:t xml:space="preserve">”</w:t>
      </w:r>
      <w:r>
        <w:t xml:space="preserve"> </w:t>
      </w:r>
      <w:r>
        <w:t xml:space="preserve">tab — and the two do not reconcile: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($M)</w:t>
            </w:r>
          </w:p>
        </w:tc>
        <w:tc>
          <w:tcPr/>
          <w:p>
            <w:pPr>
              <w:pStyle w:val="Compact"/>
              <w:jc w:val="left"/>
            </w:pPr>
            <w:r>
              <w:t xml:space="preserve">CIM</w:t>
            </w:r>
          </w:p>
        </w:tc>
        <w:tc>
          <w:tcPr/>
          <w:p>
            <w:pPr>
              <w:pStyle w:val="Compact"/>
              <w:jc w:val="left"/>
            </w:pPr>
            <w:r>
              <w:t xml:space="preserve">Exhibits</w:t>
            </w:r>
          </w:p>
        </w:tc>
        <w:tc>
          <w:tcPr/>
          <w:p>
            <w:pPr>
              <w:pStyle w:val="Compact"/>
              <w:jc w:val="left"/>
            </w:pPr>
            <w:r>
              <w:t xml:space="preserve">Difference</w:t>
            </w:r>
          </w:p>
        </w:tc>
      </w:tr>
      <w:tr>
        <w:tc>
          <w:tcPr/>
          <w:p>
            <w:pPr>
              <w:pStyle w:val="Compact"/>
              <w:jc w:val="left"/>
            </w:pPr>
            <w:r>
              <w:t xml:space="preserve">Cash &amp; equivalents</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Accounts receivable, net</w:t>
            </w:r>
          </w:p>
        </w:tc>
        <w:tc>
          <w:tcPr/>
          <w:p>
            <w:pPr>
              <w:pStyle w:val="Compact"/>
              <w:jc w:val="left"/>
            </w:pPr>
            <w:r>
              <w:t xml:space="preserve">16.9</w:t>
            </w:r>
          </w:p>
        </w:tc>
        <w:tc>
          <w:tcPr/>
          <w:p>
            <w:pPr>
              <w:pStyle w:val="Compact"/>
              <w:jc w:val="left"/>
            </w:pPr>
            <w:r>
              <w:t xml:space="preserve">16.9</w:t>
            </w:r>
          </w:p>
        </w:tc>
        <w:tc>
          <w:tcPr/>
          <w:p>
            <w:pPr>
              <w:pStyle w:val="Compact"/>
              <w:jc w:val="left"/>
            </w:pPr>
            <w:r>
              <w:t xml:space="preserve">0.0</w:t>
            </w:r>
          </w:p>
        </w:tc>
      </w:tr>
      <w:tr>
        <w:tc>
          <w:tcPr/>
          <w:p>
            <w:pPr>
              <w:pStyle w:val="Compact"/>
              <w:jc w:val="left"/>
            </w:pPr>
            <w:r>
              <w:t xml:space="preserve">Unbilled revenue</w:t>
            </w:r>
          </w:p>
        </w:tc>
        <w:tc>
          <w:tcPr/>
          <w:p>
            <w:pPr>
              <w:pStyle w:val="Compact"/>
              <w:jc w:val="left"/>
            </w:pPr>
            <w:r>
              <w:t xml:space="preserve">(in other)</w:t>
            </w:r>
          </w:p>
        </w:tc>
        <w:tc>
          <w:tcPr/>
          <w:p>
            <w:pPr>
              <w:pStyle w:val="Compact"/>
              <w:jc w:val="left"/>
            </w:pPr>
            <w:r>
              <w:t xml:space="preserve">2.7</w:t>
            </w:r>
          </w:p>
        </w:tc>
        <w:tc>
          <w:tcPr/>
          <w:p>
            <w:pPr>
              <w:pStyle w:val="Compact"/>
              <w:jc w:val="left"/>
            </w:pPr>
            <w:r>
              <w:t xml:space="preserve">—</w:t>
            </w:r>
          </w:p>
        </w:tc>
      </w:tr>
      <w:tr>
        <w:tc>
          <w:tcPr/>
          <w:p>
            <w:pPr>
              <w:pStyle w:val="Compact"/>
              <w:jc w:val="left"/>
            </w:pPr>
            <w:r>
              <w:t xml:space="preserve">Other current assets</w:t>
            </w:r>
          </w:p>
        </w:tc>
        <w:tc>
          <w:tcPr/>
          <w:p>
            <w:pPr>
              <w:pStyle w:val="Compact"/>
              <w:jc w:val="left"/>
            </w:pPr>
            <w:r>
              <w:t xml:space="preserve">4.8</w:t>
            </w:r>
          </w:p>
        </w:tc>
        <w:tc>
          <w:tcPr/>
          <w:p>
            <w:pPr>
              <w:pStyle w:val="Compact"/>
              <w:jc w:val="left"/>
            </w:pPr>
            <w:r>
              <w:t xml:space="preserve">1.4 (prepaid)</w:t>
            </w:r>
          </w:p>
        </w:tc>
        <w:tc>
          <w:tcPr/>
          <w:p>
            <w:pPr>
              <w:pStyle w:val="Compact"/>
              <w:jc w:val="left"/>
            </w:pPr>
            <w:r>
              <w:t xml:space="preserve">3.4</w:t>
            </w:r>
          </w:p>
        </w:tc>
      </w:tr>
      <w:tr>
        <w:tc>
          <w:tcPr/>
          <w:p>
            <w:pPr>
              <w:pStyle w:val="Compact"/>
              <w:jc w:val="left"/>
            </w:pPr>
            <w:r>
              <w:rPr>
                <w:b/>
                <w:bCs/>
              </w:rPr>
              <w:t xml:space="preserve">Total current assets</w:t>
            </w:r>
          </w:p>
        </w:tc>
        <w:tc>
          <w:tcPr/>
          <w:p>
            <w:pPr>
              <w:pStyle w:val="Compact"/>
              <w:jc w:val="left"/>
            </w:pPr>
            <w:r>
              <w:rPr>
                <w:b/>
                <w:bCs/>
              </w:rPr>
              <w:t xml:space="preserve">24.0</w:t>
            </w:r>
          </w:p>
        </w:tc>
        <w:tc>
          <w:tcPr/>
          <w:p>
            <w:pPr>
              <w:pStyle w:val="Compact"/>
              <w:jc w:val="left"/>
            </w:pPr>
            <w:r>
              <w:rPr>
                <w:b/>
                <w:bCs/>
              </w:rPr>
              <w:t xml:space="preserve">25.1</w:t>
            </w:r>
          </w:p>
        </w:tc>
        <w:tc>
          <w:tcPr/>
          <w:p>
            <w:pPr>
              <w:pStyle w:val="Compact"/>
              <w:jc w:val="left"/>
            </w:pPr>
            <w:r>
              <w:rPr>
                <w:b/>
                <w:bCs/>
              </w:rPr>
              <w:t xml:space="preserve">(1.1)</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Goodwill &amp; intangibles</w:t>
            </w:r>
          </w:p>
        </w:tc>
        <w:tc>
          <w:tcPr/>
          <w:p>
            <w:pPr>
              <w:pStyle w:val="Compact"/>
              <w:jc w:val="left"/>
            </w:pPr>
            <w:r>
              <w:t xml:space="preserve">(in other)</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Other non-current assets</w:t>
            </w:r>
          </w:p>
        </w:tc>
        <w:tc>
          <w:tcPr/>
          <w:p>
            <w:pPr>
              <w:pStyle w:val="Compact"/>
              <w:jc w:val="left"/>
            </w:pPr>
            <w:r>
              <w:t xml:space="preserve">3.4</w:t>
            </w:r>
          </w:p>
        </w:tc>
        <w:tc>
          <w:tcPr/>
          <w:p>
            <w:pPr>
              <w:pStyle w:val="Compact"/>
              <w:jc w:val="left"/>
            </w:pPr>
            <w:r>
              <w:t xml:space="preserve">1.1</w:t>
            </w:r>
          </w:p>
        </w:tc>
        <w:tc>
          <w:tcPr/>
          <w:p>
            <w:pPr>
              <w:pStyle w:val="Compact"/>
              <w:jc w:val="left"/>
            </w:pPr>
            <w:r>
              <w:t xml:space="preserve">2.3</w:t>
            </w:r>
          </w:p>
        </w:tc>
      </w:tr>
      <w:tr>
        <w:tc>
          <w:tcPr/>
          <w:p>
            <w:pPr>
              <w:pStyle w:val="Compact"/>
              <w:jc w:val="left"/>
            </w:pPr>
            <w:r>
              <w:rPr>
                <w:b/>
                <w:bCs/>
              </w:rPr>
              <w:t xml:space="preserve">Total assets</w:t>
            </w:r>
          </w:p>
        </w:tc>
        <w:tc>
          <w:tcPr/>
          <w:p>
            <w:pPr>
              <w:pStyle w:val="Compact"/>
              <w:jc w:val="left"/>
            </w:pPr>
            <w:r>
              <w:rPr>
                <w:b/>
                <w:bCs/>
              </w:rPr>
              <w:t xml:space="preserve">46.1</w:t>
            </w:r>
          </w:p>
        </w:tc>
        <w:tc>
          <w:tcPr/>
          <w:p>
            <w:pPr>
              <w:pStyle w:val="Compact"/>
              <w:jc w:val="left"/>
            </w:pPr>
            <w:r>
              <w:rPr>
                <w:b/>
                <w:bCs/>
              </w:rPr>
              <w:t xml:space="preserve">50.0</w:t>
            </w:r>
          </w:p>
        </w:tc>
        <w:tc>
          <w:tcPr/>
          <w:p>
            <w:pPr>
              <w:pStyle w:val="Compact"/>
              <w:jc w:val="left"/>
            </w:pPr>
            <w:r>
              <w:rPr>
                <w:b/>
                <w:bCs/>
              </w:rPr>
              <w:t xml:space="preserve">(3.9)</w:t>
            </w:r>
          </w:p>
        </w:tc>
      </w:tr>
      <w:tr>
        <w:tc>
          <w:tcPr/>
          <w:p>
            <w:pPr>
              <w:pStyle w:val="Compact"/>
              <w:jc w:val="left"/>
            </w:pPr>
            <w:r>
              <w:t xml:space="preserve">Accounts payable</w:t>
            </w:r>
          </w:p>
        </w:tc>
        <w:tc>
          <w:tcPr/>
          <w:p>
            <w:pPr>
              <w:pStyle w:val="Compact"/>
              <w:jc w:val="left"/>
            </w:pPr>
            <w:r>
              <w:t xml:space="preserve">5.4</w:t>
            </w:r>
          </w:p>
        </w:tc>
        <w:tc>
          <w:tcPr/>
          <w:p>
            <w:pPr>
              <w:pStyle w:val="Compact"/>
              <w:jc w:val="left"/>
            </w:pPr>
            <w:r>
              <w:t xml:space="preserve">6.1</w:t>
            </w:r>
          </w:p>
        </w:tc>
        <w:tc>
          <w:tcPr/>
          <w:p>
            <w:pPr>
              <w:pStyle w:val="Compact"/>
              <w:jc w:val="left"/>
            </w:pPr>
            <w:r>
              <w:t xml:space="preserve">(0.7)</w:t>
            </w:r>
          </w:p>
        </w:tc>
      </w:tr>
      <w:tr>
        <w:tc>
          <w:tcPr/>
          <w:p>
            <w:pPr>
              <w:pStyle w:val="Compact"/>
              <w:jc w:val="left"/>
            </w:pPr>
            <w:r>
              <w:t xml:space="preserve">Accrued liabilities</w:t>
            </w:r>
          </w:p>
        </w:tc>
        <w:tc>
          <w:tcPr/>
          <w:p>
            <w:pPr>
              <w:pStyle w:val="Compact"/>
              <w:jc w:val="left"/>
            </w:pPr>
            <w:r>
              <w:t xml:space="preserve">4.5</w:t>
            </w:r>
          </w:p>
        </w:tc>
        <w:tc>
          <w:tcPr/>
          <w:p>
            <w:pPr>
              <w:pStyle w:val="Compact"/>
              <w:jc w:val="left"/>
            </w:pPr>
            <w:r>
              <w:t xml:space="preserve">4.5</w:t>
            </w:r>
          </w:p>
        </w:tc>
        <w:tc>
          <w:tcPr/>
          <w:p>
            <w:pPr>
              <w:pStyle w:val="Compact"/>
              <w:jc w:val="left"/>
            </w:pPr>
            <w:r>
              <w:t xml:space="preserve">0.0</w:t>
            </w:r>
          </w:p>
        </w:tc>
      </w:tr>
      <w:tr>
        <w:tc>
          <w:tcPr/>
          <w:p>
            <w:pPr>
              <w:pStyle w:val="Compact"/>
              <w:jc w:val="left"/>
            </w:pPr>
            <w:r>
              <w:t xml:space="preserve">Current portion of LT debt</w:t>
            </w:r>
          </w:p>
        </w:tc>
        <w:tc>
          <w:tcPr/>
          <w:p>
            <w:pPr>
              <w:pStyle w:val="Compact"/>
              <w:jc w:val="left"/>
            </w:pPr>
            <w:r>
              <w:t xml:space="preserve">2.3</w:t>
            </w:r>
          </w:p>
        </w:tc>
        <w:tc>
          <w:tcPr/>
          <w:p>
            <w:pPr>
              <w:pStyle w:val="Compact"/>
              <w:jc w:val="left"/>
            </w:pPr>
            <w:r>
              <w:t xml:space="preserve">1.8</w:t>
            </w:r>
          </w:p>
        </w:tc>
        <w:tc>
          <w:tcPr/>
          <w:p>
            <w:pPr>
              <w:pStyle w:val="Compact"/>
              <w:jc w:val="left"/>
            </w:pPr>
            <w:r>
              <w:t xml:space="preserve">0.5</w:t>
            </w:r>
          </w:p>
        </w:tc>
      </w:tr>
      <w:tr>
        <w:tc>
          <w:tcPr/>
          <w:p>
            <w:pPr>
              <w:pStyle w:val="Compact"/>
              <w:jc w:val="left"/>
            </w:pPr>
            <w:r>
              <w:t xml:space="preserve">Other current liabilities</w:t>
            </w:r>
          </w:p>
        </w:tc>
        <w:tc>
          <w:tcPr/>
          <w:p>
            <w:pPr>
              <w:pStyle w:val="Compact"/>
              <w:jc w:val="left"/>
            </w:pPr>
            <w:r>
              <w:t xml:space="preserve">(in accrued)</w:t>
            </w:r>
          </w:p>
        </w:tc>
        <w:tc>
          <w:tcPr/>
          <w:p>
            <w:pPr>
              <w:pStyle w:val="Compact"/>
              <w:jc w:val="left"/>
            </w:pPr>
            <w:r>
              <w:t xml:space="preserve">0.9</w:t>
            </w:r>
          </w:p>
        </w:tc>
        <w:tc>
          <w:tcPr/>
          <w:p>
            <w:pPr>
              <w:pStyle w:val="Compact"/>
              <w:jc w:val="left"/>
            </w:pPr>
            <w:r>
              <w:t xml:space="preserve">—</w:t>
            </w:r>
          </w:p>
        </w:tc>
      </w:tr>
      <w:tr>
        <w:tc>
          <w:tcPr/>
          <w:p>
            <w:pPr>
              <w:pStyle w:val="Compact"/>
              <w:jc w:val="left"/>
            </w:pPr>
            <w:r>
              <w:rPr>
                <w:b/>
                <w:bCs/>
              </w:rPr>
              <w:t xml:space="preserve">Total current liabilities</w:t>
            </w:r>
          </w:p>
        </w:tc>
        <w:tc>
          <w:tcPr/>
          <w:p>
            <w:pPr>
              <w:pStyle w:val="Compact"/>
              <w:jc w:val="left"/>
            </w:pPr>
            <w:r>
              <w:rPr>
                <w:b/>
                <w:bCs/>
              </w:rPr>
              <w:t xml:space="preserve">12.2</w:t>
            </w:r>
          </w:p>
        </w:tc>
        <w:tc>
          <w:tcPr/>
          <w:p>
            <w:pPr>
              <w:pStyle w:val="Compact"/>
              <w:jc w:val="left"/>
            </w:pPr>
            <w:r>
              <w:rPr>
                <w:b/>
                <w:bCs/>
              </w:rPr>
              <w:t xml:space="preserve">13.3</w:t>
            </w:r>
          </w:p>
        </w:tc>
        <w:tc>
          <w:tcPr/>
          <w:p>
            <w:pPr>
              <w:pStyle w:val="Compact"/>
              <w:jc w:val="left"/>
            </w:pPr>
            <w:r>
              <w:rPr>
                <w:b/>
                <w:bCs/>
              </w:rPr>
              <w:t xml:space="preserve">(1.1)</w:t>
            </w:r>
          </w:p>
        </w:tc>
      </w:tr>
      <w:tr>
        <w:tc>
          <w:tcPr/>
          <w:p>
            <w:pPr>
              <w:pStyle w:val="Compact"/>
              <w:jc w:val="left"/>
            </w:pPr>
            <w:r>
              <w:t xml:space="preserve">Senior term loan (non-current)</w:t>
            </w:r>
          </w:p>
        </w:tc>
        <w:tc>
          <w:tcPr/>
          <w:p>
            <w:pPr>
              <w:pStyle w:val="Compact"/>
              <w:jc w:val="left"/>
            </w:pPr>
            <w:r>
              <w:t xml:space="preserve">11.9</w:t>
            </w:r>
          </w:p>
        </w:tc>
        <w:tc>
          <w:tcPr/>
          <w:p>
            <w:pPr>
              <w:pStyle w:val="Compact"/>
              <w:jc w:val="left"/>
            </w:pPr>
            <w:r>
              <w:t xml:space="preserve">14.2</w:t>
            </w:r>
          </w:p>
        </w:tc>
        <w:tc>
          <w:tcPr/>
          <w:p>
            <w:pPr>
              <w:pStyle w:val="Compact"/>
              <w:jc w:val="left"/>
            </w:pPr>
            <w:r>
              <w:t xml:space="preserve">(2.3)</w:t>
            </w:r>
          </w:p>
        </w:tc>
      </w:tr>
      <w:tr>
        <w:tc>
          <w:tcPr/>
          <w:p>
            <w:pPr>
              <w:pStyle w:val="Compact"/>
              <w:jc w:val="left"/>
            </w:pPr>
            <w:r>
              <w:t xml:space="preserve">Revolver drawn</w:t>
            </w:r>
          </w:p>
        </w:tc>
        <w:tc>
          <w:tcPr/>
          <w:p>
            <w:pPr>
              <w:pStyle w:val="Compact"/>
              <w:jc w:val="left"/>
            </w:pPr>
            <w:r>
              <w:t xml:space="preserve">3.1</w:t>
            </w:r>
          </w:p>
        </w:tc>
        <w:tc>
          <w:tcPr/>
          <w:p>
            <w:pPr>
              <w:pStyle w:val="Compact"/>
              <w:jc w:val="left"/>
            </w:pPr>
            <w:r>
              <w:t xml:space="preserve">3.1</w:t>
            </w:r>
          </w:p>
        </w:tc>
        <w:tc>
          <w:tcPr/>
          <w:p>
            <w:pPr>
              <w:pStyle w:val="Compact"/>
              <w:jc w:val="left"/>
            </w:pPr>
            <w:r>
              <w:t xml:space="preserve">0.0</w:t>
            </w:r>
          </w:p>
        </w:tc>
      </w:tr>
      <w:tr>
        <w:tc>
          <w:tcPr/>
          <w:p>
            <w:pPr>
              <w:pStyle w:val="Compact"/>
              <w:jc w:val="left"/>
            </w:pPr>
            <w:r>
              <w:t xml:space="preserve">Other non-current liabilities</w:t>
            </w:r>
          </w:p>
        </w:tc>
        <w:tc>
          <w:tcPr/>
          <w:p>
            <w:pPr>
              <w:pStyle w:val="Compact"/>
              <w:jc w:val="left"/>
            </w:pPr>
            <w:r>
              <w:t xml:space="preserve">1.8</w:t>
            </w:r>
          </w:p>
        </w:tc>
        <w:tc>
          <w:tcPr/>
          <w:p>
            <w:pPr>
              <w:pStyle w:val="Compact"/>
              <w:jc w:val="left"/>
            </w:pPr>
            <w:r>
              <w:t xml:space="preserve">0.6</w:t>
            </w:r>
          </w:p>
        </w:tc>
        <w:tc>
          <w:tcPr/>
          <w:p>
            <w:pPr>
              <w:pStyle w:val="Compact"/>
              <w:jc w:val="left"/>
            </w:pPr>
            <w:r>
              <w:t xml:space="preserve">1.2</w:t>
            </w:r>
          </w:p>
        </w:tc>
      </w:tr>
      <w:tr>
        <w:tc>
          <w:tcPr/>
          <w:p>
            <w:pPr>
              <w:pStyle w:val="Compact"/>
              <w:jc w:val="left"/>
            </w:pPr>
            <w:r>
              <w:rPr>
                <w:b/>
                <w:bCs/>
              </w:rPr>
              <w:t xml:space="preserve">Total liabilities</w:t>
            </w:r>
          </w:p>
        </w:tc>
        <w:tc>
          <w:tcPr/>
          <w:p>
            <w:pPr>
              <w:pStyle w:val="Compact"/>
              <w:jc w:val="left"/>
            </w:pPr>
            <w:r>
              <w:rPr>
                <w:b/>
                <w:bCs/>
              </w:rPr>
              <w:t xml:space="preserve">29.0</w:t>
            </w:r>
          </w:p>
        </w:tc>
        <w:tc>
          <w:tcPr/>
          <w:p>
            <w:pPr>
              <w:pStyle w:val="Compact"/>
              <w:jc w:val="left"/>
            </w:pPr>
            <w:r>
              <w:rPr>
                <w:b/>
                <w:bCs/>
              </w:rPr>
              <w:t xml:space="preserve">31.2</w:t>
            </w:r>
          </w:p>
        </w:tc>
        <w:tc>
          <w:tcPr/>
          <w:p>
            <w:pPr>
              <w:pStyle w:val="Compact"/>
              <w:jc w:val="left"/>
            </w:pPr>
            <w:r>
              <w:rPr>
                <w:b/>
                <w:bCs/>
              </w:rPr>
              <w:t xml:space="preserve">(2.2)</w:t>
            </w:r>
          </w:p>
        </w:tc>
      </w:tr>
      <w:tr>
        <w:tc>
          <w:tcPr/>
          <w:p>
            <w:pPr>
              <w:pStyle w:val="Compact"/>
              <w:jc w:val="left"/>
            </w:pPr>
            <w:r>
              <w:rPr>
                <w:b/>
                <w:bCs/>
              </w:rPr>
              <w:t xml:space="preserve">Stockholders’ equity</w:t>
            </w:r>
          </w:p>
        </w:tc>
        <w:tc>
          <w:tcPr/>
          <w:p>
            <w:pPr>
              <w:pStyle w:val="Compact"/>
              <w:jc w:val="left"/>
            </w:pPr>
            <w:r>
              <w:rPr>
                <w:b/>
                <w:bCs/>
              </w:rPr>
              <w:t xml:space="preserve">17.1</w:t>
            </w:r>
          </w:p>
        </w:tc>
        <w:tc>
          <w:tcPr/>
          <w:p>
            <w:pPr>
              <w:pStyle w:val="Compact"/>
              <w:jc w:val="left"/>
            </w:pPr>
            <w:r>
              <w:rPr>
                <w:b/>
                <w:bCs/>
              </w:rPr>
              <w:t xml:space="preserve">18.8</w:t>
            </w:r>
          </w:p>
        </w:tc>
        <w:tc>
          <w:tcPr/>
          <w:p>
            <w:pPr>
              <w:pStyle w:val="Compact"/>
              <w:jc w:val="left"/>
            </w:pPr>
            <w:r>
              <w:rPr>
                <w:b/>
                <w:bCs/>
              </w:rPr>
              <w:t xml:space="preserve">(1.7)</w:t>
            </w:r>
          </w:p>
        </w:tc>
      </w:tr>
      <w:tr>
        <w:tc>
          <w:tcPr/>
          <w:p>
            <w:pPr>
              <w:pStyle w:val="Compact"/>
              <w:jc w:val="left"/>
            </w:pPr>
            <w:r>
              <w:t xml:space="preserve">Net working capital</w:t>
            </w:r>
          </w:p>
        </w:tc>
        <w:tc>
          <w:tcPr/>
          <w:p>
            <w:pPr>
              <w:pStyle w:val="Compact"/>
              <w:jc w:val="left"/>
            </w:pPr>
            <w:r>
              <w:t xml:space="preserve">11.8</w:t>
            </w:r>
          </w:p>
        </w:tc>
        <w:tc>
          <w:tcPr/>
          <w:p>
            <w:pPr>
              <w:pStyle w:val="Compact"/>
              <w:jc w:val="left"/>
            </w:pPr>
            <w:r>
              <w:t xml:space="preserve">11.8</w:t>
            </w:r>
          </w:p>
        </w:tc>
        <w:tc>
          <w:tcPr/>
          <w:p>
            <w:pPr>
              <w:pStyle w:val="Compact"/>
              <w:jc w:val="left"/>
            </w:pPr>
            <w:r>
              <w:t xml:space="preserve">0.0</w:t>
            </w:r>
          </w:p>
        </w:tc>
      </w:tr>
    </w:tbl>
    <w:p>
      <w:pPr>
        <w:pStyle w:val="BodyText"/>
      </w:pPr>
      <w:r>
        <w:rPr>
          <w:b/>
          <w:bCs/>
        </w:rPr>
        <w:t xml:space="preserve">Key observations:</w:t>
      </w:r>
    </w:p>
    <w:p>
      <w:pPr>
        <w:pStyle w:val="Compact"/>
        <w:numPr>
          <w:ilvl w:val="0"/>
          <w:numId w:val="1007"/>
        </w:numPr>
      </w:pPr>
      <w:r>
        <w:rPr>
          <w:b/>
          <w:bCs/>
        </w:rPr>
        <w:t xml:space="preserve">Total assets differ by $3.9M</w:t>
      </w:r>
      <w:r>
        <w:t xml:space="preserve">, driven primarily by a $2.6M PP&amp;E difference and a $1.8M cash difference. These are not rounding differences; they are material.</w:t>
      </w:r>
    </w:p>
    <w:p>
      <w:pPr>
        <w:pStyle w:val="Compact"/>
        <w:numPr>
          <w:ilvl w:val="0"/>
          <w:numId w:val="1007"/>
        </w:numPr>
      </w:pPr>
      <w:r>
        <w:rPr>
          <w:b/>
          <w:bCs/>
        </w:rPr>
        <w:t xml:space="preserve">Total term-loan debt differs by $1.8M.</w:t>
      </w:r>
      <w:r>
        <w:t xml:space="preserve"> </w:t>
      </w:r>
      <w:r>
        <w:t xml:space="preserve">The CIM states total outstanding term-loan principal of $14.2M ($2.3M current + $11.9M non-current). The exhibits imply $16.0M ($1.8M current + $14.2M non-current). This $1.8M difference in gross debt must be reconciled, as it affects the debt to be refinanced/repaid at closing and the sources/uses.</w:t>
      </w:r>
    </w:p>
    <w:p>
      <w:pPr>
        <w:pStyle w:val="Compact"/>
        <w:numPr>
          <w:ilvl w:val="0"/>
          <w:numId w:val="1007"/>
        </w:numPr>
      </w:pPr>
      <w:r>
        <w:rPr>
          <w:b/>
          <w:bCs/>
        </w:rPr>
        <w:t xml:space="preserve">Net debt coincidentally matches at $15.0M</w:t>
      </w:r>
      <w:r>
        <w:t xml:space="preserve"> </w:t>
      </w:r>
      <w:r>
        <w:t xml:space="preserve">under both presentations (CIM: $17.3M debt − $2.3M cash; exhibits: $19.1M debt − $4.1M cash), but only because the debt and cash differences offset exactly. This is a fragile coincidence, not evidence of consistency. The gross debt figure used in the sources/uses must be confirmed against the audited balance sheet and the bank debt schedules.</w:t>
      </w:r>
    </w:p>
    <w:p>
      <w:pPr>
        <w:pStyle w:val="Compact"/>
        <w:numPr>
          <w:ilvl w:val="0"/>
          <w:numId w:val="1007"/>
        </w:numPr>
      </w:pPr>
      <w:r>
        <w:rPr>
          <w:b/>
          <w:bCs/>
        </w:rPr>
        <w:t xml:space="preserve">Unexplained goodwill &amp; intangibles of $2.5M</w:t>
      </w:r>
      <w:r>
        <w:t xml:space="preserve"> </w:t>
      </w:r>
      <w:r>
        <w:t xml:space="preserve">appear in the exhibits (constant across FY2021–FY2024). The CIM describes only organic growth and mentions no acquisitions. The source of this goodwill/intangible balance is unexplained and must be clarified — it may indicate an undisclosed prior acquisition, intangible assets related to permits/licenses, or an accounting artifact.</w:t>
      </w:r>
    </w:p>
    <w:p>
      <w:pPr>
        <w:pStyle w:val="Compact"/>
        <w:numPr>
          <w:ilvl w:val="0"/>
          <w:numId w:val="1007"/>
        </w:numPr>
      </w:pPr>
      <w:r>
        <w:rPr>
          <w:b/>
          <w:bCs/>
        </w:rPr>
        <w:t xml:space="preserve">Net working capital of $11.8M (13.5% of revenue)</w:t>
      </w:r>
      <w:r>
        <w:t xml:space="preserve"> </w:t>
      </w:r>
      <w:r>
        <w:t xml:space="preserve">is within the sector’s 10–14% norm, suggesting the NWC peg at closing should be close to current levels, though the composition (notably the DSO issue in Section 4.5) requires scrutiny.</w:t>
      </w:r>
    </w:p>
    <w:bookmarkEnd w:id="34"/>
    <w:bookmarkStart w:id="35" w:name="cash-flow-and-free-cash-flow"/>
    <w:p>
      <w:pPr>
        <w:pStyle w:val="Heading3"/>
      </w:pPr>
      <w:r>
        <w:t xml:space="preserve">4.4 Cash Flow and Free Cash Flow</w:t>
      </w:r>
    </w:p>
    <w:p>
      <w:pPr>
        <w:pStyle w:val="FirstParagraph"/>
      </w:pPr>
      <w:r>
        <w:t xml:space="preserve">Free cash flow has been flat despite 42% revenue growth, and is weaker than the CIM suggests: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from operations — CIM</w:t>
            </w:r>
          </w:p>
        </w:tc>
        <w:tc>
          <w:tcPr/>
          <w:p>
            <w:pPr>
              <w:pStyle w:val="Compact"/>
              <w:jc w:val="left"/>
            </w:pPr>
            <w:r>
              <w:t xml:space="preserve">5.8</w:t>
            </w:r>
          </w:p>
        </w:tc>
        <w:tc>
          <w:tcPr/>
          <w:p>
            <w:pPr>
              <w:pStyle w:val="Compact"/>
              <w:jc w:val="left"/>
            </w:pPr>
            <w:r>
              <w:t xml:space="preserve">6.4</w:t>
            </w:r>
          </w:p>
        </w:tc>
        <w:tc>
          <w:tcPr/>
          <w:p>
            <w:pPr>
              <w:pStyle w:val="Compact"/>
              <w:jc w:val="left"/>
            </w:pPr>
            <w:r>
              <w:t xml:space="preserve">7.8</w:t>
            </w:r>
          </w:p>
        </w:tc>
        <w:tc>
          <w:tcPr/>
          <w:p>
            <w:pPr>
              <w:pStyle w:val="Compact"/>
              <w:jc w:val="left"/>
            </w:pPr>
            <w:r>
              <w:t xml:space="preserve">9.2</w:t>
            </w:r>
          </w:p>
        </w:tc>
      </w:tr>
      <w:tr>
        <w:tc>
          <w:tcPr/>
          <w:p>
            <w:pPr>
              <w:pStyle w:val="Compact"/>
              <w:jc w:val="left"/>
            </w:pPr>
            <w:r>
              <w:t xml:space="preserve">Cash from operations — Exhibits</w:t>
            </w:r>
          </w:p>
        </w:tc>
        <w:tc>
          <w:tcPr/>
          <w:p>
            <w:pPr>
              <w:pStyle w:val="Compact"/>
              <w:jc w:val="left"/>
            </w:pPr>
            <w:r>
              <w:t xml:space="preserve">6.4</w:t>
            </w:r>
          </w:p>
        </w:tc>
        <w:tc>
          <w:tcPr/>
          <w:p>
            <w:pPr>
              <w:pStyle w:val="Compact"/>
              <w:jc w:val="left"/>
            </w:pPr>
            <w:r>
              <w:t xml:space="preserve">7.0</w:t>
            </w:r>
          </w:p>
        </w:tc>
        <w:tc>
          <w:tcPr/>
          <w:p>
            <w:pPr>
              <w:pStyle w:val="Compact"/>
              <w:jc w:val="left"/>
            </w:pPr>
            <w:r>
              <w:t xml:space="preserve">9.1</w:t>
            </w:r>
          </w:p>
        </w:tc>
        <w:tc>
          <w:tcPr/>
          <w:p>
            <w:pPr>
              <w:pStyle w:val="Compact"/>
              <w:jc w:val="left"/>
            </w:pPr>
            <w:r>
              <w:t xml:space="preserve">10.0</w:t>
            </w:r>
          </w:p>
        </w:tc>
      </w:tr>
      <w:tr>
        <w:tc>
          <w:tcPr/>
          <w:p>
            <w:pPr>
              <w:pStyle w:val="Compact"/>
              <w:jc w:val="left"/>
            </w:pPr>
            <w:r>
              <w:t xml:space="preserve">Capital expenditures</w:t>
            </w:r>
          </w:p>
        </w:tc>
        <w:tc>
          <w:tcPr/>
          <w:p>
            <w:pPr>
              <w:pStyle w:val="Compact"/>
              <w:jc w:val="left"/>
            </w:pPr>
            <w:r>
              <w:t xml:space="preserve">(3.6)</w:t>
            </w:r>
          </w:p>
        </w:tc>
        <w:tc>
          <w:tcPr/>
          <w:p>
            <w:pPr>
              <w:pStyle w:val="Compact"/>
              <w:jc w:val="left"/>
            </w:pPr>
            <w:r>
              <w:t xml:space="preserve">(4.1)</w:t>
            </w:r>
          </w:p>
        </w:tc>
        <w:tc>
          <w:tcPr/>
          <w:p>
            <w:pPr>
              <w:pStyle w:val="Compact"/>
              <w:jc w:val="left"/>
            </w:pPr>
            <w:r>
              <w:t xml:space="preserve">(5.8)</w:t>
            </w:r>
          </w:p>
        </w:tc>
        <w:tc>
          <w:tcPr/>
          <w:p>
            <w:pPr>
              <w:pStyle w:val="Compact"/>
              <w:jc w:val="left"/>
            </w:pPr>
            <w:r>
              <w:t xml:space="preserve">(7.2)</w:t>
            </w:r>
          </w:p>
        </w:tc>
      </w:tr>
      <w:tr>
        <w:tc>
          <w:tcPr/>
          <w:p>
            <w:pPr>
              <w:pStyle w:val="Compact"/>
              <w:jc w:val="left"/>
            </w:pPr>
            <w:r>
              <w:t xml:space="preserve">Free cash flow — CIM</w:t>
            </w:r>
          </w:p>
        </w:tc>
        <w:tc>
          <w:tcPr/>
          <w:p>
            <w:pPr>
              <w:pStyle w:val="Compact"/>
              <w:jc w:val="left"/>
            </w:pPr>
            <w:r>
              <w:t xml:space="preserve">2.2</w:t>
            </w:r>
          </w:p>
        </w:tc>
        <w:tc>
          <w:tcPr/>
          <w:p>
            <w:pPr>
              <w:pStyle w:val="Compact"/>
              <w:jc w:val="left"/>
            </w:pPr>
            <w:r>
              <w:t xml:space="preserve">2.3</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Free cash flow — Exhibits</w:t>
            </w:r>
          </w:p>
        </w:tc>
        <w:tc>
          <w:tcPr/>
          <w:p>
            <w:pPr>
              <w:pStyle w:val="Compact"/>
              <w:jc w:val="left"/>
            </w:pPr>
            <w:r>
              <w:t xml:space="preserve">2.8</w:t>
            </w:r>
          </w:p>
        </w:tc>
        <w:tc>
          <w:tcPr/>
          <w:p>
            <w:pPr>
              <w:pStyle w:val="Compact"/>
              <w:jc w:val="left"/>
            </w:pPr>
            <w:r>
              <w:t xml:space="preserve">2.9</w:t>
            </w:r>
          </w:p>
        </w:tc>
        <w:tc>
          <w:tcPr/>
          <w:p>
            <w:pPr>
              <w:pStyle w:val="Compact"/>
              <w:jc w:val="left"/>
            </w:pPr>
            <w:r>
              <w:t xml:space="preserve">3.3</w:t>
            </w:r>
          </w:p>
        </w:tc>
        <w:tc>
          <w:tcPr/>
          <w:p>
            <w:pPr>
              <w:pStyle w:val="Compact"/>
              <w:jc w:val="left"/>
            </w:pPr>
            <w:r>
              <w:t xml:space="preserve">2.8</w:t>
            </w:r>
          </w:p>
        </w:tc>
      </w:tr>
    </w:tbl>
    <w:p>
      <w:pPr>
        <w:pStyle w:val="BodyText"/>
      </w:pPr>
      <w:r>
        <w:t xml:space="preserve">Even on the exhibits’ more favorable operating cash flow figures, FCF has not grown — it has declined in real terms — because capex has grown from $3.6M to $7.2M and working capital (receivables) has consumed cash each year. FCF conversion from reported EBITDA is only ~23% in FY2024 ($2.8M / $12.1M), and from the CIM’s Adjusted EBITDA only ~16% ($2.8M / $17.1M). This is poor for a services business and is a critical issue for a sponsor evaluating returns.</w:t>
      </w:r>
    </w:p>
    <w:p>
      <w:pPr>
        <w:pStyle w:val="BodyText"/>
      </w:pPr>
      <w:r>
        <w:rPr>
          <w:b/>
          <w:bCs/>
        </w:rPr>
        <w:t xml:space="preserve">The capex problem compounds this.</w:t>
      </w:r>
      <w:r>
        <w:t xml:space="preserve"> </w:t>
      </w:r>
      <w:r>
        <w:t xml:space="preserve">If true maintenance capex is $5.5M (the sector midpoint) rather than the stated $3.0M, FY2024 FCF falls from $2.8M to ~$0.3M — essentially zero. The deal’s return profile then depends entirely on (a) PFAS growth materializing, (b) margin expansion, and (c) exit multiple expansion, with little margin of safety from baseline cash generation.</w:t>
      </w:r>
    </w:p>
    <w:p>
      <w:pPr>
        <w:pStyle w:val="BodyText"/>
      </w:pPr>
      <w:r>
        <w:t xml:space="preserve">The exhibits’ cash flow statement also reveals</w:t>
      </w:r>
      <w:r>
        <w:t xml:space="preserve"> </w:t>
      </w:r>
      <w:r>
        <w:rPr>
          <w:b/>
          <w:bCs/>
        </w:rPr>
        <w:t xml:space="preserve">distributions to shareholders of $6.7M over FY2021–FY2024</w:t>
      </w:r>
      <w:r>
        <w:t xml:space="preserve"> </w:t>
      </w:r>
      <w:r>
        <w:t xml:space="preserve">($1.5M / $2.7M / $1.5M / $1.0M), the majority flowing to Mr. Oakes (68% holder). The FY2022 distribution of $2.7M represented a 61% payout of net income. The declining distribution in FY2024 coincides with elevated growth capex and the DEQ settlement. These distributions are relevant to understanding owner behavior and the cash available to reinvest.</w:t>
      </w:r>
    </w:p>
    <w:bookmarkEnd w:id="35"/>
    <w:bookmarkStart w:id="36" w:name="working-capital-and-dso"/>
    <w:p>
      <w:pPr>
        <w:pStyle w:val="Heading3"/>
      </w:pPr>
      <w:r>
        <w:t xml:space="preserve">4.5 Working Capital and DSO</w:t>
      </w:r>
    </w:p>
    <w:p>
      <w:pPr>
        <w:pStyle w:val="FirstParagraph"/>
      </w:pPr>
      <w:r>
        <w:t xml:space="preserve">The CIM states DSO of 52 days, which it cites as evidence of</w:t>
      </w:r>
      <w:r>
        <w:t xml:space="preserve"> </w:t>
      </w:r>
      <w:r>
        <w:t xml:space="preserve">“</w:t>
      </w:r>
      <w:r>
        <w:t xml:space="preserve">strong collection practices and a creditworthy customer base.</w:t>
      </w:r>
      <w:r>
        <w:t xml:space="preserve">”</w:t>
      </w:r>
      <w:r>
        <w:t xml:space="preserve"> </w:t>
      </w:r>
      <w:r>
        <w:rPr>
          <w:b/>
          <w:bCs/>
        </w:rPr>
        <w:t xml:space="preserve">This figure does not reconcile to the balance sheet.</w:t>
      </w:r>
    </w:p>
    <w:p>
      <w:pPr>
        <w:pStyle w:val="Compact"/>
        <w:numPr>
          <w:ilvl w:val="0"/>
          <w:numId w:val="1008"/>
        </w:numPr>
      </w:pPr>
      <w:r>
        <w:t xml:space="preserve">Accounts receivable, net: $16.9M (consistent across CIM and exhibits)</w:t>
      </w:r>
    </w:p>
    <w:p>
      <w:pPr>
        <w:pStyle w:val="Compact"/>
        <w:numPr>
          <w:ilvl w:val="0"/>
          <w:numId w:val="1008"/>
        </w:numPr>
      </w:pPr>
      <w:r>
        <w:t xml:space="preserve">FY2024 revenue: $87.3M</w:t>
      </w:r>
    </w:p>
    <w:p>
      <w:pPr>
        <w:pStyle w:val="Compact"/>
        <w:numPr>
          <w:ilvl w:val="0"/>
          <w:numId w:val="1008"/>
        </w:numPr>
      </w:pPr>
      <w:r>
        <w:t xml:space="preserve">Implied DSO (AR only): 16.9 / 87.3 × 365 =</w:t>
      </w:r>
      <w:r>
        <w:t xml:space="preserve"> </w:t>
      </w:r>
      <w:r>
        <w:rPr>
          <w:b/>
          <w:bCs/>
        </w:rPr>
        <w:t xml:space="preserve">~71 days</w:t>
      </w:r>
    </w:p>
    <w:p>
      <w:pPr>
        <w:pStyle w:val="Compact"/>
        <w:numPr>
          <w:ilvl w:val="0"/>
          <w:numId w:val="1008"/>
        </w:numPr>
      </w:pPr>
      <w:r>
        <w:t xml:space="preserve">Implied DSO (AR + $2.7M unbilled revenue per exhibits):</w:t>
      </w:r>
      <w:r>
        <w:t xml:space="preserve"> </w:t>
      </w:r>
      <w:r>
        <w:rPr>
          <w:b/>
          <w:bCs/>
        </w:rPr>
        <w:t xml:space="preserve">~82 days</w:t>
      </w:r>
    </w:p>
    <w:p>
      <w:pPr>
        <w:pStyle w:val="FirstParagraph"/>
      </w:pPr>
      <w:r>
        <w:t xml:space="preserve">For DSO to be 52 days, AR would need to be ~$12.4M, not $16.9M. Even using average AR across FY2023–FY2024 (~$15.6M), DSO is ~65 days. The stated 52-day figure is not supported by any obvious calculation methodology and may reflect a</w:t>
      </w:r>
      <w:r>
        <w:t xml:space="preserve"> </w:t>
      </w:r>
      <w:r>
        <w:t xml:space="preserve">“</w:t>
      </w:r>
      <w:r>
        <w:t xml:space="preserve">normalized</w:t>
      </w:r>
      <w:r>
        <w:t xml:space="preserve">”</w:t>
      </w:r>
      <w:r>
        <w:t xml:space="preserve"> </w:t>
      </w:r>
      <w:r>
        <w:t xml:space="preserve">management metric rather than the actual period-end calculation — precisely the pattern the sector memo flagged.</w:t>
      </w:r>
    </w:p>
    <w:p>
      <w:pPr>
        <w:pStyle w:val="BodyText"/>
      </w:pPr>
      <w:r>
        <w:t xml:space="preserve">A DSO of 71–82 days is well above the 45–55 day sector norm and crosses the 60-day threshold that can indicate collection issues, customer disputes, aging receivables, or revenue recognition timing differences. Given that the largest customer (PNR, 21.4% of revenue) is a refinery and the second-largest (ODOT, 10.4%) is a government entity with potentially longer payment cycles, the elevated DSO may be partly structural — but it must be independently verified, aged-receivables analysis must be reviewed, and any collection or billing issues must be understood before relying on the working capital position.</w:t>
      </w:r>
    </w:p>
    <w:p>
      <w:r>
        <w:pict>
          <v:rect style="width:0;height:1.5pt" o:hralign="center" o:hrstd="t" o:hr="t"/>
        </w:pict>
      </w:r>
    </w:p>
    <w:bookmarkEnd w:id="36"/>
    <w:bookmarkEnd w:id="37"/>
    <w:bookmarkStart w:id="43" w:name="data-integrity-and-reconciliation-issues"/>
    <w:p>
      <w:pPr>
        <w:pStyle w:val="Heading2"/>
      </w:pPr>
      <w:r>
        <w:t xml:space="preserve">5. Data Integrity and Reconciliation Issues</w:t>
      </w:r>
    </w:p>
    <w:p>
      <w:pPr>
        <w:pStyle w:val="FirstParagraph"/>
      </w:pPr>
      <w:r>
        <w:t xml:space="preserve">The materials distributed to bidders (CIM, Customer Summary and Backlog Report, and Financial Exhibits) contain a pattern of inconsistencies that, taken together, undermine the reliability of the data as presented and must be reconciled before any reliance can be placed on the headline metrics. These should be raised with Greenleaf during Phase I (via the Q&amp;A process) and confirmed during QoE.</w:t>
      </w:r>
    </w:p>
    <w:bookmarkStart w:id="38" w:name="adjusted-ebitda-bridge-arithmetic-error"/>
    <w:p>
      <w:pPr>
        <w:pStyle w:val="Heading3"/>
      </w:pPr>
      <w:r>
        <w:t xml:space="preserve">5.1 Adjusted EBITDA Bridge Arithmetic Error</w:t>
      </w:r>
    </w:p>
    <w:p>
      <w:pPr>
        <w:pStyle w:val="FirstParagraph"/>
      </w:pPr>
      <w:r>
        <w:t xml:space="preserve">As detailed in Section 4.2, the FY2024 Adjusted EBITDA bridge does not foot: listed adjustments of $4.7M plus reported EBITDA of $12.1M equals $16.8M, not the $17.1M stated. This $0.3M error is present in both the CIM and the Financial Exhibits and inflates the valuation reference metric.</w:t>
      </w:r>
      <w:r>
        <w:t xml:space="preserve"> </w:t>
      </w:r>
      <w:r>
        <w:rPr>
          <w:b/>
          <w:bCs/>
        </w:rPr>
        <w:t xml:space="preserve">This should be raised with Greenleaf immediately and the correct figure confirmed.</w:t>
      </w:r>
    </w:p>
    <w:bookmarkEnd w:id="38"/>
    <w:bookmarkStart w:id="39" w:name="X7fa88f48aec4c90a64303888db6193c8718bf10"/>
    <w:p>
      <w:pPr>
        <w:pStyle w:val="Heading3"/>
      </w:pPr>
      <w:r>
        <w:t xml:space="preserve">5.2 Customer List Inconsistencies (CIM vs. Backlog Report)</w:t>
      </w:r>
    </w:p>
    <w:p>
      <w:pPr>
        <w:pStyle w:val="FirstParagraph"/>
      </w:pPr>
      <w:r>
        <w:t xml:space="preserve">The CIM (Section V.B) and the Customer Summary and Backlog Report (Section 3.2) each present a</w:t>
      </w:r>
      <w:r>
        <w:t xml:space="preserve"> </w:t>
      </w:r>
      <w:r>
        <w:t xml:space="preserve">“</w:t>
      </w:r>
      <w:r>
        <w:t xml:space="preserve">Top 10 Customer</w:t>
      </w:r>
      <w:r>
        <w:t xml:space="preserve">”</w:t>
      </w:r>
      <w:r>
        <w:t xml:space="preserve"> </w:t>
      </w:r>
      <w:r>
        <w:t xml:space="preserve">table. The top 5 customers are the same in both documents (PNR, ODOT, Columbia Basin Power Authority, Meridian Lumber &amp; Paper, Willamette Steel), but customers ranked #6–#10 have</w:t>
      </w:r>
      <w:r>
        <w:t xml:space="preserve"> </w:t>
      </w:r>
      <w:r>
        <w:rPr>
          <w:b/>
          <w:bCs/>
        </w:rPr>
        <w:t xml:space="preserve">entirely different names, segments served, contract types, and expiration dates</w:t>
      </w:r>
      <w:r>
        <w:t xml:space="preserve">, despite carrying identical revenue amounts and percentages: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Revenue</w:t>
            </w:r>
          </w:p>
        </w:tc>
        <w:tc>
          <w:tcPr/>
          <w:p>
            <w:pPr>
              <w:pStyle w:val="Compact"/>
              <w:jc w:val="left"/>
            </w:pPr>
            <w:r>
              <w:t xml:space="preserve">CIM Customer</w:t>
            </w:r>
          </w:p>
        </w:tc>
        <w:tc>
          <w:tcPr/>
          <w:p>
            <w:pPr>
              <w:pStyle w:val="Compact"/>
              <w:jc w:val="left"/>
            </w:pPr>
            <w:r>
              <w:t xml:space="preserve">Backlog Report Customer</w:t>
            </w:r>
          </w:p>
        </w:tc>
      </w:tr>
      <w:tr>
        <w:tc>
          <w:tcPr/>
          <w:p>
            <w:pPr>
              <w:pStyle w:val="Compact"/>
              <w:jc w:val="left"/>
            </w:pPr>
            <w:r>
              <w:t xml:space="preserve">6</w:t>
            </w:r>
          </w:p>
        </w:tc>
        <w:tc>
          <w:tcPr/>
          <w:p>
            <w:pPr>
              <w:pStyle w:val="Compact"/>
              <w:jc w:val="left"/>
            </w:pPr>
            <w:r>
              <w:t xml:space="preserve">$3.8M (4.4%)</w:t>
            </w:r>
          </w:p>
        </w:tc>
        <w:tc>
          <w:tcPr/>
          <w:p>
            <w:pPr>
              <w:pStyle w:val="Compact"/>
              <w:jc w:val="left"/>
            </w:pPr>
            <w:r>
              <w:t xml:space="preserve">Cascade Terminals, Inc. (IC; MSA; Jun 2026)</w:t>
            </w:r>
          </w:p>
        </w:tc>
        <w:tc>
          <w:tcPr/>
          <w:p>
            <w:pPr>
              <w:pStyle w:val="Compact"/>
              <w:jc w:val="left"/>
            </w:pPr>
            <w:r>
              <w:t xml:space="preserve">Clearwater Municipal Utility District (Rem; MSA; Jun 2026)</w:t>
            </w:r>
          </w:p>
        </w:tc>
      </w:tr>
      <w:tr>
        <w:tc>
          <w:tcPr/>
          <w:p>
            <w:pPr>
              <w:pStyle w:val="Compact"/>
              <w:jc w:val="left"/>
            </w:pPr>
            <w:r>
              <w:t xml:space="preserve">7</w:t>
            </w:r>
          </w:p>
        </w:tc>
        <w:tc>
          <w:tcPr/>
          <w:p>
            <w:pPr>
              <w:pStyle w:val="Compact"/>
              <w:jc w:val="left"/>
            </w:pPr>
            <w:r>
              <w:t xml:space="preserve">$3.6M (4.1%)</w:t>
            </w:r>
          </w:p>
        </w:tc>
        <w:tc>
          <w:tcPr/>
          <w:p>
            <w:pPr>
              <w:pStyle w:val="Compact"/>
              <w:jc w:val="left"/>
            </w:pPr>
            <w:r>
              <w:t xml:space="preserve">Puget Sound Utilities Group (Rem; Fixed-term; Dec 2026)</w:t>
            </w:r>
          </w:p>
        </w:tc>
        <w:tc>
          <w:tcPr/>
          <w:p>
            <w:pPr>
              <w:pStyle w:val="Compact"/>
              <w:jc w:val="left"/>
            </w:pPr>
            <w:r>
              <w:t xml:space="preserve">Northshore Industrial Park (Rem, ER; Service Agmt; Sep 2026)</w:t>
            </w:r>
          </w:p>
        </w:tc>
      </w:tr>
      <w:tr>
        <w:tc>
          <w:tcPr/>
          <w:p>
            <w:pPr>
              <w:pStyle w:val="Compact"/>
              <w:jc w:val="left"/>
            </w:pPr>
            <w:r>
              <w:t xml:space="preserve">8</w:t>
            </w:r>
          </w:p>
        </w:tc>
        <w:tc>
          <w:tcPr/>
          <w:p>
            <w:pPr>
              <w:pStyle w:val="Compact"/>
              <w:jc w:val="left"/>
            </w:pPr>
            <w:r>
              <w:t xml:space="preserve">$3.2M (3.7%)</w:t>
            </w:r>
          </w:p>
        </w:tc>
        <w:tc>
          <w:tcPr/>
          <w:p>
            <w:pPr>
              <w:pStyle w:val="Compact"/>
              <w:jc w:val="left"/>
            </w:pPr>
            <w:r>
              <w:t xml:space="preserve">City of Portland — BES (Rem, ER; Government; annual)</w:t>
            </w:r>
          </w:p>
        </w:tc>
        <w:tc>
          <w:tcPr/>
          <w:p>
            <w:pPr>
              <w:pStyle w:val="Compact"/>
              <w:jc w:val="left"/>
            </w:pPr>
            <w:r>
              <w:t xml:space="preserve">Summit Materials Processing (IC; MSA; Mar 2026)</w:t>
            </w:r>
          </w:p>
        </w:tc>
      </w:tr>
      <w:tr>
        <w:tc>
          <w:tcPr/>
          <w:p>
            <w:pPr>
              <w:pStyle w:val="Compact"/>
              <w:jc w:val="left"/>
            </w:pPr>
            <w:r>
              <w:t xml:space="preserve">9</w:t>
            </w:r>
          </w:p>
        </w:tc>
        <w:tc>
          <w:tcPr/>
          <w:p>
            <w:pPr>
              <w:pStyle w:val="Compact"/>
              <w:jc w:val="left"/>
            </w:pPr>
            <w:r>
              <w:t xml:space="preserve">$2.9M (3.3%)</w:t>
            </w:r>
          </w:p>
        </w:tc>
        <w:tc>
          <w:tcPr/>
          <w:p>
            <w:pPr>
              <w:pStyle w:val="Compact"/>
              <w:jc w:val="left"/>
            </w:pPr>
            <w:r>
              <w:t xml:space="preserve">Northern Pacific Rail Systems (ER; MSA; Sep 2026)</w:t>
            </w:r>
          </w:p>
        </w:tc>
        <w:tc>
          <w:tcPr/>
          <w:p>
            <w:pPr>
              <w:pStyle w:val="Compact"/>
              <w:jc w:val="left"/>
            </w:pPr>
            <w:r>
              <w:t xml:space="preserve">Timberline Construction Group (Rem; Task Order; Ongoing)</w:t>
            </w:r>
          </w:p>
        </w:tc>
      </w:tr>
      <w:tr>
        <w:tc>
          <w:tcPr/>
          <w:p>
            <w:pPr>
              <w:pStyle w:val="Compact"/>
              <w:jc w:val="left"/>
            </w:pPr>
            <w:r>
              <w:t xml:space="preserve">10</w:t>
            </w:r>
          </w:p>
        </w:tc>
        <w:tc>
          <w:tcPr/>
          <w:p>
            <w:pPr>
              <w:pStyle w:val="Compact"/>
              <w:jc w:val="left"/>
            </w:pPr>
            <w:r>
              <w:t xml:space="preserve">$2.7M (3.1%)</w:t>
            </w:r>
          </w:p>
        </w:tc>
        <w:tc>
          <w:tcPr/>
          <w:p>
            <w:pPr>
              <w:pStyle w:val="Compact"/>
              <w:jc w:val="left"/>
            </w:pPr>
            <w:r>
              <w:t xml:space="preserve">Tidewater Chemical Corp. (IC, Rem; MSA; Mar 2027)</w:t>
            </w:r>
          </w:p>
        </w:tc>
        <w:tc>
          <w:tcPr/>
          <w:p>
            <w:pPr>
              <w:pStyle w:val="Compact"/>
              <w:jc w:val="left"/>
            </w:pPr>
            <w:r>
              <w:t xml:space="preserve">Harborview Port Authority (ER, IC; MSA; Dec 2026)</w:t>
            </w:r>
          </w:p>
        </w:tc>
      </w:tr>
    </w:tbl>
    <w:p>
      <w:pPr>
        <w:pStyle w:val="BodyText"/>
      </w:pPr>
      <w:r>
        <w:t xml:space="preserve">At least one of these documents contains incorrect customer information. Even within the top 5, the segment classifications and relationship-tenure dates conflict: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CIM relationship since</w:t>
            </w:r>
          </w:p>
        </w:tc>
        <w:tc>
          <w:tcPr/>
          <w:p>
            <w:pPr>
              <w:pStyle w:val="Compact"/>
              <w:jc w:val="left"/>
            </w:pPr>
            <w:r>
              <w:t xml:space="preserve">Backlog Report since</w:t>
            </w:r>
          </w:p>
        </w:tc>
        <w:tc>
          <w:tcPr/>
          <w:p>
            <w:pPr>
              <w:pStyle w:val="Compact"/>
              <w:jc w:val="left"/>
            </w:pPr>
            <w:r>
              <w:t xml:space="preserve">CIM segments</w:t>
            </w:r>
          </w:p>
        </w:tc>
        <w:tc>
          <w:tcPr/>
          <w:p>
            <w:pPr>
              <w:pStyle w:val="Compact"/>
              <w:jc w:val="left"/>
            </w:pPr>
            <w:r>
              <w:t xml:space="preserve">Backlog segments</w:t>
            </w:r>
          </w:p>
        </w:tc>
      </w:tr>
      <w:tr>
        <w:tc>
          <w:tcPr/>
          <w:p>
            <w:pPr>
              <w:pStyle w:val="Compact"/>
              <w:jc w:val="left"/>
            </w:pPr>
            <w:r>
              <w:t xml:space="preserve">PNR</w:t>
            </w:r>
          </w:p>
        </w:tc>
        <w:tc>
          <w:tcPr/>
          <w:p>
            <w:pPr>
              <w:pStyle w:val="Compact"/>
              <w:jc w:val="left"/>
            </w:pPr>
            <w:r>
              <w:t xml:space="preserve">2011</w:t>
            </w:r>
          </w:p>
        </w:tc>
        <w:tc>
          <w:tcPr/>
          <w:p>
            <w:pPr>
              <w:pStyle w:val="Compact"/>
              <w:jc w:val="left"/>
            </w:pPr>
            <w:r>
              <w:t xml:space="preserve">2012</w:t>
            </w:r>
          </w:p>
        </w:tc>
        <w:tc>
          <w:tcPr/>
          <w:p>
            <w:pPr>
              <w:pStyle w:val="Compact"/>
              <w:jc w:val="left"/>
            </w:pPr>
            <w:r>
              <w:t xml:space="preserve">IC, Remediation</w:t>
            </w:r>
          </w:p>
        </w:tc>
        <w:tc>
          <w:tcPr/>
          <w:p>
            <w:pPr>
              <w:pStyle w:val="Compact"/>
              <w:jc w:val="left"/>
            </w:pPr>
            <w:r>
              <w:t xml:space="preserve">IC, ER</w:t>
            </w:r>
          </w:p>
        </w:tc>
      </w:tr>
      <w:tr>
        <w:tc>
          <w:tcPr/>
          <w:p>
            <w:pPr>
              <w:pStyle w:val="Compact"/>
              <w:jc w:val="left"/>
            </w:pPr>
            <w:r>
              <w:t xml:space="preserve">ODOT</w:t>
            </w:r>
          </w:p>
        </w:tc>
        <w:tc>
          <w:tcPr/>
          <w:p>
            <w:pPr>
              <w:pStyle w:val="Compact"/>
              <w:jc w:val="left"/>
            </w:pPr>
            <w:r>
              <w:t xml:space="preserve">2013</w:t>
            </w:r>
          </w:p>
        </w:tc>
        <w:tc>
          <w:tcPr/>
          <w:p>
            <w:pPr>
              <w:pStyle w:val="Compact"/>
              <w:jc w:val="left"/>
            </w:pPr>
            <w:r>
              <w:t xml:space="preserve">2014</w:t>
            </w:r>
          </w:p>
        </w:tc>
        <w:tc>
          <w:tcPr/>
          <w:p>
            <w:pPr>
              <w:pStyle w:val="Compact"/>
              <w:jc w:val="left"/>
            </w:pPr>
            <w:r>
              <w:t xml:space="preserve">ER, Remediation</w:t>
            </w:r>
          </w:p>
        </w:tc>
        <w:tc>
          <w:tcPr/>
          <w:p>
            <w:pPr>
              <w:pStyle w:val="Compact"/>
              <w:jc w:val="left"/>
            </w:pPr>
            <w:r>
              <w:t xml:space="preserve">Rem, ER</w:t>
            </w:r>
          </w:p>
        </w:tc>
      </w:tr>
      <w:tr>
        <w:tc>
          <w:tcPr/>
          <w:p>
            <w:pPr>
              <w:pStyle w:val="Compact"/>
              <w:jc w:val="left"/>
            </w:pPr>
            <w:r>
              <w:t xml:space="preserve">Columbia Basin</w:t>
            </w:r>
          </w:p>
        </w:tc>
        <w:tc>
          <w:tcPr/>
          <w:p>
            <w:pPr>
              <w:pStyle w:val="Compact"/>
              <w:jc w:val="left"/>
            </w:pPr>
            <w:r>
              <w:t xml:space="preserve">2017</w:t>
            </w:r>
          </w:p>
        </w:tc>
        <w:tc>
          <w:tcPr/>
          <w:p>
            <w:pPr>
              <w:pStyle w:val="Compact"/>
              <w:jc w:val="left"/>
            </w:pPr>
            <w:r>
              <w:t xml:space="preserve">2016</w:t>
            </w:r>
          </w:p>
        </w:tc>
        <w:tc>
          <w:tcPr/>
          <w:p>
            <w:pPr>
              <w:pStyle w:val="Compact"/>
              <w:jc w:val="left"/>
            </w:pPr>
            <w:r>
              <w:t xml:space="preserve">IC, Remediation</w:t>
            </w:r>
          </w:p>
        </w:tc>
        <w:tc>
          <w:tcPr/>
          <w:p>
            <w:pPr>
              <w:pStyle w:val="Compact"/>
              <w:jc w:val="left"/>
            </w:pPr>
            <w:r>
              <w:t xml:space="preserve">Rem, IC</w:t>
            </w:r>
          </w:p>
        </w:tc>
      </w:tr>
      <w:tr>
        <w:tc>
          <w:tcPr/>
          <w:p>
            <w:pPr>
              <w:pStyle w:val="Compact"/>
              <w:jc w:val="left"/>
            </w:pPr>
            <w:r>
              <w:t xml:space="preserve">Meridian</w:t>
            </w:r>
          </w:p>
        </w:tc>
        <w:tc>
          <w:tcPr/>
          <w:p>
            <w:pPr>
              <w:pStyle w:val="Compact"/>
              <w:jc w:val="left"/>
            </w:pPr>
            <w:r>
              <w:t xml:space="preserve">2014</w:t>
            </w:r>
          </w:p>
        </w:tc>
        <w:tc>
          <w:tcPr/>
          <w:p>
            <w:pPr>
              <w:pStyle w:val="Compact"/>
              <w:jc w:val="left"/>
            </w:pPr>
            <w:r>
              <w:t xml:space="preserve">2017</w:t>
            </w:r>
          </w:p>
        </w:tc>
        <w:tc>
          <w:tcPr/>
          <w:p>
            <w:pPr>
              <w:pStyle w:val="Compact"/>
              <w:jc w:val="left"/>
            </w:pPr>
            <w:r>
              <w:t xml:space="preserve">IC</w:t>
            </w:r>
          </w:p>
        </w:tc>
        <w:tc>
          <w:tcPr/>
          <w:p>
            <w:pPr>
              <w:pStyle w:val="Compact"/>
              <w:jc w:val="left"/>
            </w:pPr>
            <w:r>
              <w:t xml:space="preserve">IC, Rem</w:t>
            </w:r>
          </w:p>
        </w:tc>
      </w:tr>
      <w:tr>
        <w:tc>
          <w:tcPr/>
          <w:p>
            <w:pPr>
              <w:pStyle w:val="Compact"/>
              <w:jc w:val="left"/>
            </w:pPr>
            <w:r>
              <w:t xml:space="preserve">Willamette Steel</w:t>
            </w:r>
          </w:p>
        </w:tc>
        <w:tc>
          <w:tcPr/>
          <w:p>
            <w:pPr>
              <w:pStyle w:val="Compact"/>
              <w:jc w:val="left"/>
            </w:pPr>
            <w:r>
              <w:t xml:space="preserve">(not stated)</w:t>
            </w:r>
          </w:p>
        </w:tc>
        <w:tc>
          <w:tcPr/>
          <w:p>
            <w:pPr>
              <w:pStyle w:val="Compact"/>
              <w:jc w:val="left"/>
            </w:pPr>
            <w:r>
              <w:t xml:space="preserve">2018</w:t>
            </w:r>
          </w:p>
        </w:tc>
        <w:tc>
          <w:tcPr/>
          <w:p>
            <w:pPr>
              <w:pStyle w:val="Compact"/>
              <w:jc w:val="left"/>
            </w:pPr>
            <w:r>
              <w:t xml:space="preserve">Remediation, IC</w:t>
            </w:r>
          </w:p>
        </w:tc>
        <w:tc>
          <w:tcPr/>
          <w:p>
            <w:pPr>
              <w:pStyle w:val="Compact"/>
              <w:jc w:val="left"/>
            </w:pPr>
            <w:r>
              <w:t xml:space="preserve">IC</w:t>
            </w:r>
          </w:p>
        </w:tc>
      </w:tr>
    </w:tbl>
    <w:p>
      <w:pPr>
        <w:pStyle w:val="BodyText"/>
      </w:pPr>
      <w:r>
        <w:rPr>
          <w:b/>
          <w:bCs/>
        </w:rPr>
        <w:t xml:space="preserve">Implications:</w:t>
      </w:r>
      <w:r>
        <w:t xml:space="preserve"> </w:t>
      </w:r>
      <w:r>
        <w:t xml:space="preserve">The customer concentration analysis, contract expiration tracking, cross-selling claims, and renewal-risk assessment all depend on reliable customer data. As presented, this data is unreliable. The discrepancy also raises a broader concern about the rigor with which the sell-side materials were prepared.</w:t>
      </w:r>
      <w:r>
        <w:t xml:space="preserve"> </w:t>
      </w:r>
      <w:r>
        <w:rPr>
          <w:b/>
          <w:bCs/>
        </w:rPr>
        <w:t xml:space="preserve">A single, reconciled customer list with verified contract status (especially for PNR, whose MSA expired March 31, 2025) must be requested.</w:t>
      </w:r>
    </w:p>
    <w:bookmarkEnd w:id="39"/>
    <w:bookmarkStart w:id="40" w:name="X1aedd76b1c92283d78925810f8fe74956efeeed"/>
    <w:p>
      <w:pPr>
        <w:pStyle w:val="Heading3"/>
      </w:pPr>
      <w:r>
        <w:t xml:space="preserve">5.3 Financial Statement Discrepancies (CIM Appendix A vs. Financial Exhibits)</w:t>
      </w:r>
    </w:p>
    <w:p>
      <w:pPr>
        <w:pStyle w:val="FirstParagraph"/>
      </w:pPr>
      <w:r>
        <w:t xml:space="preserve">The CIM’s condensed income statement (Appendix A) and the Financial Exhibits</w:t>
      </w:r>
      <w:r>
        <w:t xml:space="preserve"> </w:t>
      </w:r>
      <w:r>
        <w:t xml:space="preserve">“</w:t>
      </w:r>
      <w:r>
        <w:t xml:space="preserve">Income Statement</w:t>
      </w:r>
      <w:r>
        <w:t xml:space="preserve">”</w:t>
      </w:r>
      <w:r>
        <w:t xml:space="preserve"> </w:t>
      </w:r>
      <w:r>
        <w:t xml:space="preserve">tab present different figures for the same fiscal years. FY2024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($M)</w:t>
            </w:r>
          </w:p>
        </w:tc>
        <w:tc>
          <w:tcPr/>
          <w:p>
            <w:pPr>
              <w:pStyle w:val="Compact"/>
              <w:jc w:val="left"/>
            </w:pPr>
            <w:r>
              <w:t xml:space="preserve">CIM Appendix A</w:t>
            </w:r>
          </w:p>
        </w:tc>
        <w:tc>
          <w:tcPr/>
          <w:p>
            <w:pPr>
              <w:pStyle w:val="Compact"/>
              <w:jc w:val="left"/>
            </w:pPr>
            <w:r>
              <w:t xml:space="preserve">Exhibits</w:t>
            </w:r>
          </w:p>
        </w:tc>
        <w:tc>
          <w:tcPr/>
          <w:p>
            <w:pPr>
              <w:pStyle w:val="Compact"/>
              <w:jc w:val="left"/>
            </w:pPr>
            <w:r>
              <w:t xml:space="preserve">Difference</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87.3</w:t>
            </w:r>
          </w:p>
        </w:tc>
        <w:tc>
          <w:tcPr/>
          <w:p>
            <w:pPr>
              <w:pStyle w:val="Compact"/>
              <w:jc w:val="left"/>
            </w:pPr>
            <w:r>
              <w:t xml:space="preserve">0.0</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c>
          <w:tcPr/>
          <w:p>
            <w:pPr>
              <w:pStyle w:val="Compact"/>
              <w:jc w:val="left"/>
            </w:pPr>
            <w:r>
              <w:t xml:space="preserve">0.7</w:t>
            </w:r>
          </w:p>
        </w:tc>
      </w:tr>
      <w:tr>
        <w:tc>
          <w:tcPr/>
          <w:p>
            <w:pPr>
              <w:pStyle w:val="Compact"/>
              <w:jc w:val="left"/>
            </w:pPr>
            <w:r>
              <w:t xml:space="preserve">Gross profit</w:t>
            </w:r>
          </w:p>
        </w:tc>
        <w:tc>
          <w:tcPr/>
          <w:p>
            <w:pPr>
              <w:pStyle w:val="Compact"/>
              <w:jc w:val="left"/>
            </w:pPr>
            <w:r>
              <w:t xml:space="preserve">29.5</w:t>
            </w:r>
          </w:p>
        </w:tc>
        <w:tc>
          <w:tcPr/>
          <w:p>
            <w:pPr>
              <w:pStyle w:val="Compact"/>
              <w:jc w:val="left"/>
            </w:pPr>
            <w:r>
              <w:t xml:space="preserve">28.8</w:t>
            </w:r>
          </w:p>
        </w:tc>
        <w:tc>
          <w:tcPr/>
          <w:p>
            <w:pPr>
              <w:pStyle w:val="Compact"/>
              <w:jc w:val="left"/>
            </w:pPr>
            <w:r>
              <w:t xml:space="preserve">0.7</w:t>
            </w:r>
          </w:p>
        </w:tc>
      </w:tr>
      <w:tr>
        <w:tc>
          <w:tcPr/>
          <w:p>
            <w:pPr>
              <w:pStyle w:val="Compact"/>
              <w:jc w:val="left"/>
            </w:pPr>
            <w:r>
              <w:t xml:space="preserve">Gross margin</w:t>
            </w:r>
          </w:p>
        </w:tc>
        <w:tc>
          <w:tcPr/>
          <w:p>
            <w:pPr>
              <w:pStyle w:val="Compact"/>
              <w:jc w:val="left"/>
            </w:pPr>
            <w:r>
              <w:t xml:space="preserve">33.8%</w:t>
            </w:r>
          </w:p>
        </w:tc>
        <w:tc>
          <w:tcPr/>
          <w:p>
            <w:pPr>
              <w:pStyle w:val="Compact"/>
              <w:jc w:val="left"/>
            </w:pPr>
            <w:r>
              <w:t xml:space="preserve">33.0%</w:t>
            </w:r>
          </w:p>
        </w:tc>
        <w:tc>
          <w:tcPr/>
          <w:p>
            <w:pPr>
              <w:pStyle w:val="Compact"/>
              <w:jc w:val="left"/>
            </w:pPr>
            <w:r>
              <w:t xml:space="preserve">0.8 pp</w:t>
            </w:r>
          </w:p>
        </w:tc>
      </w:tr>
      <w:tr>
        <w:tc>
          <w:tcPr/>
          <w:p>
            <w:pPr>
              <w:pStyle w:val="Compact"/>
              <w:jc w:val="left"/>
            </w:pPr>
            <w:r>
              <w:t xml:space="preserve">Total operating expenses</w:t>
            </w:r>
          </w:p>
        </w:tc>
        <w:tc>
          <w:tcPr/>
          <w:p>
            <w:pPr>
              <w:pStyle w:val="Compact"/>
              <w:jc w:val="left"/>
            </w:pPr>
            <w:r>
              <w:t xml:space="preserve">(17.4)</w:t>
            </w:r>
          </w:p>
        </w:tc>
        <w:tc>
          <w:tcPr/>
          <w:p>
            <w:pPr>
              <w:pStyle w:val="Compact"/>
              <w:jc w:val="left"/>
            </w:pPr>
            <w:r>
              <w:t xml:space="preserve">(17.7)</w:t>
            </w:r>
          </w:p>
        </w:tc>
        <w:tc>
          <w:tcPr/>
          <w:p>
            <w:pPr>
              <w:pStyle w:val="Compact"/>
              <w:jc w:val="left"/>
            </w:pPr>
            <w:r>
              <w:t xml:space="preserve">0.3</w:t>
            </w:r>
          </w:p>
        </w:tc>
      </w:tr>
      <w:tr>
        <w:tc>
          <w:tcPr/>
          <w:p>
            <w:pPr>
              <w:pStyle w:val="Compact"/>
              <w:jc w:val="left"/>
            </w:pPr>
            <w:r>
              <w:t xml:space="preserve">Operating income (EBIT)</w:t>
            </w:r>
          </w:p>
        </w:tc>
        <w:tc>
          <w:tcPr/>
          <w:p>
            <w:pPr>
              <w:pStyle w:val="Compact"/>
              <w:jc w:val="left"/>
            </w:pPr>
            <w:r>
              <w:t xml:space="preserve">7.8</w:t>
            </w:r>
          </w:p>
        </w:tc>
        <w:tc>
          <w:tcPr/>
          <w:p>
            <w:pPr>
              <w:pStyle w:val="Compact"/>
              <w:jc w:val="left"/>
            </w:pPr>
            <w:r>
              <w:t xml:space="preserve">11.1</w:t>
            </w:r>
          </w:p>
        </w:tc>
        <w:tc>
          <w:tcPr/>
          <w:p>
            <w:pPr>
              <w:pStyle w:val="Compact"/>
              <w:jc w:val="left"/>
            </w:pPr>
            <w:r>
              <w:t xml:space="preserve">(3.3)</w:t>
            </w:r>
          </w:p>
        </w:tc>
      </w:tr>
      <w:tr>
        <w:tc>
          <w:tcPr/>
          <w:p>
            <w:pPr>
              <w:pStyle w:val="Compact"/>
              <w:jc w:val="left"/>
            </w:pPr>
            <w:r>
              <w:t xml:space="preserve">D&amp;A</w:t>
            </w:r>
          </w:p>
        </w:tc>
        <w:tc>
          <w:tcPr/>
          <w:p>
            <w:pPr>
              <w:pStyle w:val="Compact"/>
              <w:jc w:val="left"/>
            </w:pPr>
            <w:r>
              <w:t xml:space="preserve">(4.3)</w:t>
            </w:r>
          </w:p>
        </w:tc>
        <w:tc>
          <w:tcPr/>
          <w:p>
            <w:pPr>
              <w:pStyle w:val="Compact"/>
              <w:jc w:val="left"/>
            </w:pPr>
            <w:r>
              <w:t xml:space="preserve">(4.2)</w:t>
            </w:r>
          </w:p>
        </w:tc>
        <w:tc>
          <w:tcPr/>
          <w:p>
            <w:pPr>
              <w:pStyle w:val="Compact"/>
              <w:jc w:val="left"/>
            </w:pPr>
            <w:r>
              <w:t xml:space="preserve">(0.1)</w:t>
            </w:r>
          </w:p>
        </w:tc>
      </w:tr>
      <w:tr>
        <w:tc>
          <w:tcPr/>
          <w:p>
            <w:pPr>
              <w:pStyle w:val="Compact"/>
              <w:jc w:val="left"/>
            </w:pPr>
            <w:r>
              <w:rPr>
                <w:b/>
                <w:bCs/>
              </w:rPr>
              <w:t xml:space="preserve">Reported EBITDA</w:t>
            </w:r>
          </w:p>
        </w:tc>
        <w:tc>
          <w:tcPr/>
          <w:p>
            <w:pPr>
              <w:pStyle w:val="Compact"/>
              <w:jc w:val="left"/>
            </w:pPr>
            <w:r>
              <w:rPr>
                <w:b/>
                <w:bCs/>
              </w:rPr>
              <w:t xml:space="preserve">12.1</w:t>
            </w:r>
          </w:p>
        </w:tc>
        <w:tc>
          <w:tcPr/>
          <w:p>
            <w:pPr>
              <w:pStyle w:val="Compact"/>
              <w:jc w:val="left"/>
            </w:pPr>
            <w:r>
              <w:rPr>
                <w:b/>
                <w:bCs/>
              </w:rPr>
              <w:t xml:space="preserve">12.1</w:t>
            </w:r>
          </w:p>
        </w:tc>
        <w:tc>
          <w:tcPr/>
          <w:p>
            <w:pPr>
              <w:pStyle w:val="Compact"/>
              <w:jc w:val="left"/>
            </w:pPr>
            <w:r>
              <w:rPr>
                <w:b/>
                <w:bCs/>
              </w:rPr>
              <w:t xml:space="preserve">0.0</w:t>
            </w:r>
          </w:p>
        </w:tc>
      </w:tr>
      <w:tr>
        <w:tc>
          <w:tcPr/>
          <w:p>
            <w:pPr>
              <w:pStyle w:val="Compact"/>
              <w:jc w:val="left"/>
            </w:pPr>
            <w:r>
              <w:t xml:space="preserve">Interest expense</w:t>
            </w:r>
          </w:p>
        </w:tc>
        <w:tc>
          <w:tcPr/>
          <w:p>
            <w:pPr>
              <w:pStyle w:val="Compact"/>
              <w:jc w:val="left"/>
            </w:pPr>
            <w:r>
              <w:t xml:space="preserve">(1.1)</w:t>
            </w:r>
          </w:p>
        </w:tc>
        <w:tc>
          <w:tcPr/>
          <w:p>
            <w:pPr>
              <w:pStyle w:val="Compact"/>
              <w:jc w:val="left"/>
            </w:pPr>
            <w:r>
              <w:t xml:space="preserve">(1.2)</w:t>
            </w:r>
          </w:p>
        </w:tc>
        <w:tc>
          <w:tcPr/>
          <w:p>
            <w:pPr>
              <w:pStyle w:val="Compact"/>
              <w:jc w:val="left"/>
            </w:pPr>
            <w:r>
              <w:t xml:space="preserve">0.1</w:t>
            </w:r>
          </w:p>
        </w:tc>
      </w:tr>
      <w:tr>
        <w:tc>
          <w:tcPr/>
          <w:p>
            <w:pPr>
              <w:pStyle w:val="Compact"/>
              <w:jc w:val="left"/>
            </w:pPr>
            <w:r>
              <w:t xml:space="preserve">Other income/(expense)</w:t>
            </w:r>
          </w:p>
        </w:tc>
        <w:tc>
          <w:tcPr/>
          <w:p>
            <w:pPr>
              <w:pStyle w:val="Compact"/>
              <w:jc w:val="left"/>
            </w:pPr>
            <w:r>
              <w:t xml:space="preserve">—</w:t>
            </w:r>
          </w:p>
        </w:tc>
        <w:tc>
          <w:tcPr/>
          <w:p>
            <w:pPr>
              <w:pStyle w:val="Compact"/>
              <w:jc w:val="left"/>
            </w:pPr>
            <w:r>
              <w:t xml:space="preserve">(0.9)</w:t>
            </w:r>
          </w:p>
        </w:tc>
        <w:tc>
          <w:tcPr/>
          <w:p>
            <w:pPr>
              <w:pStyle w:val="Compact"/>
              <w:jc w:val="left"/>
            </w:pPr>
            <w:r>
              <w:t xml:space="preserve">—</w:t>
            </w:r>
          </w:p>
        </w:tc>
      </w:tr>
      <w:tr>
        <w:tc>
          <w:tcPr/>
          <w:p>
            <w:pPr>
              <w:pStyle w:val="Compact"/>
              <w:jc w:val="left"/>
            </w:pPr>
            <w:r>
              <w:t xml:space="preserve">Pre-tax income</w:t>
            </w:r>
          </w:p>
        </w:tc>
        <w:tc>
          <w:tcPr/>
          <w:p>
            <w:pPr>
              <w:pStyle w:val="Compact"/>
              <w:jc w:val="left"/>
            </w:pPr>
            <w:r>
              <w:t xml:space="preserve">6.7</w:t>
            </w:r>
          </w:p>
        </w:tc>
        <w:tc>
          <w:tcPr/>
          <w:p>
            <w:pPr>
              <w:pStyle w:val="Compact"/>
              <w:jc w:val="left"/>
            </w:pPr>
            <w:r>
              <w:t xml:space="preserve">9.0</w:t>
            </w:r>
          </w:p>
        </w:tc>
        <w:tc>
          <w:tcPr/>
          <w:p>
            <w:pPr>
              <w:pStyle w:val="Compact"/>
              <w:jc w:val="left"/>
            </w:pPr>
            <w:r>
              <w:t xml:space="preserve">(2.3)</w:t>
            </w:r>
          </w:p>
        </w:tc>
      </w:tr>
      <w:tr>
        <w:tc>
          <w:tcPr/>
          <w:p>
            <w:pPr>
              <w:pStyle w:val="Compact"/>
              <w:jc w:val="left"/>
            </w:pPr>
            <w:r>
              <w:t xml:space="preserve">Net income</w:t>
            </w:r>
          </w:p>
        </w:tc>
        <w:tc>
          <w:tcPr/>
          <w:p>
            <w:pPr>
              <w:pStyle w:val="Compact"/>
              <w:jc w:val="left"/>
            </w:pPr>
            <w:r>
              <w:t xml:space="preserve">5.0</w:t>
            </w:r>
          </w:p>
        </w:tc>
        <w:tc>
          <w:tcPr/>
          <w:p>
            <w:pPr>
              <w:pStyle w:val="Compact"/>
              <w:jc w:val="left"/>
            </w:pPr>
            <w:r>
              <w:t xml:space="preserve">6.7</w:t>
            </w:r>
          </w:p>
        </w:tc>
        <w:tc>
          <w:tcPr/>
          <w:p>
            <w:pPr>
              <w:pStyle w:val="Compact"/>
              <w:jc w:val="left"/>
            </w:pPr>
            <w:r>
              <w:t xml:space="preserve">(1.7)</w:t>
            </w:r>
          </w:p>
        </w:tc>
      </w:tr>
    </w:tbl>
    <w:p>
      <w:pPr>
        <w:pStyle w:val="BodyText"/>
      </w:pPr>
      <w:r>
        <w:t xml:space="preserve">The CIM’s income statement is internally consistent (EBITDA − D&amp;A = operating income; operating income − interest = pre-tax; pre-tax − tax = net income). The exhibits’ income statement is</w:t>
      </w:r>
      <w:r>
        <w:t xml:space="preserve"> </w:t>
      </w:r>
      <w:r>
        <w:rPr>
          <w:b/>
          <w:bCs/>
        </w:rPr>
        <w:t xml:space="preserve">not</w:t>
      </w:r>
      <w:r>
        <w:t xml:space="preserve"> </w:t>
      </w:r>
      <w:r>
        <w:t xml:space="preserve">internally consistent: operating income ($11.1M) plus D&amp;A ($4.2M) equals $15.3M, but reported EBITDA is $12.1M — a $3.2M gap that grows from $1.5M in FY2021. Reported EBITDA ($12.1M) is the audited figure and is consistent across both; the path to and from it differs, and the exhibits’ operating income and net income appear overstated relative to a consistent build.</w:t>
      </w:r>
    </w:p>
    <w:p>
      <w:pPr>
        <w:pStyle w:val="BodyText"/>
      </w:pPr>
      <w:r>
        <w:rPr>
          <w:b/>
          <w:bCs/>
        </w:rPr>
        <w:t xml:space="preserve">Net income differs by $1.7M in FY2024</w:t>
      </w:r>
      <w:r>
        <w:t xml:space="preserve"> </w:t>
      </w:r>
      <w:r>
        <w:t xml:space="preserve">($5.0M CIM vs. $6.7M exhibits). The segment revenue splits also differ for FY2021–FY2023 (though totals reconcile and FY2024 matches). These discrepancies must be reconciled to the audited financials during QoE; the audited statements are the ground truth, and the exhibits appear to contain model errors.</w:t>
      </w:r>
    </w:p>
    <w:bookmarkEnd w:id="40"/>
    <w:bookmarkStart w:id="41" w:name="geographic-mix-discrepancy"/>
    <w:p>
      <w:pPr>
        <w:pStyle w:val="Heading3"/>
      </w:pPr>
      <w:r>
        <w:t xml:space="preserve">5.4 Geographic Mix Discrepancy</w:t>
      </w:r>
    </w:p>
    <w:p>
      <w:pPr>
        <w:pStyle w:val="FirstParagraph"/>
      </w:pPr>
      <w:r>
        <w:t xml:space="preserve">The CIM (Section II.C) states that</w:t>
      </w:r>
      <w:r>
        <w:t xml:space="preserve"> </w:t>
      </w:r>
      <w:r>
        <w:t xml:space="preserve">“</w:t>
      </w:r>
      <w:r>
        <w:t xml:space="preserve">approximately 75% of FY2024 revenue was generated in Oregon and Washington, with the remaining 25% derived from Idaho and Northern California.</w:t>
      </w:r>
      <w:r>
        <w:t xml:space="preserve">”</w:t>
      </w:r>
      <w:r>
        <w:t xml:space="preserve"> </w:t>
      </w:r>
      <w:r>
        <w:t xml:space="preserve">The Backlog Report (Appendix A) provides a state-level breakdown that implies a different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Revenue ($M)</w:t>
            </w:r>
          </w:p>
        </w:tc>
        <w:tc>
          <w:tcPr/>
          <w:p>
            <w:pPr>
              <w:pStyle w:val="Compact"/>
              <w:jc w:val="left"/>
            </w:pPr>
            <w:r>
              <w:t xml:space="preserve">% of Total</w:t>
            </w:r>
          </w:p>
        </w:tc>
      </w:tr>
      <w:tr>
        <w:tc>
          <w:tcPr/>
          <w:p>
            <w:pPr>
              <w:pStyle w:val="Compact"/>
              <w:jc w:val="left"/>
            </w:pPr>
            <w:r>
              <w:t xml:space="preserve">Oregon</w:t>
            </w:r>
          </w:p>
        </w:tc>
        <w:tc>
          <w:tcPr/>
          <w:p>
            <w:pPr>
              <w:pStyle w:val="Compact"/>
              <w:jc w:val="left"/>
            </w:pPr>
            <w:r>
              <w:t xml:space="preserve">47.6</w:t>
            </w:r>
          </w:p>
        </w:tc>
        <w:tc>
          <w:tcPr/>
          <w:p>
            <w:pPr>
              <w:pStyle w:val="Compact"/>
              <w:jc w:val="left"/>
            </w:pPr>
            <w:r>
              <w:t xml:space="preserve">54.5%</w:t>
            </w:r>
          </w:p>
        </w:tc>
      </w:tr>
      <w:tr>
        <w:tc>
          <w:tcPr/>
          <w:p>
            <w:pPr>
              <w:pStyle w:val="Compact"/>
              <w:jc w:val="left"/>
            </w:pPr>
            <w:r>
              <w:t xml:space="preserve">Washington</w:t>
            </w:r>
          </w:p>
        </w:tc>
        <w:tc>
          <w:tcPr/>
          <w:p>
            <w:pPr>
              <w:pStyle w:val="Compact"/>
              <w:jc w:val="left"/>
            </w:pPr>
            <w:r>
              <w:t xml:space="preserve">24.3</w:t>
            </w:r>
          </w:p>
        </w:tc>
        <w:tc>
          <w:tcPr/>
          <w:p>
            <w:pPr>
              <w:pStyle w:val="Compact"/>
              <w:jc w:val="left"/>
            </w:pPr>
            <w:r>
              <w:t xml:space="preserve">27.8%</w:t>
            </w:r>
          </w:p>
        </w:tc>
      </w:tr>
      <w:tr>
        <w:tc>
          <w:tcPr/>
          <w:p>
            <w:pPr>
              <w:pStyle w:val="Compact"/>
              <w:jc w:val="left"/>
            </w:pPr>
            <w:r>
              <w:t xml:space="preserve">Idaho</w:t>
            </w:r>
          </w:p>
        </w:tc>
        <w:tc>
          <w:tcPr/>
          <w:p>
            <w:pPr>
              <w:pStyle w:val="Compact"/>
              <w:jc w:val="left"/>
            </w:pPr>
            <w:r>
              <w:t xml:space="preserve">8.7</w:t>
            </w:r>
          </w:p>
        </w:tc>
        <w:tc>
          <w:tcPr/>
          <w:p>
            <w:pPr>
              <w:pStyle w:val="Compact"/>
              <w:jc w:val="left"/>
            </w:pPr>
            <w:r>
              <w:t xml:space="preserve">10.0%</w:t>
            </w:r>
          </w:p>
        </w:tc>
      </w:tr>
      <w:tr>
        <w:tc>
          <w:tcPr/>
          <w:p>
            <w:pPr>
              <w:pStyle w:val="Compact"/>
              <w:jc w:val="left"/>
            </w:pPr>
            <w:r>
              <w:t xml:space="preserve">Northern California</w:t>
            </w:r>
          </w:p>
        </w:tc>
        <w:tc>
          <w:tcPr/>
          <w:p>
            <w:pPr>
              <w:pStyle w:val="Compact"/>
              <w:jc w:val="left"/>
            </w:pPr>
            <w:r>
              <w:t xml:space="preserve">6.7</w:t>
            </w:r>
          </w:p>
        </w:tc>
        <w:tc>
          <w:tcPr/>
          <w:p>
            <w:pPr>
              <w:pStyle w:val="Compact"/>
              <w:jc w:val="left"/>
            </w:pPr>
            <w:r>
              <w:t xml:space="preserve">7.7%</w:t>
            </w:r>
          </w:p>
        </w:tc>
      </w:tr>
    </w:tbl>
    <w:p>
      <w:pPr>
        <w:pStyle w:val="BodyText"/>
      </w:pPr>
      <w:r>
        <w:t xml:space="preserve">Oregon + Washington =</w:t>
      </w:r>
      <w:r>
        <w:t xml:space="preserve"> </w:t>
      </w:r>
      <w:r>
        <w:rPr>
          <w:b/>
          <w:bCs/>
        </w:rPr>
        <w:t xml:space="preserve">82.3%</w:t>
      </w:r>
      <w:r>
        <w:t xml:space="preserve"> </w:t>
      </w:r>
      <w:r>
        <w:t xml:space="preserve">(not 75%); Idaho + Northern California =</w:t>
      </w:r>
      <w:r>
        <w:t xml:space="preserve"> </w:t>
      </w:r>
      <w:r>
        <w:rPr>
          <w:b/>
          <w:bCs/>
        </w:rPr>
        <w:t xml:space="preserve">17.7%</w:t>
      </w:r>
      <w:r>
        <w:t xml:space="preserve"> </w:t>
      </w:r>
      <w:r>
        <w:t xml:space="preserve">(not 25%). The CIM overstates the contribution of the newer markets by ~7 percentage points. This matters because the geographic expansion and diversification narrative is part of the growth thesis, and the newer markets (ID, NorCal) are where management is investing business-development resources and where the PFAS pipeline is concentrated.</w:t>
      </w:r>
    </w:p>
    <w:bookmarkEnd w:id="41"/>
    <w:bookmarkStart w:id="42" w:name="other-inconsistencies"/>
    <w:p>
      <w:pPr>
        <w:pStyle w:val="Heading3"/>
      </w:pPr>
      <w:r>
        <w:t xml:space="preserve">5.5 Other Inconsistencies</w:t>
      </w:r>
    </w:p>
    <w:p>
      <w:pPr>
        <w:pStyle w:val="Compact"/>
        <w:numPr>
          <w:ilvl w:val="0"/>
          <w:numId w:val="1009"/>
        </w:numPr>
      </w:pPr>
      <w:r>
        <w:rPr>
          <w:b/>
          <w:bCs/>
        </w:rPr>
        <w:t xml:space="preserve">Real estate market rent contradiction.</w:t>
      </w:r>
      <w:r>
        <w:t xml:space="preserve"> </w:t>
      </w:r>
      <w:r>
        <w:t xml:space="preserve">As noted in Section 4.2, the CIM states market rent of $600K (Section VIII.A) for the HQ but also states that comparable specialized environmental staging facilities command $1.0–1.2M annually (Section IV.C). These are contradictory and directly affect the $0.8M lease add-back.</w:t>
      </w:r>
    </w:p>
    <w:p>
      <w:pPr>
        <w:pStyle w:val="Compact"/>
        <w:numPr>
          <w:ilvl w:val="0"/>
          <w:numId w:val="1009"/>
        </w:numPr>
      </w:pPr>
      <w:r>
        <w:rPr>
          <w:b/>
          <w:bCs/>
        </w:rPr>
        <w:t xml:space="preserve">Fleet count.</w:t>
      </w:r>
      <w:r>
        <w:t xml:space="preserve"> </w:t>
      </w:r>
      <w:r>
        <w:t xml:space="preserve">Section VIII.A references a</w:t>
      </w:r>
      <w:r>
        <w:t xml:space="preserve"> </w:t>
      </w:r>
      <w:r>
        <w:t xml:space="preserve">“</w:t>
      </w:r>
      <w:r>
        <w:t xml:space="preserve">fleet of 45+ trucks,</w:t>
      </w:r>
      <w:r>
        <w:t xml:space="preserve">”</w:t>
      </w:r>
      <w:r>
        <w:t xml:space="preserve"> </w:t>
      </w:r>
      <w:r>
        <w:t xml:space="preserve">while Appendix C details 82+ major units (18 vacuum trucks, 12 hydroblasters, 8 excavators, 6 roll-off trucks, 35+ support vehicles, 3 PFAS units). Minor, but indicative of inconsistent drafting.</w:t>
      </w:r>
    </w:p>
    <w:p>
      <w:pPr>
        <w:pStyle w:val="Compact"/>
        <w:numPr>
          <w:ilvl w:val="0"/>
          <w:numId w:val="1009"/>
        </w:numPr>
      </w:pPr>
      <w:r>
        <w:rPr>
          <w:b/>
          <w:bCs/>
        </w:rPr>
        <w:t xml:space="preserve">Maintenance capex classification.</w:t>
      </w:r>
      <w:r>
        <w:t xml:space="preserve"> </w:t>
      </w:r>
      <w:r>
        <w:t xml:space="preserve">The CIM (Section VI.E) reports maintenance capex of $3.0M for FY2022 and FY2023, while the exhibits’ capex schedule shows $2.6M and $2.8M respectively. Total capex matches in all years, but the maintenance/growth split differs in FY2022–FY2023, affecting the recurring-vs-discretionary characterization.</w:t>
      </w:r>
    </w:p>
    <w:p>
      <w:r>
        <w:pict>
          <v:rect style="width:0;height:1.5pt" o:hralign="center" o:hrstd="t" o:hr="t"/>
        </w:pict>
      </w:r>
    </w:p>
    <w:bookmarkEnd w:id="42"/>
    <w:bookmarkEnd w:id="43"/>
    <w:bookmarkStart w:id="55" w:name="X105f6b52146a0c7dc8e6bceb8c4b985c62c1922"/>
    <w:p>
      <w:pPr>
        <w:pStyle w:val="Heading2"/>
      </w:pPr>
      <w:r>
        <w:t xml:space="preserve">6. Key Risk Factors and Diligence Priorities</w:t>
      </w:r>
    </w:p>
    <w:p>
      <w:pPr>
        <w:pStyle w:val="FirstParagraph"/>
      </w:pPr>
      <w:r>
        <w:t xml:space="preserve">The following are prioritized for diligence, drawing on the sector memo’s benchmarks and Thornfield’s GreenWorks and Allied Waste experience. The first three are the most consequential for valuation and returns.</w:t>
      </w:r>
    </w:p>
    <w:bookmarkStart w:id="44" w:name="X0c8905a77a158e6091356ddf57e7ea87020e8e3"/>
    <w:p>
      <w:pPr>
        <w:pStyle w:val="Heading3"/>
      </w:pPr>
      <w:r>
        <w:t xml:space="preserve">6.1 PFAS Projections and Backlog Coverage (HIGH)</w:t>
      </w:r>
    </w:p>
    <w:p>
      <w:pPr>
        <w:pStyle w:val="FirstParagraph"/>
      </w:pPr>
      <w:r>
        <w:t xml:space="preserve">The CIM projects PFAS revenue of $14.0M in FY2025 (+125.8%) and $22.0M in FY2026 (+57.1%). Sector-level PFAS market growth of 25–35% is genuine, but company-level growth is constrained by PE/technician availability, specialized equipment capital, national-competitor entry, and the pace of enforcement that actually triggers funded work. Thornfield’s GreenWorks experience with a comparable emerging service line (vapor intrusion mitigation) saw projected 80%+ growth moderate to ~35% once the practice exceeded $5M. The CIM’s projections imply company-level growth roughly 3x the achievable rate indicated by sector data and portfolio experience.</w:t>
      </w:r>
    </w:p>
    <w:p>
      <w:pPr>
        <w:pStyle w:val="BodyText"/>
      </w:pPr>
      <w:r>
        <w:rPr>
          <w:b/>
          <w:bCs/>
        </w:rPr>
        <w:t xml:space="preserve">Backlog coverage gap.</w:t>
      </w:r>
      <w:r>
        <w:t xml:space="preserve"> </w:t>
      </w:r>
      <w:r>
        <w:t xml:space="preserve">The Backlog Report shows $42.6M contracted backlog, of which $33.0M (77.5%) is expected to convert in FY2025. The $31.4M pipeline at a 35–40% historical win rate yields $11.0–$12.6M. Combined visible revenue for FY2025 is therefore ~$44–$46M, covering only</w:t>
      </w:r>
      <w:r>
        <w:t xml:space="preserve"> </w:t>
      </w:r>
      <w:r>
        <w:rPr>
          <w:b/>
          <w:bCs/>
        </w:rPr>
        <w:t xml:space="preserve">~46% of the $98.5M FY2025E revenue target</w:t>
      </w:r>
      <w:r>
        <w:t xml:space="preserve">. The remaining ~$53M (54% of FY2025E) must come from new business not yet in backlog or pipeline. The Backlog Report notes that</w:t>
      </w:r>
      <w:r>
        <w:t xml:space="preserve"> </w:t>
      </w:r>
      <w:r>
        <w:t xml:space="preserve">“</w:t>
      </w:r>
      <w:r>
        <w:t xml:space="preserve">a significant portion of the Remediation pipeline relates to PFAS</w:t>
      </w:r>
      <w:r>
        <w:t xml:space="preserve">”</w:t>
      </w:r>
      <w:r>
        <w:t xml:space="preserve"> </w:t>
      </w:r>
      <w:r>
        <w:t xml:space="preserve">but does not quantify the PFAS-specific backlog or pipeline — this breakout must be requested.</w:t>
      </w:r>
    </w:p>
    <w:p>
      <w:pPr>
        <w:pStyle w:val="BodyText"/>
      </w:pPr>
      <w:r>
        <w:rPr>
          <w:b/>
          <w:bCs/>
        </w:rPr>
        <w:t xml:space="preserve">If PFAS reaches $9–10M in FY2025 rather than $14M</w:t>
      </w:r>
      <w:r>
        <w:t xml:space="preserve"> </w:t>
      </w:r>
      <w:r>
        <w:t xml:space="preserve">(a $4–5M shortfall), the overall revenue trajectory weakens materially and the projected margin expansion to 20%+ adjusted becomes difficult to achieve, since PFAS is presented (without supporting margin data) as the higher-margin growth driver.</w:t>
      </w:r>
    </w:p>
    <w:p>
      <w:pPr>
        <w:pStyle w:val="BodyText"/>
      </w:pPr>
      <w:r>
        <w:rPr>
          <w:b/>
          <w:bCs/>
        </w:rPr>
        <w:t xml:space="preserve">Diligence requests:</w:t>
      </w:r>
      <w:r>
        <w:t xml:space="preserve"> </w:t>
      </w:r>
      <w:r>
        <w:t xml:space="preserve">(i) PFAS-specific contracted backlog and pipeline breakout (signed vs. pipeline); (ii) PFAS project margin data; (iii) list of PFAS customers and contract terms; (iv) basis for the $14.0M FY2025E figure; (v) competitive landscape for PFAS in the PNW (national entrants).</w:t>
      </w:r>
    </w:p>
    <w:bookmarkEnd w:id="44"/>
    <w:bookmarkStart w:id="45" w:name="X34750454b7d5388307fd410d4c850d95282954c"/>
    <w:p>
      <w:pPr>
        <w:pStyle w:val="Heading3"/>
      </w:pPr>
      <w:r>
        <w:t xml:space="preserve">6.2 Customer Concentration and Contract Expirations (HIGH)</w:t>
      </w:r>
    </w:p>
    <w:p>
      <w:pPr>
        <w:pStyle w:val="FirstParagraph"/>
      </w:pPr>
      <w:r>
        <w:t xml:space="preserve">Top-5 customer concentration is 52.5%; top-10 is 71.0%. Concentration has been declining (top-10 was 74.3% in FY2021), which is favorable, but the absolute level remains high and several key contracts are in transition: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 Rev</w:t>
            </w:r>
          </w:p>
        </w:tc>
        <w:tc>
          <w:tcPr/>
          <w:p>
            <w:pPr>
              <w:pStyle w:val="Compact"/>
              <w:jc w:val="left"/>
            </w:pPr>
            <w:r>
              <w:t xml:space="preserve">Contract Status</w:t>
            </w:r>
          </w:p>
        </w:tc>
      </w:tr>
      <w:tr>
        <w:tc>
          <w:tcPr/>
          <w:p>
            <w:pPr>
              <w:pStyle w:val="Compact"/>
              <w:jc w:val="left"/>
            </w:pPr>
            <w:r>
              <w:t xml:space="preserve">PNR</w:t>
            </w:r>
          </w:p>
        </w:tc>
        <w:tc>
          <w:tcPr/>
          <w:p>
            <w:pPr>
              <w:pStyle w:val="Compact"/>
              <w:jc w:val="left"/>
            </w:pPr>
            <w:r>
              <w:t xml:space="preserve">21.4%</w:t>
            </w:r>
          </w:p>
        </w:tc>
        <w:tc>
          <w:tcPr/>
          <w:p>
            <w:pPr>
              <w:pStyle w:val="Compact"/>
              <w:jc w:val="left"/>
            </w:pPr>
            <w:r>
              <w:rPr>
                <w:b/>
                <w:bCs/>
              </w:rPr>
              <w:t xml:space="preserve">MSA expired March 31, 2025</w:t>
            </w:r>
            <w:r>
              <w:t xml:space="preserve"> </w:t>
            </w:r>
            <w:r>
              <w:t xml:space="preserve">— before the IOI deadline</w:t>
            </w:r>
          </w:p>
        </w:tc>
      </w:tr>
      <w:tr>
        <w:tc>
          <w:tcPr/>
          <w:p>
            <w:pPr>
              <w:pStyle w:val="Compact"/>
              <w:jc w:val="left"/>
            </w:pPr>
            <w:r>
              <w:t xml:space="preserve">ODOT</w:t>
            </w:r>
          </w:p>
        </w:tc>
        <w:tc>
          <w:tcPr/>
          <w:p>
            <w:pPr>
              <w:pStyle w:val="Compact"/>
              <w:jc w:val="left"/>
            </w:pPr>
            <w:r>
              <w:t xml:space="preserve">10.4%</w:t>
            </w:r>
          </w:p>
        </w:tc>
        <w:tc>
          <w:tcPr/>
          <w:p>
            <w:pPr>
              <w:pStyle w:val="Compact"/>
              <w:jc w:val="left"/>
            </w:pPr>
            <w:r>
              <w:t xml:space="preserve">Annual renewal (July)</w:t>
            </w:r>
          </w:p>
        </w:tc>
      </w:tr>
      <w:tr>
        <w:tc>
          <w:tcPr/>
          <w:p>
            <w:pPr>
              <w:pStyle w:val="Compact"/>
              <w:jc w:val="left"/>
            </w:pPr>
            <w:r>
              <w:t xml:space="preserve">Columbia Basin</w:t>
            </w:r>
          </w:p>
        </w:tc>
        <w:tc>
          <w:tcPr/>
          <w:p>
            <w:pPr>
              <w:pStyle w:val="Compact"/>
              <w:jc w:val="left"/>
            </w:pPr>
            <w:r>
              <w:t xml:space="preserve">8.4%</w:t>
            </w:r>
          </w:p>
        </w:tc>
        <w:tc>
          <w:tcPr/>
          <w:p>
            <w:pPr>
              <w:pStyle w:val="Compact"/>
              <w:jc w:val="left"/>
            </w:pPr>
            <w:r>
              <w:t xml:space="preserve">Through Dec 2027 (secure)</w:t>
            </w:r>
          </w:p>
        </w:tc>
      </w:tr>
      <w:tr>
        <w:tc>
          <w:tcPr/>
          <w:p>
            <w:pPr>
              <w:pStyle w:val="Compact"/>
              <w:jc w:val="left"/>
            </w:pPr>
            <w:r>
              <w:t xml:space="preserve">Meridian</w:t>
            </w:r>
          </w:p>
        </w:tc>
        <w:tc>
          <w:tcPr/>
          <w:p>
            <w:pPr>
              <w:pStyle w:val="Compact"/>
              <w:jc w:val="left"/>
            </w:pPr>
            <w:r>
              <w:t xml:space="preserve">6.6%</w:t>
            </w:r>
          </w:p>
        </w:tc>
        <w:tc>
          <w:tcPr/>
          <w:p>
            <w:pPr>
              <w:pStyle w:val="Compact"/>
              <w:jc w:val="left"/>
            </w:pPr>
            <w:r>
              <w:t xml:space="preserve">MSA expires Dec 31, 2025</w:t>
            </w:r>
          </w:p>
        </w:tc>
      </w:tr>
      <w:tr>
        <w:tc>
          <w:tcPr/>
          <w:p>
            <w:pPr>
              <w:pStyle w:val="Compact"/>
              <w:jc w:val="left"/>
            </w:pPr>
            <w:r>
              <w:t xml:space="preserve">Willamette Steel</w:t>
            </w:r>
          </w:p>
        </w:tc>
        <w:tc>
          <w:tcPr/>
          <w:p>
            <w:pPr>
              <w:pStyle w:val="Compact"/>
              <w:jc w:val="left"/>
            </w:pPr>
            <w:r>
              <w:t xml:space="preserve">5.6%</w:t>
            </w:r>
          </w:p>
        </w:tc>
        <w:tc>
          <w:tcPr/>
          <w:p>
            <w:pPr>
              <w:pStyle w:val="Compact"/>
              <w:jc w:val="left"/>
            </w:pPr>
            <w:r>
              <w:t xml:space="preserve">Month-to-month (no term)</w:t>
            </w:r>
          </w:p>
        </w:tc>
      </w:tr>
    </w:tbl>
    <w:p>
      <w:pPr>
        <w:pStyle w:val="BodyText"/>
      </w:pPr>
      <w:r>
        <w:rPr>
          <w:b/>
          <w:bCs/>
        </w:rPr>
        <w:t xml:space="preserve">PNR is the critical issue.</w:t>
      </w:r>
      <w:r>
        <w:t xml:space="preserve"> </w:t>
      </w:r>
      <w:r>
        <w:t xml:space="preserve">The largest customer (21.4% of revenue, $18.7M) is on an MSA that expired March 31, 2025 — three months before the IOI deadline and ~6+ months before any expected close. The relationship is described as</w:t>
      </w:r>
      <w:r>
        <w:t xml:space="preserve"> </w:t>
      </w:r>
      <w:r>
        <w:t xml:space="preserve">“</w:t>
      </w:r>
      <w:r>
        <w:t xml:space="preserve">deeply embedded</w:t>
      </w:r>
      <w:r>
        <w:t xml:space="preserve">”</w:t>
      </w:r>
      <w:r>
        <w:t xml:space="preserve"> </w:t>
      </w:r>
      <w:r>
        <w:t xml:space="preserve">with</w:t>
      </w:r>
      <w:r>
        <w:t xml:space="preserve"> </w:t>
      </w:r>
      <w:r>
        <w:t xml:space="preserve">“</w:t>
      </w:r>
      <w:r>
        <w:t xml:space="preserve">preferred provider status</w:t>
      </w:r>
      <w:r>
        <w:t xml:space="preserve">”</w:t>
      </w:r>
      <w:r>
        <w:t xml:space="preserve"> </w:t>
      </w:r>
      <w:r>
        <w:t xml:space="preserve">and on-site personnel, but the contract status as of mid-2025 is unclear. Has the MSA been renewed? On what terms? Is work continuing on a month-to-month or at-risk basis? The loss or material reduction of PNR would be devastating. Three of the top-5 customers (PNR, Meridian, Willamette) have expired, expiring, or no-term arrangements representing 33.6% of revenue combined.</w:t>
      </w:r>
    </w:p>
    <w:p>
      <w:pPr>
        <w:pStyle w:val="BodyText"/>
      </w:pPr>
      <w:r>
        <w:rPr>
          <w:b/>
          <w:bCs/>
        </w:rPr>
        <w:t xml:space="preserve">Diligence requests:</w:t>
      </w:r>
      <w:r>
        <w:t xml:space="preserve"> </w:t>
      </w:r>
      <w:r>
        <w:t xml:space="preserve">(i) Current status of the PNR MSA (renewed? terms?); (ii) PNR relationship depth, alternative-provider risk, and replacement-revenue capacity; (iii) renewal probability and timeline for Meridian and ODOT; (iv) reason for Willamette Steel’s month-to-month status; (v) reconciled customer list (per Section 5.2).</w:t>
      </w:r>
    </w:p>
    <w:bookmarkEnd w:id="45"/>
    <w:bookmarkStart w:id="46" w:name="X813aab0a85e55db8a14a4115836e0222e45dc20"/>
    <w:p>
      <w:pPr>
        <w:pStyle w:val="Heading3"/>
      </w:pPr>
      <w:r>
        <w:t xml:space="preserve">6.3 Maintenance Capex and Fleet Condition (HIGH)</w:t>
      </w:r>
    </w:p>
    <w:p>
      <w:pPr>
        <w:pStyle w:val="FirstParagraph"/>
      </w:pPr>
      <w:r>
        <w:t xml:space="preserve">Stated maintenance capex of $3.0M (3.4% of revenue) is 150–200 bps below the 5–7% sector range ($4.4M–$6.1M for CES’s revenue base). The exhibits’ capex schedule shows maintenance capex</w:t>
      </w:r>
      <w:r>
        <w:t xml:space="preserve"> </w:t>
      </w:r>
      <w:r>
        <w:rPr>
          <w:b/>
          <w:bCs/>
        </w:rPr>
        <w:t xml:space="preserve">declining</w:t>
      </w:r>
      <w:r>
        <w:t xml:space="preserve"> </w:t>
      </w:r>
      <w:r>
        <w:t xml:space="preserve">as a percentage of revenue over time (3.9% in FY2021 → 3.4% in FY2024 → 2.7% in FY2027E) — the opposite of what one would expect as a fleet with an average age of ~4.5 years matures. This pattern is consistent with Thornfield’s GreenWorks experience, where sell-side maintenance capex of ~3.5% of revenue proved to be ~6.2% post-close after a fleet assessment revealed deferred maintenance and aging equipment.</w:t>
      </w:r>
    </w:p>
    <w:p>
      <w:pPr>
        <w:pStyle w:val="BodyText"/>
      </w:pPr>
      <w:r>
        <w:t xml:space="preserve">If true maintenance capex is $5.5M (sector midpoint) rather than $3.0M, the $2.5M annual difference directly reduces free cash flow (see Section 4.4) and the implied returns. At a 9.0x multiple, a $2.5M FCF reduction capitalized is ~$22.5M of value — a material portion of the gap between the sell-side and buy-side valuations.</w:t>
      </w:r>
    </w:p>
    <w:p>
      <w:pPr>
        <w:pStyle w:val="BodyText"/>
      </w:pPr>
      <w:r>
        <w:rPr>
          <w:b/>
          <w:bCs/>
        </w:rPr>
        <w:t xml:space="preserve">Diligence requests:</w:t>
      </w:r>
      <w:r>
        <w:t xml:space="preserve"> </w:t>
      </w:r>
      <w:r>
        <w:t xml:space="preserve">(i) Detailed fleet age and condition assessment (the exhibits show 82+ units at ~4.5 years average age, with hydroblasters at 4.8 years and excavators at 5.1 years); (ii) unit-by-unit maintenance history and remaining useful life; (iii) fleet replacement schedule and cost; (iv) reconciliation of</w:t>
      </w:r>
      <w:r>
        <w:t xml:space="preserve"> </w:t>
      </w:r>
      <w:r>
        <w:t xml:space="preserve">“</w:t>
      </w:r>
      <w:r>
        <w:t xml:space="preserve">maintenance</w:t>
      </w:r>
      <w:r>
        <w:t xml:space="preserve">”</w:t>
      </w:r>
      <w:r>
        <w:t xml:space="preserve"> </w:t>
      </w:r>
      <w:r>
        <w:t xml:space="preserve">vs. </w:t>
      </w:r>
      <w:r>
        <w:t xml:space="preserve">“</w:t>
      </w:r>
      <w:r>
        <w:t xml:space="preserve">growth</w:t>
      </w:r>
      <w:r>
        <w:t xml:space="preserve">”</w:t>
      </w:r>
      <w:r>
        <w:t xml:space="preserve"> </w:t>
      </w:r>
      <w:r>
        <w:t xml:space="preserve">capex classification; (v) any deferred maintenance or pending equipment replacements.</w:t>
      </w:r>
    </w:p>
    <w:bookmarkEnd w:id="46"/>
    <w:bookmarkStart w:id="47" w:name="X29723afa990ac5c1ca6a614b5b9b81fa91cb042"/>
    <w:p>
      <w:pPr>
        <w:pStyle w:val="Heading3"/>
      </w:pPr>
      <w:r>
        <w:t xml:space="preserve">6.4 Regulatory Compliance History and Cost Run-Rate (MEDIUM-HIGH)</w:t>
      </w:r>
    </w:p>
    <w:p>
      <w:pPr>
        <w:pStyle w:val="FirstParagraph"/>
      </w:pPr>
      <w:r>
        <w:t xml:space="preserve">The August 14, 2024 Oregon DEQ enforcement action (improper storage of contaminated soils; $875K settlement + $325K legal fees) is presented as a fully non-recurring $1.2M add-back. The sector memo and portfolio experience establish that regulatory/compliance costs are recurring at $200K–$500K annually for companies of this size, and that only the excess over a normalized run-rate should be added back. The full $1.2M add-back is likely overstated by $300K–$500K.</w:t>
      </w:r>
    </w:p>
    <w:p>
      <w:pPr>
        <w:pStyle w:val="BodyText"/>
      </w:pPr>
      <w:r>
        <w:t xml:space="preserve">More importantly, the diligence question is whether the DEQ action reflects an isolated event or a systemic compliance issue. Oregon DEQ has been</w:t>
      </w:r>
      <w:r>
        <w:t xml:space="preserve"> </w:t>
      </w:r>
      <w:r>
        <w:t xml:space="preserve">“</w:t>
      </w:r>
      <w:r>
        <w:t xml:space="preserve">particularly active in enforcement</w:t>
      </w:r>
      <w:r>
        <w:t xml:space="preserve">”</w:t>
      </w:r>
      <w:r>
        <w:t xml:space="preserve"> </w:t>
      </w:r>
      <w:r>
        <w:t xml:space="preserve">per the sector memo. A company that improperly stored contaminated soils — its own core competency — raises questions about operational controls.</w:t>
      </w:r>
    </w:p>
    <w:p>
      <w:pPr>
        <w:pStyle w:val="BodyText"/>
      </w:pPr>
      <w:r>
        <w:rPr>
          <w:b/>
          <w:bCs/>
        </w:rPr>
        <w:t xml:space="preserve">Diligence requests:</w:t>
      </w:r>
      <w:r>
        <w:t xml:space="preserve"> </w:t>
      </w:r>
      <w:r>
        <w:t xml:space="preserve">(i) Complete regulatory enforcement history for the past 10 years (notices of violation, settlements, permit compliance issues); (ii) details of the August 2024 matter and corrective actions taken; (iii) current compliance program and controls; (iv) insurance coverage for environmental/regulatory matters; (v) any open or pending matters. Given the stock-purchase structure, the buyer inherits the full historical liability profile.</w:t>
      </w:r>
    </w:p>
    <w:bookmarkEnd w:id="47"/>
    <w:bookmarkStart w:id="48" w:name="X5bbb3e78c0d836647f3902c471dc77f19cf8f1f"/>
    <w:p>
      <w:pPr>
        <w:pStyle w:val="Heading3"/>
      </w:pPr>
      <w:r>
        <w:t xml:space="preserve">6.5 Owner Compensation and Related-Party Lease (MEDIUM)</w:t>
      </w:r>
    </w:p>
    <w:p>
      <w:pPr>
        <w:pStyle w:val="FirstParagraph"/>
      </w:pPr>
      <w:r>
        <w:t xml:space="preserve">Both the $1.9M owner-compensation normalization and the $0.8M lease normalization require independent verification (see Section 4.2). The owner-compensation figure includes</w:t>
      </w:r>
      <w:r>
        <w:t xml:space="preserve"> </w:t>
      </w:r>
      <w:r>
        <w:t xml:space="preserve">“</w:t>
      </w:r>
      <w:r>
        <w:t xml:space="preserve">personal expenses allocated to the Company</w:t>
      </w:r>
      <w:r>
        <w:t xml:space="preserve">”</w:t>
      </w:r>
      <w:r>
        <w:t xml:space="preserve"> </w:t>
      </w:r>
      <w:r>
        <w:t xml:space="preserve">that must be substantiated. The lease normalization relies on a $600K market-rent assumption that contradicts the CIM’s own $1.0–1.2M figure for specialized facilities. The HQ is owned by Mr. Oakes personally, creating a related-party dependency that persists post-close unless the property is acquired or a new arm’s-length lease is negotiated.</w:t>
      </w:r>
    </w:p>
    <w:p>
      <w:pPr>
        <w:pStyle w:val="BodyText"/>
      </w:pPr>
      <w:r>
        <w:rPr>
          <w:b/>
          <w:bCs/>
        </w:rPr>
        <w:t xml:space="preserve">Diligence requests:</w:t>
      </w:r>
      <w:r>
        <w:t xml:space="preserve"> </w:t>
      </w:r>
      <w:r>
        <w:t xml:space="preserve">(i) Detail of Mr. Oakes’s $2.4M compensation (salary, bonus, benefits, personal expenses); (ii) independent market-rent appraisal for the HQ property; (iii) any other related-party transactions; (iv) personal expenses run through the business (and any business expenses paid personally).</w:t>
      </w:r>
    </w:p>
    <w:bookmarkEnd w:id="48"/>
    <w:bookmarkStart w:id="49" w:name="X5c5a77eed001a2b53da0b44d51ad1e17b2e976d"/>
    <w:p>
      <w:pPr>
        <w:pStyle w:val="Heading3"/>
      </w:pPr>
      <w:r>
        <w:t xml:space="preserve">6.6 Key-Person Risk and Management Transition (MEDIUM-HIGH)</w:t>
      </w:r>
    </w:p>
    <w:p>
      <w:pPr>
        <w:pStyle w:val="FirstParagraph"/>
      </w:pPr>
      <w:r>
        <w:t xml:space="preserve">Mr. Oakes (61) founded the company, holds 68% equity, and</w:t>
      </w:r>
      <w:r>
        <w:t xml:space="preserve"> </w:t>
      </w:r>
      <w:r>
        <w:t xml:space="preserve">“</w:t>
      </w:r>
      <w:r>
        <w:t xml:space="preserve">oversees all strategic, financial, and operational decisions.</w:t>
      </w:r>
      <w:r>
        <w:t xml:space="preserve">”</w:t>
      </w:r>
      <w:r>
        <w:t xml:space="preserve"> </w:t>
      </w:r>
      <w:r>
        <w:t xml:space="preserve">He plans to transition out within 18–24 months post-close. No successor is identified, and there is no COO or President — the organization runs through the founder. The rest of the team is tenured (VP Operations Janet Prewitt, 18 years; VP Sales Derek Cahill, since 2014; Controller Lisa Fontaine, since 2016; Safety Director Mark Stovall, since 2012), but the transition from a founder-CEO who runs everything to a new CEO is a major execution risk. The GreenWorks experience — where the lead project manager departed within six months of close — is a cautionary tale.</w:t>
      </w:r>
    </w:p>
    <w:p>
      <w:pPr>
        <w:pStyle w:val="BodyText"/>
      </w:pPr>
      <w:r>
        <w:rPr>
          <w:b/>
          <w:bCs/>
        </w:rPr>
        <w:t xml:space="preserve">Diligence requests:</w:t>
      </w:r>
      <w:r>
        <w:t xml:space="preserve"> </w:t>
      </w:r>
      <w:r>
        <w:t xml:space="preserve">(i) Management presentation with full team; (ii) retention agreements for Prewitt, Cahill, and the PEs as a closing condition; (iii) succession planning and organizational depth; (iv) Mr. Oakes’s actual day-to-day role and decision-making authority; (v) transition services arrangement terms.</w:t>
      </w:r>
    </w:p>
    <w:bookmarkEnd w:id="49"/>
    <w:bookmarkStart w:id="50" w:name="professional-engineer-capacity-medium"/>
    <w:p>
      <w:pPr>
        <w:pStyle w:val="Heading3"/>
      </w:pPr>
      <w:r>
        <w:t xml:space="preserve">6.7 Professional Engineer Capacity (MEDIUM)</w:t>
      </w:r>
    </w:p>
    <w:p>
      <w:pPr>
        <w:pStyle w:val="FirstParagraph"/>
      </w:pPr>
      <w:r>
        <w:t xml:space="preserve">PE sign-off is required for site assessments, remediation work plans, and closure reports. PE headcount declined from three to two in January 2025 (a retirement, not yet replaced) — a one-third reduction in critical technical capacity. PFAS projects typically require PE oversight. Growth at the projected pace would likely require hiring 2–3 additional PEs, and the environmental PE market is tight (6–12 month recruitment timelines). The loss of PE capacity creates a near-term execution bottleneck for both core remediation and PFAS growth.</w:t>
      </w:r>
    </w:p>
    <w:p>
      <w:pPr>
        <w:pStyle w:val="BodyText"/>
      </w:pPr>
      <w:r>
        <w:rPr>
          <w:b/>
          <w:bCs/>
        </w:rPr>
        <w:t xml:space="preserve">Diligence requests:</w:t>
      </w:r>
      <w:r>
        <w:t xml:space="preserve"> </w:t>
      </w:r>
      <w:r>
        <w:t xml:space="preserve">(i) PE hiring plan and pipeline; (ii) PE workload and capacity utilization; (iii) retention arrangements for the two remaining PEs; (iv) whether the retired PE’s departure has affected project capacity or backlog execution.</w:t>
      </w:r>
    </w:p>
    <w:bookmarkEnd w:id="50"/>
    <w:bookmarkStart w:id="51" w:name="phantom-equity-settlement-medium"/>
    <w:p>
      <w:pPr>
        <w:pStyle w:val="Heading3"/>
      </w:pPr>
      <w:r>
        <w:t xml:space="preserve">6.8 Phantom Equity Settlement (MEDIUM)</w:t>
      </w:r>
    </w:p>
    <w:p>
      <w:pPr>
        <w:pStyle w:val="FirstParagraph"/>
      </w:pPr>
      <w:r>
        <w:t xml:space="preserve">The phantom equity plan provides long-term incentives tied to enterprise value, and all outstanding units are expected to be settled in cash at closing. The CIM does not quantify the total cash settlement obligation. This is a transaction cost that affects sources/uses and net proceeds — whether borne by the seller (from proceeds) or assumed by the buyer. The annual SBC expense is $0.3M, but the cumulative obligation could be materially larger depending on plan terms, vesting, and the enterprise value at which units are struck.</w:t>
      </w:r>
    </w:p>
    <w:p>
      <w:pPr>
        <w:pStyle w:val="BodyText"/>
      </w:pPr>
      <w:r>
        <w:rPr>
          <w:b/>
          <w:bCs/>
        </w:rPr>
        <w:t xml:space="preserve">Diligence requests:</w:t>
      </w:r>
      <w:r>
        <w:t xml:space="preserve"> </w:t>
      </w:r>
      <w:r>
        <w:t xml:space="preserve">(i) Phantom plan documents and outstanding unit count; (ii) settlement formula and estimated cash obligation at various valuations; (iii) treatment in the transaction (seller vs. buyer obligation); (iv) post-close retention plan to replace the incentive.</w:t>
      </w:r>
    </w:p>
    <w:bookmarkEnd w:id="51"/>
    <w:bookmarkStart w:id="52" w:name="real-estate-strategy-medium"/>
    <w:p>
      <w:pPr>
        <w:pStyle w:val="Heading3"/>
      </w:pPr>
      <w:r>
        <w:t xml:space="preserve">6.9 Real Estate Strategy (MEDIUM)</w:t>
      </w:r>
    </w:p>
    <w:p>
      <w:pPr>
        <w:pStyle w:val="FirstParagraph"/>
      </w:pPr>
      <w:r>
        <w:t xml:space="preserve">The HQ at 4200 Industrial Way is a purpose-built, 8.5-acre environmental services operations center (permitted wash rack, secondary containment, soil stockpile areas, 12,000 SF maintenance bays) owned by Mr. Oakes. Post-close, the buyer must either (a) acquire the property at fair market value, (b) negotiate a new arm’s-length lease with Mr. Oakes (who is exiting), or (c) relocate (costly and operationally disruptive given the specialized infrastructure). The process letter requires bidders to address this. The property value is not stated; at $1.0–1.2M annual market rent and an ~8–10% cap rate, the property could be worth $10–15M, potentially as a separate real estate transaction.</w:t>
      </w:r>
    </w:p>
    <w:p>
      <w:pPr>
        <w:pStyle w:val="BodyText"/>
      </w:pPr>
      <w:r>
        <w:rPr>
          <w:b/>
          <w:bCs/>
        </w:rPr>
        <w:t xml:space="preserve">Diligence requests:</w:t>
      </w:r>
      <w:r>
        <w:t xml:space="preserve"> </w:t>
      </w:r>
      <w:r>
        <w:t xml:space="preserve">(i) Property appraisal; (ii) Mr. Oakes’s willingness to sell and expected price; (iii) lease terms post-2029 expiration; (iv) relocation cost and feasibility assessment; (v) environmental condition of the property itself (given it is a contaminated-soils handling site).</w:t>
      </w:r>
    </w:p>
    <w:bookmarkEnd w:id="52"/>
    <w:bookmarkStart w:id="53" w:name="goodwill-intangibles-low-medium"/>
    <w:p>
      <w:pPr>
        <w:pStyle w:val="Heading3"/>
      </w:pPr>
      <w:r>
        <w:t xml:space="preserve">6.10 Goodwill / Intangibles (LOW-MEDIUM)</w:t>
      </w:r>
    </w:p>
    <w:p>
      <w:pPr>
        <w:pStyle w:val="FirstParagraph"/>
      </w:pPr>
      <w:r>
        <w:t xml:space="preserve">The exhibits show $2.5M of goodwill &amp; intangible assets, constant since FY2021, with no acquisition history described in the CIM. The source must be clarified — it may indicate an undisclosed prior acquisition, permit/license intangibles, or an accounting artifact. If there was an undisclosed acquisition, the integration, performance, and any associated liabilities should be understood.</w:t>
      </w:r>
    </w:p>
    <w:bookmarkEnd w:id="53"/>
    <w:bookmarkStart w:id="54" w:name="emergency-response-volatility-low-medium"/>
    <w:p>
      <w:pPr>
        <w:pStyle w:val="Heading3"/>
      </w:pPr>
      <w:r>
        <w:t xml:space="preserve">6.11 Emergency Response Volatility (LOW-MEDIUM)</w:t>
      </w:r>
    </w:p>
    <w:p>
      <w:pPr>
        <w:pStyle w:val="FirstParagraph"/>
      </w:pPr>
      <w:r>
        <w:t xml:space="preserve">Emergency response (12.9% of revenue) is inherently event-driven and unpredictable, yet the projections show smooth double-digit growth ($11.3M → $13.0M → $15.0M → $17.0M). Historical growth was volatile (FY22 +17.6%, FY23 +5.7%, FY24 +22.8%). The smoothing of an unpredictable revenue stream into steady growth is optimistic and should be stress-tested in downside scenarios.</w:t>
      </w:r>
    </w:p>
    <w:p>
      <w:r>
        <w:pict>
          <v:rect style="width:0;height:1.5pt" o:hralign="center" o:hrstd="t" o:hr="t"/>
        </w:pict>
      </w:r>
    </w:p>
    <w:bookmarkEnd w:id="54"/>
    <w:bookmarkEnd w:id="55"/>
    <w:bookmarkStart w:id="61" w:name="valuation-analysis"/>
    <w:p>
      <w:pPr>
        <w:pStyle w:val="Heading2"/>
      </w:pPr>
      <w:r>
        <w:t xml:space="preserve">7. Valuation Analysis</w:t>
      </w:r>
    </w:p>
    <w:bookmarkStart w:id="56" w:name="sell-side-implied-valuation"/>
    <w:p>
      <w:pPr>
        <w:pStyle w:val="Heading3"/>
      </w:pPr>
      <w:r>
        <w:t xml:space="preserve">7.1 Sell-Side Implied Valuation</w:t>
      </w:r>
    </w:p>
    <w:p>
      <w:pPr>
        <w:pStyle w:val="FirstParagraph"/>
      </w:pPr>
      <w:r>
        <w:t xml:space="preserve">The CIM anchors valuation to FY2024 Adjusted EBITDA of $17.1M and comparable environmental services transactions at 8.0x–10.0x, implying an enterprise value range of</w:t>
      </w:r>
      <w:r>
        <w:t xml:space="preserve"> </w:t>
      </w:r>
      <w:r>
        <w:rPr>
          <w:b/>
          <w:bCs/>
        </w:rPr>
        <w:t xml:space="preserve">$136.8M–$171.0M</w:t>
      </w:r>
      <w:r>
        <w:t xml:space="preserve">. On a forward basis, FY2025E Adjusted EBITDA of $19.7M implies</w:t>
      </w:r>
      <w:r>
        <w:t xml:space="preserve"> </w:t>
      </w:r>
      <w:r>
        <w:rPr>
          <w:b/>
          <w:bCs/>
        </w:rPr>
        <w:t xml:space="preserve">$157.6M–$197.0M</w:t>
      </w:r>
      <w:r>
        <w:t xml:space="preserve">. The CIM argues that CES’s growth, PFAS opportunity, and platform characteristics</w:t>
      </w:r>
      <w:r>
        <w:t xml:space="preserve"> </w:t>
      </w:r>
      <w:r>
        <w:t xml:space="preserve">“</w:t>
      </w:r>
      <w:r>
        <w:t xml:space="preserve">support valuation at the higher end of the comparable range.</w:t>
      </w:r>
      <w:r>
        <w:t xml:space="preserve">”</w:t>
      </w:r>
    </w:p>
    <w:bookmarkEnd w:id="56"/>
    <w:bookmarkStart w:id="57" w:name="buy-side-adjusted-ebitda-normalization"/>
    <w:p>
      <w:pPr>
        <w:pStyle w:val="Heading3"/>
      </w:pPr>
      <w:r>
        <w:t xml:space="preserve">7.2 Buy-Side Adjusted EBITDA Normalization</w:t>
      </w:r>
    </w:p>
    <w:p>
      <w:pPr>
        <w:pStyle w:val="FirstParagraph"/>
      </w:pPr>
      <w:r>
        <w:t xml:space="preserve">Starting from the audited reported EBITDA of $12.1M and applying more defensible adjustment assumptions (detailed in Section 4.2), buy-side FY2024 Adjusted EBITDA is</w:t>
      </w:r>
      <w:r>
        <w:t xml:space="preserve"> </w:t>
      </w:r>
      <w:r>
        <w:rPr>
          <w:b/>
          <w:bCs/>
        </w:rPr>
        <w:t xml:space="preserve">~$15.5M</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w:t>
            </w:r>
          </w:p>
        </w:tc>
      </w:tr>
      <w:tr>
        <w:tc>
          <w:tcPr/>
          <w:p>
            <w:pPr>
              <w:pStyle w:val="Compact"/>
              <w:jc w:val="left"/>
            </w:pPr>
            <w:r>
              <w:t xml:space="preserve">Reported EBITDA (audited)</w:t>
            </w:r>
          </w:p>
        </w:tc>
        <w:tc>
          <w:tcPr/>
          <w:p>
            <w:pPr>
              <w:pStyle w:val="Compact"/>
              <w:jc w:val="left"/>
            </w:pPr>
            <w:r>
              <w:t xml:space="preserve">12.10</w:t>
            </w:r>
          </w:p>
        </w:tc>
      </w:tr>
      <w:tr>
        <w:tc>
          <w:tcPr/>
          <w:p>
            <w:pPr>
              <w:pStyle w:val="Compact"/>
              <w:jc w:val="left"/>
            </w:pPr>
            <w:r>
              <w:t xml:space="preserve">Owner compensation normalization (replacement CEO at $0.75M)</w:t>
            </w:r>
          </w:p>
        </w:tc>
        <w:tc>
          <w:tcPr/>
          <w:p>
            <w:pPr>
              <w:pStyle w:val="Compact"/>
              <w:jc w:val="left"/>
            </w:pPr>
            <w:r>
              <w:t xml:space="preserve">1.65</w:t>
            </w:r>
          </w:p>
        </w:tc>
      </w:tr>
      <w:tr>
        <w:tc>
          <w:tcPr/>
          <w:p>
            <w:pPr>
              <w:pStyle w:val="Compact"/>
              <w:jc w:val="left"/>
            </w:pPr>
            <w:r>
              <w:t xml:space="preserve">Related-party lease normalization (market rent $1.0M)</w:t>
            </w:r>
          </w:p>
        </w:tc>
        <w:tc>
          <w:tcPr/>
          <w:p>
            <w:pPr>
              <w:pStyle w:val="Compact"/>
              <w:jc w:val="left"/>
            </w:pPr>
            <w:r>
              <w:t xml:space="preserve">0.40</w:t>
            </w:r>
          </w:p>
        </w:tc>
      </w:tr>
      <w:tr>
        <w:tc>
          <w:tcPr/>
          <w:p>
            <w:pPr>
              <w:pStyle w:val="Compact"/>
              <w:jc w:val="left"/>
            </w:pPr>
            <w:r>
              <w:t xml:space="preserve">Regulatory/legal costs (excess over $0.4M run-rate)</w:t>
            </w:r>
          </w:p>
        </w:tc>
        <w:tc>
          <w:tcPr/>
          <w:p>
            <w:pPr>
              <w:pStyle w:val="Compact"/>
              <w:jc w:val="left"/>
            </w:pPr>
            <w:r>
              <w:t xml:space="preserve">0.80</w:t>
            </w:r>
          </w:p>
        </w:tc>
      </w:tr>
      <w:tr>
        <w:tc>
          <w:tcPr/>
          <w:p>
            <w:pPr>
              <w:pStyle w:val="Compact"/>
              <w:jc w:val="left"/>
            </w:pPr>
            <w:r>
              <w:t xml:space="preserve">Equipment relocation (50% credit)</w:t>
            </w:r>
          </w:p>
        </w:tc>
        <w:tc>
          <w:tcPr/>
          <w:p>
            <w:pPr>
              <w:pStyle w:val="Compact"/>
              <w:jc w:val="left"/>
            </w:pPr>
            <w:r>
              <w:t xml:space="preserve">0.20</w:t>
            </w:r>
          </w:p>
        </w:tc>
      </w:tr>
      <w:tr>
        <w:tc>
          <w:tcPr/>
          <w:p>
            <w:pPr>
              <w:pStyle w:val="Compact"/>
              <w:jc w:val="left"/>
            </w:pPr>
            <w:r>
              <w:t xml:space="preserve">Stock-based compensation (phantom units)</w:t>
            </w:r>
          </w:p>
        </w:tc>
        <w:tc>
          <w:tcPr/>
          <w:p>
            <w:pPr>
              <w:pStyle w:val="Compact"/>
              <w:jc w:val="left"/>
            </w:pPr>
            <w:r>
              <w:t xml:space="preserve">0.30</w:t>
            </w:r>
          </w:p>
        </w:tc>
      </w:tr>
      <w:tr>
        <w:tc>
          <w:tcPr/>
          <w:p>
            <w:pPr>
              <w:pStyle w:val="Compact"/>
              <w:jc w:val="left"/>
            </w:pPr>
            <w:r>
              <w:t xml:space="preserve">One-time IT (treated as recurring)</w:t>
            </w:r>
          </w:p>
        </w:tc>
        <w:tc>
          <w:tcPr/>
          <w:p>
            <w:pPr>
              <w:pStyle w:val="Compact"/>
              <w:jc w:val="left"/>
            </w:pPr>
            <w:r>
              <w:t xml:space="preserve">0.00</w:t>
            </w:r>
          </w:p>
        </w:tc>
      </w:tr>
      <w:tr>
        <w:tc>
          <w:tcPr/>
          <w:p>
            <w:pPr>
              <w:pStyle w:val="Compact"/>
              <w:jc w:val="left"/>
            </w:pPr>
            <w:r>
              <w:rPr>
                <w:b/>
                <w:bCs/>
              </w:rPr>
              <w:t xml:space="preserve">Buy-side Adjusted EBITDA</w:t>
            </w:r>
          </w:p>
        </w:tc>
        <w:tc>
          <w:tcPr/>
          <w:p>
            <w:pPr>
              <w:pStyle w:val="Compact"/>
              <w:jc w:val="left"/>
            </w:pPr>
            <w:r>
              <w:rPr>
                <w:b/>
                <w:bCs/>
              </w:rPr>
              <w:t xml:space="preserve">15.45</w:t>
            </w:r>
          </w:p>
        </w:tc>
      </w:tr>
    </w:tbl>
    <w:p>
      <w:pPr>
        <w:pStyle w:val="BodyText"/>
      </w:pPr>
      <w:r>
        <w:t xml:space="preserve">This is ~$1.65M (≈10%) below the CIM’s $17.1M, comprised of $0.3M arithmetic correction and ~$1.35M of more conservative adjustment assumptions. The resulting margin of ~17.7% is within the sector’s plausible adjusted range and below the CIM’s 19.6%, which the sector memo flagged as at the upper boundary of plausibility.</w:t>
      </w:r>
    </w:p>
    <w:bookmarkEnd w:id="57"/>
    <w:bookmarkStart w:id="58" w:name="multiple-selection"/>
    <w:p>
      <w:pPr>
        <w:pStyle w:val="Heading3"/>
      </w:pPr>
      <w:r>
        <w:t xml:space="preserve">7.3 Multiple Selection</w:t>
      </w:r>
    </w:p>
    <w:p>
      <w:pPr>
        <w:pStyle w:val="FirstParagraph"/>
      </w:pPr>
      <w:r>
        <w:t xml:space="preserve">The sector comp range is 8.0x–10.0x Adjusted EBITDA. The appropriate multiple for CES should reflect a balance of positive and risk factors:</w:t>
      </w:r>
    </w:p>
    <w:p>
      <w:pPr>
        <w:pStyle w:val="BodyText"/>
      </w:pPr>
      <w:r>
        <w:rPr>
          <w:b/>
          <w:bCs/>
        </w:rPr>
        <w:t xml:space="preserve">Factors supporting the lower end (8.0x–8.5x):</w:t>
      </w:r>
    </w:p>
    <w:p>
      <w:pPr>
        <w:pStyle w:val="Compact"/>
        <w:numPr>
          <w:ilvl w:val="0"/>
          <w:numId w:val="1010"/>
        </w:numPr>
      </w:pPr>
      <w:r>
        <w:t xml:space="preserve">Customer concentration (top-5 = 52.5%) with the largest customer (PNR, 21.4%) on an expired MSA</w:t>
      </w:r>
    </w:p>
    <w:p>
      <w:pPr>
        <w:pStyle w:val="Compact"/>
        <w:numPr>
          <w:ilvl w:val="0"/>
          <w:numId w:val="1010"/>
        </w:numPr>
      </w:pPr>
      <w:r>
        <w:t xml:space="preserve">Aggressive, unproven PFAS projections not supported by contracted backlog</w:t>
      </w:r>
    </w:p>
    <w:p>
      <w:pPr>
        <w:pStyle w:val="Compact"/>
        <w:numPr>
          <w:ilvl w:val="0"/>
          <w:numId w:val="1010"/>
        </w:numPr>
      </w:pPr>
      <w:r>
        <w:t xml:space="preserve">Likely understated maintenance capex and weak/flat free cash flow</w:t>
      </w:r>
    </w:p>
    <w:p>
      <w:pPr>
        <w:pStyle w:val="Compact"/>
        <w:numPr>
          <w:ilvl w:val="0"/>
          <w:numId w:val="1010"/>
        </w:numPr>
      </w:pPr>
      <w:r>
        <w:t xml:space="preserve">Founder transition and key-person risk; no identified successor</w:t>
      </w:r>
    </w:p>
    <w:p>
      <w:pPr>
        <w:pStyle w:val="Compact"/>
        <w:numPr>
          <w:ilvl w:val="0"/>
          <w:numId w:val="1010"/>
        </w:numPr>
      </w:pPr>
      <w:r>
        <w:t xml:space="preserve">Recent regulatory enforcement action; recurring compliance cost run-rate</w:t>
      </w:r>
    </w:p>
    <w:p>
      <w:pPr>
        <w:pStyle w:val="Compact"/>
        <w:numPr>
          <w:ilvl w:val="0"/>
          <w:numId w:val="1010"/>
        </w:numPr>
      </w:pPr>
      <w:r>
        <w:t xml:space="preserve">Data integrity issues across the sell-side materials</w:t>
      </w:r>
    </w:p>
    <w:p>
      <w:pPr>
        <w:pStyle w:val="Compact"/>
        <w:numPr>
          <w:ilvl w:val="0"/>
          <w:numId w:val="1010"/>
        </w:numPr>
      </w:pPr>
      <w:r>
        <w:t xml:space="preserve">DSO materially higher than stated (working capital risk)</w:t>
      </w:r>
    </w:p>
    <w:p>
      <w:pPr>
        <w:pStyle w:val="Compact"/>
        <w:numPr>
          <w:ilvl w:val="0"/>
          <w:numId w:val="1010"/>
        </w:numPr>
      </w:pPr>
      <w:r>
        <w:t xml:space="preserve">Stock-purchase structure (full historical liability assumption)</w:t>
      </w:r>
    </w:p>
    <w:p>
      <w:pPr>
        <w:pStyle w:val="FirstParagraph"/>
      </w:pPr>
      <w:r>
        <w:rPr>
          <w:b/>
          <w:bCs/>
        </w:rPr>
        <w:t xml:space="preserve">Factors supporting the upper end (9.0x–10.0x):</w:t>
      </w:r>
    </w:p>
    <w:p>
      <w:pPr>
        <w:pStyle w:val="Compact"/>
        <w:numPr>
          <w:ilvl w:val="0"/>
          <w:numId w:val="1011"/>
        </w:numPr>
      </w:pPr>
      <w:r>
        <w:t xml:space="preserve">Genuine regulatory tailwinds (PFAS, enforcement)</w:t>
      </w:r>
    </w:p>
    <w:p>
      <w:pPr>
        <w:pStyle w:val="Compact"/>
        <w:numPr>
          <w:ilvl w:val="0"/>
          <w:numId w:val="1011"/>
        </w:numPr>
      </w:pPr>
      <w:r>
        <w:t xml:space="preserve">Integrated platform with real barriers to entry (permits, PE oversight)</w:t>
      </w:r>
    </w:p>
    <w:p>
      <w:pPr>
        <w:pStyle w:val="Compact"/>
        <w:numPr>
          <w:ilvl w:val="0"/>
          <w:numId w:val="1011"/>
        </w:numPr>
      </w:pPr>
      <w:r>
        <w:t xml:space="preserve">Backlog and recurring revenue characteristics</w:t>
      </w:r>
    </w:p>
    <w:p>
      <w:pPr>
        <w:pStyle w:val="Compact"/>
        <w:numPr>
          <w:ilvl w:val="0"/>
          <w:numId w:val="1011"/>
        </w:numPr>
      </w:pPr>
      <w:r>
        <w:t xml:space="preserve">Platform-for-consolidation optionality</w:t>
      </w:r>
    </w:p>
    <w:p>
      <w:pPr>
        <w:pStyle w:val="Compact"/>
        <w:numPr>
          <w:ilvl w:val="0"/>
          <w:numId w:val="1011"/>
        </w:numPr>
      </w:pPr>
      <w:r>
        <w:t xml:space="preserve">Above-average historical growth (even adjusting for PFAS)</w:t>
      </w:r>
    </w:p>
    <w:p>
      <w:pPr>
        <w:pStyle w:val="FirstParagraph"/>
      </w:pPr>
      <w:r>
        <w:t xml:space="preserve">On balance, the risk factors are substantial and several are unvalidated, while the upside factors are largely contingent on the PFAS story materializing.</w:t>
      </w:r>
      <w:r>
        <w:t xml:space="preserve"> </w:t>
      </w:r>
      <w:r>
        <w:rPr>
          <w:b/>
          <w:bCs/>
        </w:rPr>
        <w:t xml:space="preserve">A multiple of 8.0x–8.5x is appropriate for the IOI</w:t>
      </w:r>
      <w:r>
        <w:t xml:space="preserve">, with movement toward the upper end contingent on PFAS backlog validation, contract renewals (especially PNR), and resolution of the data integrity and capex issues during diligence. The 9.0x–10.0x range should be reserved for a validated forward case, not assumed at the IOI stage.</w:t>
      </w:r>
    </w:p>
    <w:bookmarkEnd w:id="58"/>
    <w:bookmarkStart w:id="59" w:name="enterprise-value-and-equity-value"/>
    <w:p>
      <w:pPr>
        <w:pStyle w:val="Heading3"/>
      </w:pPr>
      <w:r>
        <w:t xml:space="preserve">7.4 Enterprise Value and Equity Value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Multiple</w:t>
            </w:r>
          </w:p>
        </w:tc>
        <w:tc>
          <w:tcPr/>
          <w:p>
            <w:pPr>
              <w:pStyle w:val="Compact"/>
              <w:jc w:val="left"/>
            </w:pPr>
            <w:r>
              <w:t xml:space="preserve">Buy-side Adj. EBITDA ($15.45M)</w:t>
            </w:r>
          </w:p>
        </w:tc>
        <w:tc>
          <w:tcPr/>
          <w:p>
            <w:pPr>
              <w:pStyle w:val="Compact"/>
              <w:jc w:val="left"/>
            </w:pPr>
            <w:r>
              <w:t xml:space="preserve">CIM Adj. EBITDA ($17.1M)</w:t>
            </w:r>
          </w:p>
        </w:tc>
      </w:tr>
      <w:tr>
        <w:tc>
          <w:tcPr/>
          <w:p>
            <w:pPr>
              <w:pStyle w:val="Compact"/>
              <w:jc w:val="left"/>
            </w:pPr>
            <w:r>
              <w:t xml:space="preserve">8.0x</w:t>
            </w:r>
          </w:p>
        </w:tc>
        <w:tc>
          <w:tcPr/>
          <w:p>
            <w:pPr>
              <w:pStyle w:val="Compact"/>
              <w:jc w:val="left"/>
            </w:pPr>
            <w:r>
              <w:t xml:space="preserve">$123.6M</w:t>
            </w:r>
          </w:p>
        </w:tc>
        <w:tc>
          <w:tcPr/>
          <w:p>
            <w:pPr>
              <w:pStyle w:val="Compact"/>
              <w:jc w:val="left"/>
            </w:pPr>
            <w:r>
              <w:t xml:space="preserve">$136.8M</w:t>
            </w:r>
          </w:p>
        </w:tc>
      </w:tr>
      <w:tr>
        <w:tc>
          <w:tcPr/>
          <w:p>
            <w:pPr>
              <w:pStyle w:val="Compact"/>
              <w:jc w:val="left"/>
            </w:pPr>
            <w:r>
              <w:t xml:space="preserve">8.5x</w:t>
            </w:r>
          </w:p>
        </w:tc>
        <w:tc>
          <w:tcPr/>
          <w:p>
            <w:pPr>
              <w:pStyle w:val="Compact"/>
              <w:jc w:val="left"/>
            </w:pPr>
            <w:r>
              <w:t xml:space="preserve">$131.3M</w:t>
            </w:r>
          </w:p>
        </w:tc>
        <w:tc>
          <w:tcPr/>
          <w:p>
            <w:pPr>
              <w:pStyle w:val="Compact"/>
              <w:jc w:val="left"/>
            </w:pPr>
            <w:r>
              <w:t xml:space="preserve">$145.4M</w:t>
            </w:r>
          </w:p>
        </w:tc>
      </w:tr>
      <w:tr>
        <w:tc>
          <w:tcPr/>
          <w:p>
            <w:pPr>
              <w:pStyle w:val="Compact"/>
              <w:jc w:val="left"/>
            </w:pPr>
            <w:r>
              <w:t xml:space="preserve">9.0x</w:t>
            </w:r>
          </w:p>
        </w:tc>
        <w:tc>
          <w:tcPr/>
          <w:p>
            <w:pPr>
              <w:pStyle w:val="Compact"/>
              <w:jc w:val="left"/>
            </w:pPr>
            <w:r>
              <w:t xml:space="preserve">$139.1M</w:t>
            </w:r>
          </w:p>
        </w:tc>
        <w:tc>
          <w:tcPr/>
          <w:p>
            <w:pPr>
              <w:pStyle w:val="Compact"/>
              <w:jc w:val="left"/>
            </w:pPr>
            <w:r>
              <w:t xml:space="preserve">$153.9M</w:t>
            </w:r>
          </w:p>
        </w:tc>
      </w:tr>
      <w:tr>
        <w:tc>
          <w:tcPr/>
          <w:p>
            <w:pPr>
              <w:pStyle w:val="Compact"/>
              <w:jc w:val="left"/>
            </w:pPr>
            <w:r>
              <w:t xml:space="preserve">10.0x</w:t>
            </w:r>
          </w:p>
        </w:tc>
        <w:tc>
          <w:tcPr/>
          <w:p>
            <w:pPr>
              <w:pStyle w:val="Compact"/>
              <w:jc w:val="left"/>
            </w:pPr>
            <w:r>
              <w:t xml:space="preserve">$154.5M</w:t>
            </w:r>
          </w:p>
        </w:tc>
        <w:tc>
          <w:tcPr/>
          <w:p>
            <w:pPr>
              <w:pStyle w:val="Compact"/>
              <w:jc w:val="left"/>
            </w:pPr>
            <w:r>
              <w:t xml:space="preserve">$171.0M</w:t>
            </w:r>
          </w:p>
        </w:tc>
      </w:tr>
    </w:tbl>
    <w:p>
      <w:pPr>
        <w:pStyle w:val="BodyText"/>
      </w:pPr>
      <w:r>
        <w:rPr>
          <w:b/>
          <w:bCs/>
        </w:rPr>
        <w:t xml:space="preserve">Recommended IOI enterprise value range: $125M–$135M</w:t>
      </w:r>
      <w:r>
        <w:t xml:space="preserve"> </w:t>
      </w:r>
      <w:r>
        <w:t xml:space="preserve">(≈ 8.1x–8.7x buy-side Adjusted EBITDA), anchored to trailing FY2024 metrics. This is below the sell-side’s trailing range ($136.8M–$171.0M) and well below the forward range ($157.6M–$197.0M).</w:t>
      </w:r>
    </w:p>
    <w:p>
      <w:pPr>
        <w:pStyle w:val="BodyText"/>
      </w:pPr>
      <w:r>
        <w:rPr>
          <w:b/>
          <w:bCs/>
        </w:rPr>
        <w:t xml:space="preserve">Illustrative equity value</w:t>
      </w:r>
      <w:r>
        <w:t xml:space="preserve"> </w:t>
      </w:r>
      <w:r>
        <w:t xml:space="preserve">(at $130M EV midpoint, cash-free/debt-free with normalized NWC):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$M</w:t>
            </w:r>
          </w:p>
        </w:tc>
      </w:tr>
      <w:tr>
        <w:tc>
          <w:tcPr/>
          <w:p>
            <w:pPr>
              <w:pStyle w:val="Compact"/>
              <w:jc w:val="left"/>
            </w:pPr>
            <w:r>
              <w:t xml:space="preserve">Enterprise value</w:t>
            </w:r>
          </w:p>
        </w:tc>
        <w:tc>
          <w:tcPr/>
          <w:p>
            <w:pPr>
              <w:pStyle w:val="Compact"/>
              <w:jc w:val="left"/>
            </w:pPr>
            <w:r>
              <w:t xml:space="preserve">130.0</w:t>
            </w:r>
          </w:p>
        </w:tc>
      </w:tr>
      <w:tr>
        <w:tc>
          <w:tcPr/>
          <w:p>
            <w:pPr>
              <w:pStyle w:val="Compact"/>
              <w:jc w:val="left"/>
            </w:pPr>
            <w:r>
              <w:t xml:space="preserve">Less: Net debt (debt $17.3M − cash $2.3M, per CIM; confirm vs. exhibits)</w:t>
            </w:r>
          </w:p>
        </w:tc>
        <w:tc>
          <w:tcPr/>
          <w:p>
            <w:pPr>
              <w:pStyle w:val="Compact"/>
              <w:jc w:val="left"/>
            </w:pPr>
            <w:r>
              <w:t xml:space="preserve">(15.0)</w:t>
            </w:r>
          </w:p>
        </w:tc>
      </w:tr>
      <w:tr>
        <w:tc>
          <w:tcPr/>
          <w:p>
            <w:pPr>
              <w:pStyle w:val="Compact"/>
              <w:jc w:val="left"/>
            </w:pPr>
            <w:r>
              <w:t xml:space="preserve">Less: Phantom unit cash settlement (estimate, to be confirmed)</w:t>
            </w:r>
          </w:p>
        </w:tc>
        <w:tc>
          <w:tcPr/>
          <w:p>
            <w:pPr>
              <w:pStyle w:val="Compact"/>
              <w:jc w:val="left"/>
            </w:pPr>
            <w:r>
              <w:t xml:space="preserve">(2.0)</w:t>
            </w:r>
          </w:p>
        </w:tc>
      </w:tr>
      <w:tr>
        <w:tc>
          <w:tcPr/>
          <w:p>
            <w:pPr>
              <w:pStyle w:val="Compact"/>
              <w:jc w:val="left"/>
            </w:pPr>
            <w:r>
              <w:t xml:space="preserve">NWC adjustment to target (NWC 13.5% of revenue, within sector norm)</w:t>
            </w:r>
          </w:p>
        </w:tc>
        <w:tc>
          <w:tcPr/>
          <w:p>
            <w:pPr>
              <w:pStyle w:val="Compact"/>
              <w:jc w:val="left"/>
            </w:pPr>
            <w:r>
              <w:t xml:space="preserve">~0.0</w:t>
            </w:r>
          </w:p>
        </w:tc>
      </w:tr>
      <w:tr>
        <w:tc>
          <w:tcPr/>
          <w:p>
            <w:pPr>
              <w:pStyle w:val="Compact"/>
              <w:jc w:val="left"/>
            </w:pPr>
            <w:r>
              <w:rPr>
                <w:b/>
                <w:bCs/>
              </w:rPr>
              <w:t xml:space="preserve">Equity value (illustrative)</w:t>
            </w:r>
          </w:p>
        </w:tc>
        <w:tc>
          <w:tcPr/>
          <w:p>
            <w:pPr>
              <w:pStyle w:val="Compact"/>
              <w:jc w:val="left"/>
            </w:pPr>
            <w:r>
              <w:rPr>
                <w:b/>
                <w:bCs/>
              </w:rPr>
              <w:t xml:space="preserve">~113.0</w:t>
            </w:r>
          </w:p>
        </w:tc>
      </w:tr>
    </w:tbl>
    <w:p>
      <w:pPr>
        <w:pStyle w:val="BodyText"/>
      </w:pPr>
      <w:r>
        <w:t xml:space="preserve">The phantom unit settlement and the precise net debt figure (which differs by $1.8M between the CIM and exhibits) must be confirmed. The real estate (HQ) is treated as a separate matter — either acquired at fair market value or leased at arm’s-length market terms — and is not included in the enterprise value above.</w:t>
      </w:r>
    </w:p>
    <w:bookmarkEnd w:id="59"/>
    <w:bookmarkStart w:id="60" w:name="X1b49a557d51ee612ffae1be0f57d5a9f2cedda5"/>
    <w:p>
      <w:pPr>
        <w:pStyle w:val="Heading3"/>
      </w:pPr>
      <w:r>
        <w:t xml:space="preserve">7.5 Free Cash Flow and Returns Considerations</w:t>
      </w:r>
    </w:p>
    <w:p>
      <w:pPr>
        <w:pStyle w:val="FirstParagraph"/>
      </w:pPr>
      <w:r>
        <w:t xml:space="preserve">The deal’s return profile is sensitive to the capex and PFAS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Maintenance Capex</w:t>
            </w:r>
          </w:p>
        </w:tc>
        <w:tc>
          <w:tcPr/>
          <w:p>
            <w:pPr>
              <w:pStyle w:val="Compact"/>
              <w:jc w:val="left"/>
            </w:pPr>
            <w:r>
              <w:t xml:space="preserve">FY2024 FCF (approx.)</w:t>
            </w:r>
          </w:p>
        </w:tc>
        <w:tc>
          <w:tcPr/>
          <w:p>
            <w:pPr>
              <w:pStyle w:val="Compact"/>
              <w:jc w:val="left"/>
            </w:pPr>
            <w:r>
              <w:t xml:space="preserve">FCF Yield at $130M EV</w:t>
            </w:r>
          </w:p>
        </w:tc>
      </w:tr>
      <w:tr>
        <w:tc>
          <w:tcPr/>
          <w:p>
            <w:pPr>
              <w:pStyle w:val="Compact"/>
              <w:jc w:val="left"/>
            </w:pPr>
            <w:r>
              <w:t xml:space="preserve">CIM case</w:t>
            </w:r>
          </w:p>
        </w:tc>
        <w:tc>
          <w:tcPr/>
          <w:p>
            <w:pPr>
              <w:pStyle w:val="Compact"/>
              <w:jc w:val="left"/>
            </w:pPr>
            <w:r>
              <w:t xml:space="preserve">$3.0M (3.4% of rev)</w:t>
            </w:r>
          </w:p>
        </w:tc>
        <w:tc>
          <w:tcPr/>
          <w:p>
            <w:pPr>
              <w:pStyle w:val="Compact"/>
              <w:jc w:val="left"/>
            </w:pPr>
            <w:r>
              <w:t xml:space="preserve">~$6.8M</w:t>
            </w:r>
          </w:p>
        </w:tc>
        <w:tc>
          <w:tcPr/>
          <w:p>
            <w:pPr>
              <w:pStyle w:val="Compact"/>
              <w:jc w:val="left"/>
            </w:pPr>
            <w:r>
              <w:t xml:space="preserve">~5.2%</w:t>
            </w:r>
          </w:p>
        </w:tc>
      </w:tr>
      <w:tr>
        <w:tc>
          <w:tcPr/>
          <w:p>
            <w:pPr>
              <w:pStyle w:val="Compact"/>
              <w:jc w:val="left"/>
            </w:pPr>
            <w:r>
              <w:t xml:space="preserve">Sector-normalized capex</w:t>
            </w:r>
          </w:p>
        </w:tc>
        <w:tc>
          <w:tcPr/>
          <w:p>
            <w:pPr>
              <w:pStyle w:val="Compact"/>
              <w:jc w:val="left"/>
            </w:pPr>
            <w:r>
              <w:t xml:space="preserve">$5.5M (6.3% of rev)</w:t>
            </w:r>
          </w:p>
        </w:tc>
        <w:tc>
          <w:tcPr/>
          <w:p>
            <w:pPr>
              <w:pStyle w:val="Compact"/>
              <w:jc w:val="left"/>
            </w:pPr>
            <w:r>
              <w:t xml:space="preserve">~$4.3M</w:t>
            </w:r>
          </w:p>
        </w:tc>
        <w:tc>
          <w:tcPr/>
          <w:p>
            <w:pPr>
              <w:pStyle w:val="Compact"/>
              <w:jc w:val="left"/>
            </w:pPr>
            <w:r>
              <w:t xml:space="preserve">~3.3%</w:t>
            </w:r>
          </w:p>
        </w:tc>
      </w:tr>
      <w:tr>
        <w:tc>
          <w:tcPr/>
          <w:p>
            <w:pPr>
              <w:pStyle w:val="Compact"/>
              <w:jc w:val="left"/>
            </w:pPr>
            <w:r>
              <w:t xml:space="preserve">Sector-normalized + WC drag</w:t>
            </w:r>
          </w:p>
        </w:tc>
        <w:tc>
          <w:tcPr/>
          <w:p>
            <w:pPr>
              <w:pStyle w:val="Compact"/>
              <w:jc w:val="left"/>
            </w:pPr>
            <w:r>
              <w:t xml:space="preserve">$5.5M</w:t>
            </w:r>
          </w:p>
        </w:tc>
        <w:tc>
          <w:tcPr/>
          <w:p>
            <w:pPr>
              <w:pStyle w:val="Compact"/>
              <w:jc w:val="left"/>
            </w:pPr>
            <w:r>
              <w:t xml:space="preserve">~$2.3M</w:t>
            </w:r>
          </w:p>
        </w:tc>
        <w:tc>
          <w:tcPr/>
          <w:p>
            <w:pPr>
              <w:pStyle w:val="Compact"/>
              <w:jc w:val="left"/>
            </w:pPr>
            <w:r>
              <w:t xml:space="preserve">~1.8%</w:t>
            </w:r>
          </w:p>
        </w:tc>
      </w:tr>
    </w:tbl>
    <w:p>
      <w:pPr>
        <w:pStyle w:val="BodyText"/>
      </w:pPr>
      <w:r>
        <w:t xml:space="preserve">Even on the CIM’s optimistic capex assumptions, the baseline FCF yield is only ~5%, and on realistic capex it falls to ~3% or below.</w:t>
      </w:r>
      <w:r>
        <w:t xml:space="preserve"> </w:t>
      </w:r>
      <w:r>
        <w:rPr>
          <w:b/>
          <w:bCs/>
        </w:rPr>
        <w:t xml:space="preserve">The deal does not generate adequate baseline returns at the recommended multiple without the PFAS growth and margin expansion materializing.</w:t>
      </w:r>
      <w:r>
        <w:t xml:space="preserve"> </w:t>
      </w:r>
      <w:r>
        <w:t xml:space="preserve">The investment case is therefore an optionality/growth story: the buyer is paying for the platform and the PFAS upside, with the baseline cash generation providing limited margin of safety. This argues for (a) a disciplined entry multiple, (b) an earnout tied to PFAS achievement, and (c) a credible value-creation plan (add-on acquisitions, margin improvement, geographic expansion) rather than reliance on the sell-side projections as stated.</w:t>
      </w:r>
    </w:p>
    <w:p>
      <w:r>
        <w:pict>
          <v:rect style="width:0;height:1.5pt" o:hralign="center" o:hrstd="t" o:hr="t"/>
        </w:pict>
      </w:r>
    </w:p>
    <w:bookmarkEnd w:id="60"/>
    <w:bookmarkEnd w:id="61"/>
    <w:bookmarkStart w:id="66" w:name="ioi-strategy-and-recommended-next-steps"/>
    <w:p>
      <w:pPr>
        <w:pStyle w:val="Heading2"/>
      </w:pPr>
      <w:r>
        <w:t xml:space="preserve">8. IOI Strategy and Recommended Next Steps</w:t>
      </w:r>
    </w:p>
    <w:bookmarkStart w:id="62" w:name="recommended-ioi-terms"/>
    <w:p>
      <w:pPr>
        <w:pStyle w:val="Heading3"/>
      </w:pPr>
      <w:r>
        <w:t xml:space="preserve">8.1 Recommended IOI Terms</w:t>
      </w:r>
    </w:p>
    <w:p>
      <w:pPr>
        <w:pStyle w:val="Compact"/>
        <w:numPr>
          <w:ilvl w:val="0"/>
          <w:numId w:val="1012"/>
        </w:numPr>
      </w:pPr>
      <w:r>
        <w:rPr>
          <w:b/>
          <w:bCs/>
        </w:rPr>
        <w:t xml:space="preserve">Enterprise value range:</w:t>
      </w:r>
      <w:r>
        <w:t xml:space="preserve"> </w:t>
      </w:r>
      <w:r>
        <w:t xml:space="preserve">$125M–$135M, on a cash-free, debt-free basis with normalized net working capital, based on trailing FY2024 buy-side Adjusted EBITDA of ~$15.5M (implying ~8.1x–8.7x). State explicitly that the valuation is trailing-based and that forward projections have not been validated.</w:t>
      </w:r>
    </w:p>
    <w:p>
      <w:pPr>
        <w:pStyle w:val="Compact"/>
        <w:numPr>
          <w:ilvl w:val="0"/>
          <w:numId w:val="1012"/>
        </w:numPr>
      </w:pPr>
      <w:r>
        <w:rPr>
          <w:b/>
          <w:bCs/>
        </w:rPr>
        <w:t xml:space="preserve">Structure:</w:t>
      </w:r>
      <w:r>
        <w:t xml:space="preserve"> </w:t>
      </w:r>
      <w:r>
        <w:t xml:space="preserve">Stock purchase (per the process letter’s expected structure), with existing Cascadia Commercial Bank debt refinanced/repaid at closing.</w:t>
      </w:r>
    </w:p>
    <w:p>
      <w:pPr>
        <w:pStyle w:val="Compact"/>
        <w:numPr>
          <w:ilvl w:val="0"/>
          <w:numId w:val="1012"/>
        </w:numPr>
      </w:pPr>
      <w:r>
        <w:rPr>
          <w:b/>
          <w:bCs/>
        </w:rPr>
        <w:t xml:space="preserve">Real estate:</w:t>
      </w:r>
      <w:r>
        <w:t xml:space="preserve"> </w:t>
      </w:r>
      <w:r>
        <w:t xml:space="preserve">Propose to acquire the HQ property at fair market value (subject to appraisal) or, alternatively, negotiate a new arm’s-length lease at true market terms (with the normalization reflecting the $1.0–1.2M specialized-facility market rate, not $600K). Flag the related-party lease normalization as a diligence item.</w:t>
      </w:r>
    </w:p>
    <w:p>
      <w:pPr>
        <w:pStyle w:val="Compact"/>
        <w:numPr>
          <w:ilvl w:val="0"/>
          <w:numId w:val="1012"/>
        </w:numPr>
      </w:pPr>
      <w:r>
        <w:rPr>
          <w:b/>
          <w:bCs/>
        </w:rPr>
        <w:t xml:space="preserve">Earnout:</w:t>
      </w:r>
      <w:r>
        <w:t xml:space="preserve"> </w:t>
      </w:r>
      <w:r>
        <w:t xml:space="preserve">Propose a contingent earnout (e.g., $10M–$15M) tied to PFAS revenue achievement over FY2025–FY2026 (e.g., PFAS reaching $14M in FY2025 and $22M in FY2026), to bridge the valuation gap and align the seller with the growth story. This protects against the projection risk identified in Section 6.1.</w:t>
      </w:r>
    </w:p>
    <w:p>
      <w:pPr>
        <w:pStyle w:val="Compact"/>
        <w:numPr>
          <w:ilvl w:val="0"/>
          <w:numId w:val="1012"/>
        </w:numPr>
      </w:pPr>
      <w:r>
        <w:rPr>
          <w:b/>
          <w:bCs/>
        </w:rPr>
        <w:t xml:space="preserve">Management/retention:</w:t>
      </w:r>
      <w:r>
        <w:t xml:space="preserve"> </w:t>
      </w:r>
      <w:r>
        <w:t xml:space="preserve">Express willingness to accommodate Mr. Oakes’s 18–24 month transition in an advisory capacity; commit to retaining the existing management team and employees; flag intent to put retention agreements in place for key personnel (Prewitt, Cahill, PEs) as a closing condition.</w:t>
      </w:r>
    </w:p>
    <w:p>
      <w:pPr>
        <w:pStyle w:val="Compact"/>
        <w:numPr>
          <w:ilvl w:val="0"/>
          <w:numId w:val="1012"/>
        </w:numPr>
      </w:pPr>
      <w:r>
        <w:rPr>
          <w:b/>
          <w:bCs/>
        </w:rPr>
        <w:t xml:space="preserve">Financing:</w:t>
      </w:r>
      <w:r>
        <w:t xml:space="preserve"> </w:t>
      </w:r>
      <w:r>
        <w:t xml:space="preserve">Indicate committed equity from Fund III and anticipated senior debt leverage; name anticipated lenders subject to diligence. Leverage of ~3.0x–3.5x buy-side EBITDA is feasible given the asset base (fleet, equipment) and recurring revenue, subject to capex and working capital diligence.</w:t>
      </w:r>
    </w:p>
    <w:p>
      <w:pPr>
        <w:pStyle w:val="Compact"/>
        <w:numPr>
          <w:ilvl w:val="0"/>
          <w:numId w:val="1012"/>
        </w:numPr>
      </w:pPr>
      <w:r>
        <w:rPr>
          <w:b/>
          <w:bCs/>
        </w:rPr>
        <w:t xml:space="preserve">Diligence:</w:t>
      </w:r>
      <w:r>
        <w:t xml:space="preserve"> </w:t>
      </w:r>
      <w:r>
        <w:t xml:space="preserve">Summarize the key remaining items (PFAS backlog, PNR contract, capex/fleet, regulatory history, QoE on adjustments, real estate).</w:t>
      </w:r>
    </w:p>
    <w:p>
      <w:pPr>
        <w:pStyle w:val="Compact"/>
        <w:numPr>
          <w:ilvl w:val="0"/>
          <w:numId w:val="1012"/>
        </w:numPr>
      </w:pPr>
      <w:r>
        <w:rPr>
          <w:b/>
          <w:bCs/>
        </w:rPr>
        <w:t xml:space="preserve">Approvals/timeline:</w:t>
      </w:r>
      <w:r>
        <w:t xml:space="preserve"> </w:t>
      </w:r>
      <w:r>
        <w:t xml:space="preserve">Standard IC approval; target close in Q4 2025 subject to diligence and financing.</w:t>
      </w:r>
    </w:p>
    <w:bookmarkEnd w:id="62"/>
    <w:bookmarkStart w:id="63" w:name="phase-i-qa-items-to-submit-to-greenleaf"/>
    <w:p>
      <w:pPr>
        <w:pStyle w:val="Heading3"/>
      </w:pPr>
      <w:r>
        <w:t xml:space="preserve">8.2 Phase I Q&amp;A Items to Submit to Greenleaf</w:t>
      </w:r>
    </w:p>
    <w:p>
      <w:pPr>
        <w:pStyle w:val="FirstParagraph"/>
      </w:pPr>
      <w:r>
        <w:t xml:space="preserve">The following should be submitted via the Greenleaf Q&amp;A process to begin resolving the data integrity issues before Phase II:</w:t>
      </w:r>
    </w:p>
    <w:p>
      <w:pPr>
        <w:pStyle w:val="Compact"/>
        <w:numPr>
          <w:ilvl w:val="0"/>
          <w:numId w:val="1013"/>
        </w:numPr>
      </w:pPr>
      <w:r>
        <w:t xml:space="preserve">Reconciliation of the FY2024 Adjusted EBITDA bridge (adjustments sum to $4.7M / $16.8M, not $17.1M as stated).</w:t>
      </w:r>
    </w:p>
    <w:p>
      <w:pPr>
        <w:pStyle w:val="Compact"/>
        <w:numPr>
          <w:ilvl w:val="0"/>
          <w:numId w:val="1013"/>
        </w:numPr>
      </w:pPr>
      <w:r>
        <w:t xml:space="preserve">A single, reconciled top-10 customer list with verified contract status, segments, and expiration dates — and specifically the current status of the PNR MSA (expired March 31, 2025).</w:t>
      </w:r>
    </w:p>
    <w:p>
      <w:pPr>
        <w:pStyle w:val="Compact"/>
        <w:numPr>
          <w:ilvl w:val="0"/>
          <w:numId w:val="1013"/>
        </w:numPr>
      </w:pPr>
      <w:r>
        <w:t xml:space="preserve">Reconciliation of the CIM condensed financials (Appendix A) to the Financial Exhibits (income statement, balance sheet, cash flow), and clarification of the exhibits’ internal inconsistency (operating income + D&amp;A ≠ EBITDA).</w:t>
      </w:r>
    </w:p>
    <w:p>
      <w:pPr>
        <w:pStyle w:val="Compact"/>
        <w:numPr>
          <w:ilvl w:val="0"/>
          <w:numId w:val="1013"/>
        </w:numPr>
      </w:pPr>
      <w:r>
        <w:t xml:space="preserve">Confirmation of total debt outstanding (CIM states $17.3M; exhibits imply $19.1M) and cash balance (CIM $2.3M; exhibits $4.1M).</w:t>
      </w:r>
    </w:p>
    <w:p>
      <w:pPr>
        <w:pStyle w:val="Compact"/>
        <w:numPr>
          <w:ilvl w:val="0"/>
          <w:numId w:val="1013"/>
        </w:numPr>
      </w:pPr>
      <w:r>
        <w:t xml:space="preserve">PFAS-specific contracted backlog and pipeline breakout (signed vs. pipeline), and the basis for the $14.0M FY2025E PFAS projection.</w:t>
      </w:r>
    </w:p>
    <w:p>
      <w:pPr>
        <w:pStyle w:val="Compact"/>
        <w:numPr>
          <w:ilvl w:val="0"/>
          <w:numId w:val="1013"/>
        </w:numPr>
      </w:pPr>
      <w:r>
        <w:t xml:space="preserve">Segment-level margin data (the margin expansion thesis relies on PFAS carrying above-average margins, which is not supported by any data provided).</w:t>
      </w:r>
    </w:p>
    <w:p>
      <w:pPr>
        <w:pStyle w:val="Compact"/>
        <w:numPr>
          <w:ilvl w:val="0"/>
          <w:numId w:val="1013"/>
        </w:numPr>
      </w:pPr>
      <w:r>
        <w:t xml:space="preserve">DSO calculation methodology (stated 52 days vs. ~71 days implied by AR and revenue).</w:t>
      </w:r>
    </w:p>
    <w:p>
      <w:pPr>
        <w:pStyle w:val="Compact"/>
        <w:numPr>
          <w:ilvl w:val="0"/>
          <w:numId w:val="1013"/>
        </w:numPr>
      </w:pPr>
      <w:r>
        <w:t xml:space="preserve">Source of the $2.5M goodwill &amp; intangible assets.</w:t>
      </w:r>
    </w:p>
    <w:p>
      <w:pPr>
        <w:pStyle w:val="Compact"/>
        <w:numPr>
          <w:ilvl w:val="0"/>
          <w:numId w:val="1013"/>
        </w:numPr>
      </w:pPr>
      <w:r>
        <w:t xml:space="preserve">Quantification of the phantom equity cash settlement obligation at closing.</w:t>
      </w:r>
    </w:p>
    <w:p>
      <w:pPr>
        <w:pStyle w:val="Compact"/>
        <w:numPr>
          <w:ilvl w:val="0"/>
          <w:numId w:val="1013"/>
        </w:numPr>
      </w:pPr>
      <w:r>
        <w:t xml:space="preserve">Complete regulatory enforcement history for the past 10 years.</w:t>
      </w:r>
    </w:p>
    <w:bookmarkEnd w:id="63"/>
    <w:bookmarkStart w:id="64" w:name="diligence-team-and-workstreams-phase-ii"/>
    <w:p>
      <w:pPr>
        <w:pStyle w:val="Heading3"/>
      </w:pPr>
      <w:r>
        <w:t xml:space="preserve">8.3 Diligence Team and Workstreams (Phase II)</w:t>
      </w:r>
    </w:p>
    <w:p>
      <w:pPr>
        <w:pStyle w:val="Compact"/>
        <w:numPr>
          <w:ilvl w:val="0"/>
          <w:numId w:val="1014"/>
        </w:numPr>
      </w:pPr>
      <w:r>
        <w:rPr>
          <w:b/>
          <w:bCs/>
        </w:rPr>
        <w:t xml:space="preserve">QoE provider</w:t>
      </w:r>
      <w:r>
        <w:t xml:space="preserve"> </w:t>
      </w:r>
      <w:r>
        <w:t xml:space="preserve">(to be selected): reconcile financials to audited statements; validate all EBITDA adjustments; verify DSO and working capital; assess capex and fleet; normalize regulatory cost run-rate.</w:t>
      </w:r>
    </w:p>
    <w:p>
      <w:pPr>
        <w:pStyle w:val="Compact"/>
        <w:numPr>
          <w:ilvl w:val="0"/>
          <w:numId w:val="1014"/>
        </w:numPr>
      </w:pPr>
      <w:r>
        <w:rPr>
          <w:b/>
          <w:bCs/>
        </w:rPr>
        <w:t xml:space="preserve">Calloway, Barrett &amp; Sims LLP</w:t>
      </w:r>
      <w:r>
        <w:t xml:space="preserve"> </w:t>
      </w:r>
      <w:r>
        <w:t xml:space="preserve">(buyer’s counsel): stock purchase agreement markup; regulatory and environmental diligence; real estate; phantom plan; contracts (especially PNR).</w:t>
      </w:r>
    </w:p>
    <w:p>
      <w:pPr>
        <w:pStyle w:val="Compact"/>
        <w:numPr>
          <w:ilvl w:val="0"/>
          <w:numId w:val="1014"/>
        </w:numPr>
      </w:pPr>
      <w:r>
        <w:rPr>
          <w:b/>
          <w:bCs/>
        </w:rPr>
        <w:t xml:space="preserve">Environmental/technical consultant</w:t>
      </w:r>
      <w:r>
        <w:t xml:space="preserve">: fleet and facility condition assessment; PFAS capability and capacity review; regulatory compliance review.</w:t>
      </w:r>
    </w:p>
    <w:p>
      <w:pPr>
        <w:pStyle w:val="Compact"/>
        <w:numPr>
          <w:ilvl w:val="0"/>
          <w:numId w:val="1014"/>
        </w:numPr>
      </w:pPr>
      <w:r>
        <w:rPr>
          <w:b/>
          <w:bCs/>
        </w:rPr>
        <w:t xml:space="preserve">Commercial diligence</w:t>
      </w:r>
      <w:r>
        <w:t xml:space="preserve">: customer references (especially PNR, ODOT, Columbia Basin); PFAS market sizing and competitive landscape; win/loss analysis on the pipeline.</w:t>
      </w:r>
    </w:p>
    <w:bookmarkEnd w:id="64"/>
    <w:bookmarkStart w:id="65" w:name="decision-recommendation"/>
    <w:p>
      <w:pPr>
        <w:pStyle w:val="Heading3"/>
      </w:pPr>
      <w:r>
        <w:t xml:space="preserve">8.4 Decision Recommendation</w:t>
      </w:r>
    </w:p>
    <w:p>
      <w:pPr>
        <w:pStyle w:val="FirstParagraph"/>
      </w:pPr>
      <w:r>
        <w:rPr>
          <w:b/>
          <w:bCs/>
        </w:rPr>
        <w:t xml:space="preserve">Proceed to IOI at $125M–$135M EV with a PFAS earnout.</w:t>
      </w:r>
      <w:r>
        <w:t xml:space="preserve"> </w:t>
      </w:r>
      <w:r>
        <w:t xml:space="preserve">The business is attractive and fits Fund III’s mandate, and the regulatory tailwinds and platform characteristics are genuine. However, the sell-side materials contain a material arithmetic error in the headline metric, pervasive data integrity issues, aggressive projections unsupported by backlog, and likely understated capex — all of which warrant a disciplined valuation and a structured approach to bridging the gap with the seller. The earnout mechanism and the diligence workstreams above are designed to protect downside while preserving access to the PFAS upside that makes the opportunity compelling. We recommend IC review of this memo and the IOI terms in advance of the July 14, 2025 deadline.</w:t>
      </w:r>
    </w:p>
    <w:p>
      <w:r>
        <w:pict>
          <v:rect style="width:0;height:1.5pt" o:hralign="center" o:hrstd="t" o:hr="t"/>
        </w:pict>
      </w:r>
    </w:p>
    <w:p>
      <w:pPr>
        <w:pStyle w:val="FirstParagraph"/>
      </w:pPr>
      <w:r>
        <w:rPr>
          <w:i/>
          <w:iCs/>
        </w:rPr>
        <w:t xml:space="preserve">Prepared by David Koh, Associate, Thornfield Capital Partners. This analysis relies on the Confidential Information Memorandum, Customer Summary and Backlog Report, and Financial Exhibits prepared by Greenleaf Advisory Group, LLC, and on the sector memo prepared by Sarah Lindgren dated June 12, 2025. All sell-side information is unverified and subject to independent confirmation during diligence. This memorandum is confidential and intended solely for internal Thornfield Capital Partners use.</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2026-06-26T23:34:47Z</dcterms:created>
  <dcterms:modified xsi:type="dcterms:W3CDTF">2026-06-26T23:34:47Z</dcterms:modified>
</cp:coreProperties>
</file>

<file path=docProps/custom.xml><?xml version="1.0" encoding="utf-8"?>
<Properties xmlns="http://schemas.openxmlformats.org/officeDocument/2006/custom-properties" xmlns:vt="http://schemas.openxmlformats.org/officeDocument/2006/docPropsVTypes"/>
</file>