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4b38d803b513b923d9314535eb9a8fe0a8aa3e"/>
    <w:p>
      <w:pPr>
        <w:pStyle w:val="Heading1"/>
      </w:pPr>
      <w:r>
        <w:t xml:space="preserve">PRIVILEGED &amp; CONFIDENTIAL — PREPARED AT THE REQUEST OF COUNSEL</w:t>
      </w:r>
    </w:p>
    <w:bookmarkEnd w:id="20"/>
    <w:bookmarkStart w:id="79" w:name="buy-side-cim-analysis-memorandum"/>
    <w:p>
      <w:pPr>
        <w:pStyle w:val="Heading1"/>
      </w:pPr>
      <w:r>
        <w:t xml:space="preserve">Buy-Side CIM Analysis Memorandum</w:t>
      </w:r>
    </w:p>
    <w:bookmarkStart w:id="21" w:name="X8bbbf29cf9705517dd76f2c67cd7952afe41052"/>
    <w:p>
      <w:pPr>
        <w:pStyle w:val="Heading2"/>
      </w:pPr>
      <w:r>
        <w:t xml:space="preserve">Cascade Environmental Solutions, Inc. (</w:t>
      </w:r>
      <w:r>
        <w:t xml:space="preserve">“</w:t>
      </w:r>
      <w:r>
        <w:t xml:space="preserve">CES</w:t>
      </w:r>
      <w:r>
        <w:t xml:space="preserve">”</w:t>
      </w:r>
      <w:r>
        <w:t xml:space="preserve"> </w:t>
      </w:r>
      <w:r>
        <w:t xml:space="preserve">/</w:t>
      </w:r>
      <w:r>
        <w:t xml:space="preserve"> </w:t>
      </w:r>
      <w:r>
        <w:t xml:space="preserve">“</w:t>
      </w:r>
      <w:r>
        <w:t xml:space="preserve">Project Cascade</w:t>
      </w:r>
      <w:r>
        <w:t xml:space="preserv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Yuen, Partner (Deal Lead); Diane Holbrook, Managing Partner; Sarah Lindgren, Vice President</w:t>
            </w:r>
          </w:p>
        </w:tc>
      </w:tr>
      <w:tr>
        <w:tc>
          <w:tcPr/>
          <w:p>
            <w:pPr>
              <w:pStyle w:val="Compact"/>
              <w:jc w:val="left"/>
            </w:pPr>
            <w:r>
              <w:rPr>
                <w:b/>
                <w:bCs/>
              </w:rPr>
              <w:t xml:space="preserve">From:</w:t>
            </w:r>
          </w:p>
        </w:tc>
        <w:tc>
          <w:tcPr/>
          <w:p>
            <w:pPr>
              <w:pStyle w:val="Compact"/>
              <w:jc w:val="left"/>
            </w:pPr>
            <w:r>
              <w:t xml:space="preserve">David Koh, Associate</w:t>
            </w:r>
          </w:p>
        </w:tc>
      </w:tr>
      <w:tr>
        <w:tc>
          <w:tcPr/>
          <w:p>
            <w:pPr>
              <w:pStyle w:val="Compact"/>
              <w:jc w:val="left"/>
            </w:pPr>
            <w:r>
              <w:rPr>
                <w:b/>
                <w:bCs/>
              </w:rPr>
              <w:t xml:space="preserve">Fund:</w:t>
            </w:r>
          </w:p>
        </w:tc>
        <w:tc>
          <w:tcPr/>
          <w:p>
            <w:pPr>
              <w:pStyle w:val="Compact"/>
              <w:jc w:val="left"/>
            </w:pPr>
            <w:r>
              <w:t xml:space="preserve">Thornfield Capital Partners Fund III, LP</w:t>
            </w:r>
          </w:p>
        </w:tc>
      </w:tr>
      <w:tr>
        <w:tc>
          <w:tcPr/>
          <w:p>
            <w:pPr>
              <w:pStyle w:val="Compact"/>
              <w:jc w:val="left"/>
            </w:pPr>
            <w:r>
              <w:rPr>
                <w:b/>
                <w:bCs/>
              </w:rPr>
              <w:t xml:space="preserve">Date:</w:t>
            </w:r>
          </w:p>
        </w:tc>
        <w:tc>
          <w:tcPr/>
          <w:p>
            <w:pPr>
              <w:pStyle w:val="Compact"/>
              <w:jc w:val="left"/>
            </w:pPr>
            <w:r>
              <w:t xml:space="preserve">June 25, 2025</w:t>
            </w:r>
          </w:p>
        </w:tc>
      </w:tr>
      <w:tr>
        <w:tc>
          <w:tcPr/>
          <w:p>
            <w:pPr>
              <w:pStyle w:val="Compact"/>
              <w:jc w:val="left"/>
            </w:pPr>
            <w:r>
              <w:rPr>
                <w:b/>
                <w:bCs/>
              </w:rPr>
              <w:t xml:space="preserve">Re:</w:t>
            </w:r>
          </w:p>
        </w:tc>
        <w:tc>
          <w:tcPr/>
          <w:p>
            <w:pPr>
              <w:pStyle w:val="Compact"/>
              <w:jc w:val="left"/>
            </w:pPr>
            <w:r>
              <w:t xml:space="preserve">Buy-side analysis of the Confidential Information Memorandum and supporting materials for Cascade Environmental Solutions, Inc.</w:t>
            </w:r>
          </w:p>
        </w:tc>
      </w:tr>
      <w:tr>
        <w:tc>
          <w:tcPr/>
          <w:p>
            <w:pPr>
              <w:pStyle w:val="Compact"/>
              <w:jc w:val="left"/>
            </w:pPr>
            <w:r>
              <w:rPr>
                <w:b/>
                <w:bCs/>
              </w:rPr>
              <w:t xml:space="preserve">Process deadline:</w:t>
            </w:r>
          </w:p>
        </w:tc>
        <w:tc>
          <w:tcPr/>
          <w:p>
            <w:pPr>
              <w:pStyle w:val="Compact"/>
              <w:jc w:val="left"/>
            </w:pPr>
            <w:r>
              <w:t xml:space="preserve">Indications of Interest due July 14, 2025 (5:00 PM PT)</w:t>
            </w:r>
          </w:p>
        </w:tc>
      </w:tr>
    </w:tbl>
    <w:p>
      <w:r>
        <w:pict>
          <v:rect style="width:0;height:1.5pt" o:hralign="center" o:hrstd="t" o:hr="t"/>
        </w:pict>
      </w:r>
    </w:p>
    <w:bookmarkEnd w:id="21"/>
    <w:bookmarkStart w:id="22" w:name="executive-summary-and-recommendation"/>
    <w:p>
      <w:pPr>
        <w:pStyle w:val="Heading2"/>
      </w:pPr>
      <w:r>
        <w:t xml:space="preserve">1. Executive Summary and Recommendation</w:t>
      </w:r>
    </w:p>
    <w:p>
      <w:pPr>
        <w:pStyle w:val="FirstParagraph"/>
      </w:pPr>
      <w:r>
        <w:rPr>
          <w:b/>
          <w:bCs/>
        </w:rPr>
        <w:t xml:space="preserve">Recommendation: Proceed to submit a non-binding Indication of Interest, but at a valuation meaningfully below the sell-side’s implied range and subject to a robust set of confirmatory-diligence conditions and structural protections.</w:t>
      </w:r>
      <w:r>
        <w:t xml:space="preserve"> </w:t>
      </w:r>
      <w:r>
        <w:t xml:space="preserve">CES is a genuinely attractive Pacific Northwest environmental services platform that fits Thornfield’s sector focus and benefits from real regulatory tailwinds. However, the marketing materials contain a pattern of financial inconsistencies, aggressive adjustments, cross-document discrepancies, and an over-reliance on an unproven growth vector that, taken together, warrant a disciplined buy-side view.</w:t>
      </w:r>
    </w:p>
    <w:p>
      <w:pPr>
        <w:pStyle w:val="BodyText"/>
      </w:pPr>
      <w:r>
        <w:rPr>
          <w:b/>
          <w:bCs/>
        </w:rPr>
        <w:t xml:space="preserve">Headline observations (each developed in the sections that follow):</w:t>
      </w:r>
    </w:p>
    <w:p>
      <w:pPr>
        <w:pStyle w:val="Compact"/>
        <w:numPr>
          <w:ilvl w:val="0"/>
          <w:numId w:val="1001"/>
        </w:numPr>
      </w:pPr>
      <w:r>
        <w:t xml:space="preserve">The headline</w:t>
      </w:r>
      <w:r>
        <w:t xml:space="preserve"> </w:t>
      </w:r>
      <w:r>
        <w:rPr>
          <w:b/>
          <w:bCs/>
        </w:rPr>
        <w:t xml:space="preserve">FY2024 Adjusted EBITDA of $17.1M does not foot to its own stated adjustments</w:t>
      </w:r>
      <w:r>
        <w:t xml:space="preserve">, which sum to $16.8M — a $0.3M arithmetic overstatement in the valuation year (Section 4.1).</w:t>
      </w:r>
    </w:p>
    <w:p>
      <w:pPr>
        <w:pStyle w:val="Compact"/>
        <w:numPr>
          <w:ilvl w:val="0"/>
          <w:numId w:val="1001"/>
        </w:numPr>
      </w:pPr>
      <w:r>
        <w:t xml:space="preserve">The</w:t>
      </w:r>
      <w:r>
        <w:t xml:space="preserve"> </w:t>
      </w:r>
      <w:r>
        <w:rPr>
          <w:b/>
          <w:bCs/>
        </w:rPr>
        <w:t xml:space="preserve">CIM and the Financial Exhibits workbook disagree</w:t>
      </w:r>
      <w:r>
        <w:t xml:space="preserve"> </w:t>
      </w:r>
      <w:r>
        <w:t xml:space="preserve">on the income statement, balance sheet, and cash flow statement for the same audited period, and the Financial Exhibits do not internally reconcile (Sections 4.2–4.3).</w:t>
      </w:r>
    </w:p>
    <w:p>
      <w:pPr>
        <w:pStyle w:val="Compact"/>
        <w:numPr>
          <w:ilvl w:val="0"/>
          <w:numId w:val="1001"/>
        </w:numPr>
      </w:pPr>
      <w:r>
        <w:t xml:space="preserve">Several</w:t>
      </w:r>
      <w:r>
        <w:t xml:space="preserve"> </w:t>
      </w:r>
      <w:r>
        <w:rPr>
          <w:b/>
          <w:bCs/>
        </w:rPr>
        <w:t xml:space="preserve">EBITDA add-backs are aggressive or potentially double-counted</w:t>
      </w:r>
      <w:r>
        <w:t xml:space="preserve">, including the DEQ regulatory settlement, the related-party lease normalization, and owner compensation (Sections 4.4–4.6).</w:t>
      </w:r>
    </w:p>
    <w:p>
      <w:pPr>
        <w:pStyle w:val="Compact"/>
        <w:numPr>
          <w:ilvl w:val="0"/>
          <w:numId w:val="1001"/>
        </w:numPr>
      </w:pPr>
      <w:r>
        <w:t xml:space="preserve">The</w:t>
      </w:r>
      <w:r>
        <w:t xml:space="preserve"> </w:t>
      </w:r>
      <w:r>
        <w:rPr>
          <w:b/>
          <w:bCs/>
        </w:rPr>
        <w:t xml:space="preserve">stated DSO of 52 days is not supported by the balance sheet</w:t>
      </w:r>
      <w:r>
        <w:t xml:space="preserve">, which implies ~71 days — above the 60-day threshold that signals collection or revenue-recognition issues (Section 4.8).</w:t>
      </w:r>
    </w:p>
    <w:p>
      <w:pPr>
        <w:pStyle w:val="Compact"/>
        <w:numPr>
          <w:ilvl w:val="0"/>
          <w:numId w:val="1001"/>
        </w:numPr>
      </w:pPr>
      <w:r>
        <w:rPr>
          <w:b/>
          <w:bCs/>
        </w:rPr>
        <w:t xml:space="preserve">Maintenance capex is stated at 3.4% of revenue versus a 5–7% sector benchmark</w:t>
      </w:r>
      <w:r>
        <w:t xml:space="preserve"> </w:t>
      </w:r>
      <w:r>
        <w:t xml:space="preserve">— a classic pre-sale understatement pattern (Section 4.9).</w:t>
      </w:r>
    </w:p>
    <w:p>
      <w:pPr>
        <w:pStyle w:val="Compact"/>
        <w:numPr>
          <w:ilvl w:val="0"/>
          <w:numId w:val="1001"/>
        </w:numPr>
      </w:pPr>
      <w:r>
        <w:t xml:space="preserve">The</w:t>
      </w:r>
      <w:r>
        <w:t xml:space="preserve"> </w:t>
      </w:r>
      <w:r>
        <w:rPr>
          <w:b/>
          <w:bCs/>
        </w:rPr>
        <w:t xml:space="preserve">PFAS growth plan — 125.8% growth in FY2025E — is roughly 3x the company-level rate we believe is achievable</w:t>
      </w:r>
      <w:r>
        <w:t xml:space="preserve">, and PFAS is asked to carry ~64% of incremental growth; the Financial Exhibits show traditional (non-PFAS) remediation essentially flat in FY2025E, meaning all remediation growth is PFAS (Sections 6, 4.14).</w:t>
      </w:r>
    </w:p>
    <w:p>
      <w:pPr>
        <w:pStyle w:val="Compact"/>
        <w:numPr>
          <w:ilvl w:val="0"/>
          <w:numId w:val="1001"/>
        </w:numPr>
      </w:pPr>
      <w:r>
        <w:t xml:space="preserve">The</w:t>
      </w:r>
      <w:r>
        <w:t xml:space="preserve"> </w:t>
      </w:r>
      <w:r>
        <w:rPr>
          <w:b/>
          <w:bCs/>
        </w:rPr>
        <w:t xml:space="preserve">top-10 customer list in the CIM and the Customer Backlog Report do not match</w:t>
      </w:r>
      <w:r>
        <w:t xml:space="preserve"> </w:t>
      </w:r>
      <w:r>
        <w:t xml:space="preserve">— five of ten customer names, plus segments served and relationship tenures, differ between the two documents, and the CIM is internally inconsistent on what services its largest customer even receives (Section 5.1).</w:t>
      </w:r>
    </w:p>
    <w:p>
      <w:pPr>
        <w:pStyle w:val="Compact"/>
        <w:numPr>
          <w:ilvl w:val="0"/>
          <w:numId w:val="1001"/>
        </w:numPr>
      </w:pPr>
      <w:r>
        <w:t xml:space="preserve">The</w:t>
      </w:r>
      <w:r>
        <w:t xml:space="preserve"> </w:t>
      </w:r>
      <w:r>
        <w:rPr>
          <w:b/>
          <w:bCs/>
        </w:rPr>
        <w:t xml:space="preserve">largest customer (PNR, 21.4% of revenue) operates under an MSA that expired March 31, 2025</w:t>
      </w:r>
      <w:r>
        <w:t xml:space="preserve"> </w:t>
      </w:r>
      <w:r>
        <w:t xml:space="preserve">— before the CIM was distributed (Section 5.2).</w:t>
      </w:r>
    </w:p>
    <w:p>
      <w:pPr>
        <w:pStyle w:val="Compact"/>
        <w:numPr>
          <w:ilvl w:val="0"/>
          <w:numId w:val="1001"/>
        </w:numPr>
      </w:pPr>
      <w:r>
        <w:t xml:space="preserve">The</w:t>
      </w:r>
      <w:r>
        <w:t xml:space="preserve"> </w:t>
      </w:r>
      <w:r>
        <w:rPr>
          <w:b/>
          <w:bCs/>
        </w:rPr>
        <w:t xml:space="preserve">Financial Exhibits imply ~$19.1M of total debt versus the CIM’s stated $17.3M</w:t>
      </w:r>
      <w:r>
        <w:t xml:space="preserve"> </w:t>
      </w:r>
      <w:r>
        <w:t xml:space="preserve">— a $1.8M discrepancy in the term-loan balance that directly affects the equity bridge (Section 4.16).</w:t>
      </w:r>
    </w:p>
    <w:p>
      <w:pPr>
        <w:pStyle w:val="Compact"/>
        <w:numPr>
          <w:ilvl w:val="0"/>
          <w:numId w:val="1001"/>
        </w:numPr>
      </w:pPr>
      <w:r>
        <w:t xml:space="preserve">The</w:t>
      </w:r>
      <w:r>
        <w:t xml:space="preserve"> </w:t>
      </w:r>
      <w:r>
        <w:rPr>
          <w:b/>
          <w:bCs/>
        </w:rPr>
        <w:t xml:space="preserve">CIM’s geographic mix (</w:t>
      </w:r>
      <w:r>
        <w:rPr>
          <w:b/>
          <w:bCs/>
        </w:rPr>
        <w:t xml:space="preserve">“</w:t>
      </w:r>
      <w:r>
        <w:rPr>
          <w:b/>
          <w:bCs/>
        </w:rPr>
        <w:t xml:space="preserve">75% Oregon/Washington</w:t>
      </w:r>
      <w:r>
        <w:rPr>
          <w:b/>
          <w:bCs/>
        </w:rPr>
        <w:t xml:space="preserve">”</w:t>
      </w:r>
      <w:r>
        <w:rPr>
          <w:b/>
          <w:bCs/>
        </w:rPr>
        <w:t xml:space="preserve">) contradicts the Backlog Report’s state-by-state breakdown (82.3%)</w:t>
      </w:r>
      <w:r>
        <w:t xml:space="preserve">, and the Backlog Report references a Sacramento satellite operation absent from the CIM’s facility list (Sections 5.6, 9.3).</w:t>
      </w:r>
    </w:p>
    <w:p>
      <w:pPr>
        <w:pStyle w:val="Compact"/>
        <w:numPr>
          <w:ilvl w:val="0"/>
          <w:numId w:val="1001"/>
        </w:numPr>
      </w:pPr>
      <w:r>
        <w:rPr>
          <w:b/>
          <w:bCs/>
        </w:rPr>
        <w:t xml:space="preserve">Projected segment revenue splits differ between the CIM and Financial Exhibits</w:t>
      </w:r>
      <w:r>
        <w:t xml:space="preserve"> </w:t>
      </w:r>
      <w:r>
        <w:t xml:space="preserve">for FY2025E–FY2027E even though totals tie (Section 4.14).</w:t>
      </w:r>
    </w:p>
    <w:p>
      <w:pPr>
        <w:pStyle w:val="Compact"/>
        <w:numPr>
          <w:ilvl w:val="0"/>
          <w:numId w:val="1001"/>
        </w:numPr>
      </w:pPr>
      <w:r>
        <w:t xml:space="preserve">The</w:t>
      </w:r>
      <w:r>
        <w:t xml:space="preserve"> </w:t>
      </w:r>
      <w:r>
        <w:rPr>
          <w:b/>
          <w:bCs/>
        </w:rPr>
        <w:t xml:space="preserve">Financial Exhibits cash-flow statement shows $6.7M of shareholder distributions over FY2021–FY2024</w:t>
      </w:r>
      <w:r>
        <w:t xml:space="preserve"> </w:t>
      </w:r>
      <w:r>
        <w:t xml:space="preserve">on top of the owner’s $2.4M compensation, bearing on owner economics and free cash flow (Section 4.15).</w:t>
      </w:r>
    </w:p>
    <w:p>
      <w:pPr>
        <w:pStyle w:val="Compact"/>
        <w:numPr>
          <w:ilvl w:val="0"/>
          <w:numId w:val="1001"/>
        </w:numPr>
      </w:pPr>
      <w:r>
        <w:t xml:space="preserve">The</w:t>
      </w:r>
      <w:r>
        <w:t xml:space="preserve"> </w:t>
      </w:r>
      <w:r>
        <w:rPr>
          <w:b/>
          <w:bCs/>
        </w:rPr>
        <w:t xml:space="preserve">implied enterprise value ($136.8M–$171.0M) exceeds Fund III’s stated $30M–$100M platform target range</w:t>
      </w:r>
      <w:r>
        <w:t xml:space="preserve">, and the equity check would represent ~28% of Fund III’s $425M of committed capital (Section 10.5).</w:t>
      </w:r>
    </w:p>
    <w:p>
      <w:pPr>
        <w:pStyle w:val="FirstParagraph"/>
      </w:pPr>
      <w:r>
        <w:rPr>
          <w:b/>
          <w:bCs/>
        </w:rPr>
        <w:t xml:space="preserve">Buy-side valuation view.</w:t>
      </w:r>
      <w:r>
        <w:t xml:space="preserve"> </w:t>
      </w:r>
      <w:r>
        <w:t xml:space="preserve">After normalizing for the items above, we estimate a defensible FY2024 Adjusted EBITDA of approximately</w:t>
      </w:r>
      <w:r>
        <w:t xml:space="preserve"> </w:t>
      </w:r>
      <w:r>
        <w:rPr>
          <w:b/>
          <w:bCs/>
        </w:rPr>
        <w:t xml:space="preserve">$15.4M–$16.1M</w:t>
      </w:r>
      <w:r>
        <w:t xml:space="preserve"> </w:t>
      </w:r>
      <w:r>
        <w:t xml:space="preserve">(versus the sell-side’s $17.1M). Applying an 8.0x–9.0x multiple — below the sell-side’s 8.0x–10.0x to reflect customer concentration, founder transition, and PFAS execution risk — implies an enterprise value of approximately</w:t>
      </w:r>
      <w:r>
        <w:t xml:space="preserve"> </w:t>
      </w:r>
      <w:r>
        <w:rPr>
          <w:b/>
          <w:bCs/>
        </w:rPr>
        <w:t xml:space="preserve">$123M–$145M</w:t>
      </w:r>
      <w:r>
        <w:t xml:space="preserve">, versus the sell-side’s $136.8M–$171.0M. We recommend an IOI in the</w:t>
      </w:r>
      <w:r>
        <w:t xml:space="preserve"> </w:t>
      </w:r>
      <w:r>
        <w:rPr>
          <w:b/>
          <w:bCs/>
        </w:rPr>
        <w:t xml:space="preserve">$125M–$145M</w:t>
      </w:r>
      <w:r>
        <w:t xml:space="preserve"> </w:t>
      </w:r>
      <w:r>
        <w:t xml:space="preserve">enterprise value range, with an earnout tied to PFAS revenue and/or EBITDA to bridge the gap on the growth story.</w:t>
      </w:r>
    </w:p>
    <w:p>
      <w:r>
        <w:pict>
          <v:rect style="width:0;height:1.5pt" o:hralign="center" o:hrstd="t" o:hr="t"/>
        </w:pict>
      </w:r>
    </w:p>
    <w:bookmarkEnd w:id="22"/>
    <w:bookmarkStart w:id="23" w:name="transaction-overview-and-process"/>
    <w:p>
      <w:pPr>
        <w:pStyle w:val="Heading2"/>
      </w:pPr>
      <w:r>
        <w:t xml:space="preserve">2. Transaction Overview and Process</w:t>
      </w:r>
    </w:p>
    <w:p>
      <w:pPr>
        <w:pStyle w:val="FirstParagraph"/>
      </w:pPr>
      <w:r>
        <w:t xml:space="preserve">CES is a Delaware C-corporation, founded in 2009 and headquartered at 4200 Industrial Way, Portland, OR. Greenleaf Advisory Group, LLC (Managing Director Philip Tran) is running a competitive, three-phase sale process for 100% of the equity on behalf of founder/CEO Randall Oakes (68% holder) and the other equity holders (Process Letter, Sections I–II).</w:t>
      </w:r>
    </w:p>
    <w:p>
      <w:pPr>
        <w:pStyle w:val="Compact"/>
        <w:numPr>
          <w:ilvl w:val="0"/>
          <w:numId w:val="1002"/>
        </w:numPr>
      </w:pPr>
      <w:r>
        <w:rPr>
          <w:b/>
          <w:bCs/>
        </w:rPr>
        <w:t xml:space="preserve">Phase I:</w:t>
      </w:r>
      <w:r>
        <w:t xml:space="preserve"> </w:t>
      </w:r>
      <w:r>
        <w:t xml:space="preserve">CIM and Financial Exhibits distributed June 9, 2025; IOIs due</w:t>
      </w:r>
      <w:r>
        <w:t xml:space="preserve"> </w:t>
      </w:r>
      <w:r>
        <w:rPr>
          <w:b/>
          <w:bCs/>
        </w:rPr>
        <w:t xml:space="preserve">July 14, 2025</w:t>
      </w:r>
      <w:r>
        <w:t xml:space="preserve">.</w:t>
      </w:r>
    </w:p>
    <w:p>
      <w:pPr>
        <w:pStyle w:val="Compact"/>
        <w:numPr>
          <w:ilvl w:val="0"/>
          <w:numId w:val="1002"/>
        </w:numPr>
      </w:pPr>
      <w:r>
        <w:rPr>
          <w:b/>
          <w:bCs/>
        </w:rPr>
        <w:t xml:space="preserve">Phase II:</w:t>
      </w:r>
      <w:r>
        <w:t xml:space="preserve"> </w:t>
      </w:r>
      <w:r>
        <w:t xml:space="preserve">Management presentations (August 2025) in Portland; VDR access; site visits to Portland HQ and, if requested, Boise and Seattle.</w:t>
      </w:r>
    </w:p>
    <w:p>
      <w:pPr>
        <w:pStyle w:val="Compact"/>
        <w:numPr>
          <w:ilvl w:val="0"/>
          <w:numId w:val="1002"/>
        </w:numPr>
      </w:pPr>
      <w:r>
        <w:rPr>
          <w:b/>
          <w:bCs/>
        </w:rPr>
        <w:t xml:space="preserve">Phase III:</w:t>
      </w:r>
      <w:r>
        <w:t xml:space="preserve"> </w:t>
      </w:r>
      <w:r>
        <w:t xml:space="preserve">Final binding bids; draft stock purchase agreement from seller’s counsel (Wexford, Mallory &amp; Chen LLP); target signing/closing</w:t>
      </w:r>
      <w:r>
        <w:t xml:space="preserve"> </w:t>
      </w:r>
      <w:r>
        <w:rPr>
          <w:b/>
          <w:bCs/>
        </w:rPr>
        <w:t xml:space="preserve">Q4 2025</w:t>
      </w:r>
      <w:r>
        <w:t xml:space="preserve">.</w:t>
      </w:r>
    </w:p>
    <w:p>
      <w:pPr>
        <w:pStyle w:val="FirstParagraph"/>
      </w:pPr>
      <w:r>
        <w:t xml:space="preserve">The Process Letter (Section III) requires each IOI to address eight elements: (1) an enterprise value range on a cash-free, debt-free basis with normalized net working capital, specifying trailing vs. projected metrics and the implied EBITDA multiple; (2) transaction structure, including treatment of existing indebtedness and the headquarters real estate owned by Mr. Oakes, and any rollover equity or earnout; (3) sources of financing; (4) remaining diligence items and timeline; (5) post-closing management structure, retention, and accommodation of Mr. Oakes’s 18–24 month transition; (6) required internal approvals (e.g., investment committee, LPAC), regulatory approvals, and estimated timeline from definitive agreement to closing; (7) relevant sector experience; and (8) contact information. Existing indebtedness with Cascadia Commercial Bank (senior term loan + revolver) is expected to be refinanced or repaid at closing. The Process Letter also prohibits direct contact with the Company, its management, customers, suppliers, or lenders; all communications must route through Greenleaf.</w:t>
      </w:r>
    </w:p>
    <w:p>
      <w:pPr>
        <w:pStyle w:val="BodyText"/>
      </w:pPr>
      <w:r>
        <w:rPr>
          <w:b/>
          <w:bCs/>
        </w:rPr>
        <w:t xml:space="preserve">Materials reviewed:</w:t>
      </w:r>
      <w:r>
        <w:t xml:space="preserve"> </w:t>
      </w:r>
      <w:r>
        <w:t xml:space="preserve">(i) Confidential Information Memorandum, June 2025 (</w:t>
      </w:r>
      <w:r>
        <w:t xml:space="preserve">“</w:t>
      </w:r>
      <w:r>
        <w:t xml:space="preserve">CIM</w:t>
      </w:r>
      <w:r>
        <w:t xml:space="preserve">”</w:t>
      </w:r>
      <w:r>
        <w:t xml:space="preserve">); (ii) Customer Summary and Backlog Report, June 2025 (</w:t>
      </w:r>
      <w:r>
        <w:t xml:space="preserve">“</w:t>
      </w:r>
      <w:r>
        <w:t xml:space="preserve">Backlog Report</w:t>
      </w:r>
      <w:r>
        <w:t xml:space="preserve">”</w:t>
      </w:r>
      <w:r>
        <w:t xml:space="preserve">); (iii) Financial Exhibits workbook (</w:t>
      </w:r>
      <w:r>
        <w:t xml:space="preserve">“</w:t>
      </w:r>
      <w:r>
        <w:t xml:space="preserve">Financial Exhibits</w:t>
      </w:r>
      <w:r>
        <w:t xml:space="preserve">”</w:t>
      </w:r>
      <w:r>
        <w:t xml:space="preserve">); (iv) Process Letter, June 9, 2025; (v) Thornfield Sector Memo, June 12, 2025 (Lindgren). This memo applies the sector benchmarks developed in the Sector Memo as the evaluative framework, as directed.</w:t>
      </w:r>
    </w:p>
    <w:p>
      <w:r>
        <w:pict>
          <v:rect style="width:0;height:1.5pt" o:hralign="center" o:hrstd="t" o:hr="t"/>
        </w:pict>
      </w:r>
    </w:p>
    <w:bookmarkEnd w:id="23"/>
    <w:bookmarkStart w:id="24" w:name="Xd6cc3922c72b9352566ae88d4f04a04ebfc69f1"/>
    <w:p>
      <w:pPr>
        <w:pStyle w:val="Heading2"/>
      </w:pPr>
      <w:r>
        <w:t xml:space="preserve">3. Business Description and Investment Thesis</w:t>
      </w:r>
    </w:p>
    <w:p>
      <w:pPr>
        <w:pStyle w:val="FirstParagraph"/>
      </w:pPr>
      <w:r>
        <w:t xml:space="preserve">CES operates three complementary segments across Oregon, Washington, Idaho, and Northern California (FY2024 revenue $87.3M):</w:t>
      </w:r>
    </w:p>
    <w:p>
      <w:pPr>
        <w:pStyle w:val="Compact"/>
        <w:numPr>
          <w:ilvl w:val="0"/>
          <w:numId w:val="1003"/>
        </w:numPr>
      </w:pPr>
      <w:r>
        <w:rPr>
          <w:b/>
          <w:bCs/>
        </w:rPr>
        <w:t xml:space="preserve">Environmental Remediation — $48.2M (55.2%)</w:t>
      </w:r>
      <w:r>
        <w:t xml:space="preserve">: soil/groundwater remediation, Phase I/II ESAs, UST removal, brownfield redevelopment, and PFAS investigation/remediation.</w:t>
      </w:r>
    </w:p>
    <w:p>
      <w:pPr>
        <w:pStyle w:val="Compact"/>
        <w:numPr>
          <w:ilvl w:val="0"/>
          <w:numId w:val="1003"/>
        </w:numPr>
      </w:pPr>
      <w:r>
        <w:rPr>
          <w:b/>
          <w:bCs/>
        </w:rPr>
        <w:t xml:space="preserve">Industrial Cleaning — $27.8M (31.8%)</w:t>
      </w:r>
      <w:r>
        <w:t xml:space="preserve">: tank cleaning, hydroblasting (up to 40,000 PSI), vacuum truck services, confined space entry; recurring turnaround-driven work under MSAs.</w:t>
      </w:r>
    </w:p>
    <w:p>
      <w:pPr>
        <w:pStyle w:val="Compact"/>
        <w:numPr>
          <w:ilvl w:val="0"/>
          <w:numId w:val="1003"/>
        </w:numPr>
      </w:pPr>
      <w:r>
        <w:rPr>
          <w:b/>
          <w:bCs/>
        </w:rPr>
        <w:t xml:space="preserve">Emergency Response — $11.3M (12.9%)</w:t>
      </w:r>
      <w:r>
        <w:t xml:space="preserve">: 24/7 hazmat spill response across the four-state territory; premium-priced, inherently variable.</w:t>
      </w:r>
    </w:p>
    <w:p>
      <w:pPr>
        <w:pStyle w:val="FirstParagraph"/>
      </w:pPr>
      <w:r>
        <w:rPr>
          <w:b/>
          <w:bCs/>
        </w:rPr>
        <w:t xml:space="preserve">Genuine positive attributes (consistent with the Sector Memo, Section 7):</w:t>
      </w:r>
    </w:p>
    <w:p>
      <w:pPr>
        <w:pStyle w:val="Compact"/>
        <w:numPr>
          <w:ilvl w:val="0"/>
          <w:numId w:val="1004"/>
        </w:numPr>
      </w:pPr>
      <w:r>
        <w:t xml:space="preserve">16-year operating history under consistent founder leadership; established PNW platform with deep regulatory agency relationships (Oregon DEQ, Washington Ecology, Idaho DEQ).</w:t>
      </w:r>
    </w:p>
    <w:p>
      <w:pPr>
        <w:pStyle w:val="Compact"/>
        <w:numPr>
          <w:ilvl w:val="0"/>
          <w:numId w:val="1004"/>
        </w:numPr>
      </w:pPr>
      <w:r>
        <w:t xml:space="preserve">Integrated service offering enabling cross-selling and customer</w:t>
      </w:r>
      <w:r>
        <w:t xml:space="preserve"> </w:t>
      </w:r>
      <w:r>
        <w:t xml:space="preserve">“</w:t>
      </w:r>
      <w:r>
        <w:t xml:space="preserve">stickiness</w:t>
      </w:r>
      <w:r>
        <w:t xml:space="preserve">”</w:t>
      </w:r>
      <w:r>
        <w:t xml:space="preserve">; 24/7 emergency response is a meaningful differentiator.</w:t>
      </w:r>
    </w:p>
    <w:p>
      <w:pPr>
        <w:pStyle w:val="Compact"/>
        <w:numPr>
          <w:ilvl w:val="0"/>
          <w:numId w:val="1004"/>
        </w:numPr>
      </w:pPr>
      <w:r>
        <w:t xml:space="preserve">Hard-to-replicate credentials: hazardous waste transporter permits in all four states, Oregon DEQ Contractor License ENV-2009-04821, EPA Generator ID, and licensed Professional Engineers required for remediation sign-off.</w:t>
      </w:r>
    </w:p>
    <w:p>
      <w:pPr>
        <w:pStyle w:val="Compact"/>
        <w:numPr>
          <w:ilvl w:val="0"/>
          <w:numId w:val="1004"/>
        </w:numPr>
      </w:pPr>
      <w:r>
        <w:t xml:space="preserve">Real regulatory tailwinds (PFAS drinking-water rules finalized April 2024; state-level PNW enforcement intensifying).</w:t>
      </w:r>
    </w:p>
    <w:p>
      <w:pPr>
        <w:pStyle w:val="Compact"/>
        <w:numPr>
          <w:ilvl w:val="0"/>
          <w:numId w:val="1004"/>
        </w:numPr>
      </w:pPr>
      <w:r>
        <w:t xml:space="preserve">Contracted backlog of $42.6M and a $31.4M proposal pipeline ($74.0M total opportunity set).</w:t>
      </w:r>
    </w:p>
    <w:p>
      <w:pPr>
        <w:pStyle w:val="Compact"/>
        <w:numPr>
          <w:ilvl w:val="0"/>
          <w:numId w:val="1004"/>
        </w:numPr>
      </w:pPr>
      <w:r>
        <w:t xml:space="preserve">Strong safety record (EMR 0.87) and required industrial-customer qualifications (ISNetworld, Avetta).</w:t>
      </w:r>
    </w:p>
    <w:p>
      <w:pPr>
        <w:pStyle w:val="Compact"/>
        <w:numPr>
          <w:ilvl w:val="0"/>
          <w:numId w:val="1004"/>
        </w:numPr>
      </w:pPr>
      <w:r>
        <w:t xml:space="preserve">Revenue growth track record is real even after discounting PFAS: ex-PFAS revenue grew ~9.4% CAGR (FY2022–FY2024), within the upper end of the sector’s 5–10% range.</w:t>
      </w:r>
    </w:p>
    <w:p>
      <w:pPr>
        <w:pStyle w:val="FirstParagraph"/>
      </w:pPr>
      <w:r>
        <w:t xml:space="preserve">These attributes support proceeding. The remainder of this memo addresses the issues that should temper price, structure, and diligence scope.</w:t>
      </w:r>
    </w:p>
    <w:p>
      <w:r>
        <w:pict>
          <v:rect style="width:0;height:1.5pt" o:hralign="center" o:hrstd="t" o:hr="t"/>
        </w:pict>
      </w:r>
    </w:p>
    <w:bookmarkEnd w:id="24"/>
    <w:bookmarkStart w:id="41" w:name="Xce05b5d1c9b7b3074f85205174b66c196abed26"/>
    <w:p>
      <w:pPr>
        <w:pStyle w:val="Heading2"/>
      </w:pPr>
      <w:r>
        <w:t xml:space="preserve">4. Financial Analysis and Quality-of-Earnings Issues</w:t>
      </w:r>
    </w:p>
    <w:p>
      <w:pPr>
        <w:pStyle w:val="FirstParagraph"/>
      </w:pPr>
      <w:r>
        <w:t xml:space="preserve">This section identifies the financial inconsistencies and aggressive adjustments that, in our view, reduce the reliability of the sell-side’s headline Adjusted EBITDA. Each item is a distinct diligence priority.</w:t>
      </w:r>
    </w:p>
    <w:bookmarkStart w:id="25" w:name="Xde98978b9d71f7ebf6fd36347bac709a0088eb9"/>
    <w:p>
      <w:pPr>
        <w:pStyle w:val="Heading3"/>
      </w:pPr>
      <w:r>
        <w:t xml:space="preserve">4.1 The headline FY2024 Adjusted EBITDA of $17.1M does not foot to its own stated adjustments</w:t>
      </w:r>
    </w:p>
    <w:p>
      <w:pPr>
        <w:pStyle w:val="FirstParagraph"/>
      </w:pPr>
      <w:r>
        <w:t xml:space="preserve">The CIM’s FY2024 Adjusted EBITDA bridge (Section VI.C and Appendix B) and the Financial Exhibits</w:t>
      </w:r>
      <w:r>
        <w:t xml:space="preserve"> </w:t>
      </w:r>
      <w:r>
        <w:t xml:space="preserve">“</w:t>
      </w:r>
      <w:r>
        <w:t xml:space="preserve">EBITDA Bridge</w:t>
      </w:r>
      <w:r>
        <w:t xml:space="preserve">”</w:t>
      </w:r>
      <w:r>
        <w:t xml:space="preserve"> </w:t>
      </w:r>
      <w:r>
        <w:t xml:space="preserve">sheet both present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w:t>
            </w:r>
          </w:p>
        </w:tc>
      </w:tr>
      <w:tr>
        <w:tc>
          <w:tcPr/>
          <w:p>
            <w:pPr>
              <w:pStyle w:val="Compact"/>
              <w:jc w:val="left"/>
            </w:pPr>
            <w:r>
              <w:t xml:space="preserve">Reported EBITDA</w:t>
            </w:r>
          </w:p>
        </w:tc>
        <w:tc>
          <w:tcPr/>
          <w:p>
            <w:pPr>
              <w:pStyle w:val="Compact"/>
              <w:jc w:val="left"/>
            </w:pPr>
            <w:r>
              <w:t xml:space="preserve">12.1</w:t>
            </w:r>
          </w:p>
        </w:tc>
      </w:tr>
      <w:tr>
        <w:tc>
          <w:tcPr/>
          <w:p>
            <w:pPr>
              <w:pStyle w:val="Compact"/>
              <w:jc w:val="left"/>
            </w:pPr>
            <w:r>
              <w:t xml:space="preserve">(+) Owner compensation normalization</w:t>
            </w:r>
          </w:p>
        </w:tc>
        <w:tc>
          <w:tcPr/>
          <w:p>
            <w:pPr>
              <w:pStyle w:val="Compact"/>
              <w:jc w:val="left"/>
            </w:pPr>
            <w:r>
              <w:t xml:space="preserve">1.9</w:t>
            </w:r>
          </w:p>
        </w:tc>
      </w:tr>
      <w:tr>
        <w:tc>
          <w:tcPr/>
          <w:p>
            <w:pPr>
              <w:pStyle w:val="Compact"/>
              <w:jc w:val="left"/>
            </w:pPr>
            <w:r>
              <w:t xml:space="preserve">(+) Related-party lease normalization</w:t>
            </w:r>
          </w:p>
        </w:tc>
        <w:tc>
          <w:tcPr/>
          <w:p>
            <w:pPr>
              <w:pStyle w:val="Compact"/>
              <w:jc w:val="left"/>
            </w:pPr>
            <w:r>
              <w:t xml:space="preserve">0.8</w:t>
            </w:r>
          </w:p>
        </w:tc>
      </w:tr>
      <w:tr>
        <w:tc>
          <w:tcPr/>
          <w:p>
            <w:pPr>
              <w:pStyle w:val="Compact"/>
              <w:jc w:val="left"/>
            </w:pPr>
            <w:r>
              <w:t xml:space="preserve">(+) One-time legal/regulatory costs</w:t>
            </w:r>
          </w:p>
        </w:tc>
        <w:tc>
          <w:tcPr/>
          <w:p>
            <w:pPr>
              <w:pStyle w:val="Compact"/>
              <w:jc w:val="left"/>
            </w:pPr>
            <w:r>
              <w:t xml:space="preserve">1.2</w:t>
            </w:r>
          </w:p>
        </w:tc>
      </w:tr>
      <w:tr>
        <w:tc>
          <w:tcPr/>
          <w:p>
            <w:pPr>
              <w:pStyle w:val="Compact"/>
              <w:jc w:val="left"/>
            </w:pPr>
            <w:r>
              <w:t xml:space="preserve">(+) Non-recurring equipment relocation</w:t>
            </w:r>
          </w:p>
        </w:tc>
        <w:tc>
          <w:tcPr/>
          <w:p>
            <w:pPr>
              <w:pStyle w:val="Compact"/>
              <w:jc w:val="left"/>
            </w:pPr>
            <w:r>
              <w:t xml:space="preserve">0.4</w:t>
            </w:r>
          </w:p>
        </w:tc>
      </w:tr>
      <w:tr>
        <w:tc>
          <w:tcPr/>
          <w:p>
            <w:pPr>
              <w:pStyle w:val="Compact"/>
              <w:jc w:val="left"/>
            </w:pPr>
            <w:r>
              <w:t xml:space="preserve">(+) Stock-based compensation (phantom units)</w:t>
            </w:r>
          </w:p>
        </w:tc>
        <w:tc>
          <w:tcPr/>
          <w:p>
            <w:pPr>
              <w:pStyle w:val="Compact"/>
              <w:jc w:val="left"/>
            </w:pPr>
            <w:r>
              <w:t xml:space="preserve">0.3</w:t>
            </w:r>
          </w:p>
        </w:tc>
      </w:tr>
      <w:tr>
        <w:tc>
          <w:tcPr/>
          <w:p>
            <w:pPr>
              <w:pStyle w:val="Compact"/>
              <w:jc w:val="left"/>
            </w:pPr>
            <w:r>
              <w:t xml:space="preserve">(+) One-time IT system implementation</w:t>
            </w:r>
          </w:p>
        </w:tc>
        <w:tc>
          <w:tcPr/>
          <w:p>
            <w:pPr>
              <w:pStyle w:val="Compact"/>
              <w:jc w:val="left"/>
            </w:pPr>
            <w:r>
              <w:t xml:space="preserve">0.1</w:t>
            </w:r>
          </w:p>
        </w:tc>
      </w:tr>
      <w:tr>
        <w:tc>
          <w:tcPr/>
          <w:p>
            <w:pPr>
              <w:pStyle w:val="Compact"/>
              <w:jc w:val="left"/>
            </w:pPr>
            <w:r>
              <w:rPr>
                <w:b/>
                <w:bCs/>
              </w:rPr>
              <w:t xml:space="preserve">Sum of stated adjustments</w:t>
            </w:r>
          </w:p>
        </w:tc>
        <w:tc>
          <w:tcPr/>
          <w:p>
            <w:pPr>
              <w:pStyle w:val="Compact"/>
              <w:jc w:val="left"/>
            </w:pPr>
            <w:r>
              <w:rPr>
                <w:b/>
                <w:bCs/>
              </w:rPr>
              <w:t xml:space="preserve">4.7</w:t>
            </w:r>
          </w:p>
        </w:tc>
      </w:tr>
      <w:tr>
        <w:tc>
          <w:tcPr/>
          <w:p>
            <w:pPr>
              <w:pStyle w:val="Compact"/>
              <w:jc w:val="left"/>
            </w:pPr>
            <w:r>
              <w:rPr>
                <w:b/>
                <w:bCs/>
              </w:rPr>
              <w:t xml:space="preserve">Reported EBITDA + adjustments</w:t>
            </w:r>
          </w:p>
        </w:tc>
        <w:tc>
          <w:tcPr/>
          <w:p>
            <w:pPr>
              <w:pStyle w:val="Compact"/>
              <w:jc w:val="left"/>
            </w:pPr>
            <w:r>
              <w:rPr>
                <w:b/>
                <w:bCs/>
              </w:rPr>
              <w:t xml:space="preserve">16.8</w:t>
            </w:r>
          </w:p>
        </w:tc>
      </w:tr>
      <w:tr>
        <w:tc>
          <w:tcPr/>
          <w:p>
            <w:pPr>
              <w:pStyle w:val="Compact"/>
              <w:jc w:val="left"/>
            </w:pPr>
            <w:r>
              <w:rPr>
                <w:b/>
                <w:bCs/>
              </w:rPr>
              <w:t xml:space="preserve">Adjusted EBITDA as stated</w:t>
            </w:r>
          </w:p>
        </w:tc>
        <w:tc>
          <w:tcPr/>
          <w:p>
            <w:pPr>
              <w:pStyle w:val="Compact"/>
              <w:jc w:val="left"/>
            </w:pPr>
            <w:r>
              <w:rPr>
                <w:b/>
                <w:bCs/>
              </w:rPr>
              <w:t xml:space="preserve">17.1</w:t>
            </w:r>
          </w:p>
        </w:tc>
      </w:tr>
    </w:tbl>
    <w:p>
      <w:pPr>
        <w:pStyle w:val="BodyText"/>
      </w:pPr>
      <w:r>
        <w:t xml:space="preserve">The six stated adjustments sum to</w:t>
      </w:r>
      <w:r>
        <w:t xml:space="preserve"> </w:t>
      </w:r>
      <w:r>
        <w:rPr>
          <w:b/>
          <w:bCs/>
        </w:rPr>
        <w:t xml:space="preserve">$4.7M</w:t>
      </w:r>
      <w:r>
        <w:t xml:space="preserve">, so $12.1M + $4.7M =</w:t>
      </w:r>
      <w:r>
        <w:t xml:space="preserve"> </w:t>
      </w:r>
      <w:r>
        <w:rPr>
          <w:b/>
          <w:bCs/>
        </w:rPr>
        <w:t xml:space="preserve">$16.8M</w:t>
      </w:r>
      <w:r>
        <w:t xml:space="preserve">, not $17.1M. The headline figure is overstated by</w:t>
      </w:r>
      <w:r>
        <w:t xml:space="preserve"> </w:t>
      </w:r>
      <w:r>
        <w:rPr>
          <w:b/>
          <w:bCs/>
        </w:rPr>
        <w:t xml:space="preserve">$0.3M</w:t>
      </w:r>
      <w:r>
        <w:t xml:space="preserve">. Notably, the FY2021, FY2022, and FY2023 reconciliations all foot correctly (9.7, 11.1, 13.4); only the FY2024 valuation year does not. At an 8.0x–10.0x multiple, $0.3M equates to</w:t>
      </w:r>
      <w:r>
        <w:t xml:space="preserve"> </w:t>
      </w:r>
      <w:r>
        <w:rPr>
          <w:b/>
          <w:bCs/>
        </w:rPr>
        <w:t xml:space="preserve">$2.4M–$3.0M of enterprise value</w:t>
      </w:r>
      <w:r>
        <w:t xml:space="preserve">. This must be corrected before any reliance is placed on the figure, and the seller should be asked to identify the missing $0.3M adjustment or confirm the correct figure is $16.8M.</w:t>
      </w:r>
    </w:p>
    <w:bookmarkEnd w:id="25"/>
    <w:bookmarkStart w:id="26" w:name="X16e8c37014d19f05de3aee19f2c597b43d6354a"/>
    <w:p>
      <w:pPr>
        <w:pStyle w:val="Heading3"/>
      </w:pPr>
      <w:r>
        <w:t xml:space="preserve">4.2 The CIM and the Financial Exhibits disagree on the same audited period</w:t>
      </w:r>
    </w:p>
    <w:p>
      <w:pPr>
        <w:pStyle w:val="FirstParagraph"/>
      </w:pPr>
      <w:r>
        <w:t xml:space="preserve">The CIM’s Appendix A condensed financials and the Financial Exhibits workbook purport to describe the same FY2021–FY2024 audited results, but they do not reconcile. Key discrepancies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CIM (Appendix A)</w:t>
            </w:r>
          </w:p>
        </w:tc>
        <w:tc>
          <w:tcPr/>
          <w:p>
            <w:pPr>
              <w:pStyle w:val="Compact"/>
              <w:jc w:val="left"/>
            </w:pPr>
            <w:r>
              <w:t xml:space="preserve">Financial Exhibits</w:t>
            </w:r>
          </w:p>
        </w:tc>
        <w:tc>
          <w:tcPr/>
          <w:p>
            <w:pPr>
              <w:pStyle w:val="Compact"/>
              <w:jc w:val="left"/>
            </w:pPr>
            <w:r>
              <w:t xml:space="preserve">Variance</w:t>
            </w:r>
          </w:p>
        </w:tc>
      </w:tr>
      <w:tr>
        <w:tc>
          <w:tcPr/>
          <w:p>
            <w:pPr>
              <w:pStyle w:val="Compact"/>
              <w:jc w:val="left"/>
            </w:pPr>
            <w:r>
              <w:t xml:space="preserve">Cost of revenue</w:t>
            </w:r>
          </w:p>
        </w:tc>
        <w:tc>
          <w:tcPr/>
          <w:p>
            <w:pPr>
              <w:pStyle w:val="Compact"/>
              <w:jc w:val="left"/>
            </w:pPr>
            <w:r>
              <w:t xml:space="preserve">$57.8M</w:t>
            </w:r>
          </w:p>
        </w:tc>
        <w:tc>
          <w:tcPr/>
          <w:p>
            <w:pPr>
              <w:pStyle w:val="Compact"/>
              <w:jc w:val="left"/>
            </w:pPr>
            <w:r>
              <w:t xml:space="preserve">$58.5M</w:t>
            </w:r>
          </w:p>
        </w:tc>
        <w:tc>
          <w:tcPr/>
          <w:p>
            <w:pPr>
              <w:pStyle w:val="Compact"/>
              <w:jc w:val="left"/>
            </w:pPr>
            <w:r>
              <w:t xml:space="preserve">$0.7M</w:t>
            </w:r>
          </w:p>
        </w:tc>
      </w:tr>
      <w:tr>
        <w:tc>
          <w:tcPr/>
          <w:p>
            <w:pPr>
              <w:pStyle w:val="Compact"/>
              <w:jc w:val="left"/>
            </w:pPr>
            <w:r>
              <w:t xml:space="preserve">Gross profit / margin</w:t>
            </w:r>
          </w:p>
        </w:tc>
        <w:tc>
          <w:tcPr/>
          <w:p>
            <w:pPr>
              <w:pStyle w:val="Compact"/>
              <w:jc w:val="left"/>
            </w:pPr>
            <w:r>
              <w:t xml:space="preserve">$29.5M / 33.8%</w:t>
            </w:r>
          </w:p>
        </w:tc>
        <w:tc>
          <w:tcPr/>
          <w:p>
            <w:pPr>
              <w:pStyle w:val="Compact"/>
              <w:jc w:val="left"/>
            </w:pPr>
            <w:r>
              <w:t xml:space="preserve">$28.8M / 33.0%</w:t>
            </w:r>
          </w:p>
        </w:tc>
        <w:tc>
          <w:tcPr/>
          <w:p>
            <w:pPr>
              <w:pStyle w:val="Compact"/>
              <w:jc w:val="left"/>
            </w:pPr>
            <w:r>
              <w:t xml:space="preserve">$0.7M / 80 bps</w:t>
            </w:r>
          </w:p>
        </w:tc>
      </w:tr>
      <w:tr>
        <w:tc>
          <w:tcPr/>
          <w:p>
            <w:pPr>
              <w:pStyle w:val="Compact"/>
              <w:jc w:val="left"/>
            </w:pPr>
            <w:r>
              <w:t xml:space="preserve">Operating income (EBIT)</w:t>
            </w:r>
          </w:p>
        </w:tc>
        <w:tc>
          <w:tcPr/>
          <w:p>
            <w:pPr>
              <w:pStyle w:val="Compact"/>
              <w:jc w:val="left"/>
            </w:pPr>
            <w:r>
              <w:t xml:space="preserve">$7.8M</w:t>
            </w:r>
          </w:p>
        </w:tc>
        <w:tc>
          <w:tcPr/>
          <w:p>
            <w:pPr>
              <w:pStyle w:val="Compact"/>
              <w:jc w:val="left"/>
            </w:pPr>
            <w:r>
              <w:t xml:space="preserve">$11.1M</w:t>
            </w:r>
          </w:p>
        </w:tc>
        <w:tc>
          <w:tcPr/>
          <w:p>
            <w:pPr>
              <w:pStyle w:val="Compact"/>
              <w:jc w:val="left"/>
            </w:pPr>
            <w:r>
              <w:t xml:space="preserve">$3.3M</w:t>
            </w:r>
          </w:p>
        </w:tc>
      </w:tr>
      <w:tr>
        <w:tc>
          <w:tcPr/>
          <w:p>
            <w:pPr>
              <w:pStyle w:val="Compact"/>
              <w:jc w:val="left"/>
            </w:pPr>
            <w:r>
              <w:t xml:space="preserve">Net income</w:t>
            </w:r>
          </w:p>
        </w:tc>
        <w:tc>
          <w:tcPr/>
          <w:p>
            <w:pPr>
              <w:pStyle w:val="Compact"/>
              <w:jc w:val="left"/>
            </w:pPr>
            <w:r>
              <w:t xml:space="preserve">$5.0M</w:t>
            </w:r>
          </w:p>
        </w:tc>
        <w:tc>
          <w:tcPr/>
          <w:p>
            <w:pPr>
              <w:pStyle w:val="Compact"/>
              <w:jc w:val="left"/>
            </w:pPr>
            <w:r>
              <w:t xml:space="preserve">$6.7M</w:t>
            </w:r>
          </w:p>
        </w:tc>
        <w:tc>
          <w:tcPr/>
          <w:p>
            <w:pPr>
              <w:pStyle w:val="Compact"/>
              <w:jc w:val="left"/>
            </w:pPr>
            <w:r>
              <w:t xml:space="preserve">$1.7M</w:t>
            </w:r>
          </w:p>
        </w:tc>
      </w:tr>
      <w:tr>
        <w:tc>
          <w:tcPr/>
          <w:p>
            <w:pPr>
              <w:pStyle w:val="Compact"/>
              <w:jc w:val="left"/>
            </w:pPr>
            <w:r>
              <w:t xml:space="preserve">Cash &amp; equivalents</w:t>
            </w:r>
          </w:p>
        </w:tc>
        <w:tc>
          <w:tcPr/>
          <w:p>
            <w:pPr>
              <w:pStyle w:val="Compact"/>
              <w:jc w:val="left"/>
            </w:pPr>
            <w:r>
              <w:t xml:space="preserve">$2.3M</w:t>
            </w:r>
          </w:p>
        </w:tc>
        <w:tc>
          <w:tcPr/>
          <w:p>
            <w:pPr>
              <w:pStyle w:val="Compact"/>
              <w:jc w:val="left"/>
            </w:pPr>
            <w:r>
              <w:t xml:space="preserve">$4.1M</w:t>
            </w:r>
          </w:p>
        </w:tc>
        <w:tc>
          <w:tcPr/>
          <w:p>
            <w:pPr>
              <w:pStyle w:val="Compact"/>
              <w:jc w:val="left"/>
            </w:pPr>
            <w:r>
              <w:t xml:space="preserve">$1.8M</w:t>
            </w:r>
          </w:p>
        </w:tc>
      </w:tr>
      <w:tr>
        <w:tc>
          <w:tcPr/>
          <w:p>
            <w:pPr>
              <w:pStyle w:val="Compact"/>
              <w:jc w:val="left"/>
            </w:pPr>
            <w:r>
              <w:t xml:space="preserve">PP&amp;E, net</w:t>
            </w:r>
          </w:p>
        </w:tc>
        <w:tc>
          <w:tcPr/>
          <w:p>
            <w:pPr>
              <w:pStyle w:val="Compact"/>
              <w:jc w:val="left"/>
            </w:pPr>
            <w:r>
              <w:t xml:space="preserve">$18.7M</w:t>
            </w:r>
          </w:p>
        </w:tc>
        <w:tc>
          <w:tcPr/>
          <w:p>
            <w:pPr>
              <w:pStyle w:val="Compact"/>
              <w:jc w:val="left"/>
            </w:pPr>
            <w:r>
              <w:t xml:space="preserve">$21.3M</w:t>
            </w:r>
          </w:p>
        </w:tc>
        <w:tc>
          <w:tcPr/>
          <w:p>
            <w:pPr>
              <w:pStyle w:val="Compact"/>
              <w:jc w:val="left"/>
            </w:pPr>
            <w:r>
              <w:t xml:space="preserve">$2.6M</w:t>
            </w:r>
          </w:p>
        </w:tc>
      </w:tr>
      <w:tr>
        <w:tc>
          <w:tcPr/>
          <w:p>
            <w:pPr>
              <w:pStyle w:val="Compact"/>
              <w:jc w:val="left"/>
            </w:pPr>
            <w:r>
              <w:t xml:space="preserve">Total assets</w:t>
            </w:r>
          </w:p>
        </w:tc>
        <w:tc>
          <w:tcPr/>
          <w:p>
            <w:pPr>
              <w:pStyle w:val="Compact"/>
              <w:jc w:val="left"/>
            </w:pPr>
            <w:r>
              <w:t xml:space="preserve">$46.1M</w:t>
            </w:r>
          </w:p>
        </w:tc>
        <w:tc>
          <w:tcPr/>
          <w:p>
            <w:pPr>
              <w:pStyle w:val="Compact"/>
              <w:jc w:val="left"/>
            </w:pPr>
            <w:r>
              <w:t xml:space="preserve">$50.0M</w:t>
            </w:r>
          </w:p>
        </w:tc>
        <w:tc>
          <w:tcPr/>
          <w:p>
            <w:pPr>
              <w:pStyle w:val="Compact"/>
              <w:jc w:val="left"/>
            </w:pPr>
            <w:r>
              <w:t xml:space="preserve">$3.9M</w:t>
            </w:r>
          </w:p>
        </w:tc>
      </w:tr>
      <w:tr>
        <w:tc>
          <w:tcPr/>
          <w:p>
            <w:pPr>
              <w:pStyle w:val="Compact"/>
              <w:jc w:val="left"/>
            </w:pPr>
            <w:r>
              <w:t xml:space="preserve">Accounts payable</w:t>
            </w:r>
          </w:p>
        </w:tc>
        <w:tc>
          <w:tcPr/>
          <w:p>
            <w:pPr>
              <w:pStyle w:val="Compact"/>
              <w:jc w:val="left"/>
            </w:pPr>
            <w:r>
              <w:t xml:space="preserve">$5.4M</w:t>
            </w:r>
          </w:p>
        </w:tc>
        <w:tc>
          <w:tcPr/>
          <w:p>
            <w:pPr>
              <w:pStyle w:val="Compact"/>
              <w:jc w:val="left"/>
            </w:pPr>
            <w:r>
              <w:t xml:space="preserve">$6.1M</w:t>
            </w:r>
          </w:p>
        </w:tc>
        <w:tc>
          <w:tcPr/>
          <w:p>
            <w:pPr>
              <w:pStyle w:val="Compact"/>
              <w:jc w:val="left"/>
            </w:pPr>
            <w:r>
              <w:t xml:space="preserve">$0.7M</w:t>
            </w:r>
          </w:p>
        </w:tc>
      </w:tr>
      <w:tr>
        <w:tc>
          <w:tcPr/>
          <w:p>
            <w:pPr>
              <w:pStyle w:val="Compact"/>
              <w:jc w:val="left"/>
            </w:pPr>
            <w:r>
              <w:t xml:space="preserve">Total liabilities</w:t>
            </w:r>
          </w:p>
        </w:tc>
        <w:tc>
          <w:tcPr/>
          <w:p>
            <w:pPr>
              <w:pStyle w:val="Compact"/>
              <w:jc w:val="left"/>
            </w:pPr>
            <w:r>
              <w:t xml:space="preserve">$29.0M</w:t>
            </w:r>
          </w:p>
        </w:tc>
        <w:tc>
          <w:tcPr/>
          <w:p>
            <w:pPr>
              <w:pStyle w:val="Compact"/>
              <w:jc w:val="left"/>
            </w:pPr>
            <w:r>
              <w:t xml:space="preserve">$31.2M</w:t>
            </w:r>
          </w:p>
        </w:tc>
        <w:tc>
          <w:tcPr/>
          <w:p>
            <w:pPr>
              <w:pStyle w:val="Compact"/>
              <w:jc w:val="left"/>
            </w:pPr>
            <w:r>
              <w:t xml:space="preserve">$2.2M</w:t>
            </w:r>
          </w:p>
        </w:tc>
      </w:tr>
      <w:tr>
        <w:tc>
          <w:tcPr/>
          <w:p>
            <w:pPr>
              <w:pStyle w:val="Compact"/>
              <w:jc w:val="left"/>
            </w:pPr>
            <w:r>
              <w:t xml:space="preserve">Stockholders’ equity</w:t>
            </w:r>
          </w:p>
        </w:tc>
        <w:tc>
          <w:tcPr/>
          <w:p>
            <w:pPr>
              <w:pStyle w:val="Compact"/>
              <w:jc w:val="left"/>
            </w:pPr>
            <w:r>
              <w:t xml:space="preserve">$17.1M</w:t>
            </w:r>
          </w:p>
        </w:tc>
        <w:tc>
          <w:tcPr/>
          <w:p>
            <w:pPr>
              <w:pStyle w:val="Compact"/>
              <w:jc w:val="left"/>
            </w:pPr>
            <w:r>
              <w:t xml:space="preserve">$18.8M</w:t>
            </w:r>
          </w:p>
        </w:tc>
        <w:tc>
          <w:tcPr/>
          <w:p>
            <w:pPr>
              <w:pStyle w:val="Compact"/>
              <w:jc w:val="left"/>
            </w:pPr>
            <w:r>
              <w:t xml:space="preserve">$1.7M</w:t>
            </w:r>
          </w:p>
        </w:tc>
      </w:tr>
      <w:tr>
        <w:tc>
          <w:tcPr/>
          <w:p>
            <w:pPr>
              <w:pStyle w:val="Compact"/>
              <w:jc w:val="left"/>
            </w:pPr>
            <w:r>
              <w:t xml:space="preserve">Cash from operations</w:t>
            </w:r>
          </w:p>
        </w:tc>
        <w:tc>
          <w:tcPr/>
          <w:p>
            <w:pPr>
              <w:pStyle w:val="Compact"/>
              <w:jc w:val="left"/>
            </w:pPr>
            <w:r>
              <w:t xml:space="preserve">$9.2M</w:t>
            </w:r>
          </w:p>
        </w:tc>
        <w:tc>
          <w:tcPr/>
          <w:p>
            <w:pPr>
              <w:pStyle w:val="Compact"/>
              <w:jc w:val="left"/>
            </w:pPr>
            <w:r>
              <w:t xml:space="preserve">$10.0M</w:t>
            </w:r>
          </w:p>
        </w:tc>
        <w:tc>
          <w:tcPr/>
          <w:p>
            <w:pPr>
              <w:pStyle w:val="Compact"/>
              <w:jc w:val="left"/>
            </w:pPr>
            <w:r>
              <w:t xml:space="preserve">$0.8M</w:t>
            </w:r>
          </w:p>
        </w:tc>
      </w:tr>
      <w:tr>
        <w:tc>
          <w:tcPr/>
          <w:p>
            <w:pPr>
              <w:pStyle w:val="Compact"/>
              <w:jc w:val="left"/>
            </w:pPr>
            <w:r>
              <w:t xml:space="preserve">Free cash flow</w:t>
            </w:r>
          </w:p>
        </w:tc>
        <w:tc>
          <w:tcPr/>
          <w:p>
            <w:pPr>
              <w:pStyle w:val="Compact"/>
              <w:jc w:val="left"/>
            </w:pPr>
            <w:r>
              <w:t xml:space="preserve">$2.0M</w:t>
            </w:r>
          </w:p>
        </w:tc>
        <w:tc>
          <w:tcPr/>
          <w:p>
            <w:pPr>
              <w:pStyle w:val="Compact"/>
              <w:jc w:val="left"/>
            </w:pPr>
            <w:r>
              <w:t xml:space="preserve">$2.8M</w:t>
            </w:r>
          </w:p>
        </w:tc>
        <w:tc>
          <w:tcPr/>
          <w:p>
            <w:pPr>
              <w:pStyle w:val="Compact"/>
              <w:jc w:val="left"/>
            </w:pPr>
            <w:r>
              <w:t xml:space="preserve">$0.8M</w:t>
            </w:r>
          </w:p>
        </w:tc>
      </w:tr>
    </w:tbl>
    <w:p>
      <w:pPr>
        <w:pStyle w:val="BodyText"/>
      </w:pPr>
      <w:r>
        <w:t xml:space="preserve">The CIM is internally consistent (its Operating Income of $7.8M = EBITDA $12.1M − D&amp;A $4.3M), but it does not match the Financial Exhibits. The deal team cannot rely on either presentation until both are reconciled to the audited financial statements (Ridgeline Accounting Group, PC). The variance in operating income alone ($3.3M) is ~27% of reported EBITDA. Note also that the CIM Appendix A income statement does not reflect the $875K DEQ settlement anywhere in the P&amp;L, whereas the Financial Exhibits records it below the operating line (see Section 4.6) — a further reason the two income statements diverge.</w:t>
      </w:r>
    </w:p>
    <w:bookmarkEnd w:id="26"/>
    <w:bookmarkStart w:id="27" w:name="X80b6c71211ab6952117dec0796d2a5b6c8cd694"/>
    <w:p>
      <w:pPr>
        <w:pStyle w:val="Heading3"/>
      </w:pPr>
      <w:r>
        <w:t xml:space="preserve">4.3 The Financial Exhibits workbook does not internally reconcile</w:t>
      </w:r>
    </w:p>
    <w:p>
      <w:pPr>
        <w:pStyle w:val="FirstParagraph"/>
      </w:pPr>
      <w:r>
        <w:t xml:space="preserve">Independent of the CIM comparison, the Financial Exhibits income statement does not tie out. For FY2024,</w:t>
      </w:r>
      <w:r>
        <w:t xml:space="preserve"> </w:t>
      </w:r>
      <w:r>
        <w:t xml:space="preserve">“</w:t>
      </w:r>
      <w:r>
        <w:t xml:space="preserve">Operating Income (EBIT)</w:t>
      </w:r>
      <w:r>
        <w:t xml:space="preserve">”</w:t>
      </w:r>
      <w:r>
        <w:t xml:space="preserve"> </w:t>
      </w:r>
      <w:r>
        <w:t xml:space="preserve">of $11.1M plus D&amp;A of $4.2M equals $15.3M, but</w:t>
      </w:r>
      <w:r>
        <w:t xml:space="preserve"> </w:t>
      </w:r>
      <w:r>
        <w:t xml:space="preserve">“</w:t>
      </w:r>
      <w:r>
        <w:t xml:space="preserve">Reported EBITDA</w:t>
      </w:r>
      <w:r>
        <w:t xml:space="preserve">”</w:t>
      </w:r>
      <w:r>
        <w:t xml:space="preserve"> </w:t>
      </w:r>
      <w:r>
        <w:t xml:space="preserve">is stated as $12.1M — a $3.2M internal gap. The same pattern holds in the projection years (e.g., FY2025E Operating Income $16.6M + D&amp;A $4.6M = $21.2M, versus the CIM’s stated FY2025E Adjusted EBITDA of $19.7M). The workbook also leaves</w:t>
      </w:r>
      <w:r>
        <w:t xml:space="preserve"> </w:t>
      </w:r>
      <w:r>
        <w:t xml:space="preserve">“</w:t>
      </w:r>
      <w:r>
        <w:t xml:space="preserve">Reported EBITDA</w:t>
      </w:r>
      <w:r>
        <w:t xml:space="preserve">”</w:t>
      </w:r>
      <w:r>
        <w:t xml:space="preserve"> </w:t>
      </w:r>
      <w:r>
        <w:t xml:space="preserve">blank for all projection years (FY2025E–FY2027E), providing no explicit EBITDA bridge for the forecast period. A clean, management-built projection model with an explicit EBITDA bridge for each forecast year should be requested.</w:t>
      </w:r>
    </w:p>
    <w:bookmarkEnd w:id="27"/>
    <w:bookmarkStart w:id="28" w:name="X72d5928bd5138150c17a6170db6f039d593e5fb"/>
    <w:p>
      <w:pPr>
        <w:pStyle w:val="Heading3"/>
      </w:pPr>
      <w:r>
        <w:t xml:space="preserve">4.4 Owner compensation normalization ($1.9M add-back) is likely overstated</w:t>
      </w:r>
    </w:p>
    <w:p>
      <w:pPr>
        <w:pStyle w:val="FirstParagraph"/>
      </w:pPr>
      <w:r>
        <w:t xml:space="preserve">The CIM adds back $1.9M, computed as Mr. Oakes’s $2.4M total compensation (including</w:t>
      </w:r>
      <w:r>
        <w:t xml:space="preserve"> </w:t>
      </w:r>
      <w:r>
        <w:t xml:space="preserve">“</w:t>
      </w:r>
      <w:r>
        <w:t xml:space="preserve">personal expenses allocated to the Company</w:t>
      </w:r>
      <w:r>
        <w:t xml:space="preserve">”</w:t>
      </w:r>
      <w:r>
        <w:t xml:space="preserve">) less an assumed replacement-CEO cost of $500K (CIM Section VI.C). Three concerns:</w:t>
      </w:r>
    </w:p>
    <w:p>
      <w:pPr>
        <w:pStyle w:val="Compact"/>
        <w:numPr>
          <w:ilvl w:val="0"/>
          <w:numId w:val="1005"/>
        </w:numPr>
      </w:pPr>
      <w:r>
        <w:rPr>
          <w:b/>
          <w:bCs/>
        </w:rPr>
        <w:t xml:space="preserve">The $500K replacement assumption is low and internally inconsistent.</w:t>
      </w:r>
      <w:r>
        <w:t xml:space="preserve"> </w:t>
      </w:r>
      <w:r>
        <w:t xml:space="preserve">The implied replacement cost embedded in the historical add-backs declines over time: FY2021–FY2022 imply ~$700K, FY2023 ~$600K, and FY2024 $500K (Financial Exhibits owner-comp line of $2.1M/$2.2M/$2.3M/$2.4M versus add-backs of $1.4M/$1.5M/$1.7M/$1.9M). A declining replacement-CEO assumption is not substantiated, and $500K total comp is light for a CEO of an ~$90M revenue environmental services platform replacing a 30-year industry veteran. A $600K–$800K replacement package is more credible, which would reduce the add-back by $0.1M–$0.3M.</w:t>
      </w:r>
    </w:p>
    <w:p>
      <w:pPr>
        <w:pStyle w:val="Compact"/>
        <w:numPr>
          <w:ilvl w:val="0"/>
          <w:numId w:val="1005"/>
        </w:numPr>
      </w:pPr>
      <w:r>
        <w:rPr>
          <w:b/>
          <w:bCs/>
        </w:rPr>
        <w:t xml:space="preserve">“</w:t>
      </w:r>
      <w:r>
        <w:rPr>
          <w:b/>
          <w:bCs/>
        </w:rPr>
        <w:t xml:space="preserve">Personal expenses allocated to the Company</w:t>
      </w:r>
      <w:r>
        <w:rPr>
          <w:b/>
          <w:bCs/>
        </w:rPr>
        <w:t xml:space="preserve">”</w:t>
      </w:r>
      <w:r>
        <w:rPr>
          <w:b/>
          <w:bCs/>
        </w:rPr>
        <w:t xml:space="preserve"> </w:t>
      </w:r>
      <w:r>
        <w:rPr>
          <w:b/>
          <w:bCs/>
        </w:rPr>
        <w:t xml:space="preserve">must be itemized.</w:t>
      </w:r>
      <w:r>
        <w:t xml:space="preserve"> </w:t>
      </w:r>
      <w:r>
        <w:t xml:space="preserve">The $2.4M includes personal expenses; only genuinely personal, non-business items are legitimate add-backs. The QoE should test each component.</w:t>
      </w:r>
    </w:p>
    <w:p>
      <w:pPr>
        <w:pStyle w:val="Compact"/>
        <w:numPr>
          <w:ilvl w:val="0"/>
          <w:numId w:val="1005"/>
        </w:numPr>
      </w:pPr>
      <w:r>
        <w:rPr>
          <w:b/>
          <w:bCs/>
        </w:rPr>
        <w:t xml:space="preserve">Transition/overlap costs are ignored.</w:t>
      </w:r>
      <w:r>
        <w:t xml:space="preserve"> </w:t>
      </w:r>
      <w:r>
        <w:t xml:space="preserve">Mr. Oakes intends to remain 18–24 months in an advisory capacity. The normalization assumes a clean $500K swap with no overlap, advisory fees, or retention costs during transition.</w:t>
      </w:r>
    </w:p>
    <w:bookmarkEnd w:id="28"/>
    <w:bookmarkStart w:id="29" w:name="X4fd9292ea4a39576e1aaa5cb9584d7cbeebd9b8"/>
    <w:p>
      <w:pPr>
        <w:pStyle w:val="Heading3"/>
      </w:pPr>
      <w:r>
        <w:t xml:space="preserve">4.5 The related-party lease add-back ($0.8M) is contradicted by the CIM’s own market data</w:t>
      </w:r>
    </w:p>
    <w:p>
      <w:pPr>
        <w:pStyle w:val="FirstParagraph"/>
      </w:pPr>
      <w:r>
        <w:t xml:space="preserve">CES leases its 8.5-acre, purpose-built Portland HQ from Mr. Oakes personally at $1.4M/year; the CIM normalizes to a $600K market rent and adds back $800K (CIM Sections VI.C and VIII.A). However, the CIM’s own Industry Overview (Section IV.C) states that</w:t>
      </w:r>
      <w:r>
        <w:t xml:space="preserve"> </w:t>
      </w:r>
      <w:r>
        <w:t xml:space="preserve">“</w:t>
      </w:r>
      <w:r>
        <w:t xml:space="preserve">specialized environmental staging facilities commanding rates of $1.0 million to $1.2 million annually for properties of comparable acreage and infrastructure.</w:t>
      </w:r>
      <w:r>
        <w:t xml:space="preserve">”</w:t>
      </w:r>
      <w:r>
        <w:t xml:space="preserve"> </w:t>
      </w:r>
      <w:r>
        <w:t xml:space="preserve">The HQ is precisely such a specialized facility (permitted wash rack, secondary containment, soil stockpile areas, 45+ truck capacity). If market rent is $1.0M–$1.2M as the CIM itself suggests, the above-market portion is only</w:t>
      </w:r>
      <w:r>
        <w:t xml:space="preserve"> </w:t>
      </w:r>
      <w:r>
        <w:rPr>
          <w:b/>
          <w:bCs/>
        </w:rPr>
        <w:t xml:space="preserve">$0.2M–$0.4M</w:t>
      </w:r>
      <w:r>
        <w:t xml:space="preserve">, not $0.8M — meaning the add-back is overstated by</w:t>
      </w:r>
      <w:r>
        <w:t xml:space="preserve"> </w:t>
      </w:r>
      <w:r>
        <w:rPr>
          <w:b/>
          <w:bCs/>
        </w:rPr>
        <w:t xml:space="preserve">$0.4M–$0.6M</w:t>
      </w:r>
      <w:r>
        <w:t xml:space="preserve">. An independent MAI appraisal of the property is required. (The real-estate conflict-of-interest dimension is addressed in Section 9.)</w:t>
      </w:r>
    </w:p>
    <w:bookmarkEnd w:id="29"/>
    <w:bookmarkStart w:id="30" w:name="Xedf17d998a26f63c12edd9d92c19e02f684c8e9"/>
    <w:p>
      <w:pPr>
        <w:pStyle w:val="Heading3"/>
      </w:pPr>
      <w:r>
        <w:t xml:space="preserve">4.6 The DEQ regulatory add-back ($1.2M) is likely overstated and may be partially double-counted</w:t>
      </w:r>
    </w:p>
    <w:p>
      <w:pPr>
        <w:pStyle w:val="FirstParagraph"/>
      </w:pPr>
      <w:r>
        <w:t xml:space="preserve">The CIM adds back $1.2M for the August 14, 2024 Oregon DEQ enforcement action ($875K settlement + $325K legal fees) related to improper storage of contaminated soils at the Portland facility (CIM Section VI.C; Appendix D). Two distinct problems:</w:t>
      </w:r>
    </w:p>
    <w:p>
      <w:pPr>
        <w:pStyle w:val="Compact"/>
        <w:numPr>
          <w:ilvl w:val="0"/>
          <w:numId w:val="1006"/>
        </w:numPr>
      </w:pPr>
      <w:r>
        <w:rPr>
          <w:b/>
          <w:bCs/>
        </w:rPr>
        <w:t xml:space="preserve">Recurring-run-rate issue (per Sector Memo, Section 5.2).</w:t>
      </w:r>
      <w:r>
        <w:t xml:space="preserve"> </w:t>
      </w:r>
      <w:r>
        <w:t xml:space="preserve">Regulatory and compliance costs in this sector typically run $200K–$500K annually for companies of CES’s size; Thornfield’s GreenWorks and Allied Waste experience confirms a recurring baseline ($275K/yr and $310K/yr, respectively). Best practice is to add back only the amount</w:t>
      </w:r>
      <w:r>
        <w:t xml:space="preserve"> </w:t>
      </w:r>
      <w:r>
        <w:rPr>
          <w:i/>
          <w:iCs/>
        </w:rPr>
        <w:t xml:space="preserve">in excess of</w:t>
      </w:r>
      <w:r>
        <w:t xml:space="preserve"> </w:t>
      </w:r>
      <w:r>
        <w:t xml:space="preserve">a normalized run-rate. If a $300K run-rate is appropriate, the defensible add-back is ~$900K; if $500K, ~$700K — i.e., the add-back is overstated by</w:t>
      </w:r>
      <w:r>
        <w:t xml:space="preserve"> </w:t>
      </w:r>
      <w:r>
        <w:rPr>
          <w:b/>
          <w:bCs/>
        </w:rPr>
        <w:t xml:space="preserve">$300K–$500K</w:t>
      </w:r>
      <w:r>
        <w:t xml:space="preserve">. Moreover, the underlying conduct (improper storage of contaminated soils at CES’s own operations yard) is operationally inherent, not anomalous. A full 10-year enforcement history is required to determine whether this is isolated or systemic.</w:t>
      </w:r>
    </w:p>
    <w:p>
      <w:pPr>
        <w:pStyle w:val="Compact"/>
        <w:numPr>
          <w:ilvl w:val="0"/>
          <w:numId w:val="1006"/>
        </w:numPr>
      </w:pPr>
      <w:r>
        <w:rPr>
          <w:b/>
          <w:bCs/>
        </w:rPr>
        <w:t xml:space="preserve">Potential double-counting and income-statement classification.</w:t>
      </w:r>
      <w:r>
        <w:t xml:space="preserve"> </w:t>
      </w:r>
      <w:r>
        <w:t xml:space="preserve">The Financial Exhibits income statement records the $875K settlement in</w:t>
      </w:r>
      <w:r>
        <w:t xml:space="preserve"> </w:t>
      </w:r>
      <w:r>
        <w:t xml:space="preserve">“</w:t>
      </w:r>
      <w:r>
        <w:t xml:space="preserve">Other Income/(Expense)</w:t>
      </w:r>
      <w:r>
        <w:t xml:space="preserve">”</w:t>
      </w:r>
      <w:r>
        <w:t xml:space="preserve"> </w:t>
      </w:r>
      <w:r>
        <w:rPr>
          <w:i/>
          <w:iCs/>
        </w:rPr>
        <w:t xml:space="preserve">below</w:t>
      </w:r>
      <w:r>
        <w:t xml:space="preserve"> </w:t>
      </w:r>
      <w:r>
        <w:t xml:space="preserve">the operating-income (and thus EBITDA) line, while the $325K legal fees appear to be captured in operating expenses</w:t>
      </w:r>
      <w:r>
        <w:t xml:space="preserve"> </w:t>
      </w:r>
      <w:r>
        <w:rPr>
          <w:i/>
          <w:iCs/>
        </w:rPr>
        <w:t xml:space="preserve">above</w:t>
      </w:r>
      <w:r>
        <w:t xml:space="preserve"> </w:t>
      </w:r>
      <w:r>
        <w:t xml:space="preserve">the EBITDA line. If confirmed against the audited financials, only the $325K legal-fee portion is legitimately included in reported EBITDA (and thus add-back-able, subject to the run-rate), while adding back the $875K settlement would double-count an expense that is already excluded from EBITDA. The CIM Appendix A income statement, by contrast, does not reflect the $875K settlement at all, making its treatment ambiguous. The audited financials must be examined to confirm the classification of both the $875K settlement and the $325K legal fees.</w:t>
      </w:r>
    </w:p>
    <w:p>
      <w:pPr>
        <w:pStyle w:val="FirstParagraph"/>
      </w:pPr>
      <w:r>
        <w:t xml:space="preserve">Combined, the regulatory add-back could be overstated by anywhere from $300K to ~$1.2M. At 8.0x–10.0x, that is</w:t>
      </w:r>
      <w:r>
        <w:t xml:space="preserve"> </w:t>
      </w:r>
      <w:r>
        <w:rPr>
          <w:b/>
          <w:bCs/>
        </w:rPr>
        <w:t xml:space="preserve">$2.4M–$12.0M of enterprise value</w:t>
      </w:r>
      <w:r>
        <w:t xml:space="preserve">.</w:t>
      </w:r>
    </w:p>
    <w:bookmarkEnd w:id="30"/>
    <w:bookmarkStart w:id="31" w:name="Xb7ffb273f801f2a7948f06b000c5476bc12592e"/>
    <w:p>
      <w:pPr>
        <w:pStyle w:val="Heading3"/>
      </w:pPr>
      <w:r>
        <w:t xml:space="preserve">4.7 Phantom-unit cash settlement at closing is a debt-like item, not just an EBITDA add-back</w:t>
      </w:r>
    </w:p>
    <w:p>
      <w:pPr>
        <w:pStyle w:val="FirstParagraph"/>
      </w:pPr>
      <w:r>
        <w:t xml:space="preserve">The CIM adds back $300K of non-cash phantom-unit stock-based compensation and states that</w:t>
      </w:r>
      <w:r>
        <w:t xml:space="preserve"> </w:t>
      </w:r>
      <w:r>
        <w:t xml:space="preserve">“</w:t>
      </w:r>
      <w:r>
        <w:t xml:space="preserve">all outstanding phantom units are expected to be settled in cash at closing</w:t>
      </w:r>
      <w:r>
        <w:t xml:space="preserve">”</w:t>
      </w:r>
      <w:r>
        <w:t xml:space="preserve"> </w:t>
      </w:r>
      <w:r>
        <w:t xml:space="preserve">(CIM Sections VI.C, VII.C). The cash settlement obligation is a debt-like item that reduces equity value at closing and must be quantified, disclosed, and netted in the sources-and-uses / equity bridge. The CIM does not state the aggregate cash settlement amount. This should be requested immediately, together with the phantom-unit plan documents and the settlement formula.</w:t>
      </w:r>
    </w:p>
    <w:bookmarkEnd w:id="31"/>
    <w:bookmarkStart w:id="32" w:name="Xccddd0eefb261b7df825d1855543c311c9b770b"/>
    <w:p>
      <w:pPr>
        <w:pStyle w:val="Heading3"/>
      </w:pPr>
      <w:r>
        <w:t xml:space="preserve">4.8 The stated DSO of 52 days is not supported by the balance sheet</w:t>
      </w:r>
    </w:p>
    <w:p>
      <w:pPr>
        <w:pStyle w:val="FirstParagraph"/>
      </w:pPr>
      <w:r>
        <w:t xml:space="preserve">The CIM states DSO of 52 days (Sections V.C, VI.D). Both the CIM and the Financial Exhibits report accounts receivable, net of $16.9M against FY2024 revenue of $87.3M. Computed directly: $16.9M / $87.3M × 365 =</w:t>
      </w:r>
      <w:r>
        <w:t xml:space="preserve"> </w:t>
      </w:r>
      <w:r>
        <w:rPr>
          <w:b/>
          <w:bCs/>
        </w:rPr>
        <w:t xml:space="preserve">~71 days</w:t>
      </w:r>
      <w:r>
        <w:t xml:space="preserve"> </w:t>
      </w:r>
      <w:r>
        <w:t xml:space="preserve">(or ~65 days on average AR). To support 52 days, AR would need to be ~$12.4M, not $16.9M. The stated 52-day figure appears to reflect a management</w:t>
      </w:r>
      <w:r>
        <w:t xml:space="preserve"> </w:t>
      </w:r>
      <w:r>
        <w:t xml:space="preserve">“</w:t>
      </w:r>
      <w:r>
        <w:t xml:space="preserve">normalized</w:t>
      </w:r>
      <w:r>
        <w:t xml:space="preserve">”</w:t>
      </w:r>
      <w:r>
        <w:t xml:space="preserve"> </w:t>
      </w:r>
      <w:r>
        <w:t xml:space="preserve">metric rather than the period-end balance. Per the Sector Memo (Section 4.3), DSO above 60 days can indicate collection issues, customer disputes, aging receivables, or revenue-recognition timing differences — and ~71 days is well above that threshold. This matters for two reasons: (i) it overstates the quality of the receivables/collection story, and (ii) it directly affects the net working capital peg in a cash-free/debt-free transaction — if true DSO is ~71 days, the appropriate NWC peg (and thus the buyer’s effective purchase price) is higher than the CIM implies. The QoE should independently calculate DSO and build the NWC peg from audited balance-sheet data. (NWC of $11.8M, or 13.5% of revenue, is within the sector’s 10–14% range, but the composition should be verified.)</w:t>
      </w:r>
    </w:p>
    <w:bookmarkEnd w:id="32"/>
    <w:bookmarkStart w:id="33" w:name="X9c16e3d5f1f3436581a3f05d127eea1a520022b"/>
    <w:p>
      <w:pPr>
        <w:pStyle w:val="Heading3"/>
      </w:pPr>
      <w:r>
        <w:t xml:space="preserve">4.9 Maintenance capex is materially below the sector benchmark</w:t>
      </w:r>
    </w:p>
    <w:p>
      <w:pPr>
        <w:pStyle w:val="FirstParagraph"/>
      </w:pPr>
      <w:r>
        <w:t xml:space="preserve">The CIM states maintenance capex of $3.0M/year (3.4% of revenue), flat from FY2022–FY2025E despite revenue growing ~43% (CIM Section VI.E). The Sector Memo (Section 4.2) benchmarks maintenance capex at</w:t>
      </w:r>
      <w:r>
        <w:t xml:space="preserve"> </w:t>
      </w:r>
      <w:r>
        <w:rPr>
          <w:b/>
          <w:bCs/>
        </w:rPr>
        <w:t xml:space="preserve">5–7% of revenue</w:t>
      </w:r>
      <w:r>
        <w:t xml:space="preserve"> </w:t>
      </w:r>
      <w:r>
        <w:t xml:space="preserve">($4.4M–$6.1M for CES), corroborated by Thornfield’s GreenWorks (6.2%) and Allied Waste (5.8%) experience. GreenWorks is directly on point: its sell-side CIM understated maintenance capex at ~3.5%, with actual post-close maintenance capex running 6.2% due to deferred maintenance and aging equipment that surfaced only after a fleet assessment. The CIM’s own Appendix C discloses a fleet of 82+ major units with a replacement value exceeding $22M and an average age of 4.5 years; $3.0M of total maintenance capex against a $22M+ fleet (~13.6%) is light for aging heavy equipment. If true maintenance capex is ~$5.5M (midpoint), the $2.5M annual difference directly reduces free cash flow. A detailed fleet age, condition, and remaining-useful-life assessment is a first-order diligence item. Note also that the CIM and Financial Exhibits disagree on the maintenance/growth capex split (e.g., FY2022 maintenance: CIM $3.0M / 4.4% vs. Financial Exhibits $2.6M / 3.8%), even where total capex ties.</w:t>
      </w:r>
    </w:p>
    <w:bookmarkEnd w:id="33"/>
    <w:bookmarkStart w:id="34" w:name="Xad11e1782ffac9ccc408fb0ec21bf23c14dba33"/>
    <w:p>
      <w:pPr>
        <w:pStyle w:val="Heading3"/>
      </w:pPr>
      <w:r>
        <w:t xml:space="preserve">4.10 Free cash flow is flat despite 42% revenue growth — weak FCF conversion</w:t>
      </w:r>
    </w:p>
    <w:p>
      <w:pPr>
        <w:pStyle w:val="FirstParagraph"/>
      </w:pPr>
      <w:r>
        <w:t xml:space="preserve">Both presentations show FCF essentially flat over the period while revenue grew 42%: CIM FCF of $2.2M/$2.3M/$2.0M/$2.0M (FY2021–FY2024); Financial Exhibits FCF of $2.8M/$2.9M/$3.3M/$2.8M. FCF conversion is weak — roughly</w:t>
      </w:r>
      <w:r>
        <w:t xml:space="preserve"> </w:t>
      </w:r>
      <w:r>
        <w:rPr>
          <w:b/>
          <w:bCs/>
        </w:rPr>
        <w:t xml:space="preserve">12–17% of Adjusted EBITDA</w:t>
      </w:r>
      <w:r>
        <w:t xml:space="preserve"> </w:t>
      </w:r>
      <w:r>
        <w:t xml:space="preserve">and ~24% of reported EBITDA in FY2024. The cause is visible in the Financial Exhibits cash-flow statement: a persistent working-capital build (receivables rose from $11.4M to $16.9M; unbilled revenue from $1.8M to $2.7M) combined with rising capex. A business being valued at 8.0x–10.0x EBITDA should be stress-tested on cash conversion, particularly under normalized (5–7%) maintenance capex. Critically,</w:t>
      </w:r>
      <w:r>
        <w:t xml:space="preserve"> </w:t>
      </w:r>
      <w:r>
        <w:rPr>
          <w:b/>
          <w:bCs/>
        </w:rPr>
        <w:t xml:space="preserve">no projected cash flow statement or balance sheet was provided</w:t>
      </w:r>
      <w:r>
        <w:t xml:space="preserve">, so we cannot assess whether the FY2025E–FY2027E growth plan is self-funding or requires additional equity/debt. Projected cash flow and balance sheet must be requested.</w:t>
      </w:r>
    </w:p>
    <w:bookmarkEnd w:id="34"/>
    <w:bookmarkStart w:id="35" w:name="X373fe81e55a901b53cc15de02d9872ebca37f47"/>
    <w:p>
      <w:pPr>
        <w:pStyle w:val="Heading3"/>
      </w:pPr>
      <w:r>
        <w:t xml:space="preserve">4.11 The projections omit a replacement-CEO cost and rely on aggressive margin expansion</w:t>
      </w:r>
    </w:p>
    <w:p>
      <w:pPr>
        <w:pStyle w:val="FirstParagraph"/>
      </w:pPr>
      <w:r>
        <w:t xml:space="preserve">The Financial Exhibits income statement projects owner compensation as $0 for FY2025E–FY2027E, with no replacement-CEO cost inserted. The Adjusted EBITDA bridge methodology assumes a $500K replacement CEO, but the projections assume $0 CEO cost — an internal inconsistency that inflates projected EBITDA by ~$500K/year relative to the bridge’s own normalization. Separately, the projections assume Adjusted EBITDA margin expansion from 19.6% to 21.5% (FY2024–FY2027E), driven by operating leverage and a mix shift toward higher-margin PFAS. If PFAS growth disappoints (Section 6), the mix shift reverses and the margin expansion is unlikely to materialize. The deal team should request a projection model that (a) includes a normalized replacement-CEO cost, (b) provides an explicit EBITDA bridge for each forecast year, and (c) is stress-tested under a PFAS-downside scenario.</w:t>
      </w:r>
    </w:p>
    <w:bookmarkEnd w:id="35"/>
    <w:bookmarkStart w:id="36" w:name="X1c8d63a16835c2a63a25c259ac004dffd9caa2d"/>
    <w:p>
      <w:pPr>
        <w:pStyle w:val="Heading3"/>
      </w:pPr>
      <w:r>
        <w:t xml:space="preserve">4.12 Unexplained goodwill and intangible assets on the balance sheet</w:t>
      </w:r>
    </w:p>
    <w:p>
      <w:pPr>
        <w:pStyle w:val="FirstParagraph"/>
      </w:pPr>
      <w:r>
        <w:t xml:space="preserve">The Financial Exhibits balance sheet shows $2.5M of</w:t>
      </w:r>
      <w:r>
        <w:t xml:space="preserve"> </w:t>
      </w:r>
      <w:r>
        <w:t xml:space="preserve">“</w:t>
      </w:r>
      <w:r>
        <w:t xml:space="preserve">Goodwill &amp; Intangible Assets,</w:t>
      </w:r>
      <w:r>
        <w:t xml:space="preserve">”</w:t>
      </w:r>
      <w:r>
        <w:t xml:space="preserve"> </w:t>
      </w:r>
      <w:r>
        <w:t xml:space="preserve">constant from FY2021–FY2024. The CIM describes CES as a purely organically grown company (founded 2009; no acquisitions in its history; growth described as organic plus the internal launch of new service lines). Goodwill typically arises from acquisitions. The presence of $2.5M of goodwill/intangibles is inconsistent with the CIM’s organic-growth narrative and should be investigated — it may indicate an undocumented prior acquisition, an asset purchase, or a different basis of classification. The composition and origin of this balance should be confirmed.</w:t>
      </w:r>
    </w:p>
    <w:bookmarkEnd w:id="36"/>
    <w:bookmarkStart w:id="37" w:name="X9c6d44d63eaa9e60d46a825f9e70c6b9770f45f"/>
    <w:p>
      <w:pPr>
        <w:pStyle w:val="Heading3"/>
      </w:pPr>
      <w:r>
        <w:t xml:space="preserve">4.13 Historical segment revenue differs between the CIM and Financial Exhibits</w:t>
      </w:r>
    </w:p>
    <w:p>
      <w:pPr>
        <w:pStyle w:val="FirstParagraph"/>
      </w:pPr>
      <w:r>
        <w:t xml:space="preserve">While FY2024 segment revenue and total revenue tie across documents, the FY2021–FY2023 segment splits do not. Examples: FY2021 Remediation is $34.1M (CIM) vs. $34.8M (Financial Exhibits); FY2021 Industrial Cleaning is $20.1M (CIM) vs. $19.2M (Financial Exhibits); FY2023 Emergency Response is $9.7M (CIM) vs. $9.2M (Financial Exhibits). Because totals tie, this appears to be a reclassification, but it affects segment growth-rate and margin analysis and should be reconciled. (The PFAS sub-line ties cleanly across both documents: $1.1M/$3.4M/$6.2M for FY2022–FY2024.)</w:t>
      </w:r>
    </w:p>
    <w:bookmarkEnd w:id="37"/>
    <w:bookmarkStart w:id="38" w:name="Xf8b4d41cddefdf7c203007089a962e7c936792c"/>
    <w:p>
      <w:pPr>
        <w:pStyle w:val="Heading3"/>
      </w:pPr>
      <w:r>
        <w:t xml:space="preserve">4.14 Projected segment revenue splits differ between the CIM and Financial Exhibits</w:t>
      </w:r>
    </w:p>
    <w:p>
      <w:pPr>
        <w:pStyle w:val="FirstParagraph"/>
      </w:pPr>
      <w:r>
        <w:t xml:space="preserve">The projected segment splits for FY2025E–FY2027E also disagree between the two documents, even though total revenue ($98.5M/$112.0M/$124.0M) and PFAS ($14.0M/$22.0M/$27.0M) tie exactly: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Segment (FY2025E / FY2026E / FY2027E)</w:t>
            </w:r>
          </w:p>
        </w:tc>
        <w:tc>
          <w:tcPr/>
          <w:p>
            <w:pPr>
              <w:pStyle w:val="Compact"/>
              <w:jc w:val="left"/>
            </w:pPr>
            <w:r>
              <w:t xml:space="preserve">CIM (Section VI.F)</w:t>
            </w:r>
          </w:p>
        </w:tc>
        <w:tc>
          <w:tcPr/>
          <w:p>
            <w:pPr>
              <w:pStyle w:val="Compact"/>
              <w:jc w:val="left"/>
            </w:pPr>
            <w:r>
              <w:t xml:space="preserve">Financial Exhibits</w:t>
            </w:r>
          </w:p>
        </w:tc>
      </w:tr>
      <w:tr>
        <w:tc>
          <w:tcPr/>
          <w:p>
            <w:pPr>
              <w:pStyle w:val="Compact"/>
              <w:jc w:val="left"/>
            </w:pPr>
            <w:r>
              <w:t xml:space="preserve">Environmental Remediation</w:t>
            </w:r>
          </w:p>
        </w:tc>
        <w:tc>
          <w:tcPr/>
          <w:p>
            <w:pPr>
              <w:pStyle w:val="Compact"/>
              <w:jc w:val="left"/>
            </w:pPr>
            <w:r>
              <w:t xml:space="preserve">$56.0M / $65.0M / $72.0M</w:t>
            </w:r>
          </w:p>
        </w:tc>
        <w:tc>
          <w:tcPr/>
          <w:p>
            <w:pPr>
              <w:pStyle w:val="Compact"/>
              <w:jc w:val="left"/>
            </w:pPr>
            <w:r>
              <w:t xml:space="preserve">$56.5M / $66.0M / $73.5M</w:t>
            </w:r>
          </w:p>
        </w:tc>
      </w:tr>
      <w:tr>
        <w:tc>
          <w:tcPr/>
          <w:p>
            <w:pPr>
              <w:pStyle w:val="Compact"/>
              <w:jc w:val="left"/>
            </w:pPr>
            <w:r>
              <w:t xml:space="preserve">Industrial Cleaning</w:t>
            </w:r>
          </w:p>
        </w:tc>
        <w:tc>
          <w:tcPr/>
          <w:p>
            <w:pPr>
              <w:pStyle w:val="Compact"/>
              <w:jc w:val="left"/>
            </w:pPr>
            <w:r>
              <w:t xml:space="preserve">$29.5M / $32.0M / $35.0M</w:t>
            </w:r>
          </w:p>
        </w:tc>
        <w:tc>
          <w:tcPr/>
          <w:p>
            <w:pPr>
              <w:pStyle w:val="Compact"/>
              <w:jc w:val="left"/>
            </w:pPr>
            <w:r>
              <w:t xml:space="preserve">$30.2M / $33.0M / $35.5M</w:t>
            </w:r>
          </w:p>
        </w:tc>
      </w:tr>
      <w:tr>
        <w:tc>
          <w:tcPr/>
          <w:p>
            <w:pPr>
              <w:pStyle w:val="Compact"/>
              <w:jc w:val="left"/>
            </w:pPr>
            <w:r>
              <w:t xml:space="preserve">Emergency Response</w:t>
            </w:r>
          </w:p>
        </w:tc>
        <w:tc>
          <w:tcPr/>
          <w:p>
            <w:pPr>
              <w:pStyle w:val="Compact"/>
              <w:jc w:val="left"/>
            </w:pPr>
            <w:r>
              <w:t xml:space="preserve">$13.0M / $15.0M / $17.0M</w:t>
            </w:r>
          </w:p>
        </w:tc>
        <w:tc>
          <w:tcPr/>
          <w:p>
            <w:pPr>
              <w:pStyle w:val="Compact"/>
              <w:jc w:val="left"/>
            </w:pPr>
            <w:r>
              <w:t xml:space="preserve">$11.8M / $13.0M / $15.0M</w:t>
            </w:r>
          </w:p>
        </w:tc>
      </w:tr>
    </w:tbl>
    <w:p>
      <w:pPr>
        <w:pStyle w:val="BodyText"/>
      </w:pPr>
      <w:r>
        <w:t xml:space="preserve">The Emergency Response projection is the most divergent: the CIM projects $13.0M/$15.0M/$17.0M (implying ~15%/15%/13% growth) while the Financial Exhibits projects $11.8M/$13.0M/$15.0M (implying ~4%/10%/15% growth) — a materially different growth profile for the same segment. Because the totals tie, the difference is reallocated among segments, but it signals that the segment-level forecast is not finalized and should be reconciled before reliance.</w:t>
      </w:r>
    </w:p>
    <w:p>
      <w:pPr>
        <w:pStyle w:val="BodyText"/>
      </w:pPr>
      <w:r>
        <w:t xml:space="preserve">A related and more important insight emerges from the Financial Exhibits</w:t>
      </w:r>
      <w:r>
        <w:t xml:space="preserve"> </w:t>
      </w:r>
      <w:r>
        <w:t xml:space="preserve">“</w:t>
      </w:r>
      <w:r>
        <w:t xml:space="preserve">Revenue by Segment</w:t>
      </w:r>
      <w:r>
        <w:t xml:space="preserve">”</w:t>
      </w:r>
      <w:r>
        <w:t xml:space="preserve"> </w:t>
      </w:r>
      <w:r>
        <w:t xml:space="preserve">sheet:</w:t>
      </w:r>
      <w:r>
        <w:t xml:space="preserve"> </w:t>
      </w:r>
      <w:r>
        <w:rPr>
          <w:b/>
          <w:bCs/>
        </w:rPr>
        <w:t xml:space="preserve">traditional (non-PFAS) remediation is projected essentially flat from FY2024 to FY2025E ($42.0M → $42.5M, +1.2%), then ~3.5% and ~5.7% in FY2026E–FY2027E.</w:t>
      </w:r>
      <w:r>
        <w:t xml:space="preserve"> </w:t>
      </w:r>
      <w:r>
        <w:t xml:space="preserve">In other words, virtually all of the projected growth in the Company’s largest segment is PFAS. Combined with Section 6.2 (PFAS carries ~64% of total incremental growth), this means the entire premium growth story — and the margin expansion that depends on the PFAS mix shift — rests on a two-year-old service line hitting aggressive targets. The core remediation business, ex-PFAS, is projected to grow at only low-single digits.</w:t>
      </w:r>
    </w:p>
    <w:bookmarkEnd w:id="38"/>
    <w:bookmarkStart w:id="39" w:name="Xd42692570bbff7e0106abfff34e02d72ae149c2"/>
    <w:p>
      <w:pPr>
        <w:pStyle w:val="Heading3"/>
      </w:pPr>
      <w:r>
        <w:t xml:space="preserve">4.15 Shareholder distributions on top of owner compensation — owner economics and FCF context</w:t>
      </w:r>
    </w:p>
    <w:p>
      <w:pPr>
        <w:pStyle w:val="FirstParagraph"/>
      </w:pPr>
      <w:r>
        <w:t xml:space="preserve">The Financial Exhibits cash-flow statement discloses</w:t>
      </w:r>
      <w:r>
        <w:t xml:space="preserve"> </w:t>
      </w:r>
      <w:r>
        <w:t xml:space="preserve">“</w:t>
      </w:r>
      <w:r>
        <w:t xml:space="preserve">Distributions to Shareholders</w:t>
      </w:r>
      <w:r>
        <w:t xml:space="preserve">”</w:t>
      </w:r>
      <w:r>
        <w:t xml:space="preserve"> </w:t>
      </w:r>
      <w:r>
        <w:t xml:space="preserve">of $1.5M / $2.7M / $1.5M / $1.044M over FY2021–FY2024 — approximately</w:t>
      </w:r>
      <w:r>
        <w:t xml:space="preserve"> </w:t>
      </w:r>
      <w:r>
        <w:rPr>
          <w:b/>
          <w:bCs/>
        </w:rPr>
        <w:t xml:space="preserve">$6.7M in aggregate</w:t>
      </w:r>
      <w:r>
        <w:t xml:space="preserve">, of which Mr. Oakes (68% holder) received roughly $4.6M. These distributions are</w:t>
      </w:r>
      <w:r>
        <w:t xml:space="preserve"> </w:t>
      </w:r>
      <w:r>
        <w:rPr>
          <w:i/>
          <w:iCs/>
        </w:rPr>
        <w:t xml:space="preserve">in addition to</w:t>
      </w:r>
      <w:r>
        <w:t xml:space="preserve"> </w:t>
      </w:r>
      <w:r>
        <w:t xml:space="preserve">his $2.1M–$2.4M annual compensation. Two implications: (i) the total economic benefit to the owner is materially higher than the $2.4M compensation figure used in the owner-comp normalization, reinforcing the need to itemize and test that add-back (Section 4.4); and (ii) the distributions consumed the bulk of the Company’s modest free cash flow (FE FCF of $2.8M/$2.9M/$3.3M/$2.8M vs. distributions of $1.5M/$2.7M/$1.5M/$1.0M), leaving little cash reinvested in the business — consistent with the deferred-maintenance / below-benchmark capex concern in Section 4.9. The distributions would cease post-close (replaced by the buyer’s return on equity) and are not themselves an EBITDA add-back, but they contextualize both the owner’s total take and the thinness of reinvested FCF. The QoE should confirm the distribution policy and whether any distributions were funded by debt draws (the revolver was drawn $3.1M at year-end).</w:t>
      </w:r>
    </w:p>
    <w:bookmarkEnd w:id="39"/>
    <w:bookmarkStart w:id="40" w:name="Xd871132bd19575d8832d4597dd45909f939d6a4"/>
    <w:p>
      <w:pPr>
        <w:pStyle w:val="Heading3"/>
      </w:pPr>
      <w:r>
        <w:t xml:space="preserve">4.16 Debt balance differs between the CIM and the Financial Exhibits</w:t>
      </w:r>
    </w:p>
    <w:p>
      <w:pPr>
        <w:pStyle w:val="FirstParagraph"/>
      </w:pPr>
      <w:r>
        <w:t xml:space="preserve">The debt presentation does not reconcile across documents, with direct implications for the equity 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Debt item (FY2024)</w:t>
            </w:r>
          </w:p>
        </w:tc>
        <w:tc>
          <w:tcPr/>
          <w:p>
            <w:pPr>
              <w:pStyle w:val="Compact"/>
              <w:jc w:val="left"/>
            </w:pPr>
            <w:r>
              <w:t xml:space="preserve">CIM (Section VI.D)</w:t>
            </w:r>
          </w:p>
        </w:tc>
        <w:tc>
          <w:tcPr/>
          <w:p>
            <w:pPr>
              <w:pStyle w:val="Compact"/>
              <w:jc w:val="left"/>
            </w:pPr>
            <w:r>
              <w:t xml:space="preserve">Financial Exhibits (Balance Sheet)</w:t>
            </w:r>
          </w:p>
        </w:tc>
      </w:tr>
      <w:tr>
        <w:tc>
          <w:tcPr/>
          <w:p>
            <w:pPr>
              <w:pStyle w:val="Compact"/>
              <w:jc w:val="left"/>
            </w:pPr>
            <w:r>
              <w:t xml:space="preserve">Current portion of long-term debt</w:t>
            </w:r>
          </w:p>
        </w:tc>
        <w:tc>
          <w:tcPr/>
          <w:p>
            <w:pPr>
              <w:pStyle w:val="Compact"/>
              <w:jc w:val="left"/>
            </w:pPr>
            <w:r>
              <w:t xml:space="preserve">$2.3M</w:t>
            </w:r>
          </w:p>
        </w:tc>
        <w:tc>
          <w:tcPr/>
          <w:p>
            <w:pPr>
              <w:pStyle w:val="Compact"/>
              <w:jc w:val="left"/>
            </w:pPr>
            <w:r>
              <w:t xml:space="preserve">$1.8M</w:t>
            </w:r>
          </w:p>
        </w:tc>
      </w:tr>
      <w:tr>
        <w:tc>
          <w:tcPr/>
          <w:p>
            <w:pPr>
              <w:pStyle w:val="Compact"/>
              <w:jc w:val="left"/>
            </w:pPr>
            <w:r>
              <w:t xml:space="preserve">Senior term loan — non-current</w:t>
            </w:r>
          </w:p>
        </w:tc>
        <w:tc>
          <w:tcPr/>
          <w:p>
            <w:pPr>
              <w:pStyle w:val="Compact"/>
              <w:jc w:val="left"/>
            </w:pPr>
            <w:r>
              <w:t xml:space="preserve">$11.9M</w:t>
            </w:r>
          </w:p>
        </w:tc>
        <w:tc>
          <w:tcPr/>
          <w:p>
            <w:pPr>
              <w:pStyle w:val="Compact"/>
              <w:jc w:val="left"/>
            </w:pPr>
            <w:r>
              <w:t xml:space="preserve">$14.2M</w:t>
            </w:r>
          </w:p>
        </w:tc>
      </w:tr>
      <w:tr>
        <w:tc>
          <w:tcPr/>
          <w:p>
            <w:pPr>
              <w:pStyle w:val="Compact"/>
              <w:jc w:val="left"/>
            </w:pPr>
            <w:r>
              <w:t xml:space="preserve">Revolver drawn</w:t>
            </w:r>
          </w:p>
        </w:tc>
        <w:tc>
          <w:tcPr/>
          <w:p>
            <w:pPr>
              <w:pStyle w:val="Compact"/>
              <w:jc w:val="left"/>
            </w:pPr>
            <w:r>
              <w:t xml:space="preserve">$3.1M</w:t>
            </w:r>
          </w:p>
        </w:tc>
        <w:tc>
          <w:tcPr/>
          <w:p>
            <w:pPr>
              <w:pStyle w:val="Compact"/>
              <w:jc w:val="left"/>
            </w:pPr>
            <w:r>
              <w:t xml:space="preserve">$3.1M</w:t>
            </w:r>
          </w:p>
        </w:tc>
      </w:tr>
      <w:tr>
        <w:tc>
          <w:tcPr/>
          <w:p>
            <w:pPr>
              <w:pStyle w:val="Compact"/>
              <w:jc w:val="left"/>
            </w:pPr>
            <w:r>
              <w:rPr>
                <w:b/>
                <w:bCs/>
              </w:rPr>
              <w:t xml:space="preserve">Implied total debt</w:t>
            </w:r>
          </w:p>
        </w:tc>
        <w:tc>
          <w:tcPr/>
          <w:p>
            <w:pPr>
              <w:pStyle w:val="Compact"/>
              <w:jc w:val="left"/>
            </w:pPr>
            <w:r>
              <w:rPr>
                <w:b/>
                <w:bCs/>
              </w:rPr>
              <w:t xml:space="preserve">$17.3M</w:t>
            </w:r>
          </w:p>
        </w:tc>
        <w:tc>
          <w:tcPr/>
          <w:p>
            <w:pPr>
              <w:pStyle w:val="Compact"/>
              <w:jc w:val="left"/>
            </w:pPr>
            <w:r>
              <w:rPr>
                <w:b/>
                <w:bCs/>
              </w:rPr>
              <w:t xml:space="preserve">~$19.1M</w:t>
            </w:r>
          </w:p>
        </w:tc>
      </w:tr>
    </w:tbl>
    <w:p>
      <w:pPr>
        <w:pStyle w:val="BodyText"/>
      </w:pPr>
      <w:r>
        <w:t xml:space="preserve">The CIM explicitly states total term-loan principal of $14.2M ($2.3M current + $11.9M non-current). The Financial Exhibits lists a non-current Senior Term Loan of $14.2M</w:t>
      </w:r>
      <w:r>
        <w:t xml:space="preserve"> </w:t>
      </w:r>
      <w:r>
        <w:rPr>
          <w:i/>
          <w:iCs/>
        </w:rPr>
        <w:t xml:space="preserve">plus</w:t>
      </w:r>
      <w:r>
        <w:t xml:space="preserve"> </w:t>
      </w:r>
      <w:r>
        <w:t xml:space="preserve">a separate</w:t>
      </w:r>
      <w:r>
        <w:t xml:space="preserve"> </w:t>
      </w:r>
      <w:r>
        <w:t xml:space="preserve">“</w:t>
      </w:r>
      <w:r>
        <w:t xml:space="preserve">Current Portion of Long-Term Debt</w:t>
      </w:r>
      <w:r>
        <w:t xml:space="preserve">”</w:t>
      </w:r>
      <w:r>
        <w:t xml:space="preserve"> </w:t>
      </w:r>
      <w:r>
        <w:t xml:space="preserve">of $1.8M, which together imply total term-loan debt of ~$16.0M — i.e.,</w:t>
      </w:r>
      <w:r>
        <w:t xml:space="preserve"> </w:t>
      </w:r>
      <w:r>
        <w:rPr>
          <w:b/>
          <w:bCs/>
        </w:rPr>
        <w:t xml:space="preserve">~$1.8M more term-loan debt than the CIM states</w:t>
      </w:r>
      <w:r>
        <w:t xml:space="preserve">, and ~$19.1M of total debt versus the CIM’s $17.3M. (The Financial Exhibits cash-flow</w:t>
      </w:r>
      <w:r>
        <w:t xml:space="preserve"> </w:t>
      </w:r>
      <w:r>
        <w:t xml:space="preserve">“</w:t>
      </w:r>
      <w:r>
        <w:t xml:space="preserve">Repayment of Term Loan</w:t>
      </w:r>
      <w:r>
        <w:t xml:space="preserve">”</w:t>
      </w:r>
      <w:r>
        <w:t xml:space="preserve"> </w:t>
      </w:r>
      <w:r>
        <w:t xml:space="preserve">line of $1.3M–$1.7M/year does not cleanly tie its own balance-sheet debt balances either, reinforcing the need for a clean reconciliation.) This $1.8M difference flows directly into net debt and the equity bridge. The deal team must obtain the Cascadia Commercial Bank debt schedule and reconcile actual outstanding principal, the current/non-current split, and the revolver balance before finalizing the sources-and-uses. See also Section 10.5 (equity bridge) and 10.6 (near-term maturity).</w:t>
      </w:r>
    </w:p>
    <w:p>
      <w:r>
        <w:pict>
          <v:rect style="width:0;height:1.5pt" o:hralign="center" o:hrstd="t" o:hr="t"/>
        </w:pict>
      </w:r>
    </w:p>
    <w:bookmarkEnd w:id="40"/>
    <w:bookmarkEnd w:id="41"/>
    <w:bookmarkStart w:id="48" w:name="customer-and-revenue-analysis"/>
    <w:p>
      <w:pPr>
        <w:pStyle w:val="Heading2"/>
      </w:pPr>
      <w:r>
        <w:t xml:space="preserve">5. Customer and Revenue Analysis</w:t>
      </w:r>
    </w:p>
    <w:bookmarkStart w:id="42" w:name="X81d824b22d4df9cdc70ddbe88d3b498a7fdf87f"/>
    <w:p>
      <w:pPr>
        <w:pStyle w:val="Heading3"/>
      </w:pPr>
      <w:r>
        <w:t xml:space="preserve">5.1 The top-10 customer lists in the CIM and the Backlog Report do not match, and the CIM is internally inconsistent on its largest customer</w:t>
      </w:r>
    </w:p>
    <w:p>
      <w:pPr>
        <w:pStyle w:val="FirstParagraph"/>
      </w:pPr>
      <w:r>
        <w:t xml:space="preserve">This is among the most serious findings. Two documents prepared by the same advisor for the same company disagree on five of the ten top customers. The top 5 (PNR, ODOT, Columbia Basin Power Authority, Meridian Lumber &amp; Paper, Willamette Steel) and their revenue/percentages match, but customers #6–#10 are entirely different: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CIM (Section V.B)</w:t>
            </w:r>
          </w:p>
        </w:tc>
        <w:tc>
          <w:tcPr/>
          <w:p>
            <w:pPr>
              <w:pStyle w:val="Compact"/>
              <w:jc w:val="left"/>
            </w:pPr>
            <w:r>
              <w:t xml:space="preserve">Backlog Report (Section 3.2)</w:t>
            </w:r>
          </w:p>
        </w:tc>
      </w:tr>
      <w:tr>
        <w:tc>
          <w:tcPr/>
          <w:p>
            <w:pPr>
              <w:pStyle w:val="Compact"/>
              <w:jc w:val="left"/>
            </w:pPr>
            <w:r>
              <w:t xml:space="preserve">6</w:t>
            </w:r>
          </w:p>
        </w:tc>
        <w:tc>
          <w:tcPr/>
          <w:p>
            <w:pPr>
              <w:pStyle w:val="Compact"/>
              <w:jc w:val="left"/>
            </w:pPr>
            <w:r>
              <w:t xml:space="preserve">Cascade Terminals, Inc. ($3.8M)</w:t>
            </w:r>
          </w:p>
        </w:tc>
        <w:tc>
          <w:tcPr/>
          <w:p>
            <w:pPr>
              <w:pStyle w:val="Compact"/>
              <w:jc w:val="left"/>
            </w:pPr>
            <w:r>
              <w:t xml:space="preserve">Clearwater Municipal Utility District ($3.8M)</w:t>
            </w:r>
          </w:p>
        </w:tc>
      </w:tr>
      <w:tr>
        <w:tc>
          <w:tcPr/>
          <w:p>
            <w:pPr>
              <w:pStyle w:val="Compact"/>
              <w:jc w:val="left"/>
            </w:pPr>
            <w:r>
              <w:t xml:space="preserve">7</w:t>
            </w:r>
          </w:p>
        </w:tc>
        <w:tc>
          <w:tcPr/>
          <w:p>
            <w:pPr>
              <w:pStyle w:val="Compact"/>
              <w:jc w:val="left"/>
            </w:pPr>
            <w:r>
              <w:t xml:space="preserve">Puget Sound Utilities Group ($3.6M)</w:t>
            </w:r>
          </w:p>
        </w:tc>
        <w:tc>
          <w:tcPr/>
          <w:p>
            <w:pPr>
              <w:pStyle w:val="Compact"/>
              <w:jc w:val="left"/>
            </w:pPr>
            <w:r>
              <w:t xml:space="preserve">Northshore Industrial Park ($3.6M)</w:t>
            </w:r>
          </w:p>
        </w:tc>
      </w:tr>
      <w:tr>
        <w:tc>
          <w:tcPr/>
          <w:p>
            <w:pPr>
              <w:pStyle w:val="Compact"/>
              <w:jc w:val="left"/>
            </w:pPr>
            <w:r>
              <w:t xml:space="preserve">8</w:t>
            </w:r>
          </w:p>
        </w:tc>
        <w:tc>
          <w:tcPr/>
          <w:p>
            <w:pPr>
              <w:pStyle w:val="Compact"/>
              <w:jc w:val="left"/>
            </w:pPr>
            <w:r>
              <w:t xml:space="preserve">City of Portland – BES ($3.2M)</w:t>
            </w:r>
          </w:p>
        </w:tc>
        <w:tc>
          <w:tcPr/>
          <w:p>
            <w:pPr>
              <w:pStyle w:val="Compact"/>
              <w:jc w:val="left"/>
            </w:pPr>
            <w:r>
              <w:t xml:space="preserve">Summit Materials Processing ($3.2M)</w:t>
            </w:r>
          </w:p>
        </w:tc>
      </w:tr>
      <w:tr>
        <w:tc>
          <w:tcPr/>
          <w:p>
            <w:pPr>
              <w:pStyle w:val="Compact"/>
              <w:jc w:val="left"/>
            </w:pPr>
            <w:r>
              <w:t xml:space="preserve">9</w:t>
            </w:r>
          </w:p>
        </w:tc>
        <w:tc>
          <w:tcPr/>
          <w:p>
            <w:pPr>
              <w:pStyle w:val="Compact"/>
              <w:jc w:val="left"/>
            </w:pPr>
            <w:r>
              <w:t xml:space="preserve">Northern Pacific Rail Systems ($2.9M)</w:t>
            </w:r>
          </w:p>
        </w:tc>
        <w:tc>
          <w:tcPr/>
          <w:p>
            <w:pPr>
              <w:pStyle w:val="Compact"/>
              <w:jc w:val="left"/>
            </w:pPr>
            <w:r>
              <w:t xml:space="preserve">Timberline Construction Group ($2.9M)</w:t>
            </w:r>
          </w:p>
        </w:tc>
      </w:tr>
      <w:tr>
        <w:tc>
          <w:tcPr/>
          <w:p>
            <w:pPr>
              <w:pStyle w:val="Compact"/>
              <w:jc w:val="left"/>
            </w:pPr>
            <w:r>
              <w:t xml:space="preserve">10</w:t>
            </w:r>
          </w:p>
        </w:tc>
        <w:tc>
          <w:tcPr/>
          <w:p>
            <w:pPr>
              <w:pStyle w:val="Compact"/>
              <w:jc w:val="left"/>
            </w:pPr>
            <w:r>
              <w:t xml:space="preserve">Tidewater Chemical Corp. ($2.7M)</w:t>
            </w:r>
          </w:p>
        </w:tc>
        <w:tc>
          <w:tcPr/>
          <w:p>
            <w:pPr>
              <w:pStyle w:val="Compact"/>
              <w:jc w:val="left"/>
            </w:pPr>
            <w:r>
              <w:t xml:space="preserve">Harborview Port Authority ($2.7M)</w:t>
            </w:r>
          </w:p>
        </w:tc>
      </w:tr>
    </w:tbl>
    <w:p>
      <w:pPr>
        <w:pStyle w:val="BodyText"/>
      </w:pPr>
      <w:r>
        <w:t xml:space="preserve">The revenue figures and percentages are identical at each rank, but the customer names, segments served, contract types, and expiration dates differ completely. This undermines confidence in the customer data and the concentration analysis. The deal team cannot rely on either list until reconciled to the audited customer ledger.</w:t>
      </w:r>
    </w:p>
    <w:p>
      <w:pPr>
        <w:pStyle w:val="BodyText"/>
      </w:pPr>
      <w:r>
        <w:rPr>
          <w:b/>
          <w:bCs/>
        </w:rPr>
        <w:t xml:space="preserve">The CIM is also internally inconsistent on what services PNR (the largest customer) receives.</w:t>
      </w:r>
      <w:r>
        <w:t xml:space="preserve"> </w:t>
      </w:r>
      <w:r>
        <w:t xml:space="preserve">Within the same Section V.A, the CIM states both that PNR</w:t>
      </w:r>
      <w:r>
        <w:t xml:space="preserve"> </w:t>
      </w:r>
      <w:r>
        <w:t xml:space="preserve">“</w:t>
      </w:r>
      <w:r>
        <w:t xml:space="preserve">has relied on CES for both industrial cleaning and environmental remediation services</w:t>
      </w:r>
      <w:r>
        <w:t xml:space="preserve">”</w:t>
      </w:r>
      <w:r>
        <w:t xml:space="preserve"> </w:t>
      </w:r>
      <w:r>
        <w:t xml:space="preserve">(two services) and that</w:t>
      </w:r>
      <w:r>
        <w:t xml:space="preserve"> </w:t>
      </w:r>
      <w:r>
        <w:t xml:space="preserve">“</w:t>
      </w:r>
      <w:r>
        <w:t xml:space="preserve">CES serves as PNR’s primary environmental services provider for scheduled turnaround cleaning, ongoing site remediation, and emergency response support</w:t>
      </w:r>
      <w:r>
        <w:t xml:space="preserve">”</w:t>
      </w:r>
      <w:r>
        <w:t xml:space="preserve"> </w:t>
      </w:r>
      <w:r>
        <w:t xml:space="preserve">(three services). The CIM’s top-10 table (Section V.B) lists PNR as</w:t>
      </w:r>
      <w:r>
        <w:t xml:space="preserve"> </w:t>
      </w:r>
      <w:r>
        <w:t xml:space="preserve">“</w:t>
      </w:r>
      <w:r>
        <w:t xml:space="preserve">Industrial Cleaning, Remediation,</w:t>
      </w:r>
      <w:r>
        <w:t xml:space="preserve">”</w:t>
      </w:r>
      <w:r>
        <w:t xml:space="preserve"> </w:t>
      </w:r>
      <w:r>
        <w:t xml:space="preserve">while the Backlog Report (Section 3.1 narrative and 3.2 table) lists PNR as</w:t>
      </w:r>
      <w:r>
        <w:t xml:space="preserve"> </w:t>
      </w:r>
      <w:r>
        <w:t xml:space="preserve">“</w:t>
      </w:r>
      <w:r>
        <w:t xml:space="preserve">IC, ER</w:t>
      </w:r>
      <w:r>
        <w:t xml:space="preserve">”</w:t>
      </w:r>
      <w:r>
        <w:t xml:space="preserve"> </w:t>
      </w:r>
      <w:r>
        <w:t xml:space="preserve">(Industrial Cleaning and Emergency Response). So the CIM conflicts with itself (two vs. three services) and the CIM table conflicts with the Backlog Report (Remediation vs. Emergency Response). For a 21.4%-of-revenue customer, the inability to state which services are provided is a material data-integrity problem.</w:t>
      </w:r>
    </w:p>
    <w:p>
      <w:pPr>
        <w:pStyle w:val="BodyText"/>
      </w:pPr>
      <w:r>
        <w:t xml:space="preserve">Additional discrepancies within the top 5:</w:t>
      </w:r>
    </w:p>
    <w:p>
      <w:pPr>
        <w:pStyle w:val="Compact"/>
        <w:numPr>
          <w:ilvl w:val="0"/>
          <w:numId w:val="1007"/>
        </w:numPr>
      </w:pPr>
      <w:r>
        <w:rPr>
          <w:b/>
          <w:bCs/>
        </w:rPr>
        <w:t xml:space="preserve">Segments served differ.</w:t>
      </w:r>
      <w:r>
        <w:t xml:space="preserve"> </w:t>
      </w:r>
      <w:r>
        <w:t xml:space="preserve">Meridian: CIM says</w:t>
      </w:r>
      <w:r>
        <w:t xml:space="preserve"> </w:t>
      </w:r>
      <w:r>
        <w:t xml:space="preserve">“</w:t>
      </w:r>
      <w:r>
        <w:t xml:space="preserve">Industrial Cleaning</w:t>
      </w:r>
      <w:r>
        <w:t xml:space="preserve">”</w:t>
      </w:r>
      <w:r>
        <w:t xml:space="preserve"> </w:t>
      </w:r>
      <w:r>
        <w:t xml:space="preserve">only; the Backlog Report adds Remediation. Willamette Steel: CIM says</w:t>
      </w:r>
      <w:r>
        <w:t xml:space="preserve"> </w:t>
      </w:r>
      <w:r>
        <w:t xml:space="preserve">“</w:t>
      </w:r>
      <w:r>
        <w:t xml:space="preserve">Remediation, Industrial Cleaning</w:t>
      </w:r>
      <w:r>
        <w:t xml:space="preserve">”</w:t>
      </w:r>
      <w:r>
        <w:t xml:space="preserve">; the Backlog Report says</w:t>
      </w:r>
      <w:r>
        <w:t xml:space="preserve"> </w:t>
      </w:r>
      <w:r>
        <w:t xml:space="preserve">“</w:t>
      </w:r>
      <w:r>
        <w:t xml:space="preserve">IC</w:t>
      </w:r>
      <w:r>
        <w:t xml:space="preserve">”</w:t>
      </w:r>
      <w:r>
        <w:t xml:space="preserve"> </w:t>
      </w:r>
      <w:r>
        <w:t xml:space="preserve">only.</w:t>
      </w:r>
    </w:p>
    <w:p>
      <w:pPr>
        <w:pStyle w:val="Compact"/>
        <w:numPr>
          <w:ilvl w:val="0"/>
          <w:numId w:val="1007"/>
        </w:numPr>
      </w:pPr>
      <w:r>
        <w:rPr>
          <w:b/>
          <w:bCs/>
        </w:rPr>
        <w:t xml:space="preserve">Relationship tenures differ.</w:t>
      </w:r>
      <w:r>
        <w:t xml:space="preserve"> </w:t>
      </w:r>
      <w:r>
        <w:t xml:space="preserve">PNR: CIM narrative says</w:t>
      </w:r>
      <w:r>
        <w:t xml:space="preserve"> </w:t>
      </w:r>
      <w:r>
        <w:t xml:space="preserve">“</w:t>
      </w:r>
      <w:r>
        <w:t xml:space="preserve">dating back to 2011</w:t>
      </w:r>
      <w:r>
        <w:t xml:space="preserve">”</w:t>
      </w:r>
      <w:r>
        <w:t xml:space="preserve">; Backlog Report says 2012. ODOT: CIM says</w:t>
      </w:r>
      <w:r>
        <w:t xml:space="preserve"> </w:t>
      </w:r>
      <w:r>
        <w:t xml:space="preserve">“</w:t>
      </w:r>
      <w:r>
        <w:t xml:space="preserve">since 2013</w:t>
      </w:r>
      <w:r>
        <w:t xml:space="preserve">”</w:t>
      </w:r>
      <w:r>
        <w:t xml:space="preserve">; Backlog Report says 2014. Columbia Basin: CIM says</w:t>
      </w:r>
      <w:r>
        <w:t xml:space="preserve"> </w:t>
      </w:r>
      <w:r>
        <w:t xml:space="preserve">“</w:t>
      </w:r>
      <w:r>
        <w:t xml:space="preserve">since 2017</w:t>
      </w:r>
      <w:r>
        <w:t xml:space="preserve">”</w:t>
      </w:r>
      <w:r>
        <w:t xml:space="preserve">; Backlog Report says 2016. Meridian: CIM says</w:t>
      </w:r>
      <w:r>
        <w:t xml:space="preserve"> </w:t>
      </w:r>
      <w:r>
        <w:t xml:space="preserve">“</w:t>
      </w:r>
      <w:r>
        <w:t xml:space="preserve">since 2014</w:t>
      </w:r>
      <w:r>
        <w:t xml:space="preserve">”</w:t>
      </w:r>
      <w:r>
        <w:t xml:space="preserve">; Backlog Report says 2017.</w:t>
      </w:r>
    </w:p>
    <w:p>
      <w:pPr>
        <w:pStyle w:val="FirstParagraph"/>
      </w:pPr>
      <w:r>
        <w:t xml:space="preserve">These are not rounding differences; they are substantive disagreements on identity, scope, and tenure of the Company’s most important relationships.</w:t>
      </w:r>
    </w:p>
    <w:bookmarkEnd w:id="42"/>
    <w:bookmarkStart w:id="43" w:name="X76d796ed66f4d8d6eaa5782cb312072cc95c726"/>
    <w:p>
      <w:pPr>
        <w:pStyle w:val="Heading3"/>
      </w:pPr>
      <w:r>
        <w:t xml:space="preserve">5.2 The largest customer’s MSA expired before the CIM was distributed</w:t>
      </w:r>
    </w:p>
    <w:p>
      <w:pPr>
        <w:pStyle w:val="FirstParagraph"/>
      </w:pPr>
      <w:r>
        <w:t xml:space="preserve">PNR is the largest customer at $18.7M (21.4% of FY2024 revenue). Its MSA expired</w:t>
      </w:r>
      <w:r>
        <w:t xml:space="preserve"> </w:t>
      </w:r>
      <w:r>
        <w:rPr>
          <w:b/>
          <w:bCs/>
        </w:rPr>
        <w:t xml:space="preserve">March 31, 2025</w:t>
      </w:r>
      <w:r>
        <w:t xml:space="preserve"> </w:t>
      </w:r>
      <w:r>
        <w:t xml:space="preserve">(CIM Section V.B; Backlog Report Section 3.2) — approximately two months before the CIM was distributed on June 9, 2025, and roughly six months before the expected Q4 2025 close. The materials do not disclose whether the MSA has been renewed, on what terms, or whether PNR is currently being served on an expired/at-will basis. The Backlog Report (Section 7.2) claims CES</w:t>
      </w:r>
      <w:r>
        <w:t xml:space="preserve"> </w:t>
      </w:r>
      <w:r>
        <w:t xml:space="preserve">“</w:t>
      </w:r>
      <w:r>
        <w:t xml:space="preserve">has not lost a top 10 customer in the past five years</w:t>
      </w:r>
      <w:r>
        <w:t xml:space="preserve">”</w:t>
      </w:r>
      <w:r>
        <w:t xml:space="preserve"> </w:t>
      </w:r>
      <w:r>
        <w:t xml:space="preserve">and a ~90% MSA renewal rate, but the status of the single largest contract is unaddressed.</w:t>
      </w:r>
      <w:r>
        <w:t xml:space="preserve"> </w:t>
      </w:r>
      <w:r>
        <w:rPr>
          <w:b/>
          <w:bCs/>
        </w:rPr>
        <w:t xml:space="preserve">Renewal status, renewal terms, and any renegotiated pricing must be confirmed before IOI.</w:t>
      </w:r>
      <w:r>
        <w:t xml:space="preserve"> </w:t>
      </w:r>
      <w:r>
        <w:t xml:space="preserve">Loss or material repricing of PNR would be value-destructive given its 21.4% concentration. (The Backlog Report also discloses that PNR is served at</w:t>
      </w:r>
      <w:r>
        <w:t xml:space="preserve"> </w:t>
      </w:r>
      <w:r>
        <w:t xml:space="preserve">“</w:t>
      </w:r>
      <w:r>
        <w:t xml:space="preserve">Portland and Anacortes refining facilities</w:t>
      </w:r>
      <w:r>
        <w:t xml:space="preserve">”</w:t>
      </w:r>
      <w:r>
        <w:t xml:space="preserve"> </w:t>
      </w:r>
      <w:r>
        <w:t xml:space="preserve">— a two-site footprint not specified in the CIM — which is relevant to assessing the breadth and replaceability of the relationship.)</w:t>
      </w:r>
    </w:p>
    <w:bookmarkEnd w:id="43"/>
    <w:bookmarkStart w:id="44" w:name="X11001d0388955cce3dd3ce3ead5d3a58bf5d841"/>
    <w:p>
      <w:pPr>
        <w:pStyle w:val="Heading3"/>
      </w:pPr>
      <w:r>
        <w:t xml:space="preserve">5.3 Customer concentration is high and weighted toward cyclical industrial end markets</w:t>
      </w:r>
    </w:p>
    <w:p>
      <w:pPr>
        <w:pStyle w:val="FirstParagraph"/>
      </w:pPr>
      <w:r>
        <w:t xml:space="preserve">Top customer = 21.4% (PNR); top 5 = 52.5%; top 10 = 71.0% (CIM Section V.B; Backlog Report Section 3.3). Concentration has been declining modestly (top 10 from 74.3% in FY2021 to 71.0% in FY2024), which is favorable, but the level remains high. By sector (Backlog Report Section 4.1), Oil &amp; Gas/Refining is 25.7% and Manufacturing 16.7% — together ~42% of revenue in cyclical industrial end markets. Willamette Steel (5.6%) operates on a month-to-month basis with no contract (CIM Section V.B), offering minimal visibility. The Sector Memo (Section 2.2) correctly flags that this concentration is consistent with sector norms but warrants stress-testing under downside scenarios, including refinery utilization, turnaround cadence, and industrial production cyclicality.</w:t>
      </w:r>
    </w:p>
    <w:bookmarkEnd w:id="44"/>
    <w:bookmarkStart w:id="45" w:name="X3e27fe7280d9d746e9c72d8a6445121ba608527"/>
    <w:p>
      <w:pPr>
        <w:pStyle w:val="Heading3"/>
      </w:pPr>
      <w:r>
        <w:t xml:space="preserve">5.4 Backlog covers only ~33% of FY2025E revenue — a material visibility gap</w:t>
      </w:r>
    </w:p>
    <w:p>
      <w:pPr>
        <w:pStyle w:val="FirstParagraph"/>
      </w:pPr>
      <w:r>
        <w:t xml:space="preserve">Contracted backlog is $42.6M, of which only $33.0M (77.5%) is expected to convert in FY2025 (Backlog Report Section 5.3). Against FY2025E revenue of $98.5M, current backlog covers only</w:t>
      </w:r>
      <w:r>
        <w:t xml:space="preserve"> </w:t>
      </w:r>
      <w:r>
        <w:rPr>
          <w:b/>
          <w:bCs/>
        </w:rPr>
        <w:t xml:space="preserve">~33.5%</w:t>
      </w:r>
      <w:r>
        <w:t xml:space="preserve"> </w:t>
      </w:r>
      <w:r>
        <w:t xml:space="preserve">of projected FY2025 revenue. The $31.4M pipeline at a 35–40% historical win rate (Backlog Report Section 6.1) implies ~$11.0M–$12.6M of additional contracted work, bringing covered revenue to ~$44.0M–$45.6M — leaving</w:t>
      </w:r>
      <w:r>
        <w:t xml:space="preserve"> </w:t>
      </w:r>
      <w:r>
        <w:rPr>
          <w:b/>
          <w:bCs/>
        </w:rPr>
        <w:t xml:space="preserve">~$53M of FY2025E revenue (~54%) to be sourced from business not yet in backlog or pipeline</w:t>
      </w:r>
      <w:r>
        <w:t xml:space="preserve">. This visibility gap is significant and underscores the aggressiveness of the growth projections, particularly the PFAS component.</w:t>
      </w:r>
    </w:p>
    <w:bookmarkEnd w:id="45"/>
    <w:bookmarkStart w:id="46" w:name="X48532c131db39600271597b1ee8be25377a7e5c"/>
    <w:p>
      <w:pPr>
        <w:pStyle w:val="Heading3"/>
      </w:pPr>
      <w:r>
        <w:t xml:space="preserve">5.5 Contract mix offers less guaranteed volume than</w:t>
      </w:r>
      <w:r>
        <w:t xml:space="preserve"> </w:t>
      </w:r>
      <w:r>
        <w:t xml:space="preserve">“</w:t>
      </w:r>
      <w:r>
        <w:t xml:space="preserve">backlog</w:t>
      </w:r>
      <w:r>
        <w:t xml:space="preserve">”</w:t>
      </w:r>
      <w:r>
        <w:t xml:space="preserve"> </w:t>
      </w:r>
      <w:r>
        <w:t xml:space="preserve">implies</w:t>
      </w:r>
    </w:p>
    <w:p>
      <w:pPr>
        <w:pStyle w:val="FirstParagraph"/>
      </w:pPr>
      <w:r>
        <w:t xml:space="preserve">Per the Backlog Report (Section 7.1), ~60% of FY2024 revenue was under MSAs (which establish rates and terms but do not guarantee minimum volumes), ~20% fixed-price (scope-overrun risk), ~15% time-and-materials (variable), and only ~5% government contracts (truly recurring). Much of the</w:t>
      </w:r>
      <w:r>
        <w:t xml:space="preserve"> </w:t>
      </w:r>
      <w:r>
        <w:t xml:space="preserve">“</w:t>
      </w:r>
      <w:r>
        <w:t xml:space="preserve">contracted backlog</w:t>
      </w:r>
      <w:r>
        <w:t xml:space="preserve">”</w:t>
      </w:r>
      <w:r>
        <w:t xml:space="preserve"> </w:t>
      </w:r>
      <w:r>
        <w:t xml:space="preserve">is therefore MSA task-order based rather than guaranteed volume. Fixed-price remediation contracts carry margin risk if scope expands. The deal team should assess backlog quality (firm vs. estimable vs. pipeline) by segment and customer.</w:t>
      </w:r>
    </w:p>
    <w:bookmarkEnd w:id="46"/>
    <w:bookmarkStart w:id="47" w:name="Xdc921c07ff1787938519bea4b08c823aa3d3076"/>
    <w:p>
      <w:pPr>
        <w:pStyle w:val="Heading3"/>
      </w:pPr>
      <w:r>
        <w:t xml:space="preserve">5.6 Geographic concentration in Oregon — and a cross-document geographic discrepancy</w:t>
      </w:r>
    </w:p>
    <w:p>
      <w:pPr>
        <w:pStyle w:val="FirstParagraph"/>
      </w:pPr>
      <w:r>
        <w:t xml:space="preserve">Oregon accounts for 54.5% of FY2024 revenue, Washington 27.8%, Idaho 10.0%, and Northern California 7.7% (Backlog Report Appendix A). The two largest customers (PNR and Willamette Steel) and the HQ/primary operations yard are all in the Portland metro. A regional downturn, an Oregon-specific regulatory shift, or disruption at Portland-area industrial sites would have an outsized impact. The</w:t>
      </w:r>
      <w:r>
        <w:t xml:space="preserve"> </w:t>
      </w:r>
      <w:r>
        <w:t xml:space="preserve">“</w:t>
      </w:r>
      <w:r>
        <w:t xml:space="preserve">four-state platform</w:t>
      </w:r>
      <w:r>
        <w:t xml:space="preserve">”</w:t>
      </w:r>
      <w:r>
        <w:t xml:space="preserve"> </w:t>
      </w:r>
      <w:r>
        <w:t xml:space="preserve">narrative is real but Oregon-weighted.</w:t>
      </w:r>
    </w:p>
    <w:p>
      <w:pPr>
        <w:pStyle w:val="BodyText"/>
      </w:pPr>
      <w:r>
        <w:rPr>
          <w:b/>
          <w:bCs/>
        </w:rPr>
        <w:t xml:space="preserve">Cross-document discrepancy.</w:t>
      </w:r>
      <w:r>
        <w:t xml:space="preserve"> </w:t>
      </w:r>
      <w:r>
        <w:t xml:space="preserve">The CIM (Section II.C) states that</w:t>
      </w:r>
      <w:r>
        <w:t xml:space="preserve"> </w:t>
      </w:r>
      <w:r>
        <w:t xml:space="preserve">“</w:t>
      </w:r>
      <w:r>
        <w:t xml:space="preserve">approximately 75% of FY2024 revenue was generated in Oregon and Washington, with the remaining 25% derived from Idaho and Northern California.</w:t>
      </w:r>
      <w:r>
        <w:t xml:space="preserve">”</w:t>
      </w:r>
      <w:r>
        <w:t xml:space="preserve"> </w:t>
      </w:r>
      <w:r>
        <w:t xml:space="preserve">The Backlog Report’s state-by-state breakdown shows Oregon + Washington = 54.5% + 27.8% =</w:t>
      </w:r>
      <w:r>
        <w:t xml:space="preserve"> </w:t>
      </w:r>
      <w:r>
        <w:rPr>
          <w:b/>
          <w:bCs/>
        </w:rPr>
        <w:t xml:space="preserve">82.3%</w:t>
      </w:r>
      <w:r>
        <w:t xml:space="preserve">, and Idaho + Northern California = 10.0% + 7.7% =</w:t>
      </w:r>
      <w:r>
        <w:t xml:space="preserve"> </w:t>
      </w:r>
      <w:r>
        <w:rPr>
          <w:b/>
          <w:bCs/>
        </w:rPr>
        <w:t xml:space="preserve">17.7%</w:t>
      </w:r>
      <w:r>
        <w:t xml:space="preserve"> </w:t>
      </w:r>
      <w:r>
        <w:t xml:space="preserve">— not 75%/25%. The 7.3-percentage-point gap is a factual inconsistency between the two documents on the Company’s geographic revenue mix and should be reconciled to the audited revenue-by-state detail.</w:t>
      </w:r>
    </w:p>
    <w:p>
      <w:r>
        <w:pict>
          <v:rect style="width:0;height:1.5pt" o:hralign="center" o:hrstd="t" o:hr="t"/>
        </w:pict>
      </w:r>
    </w:p>
    <w:bookmarkEnd w:id="47"/>
    <w:bookmarkEnd w:id="48"/>
    <w:bookmarkStart w:id="54" w:name="pfas-growth-assessment"/>
    <w:p>
      <w:pPr>
        <w:pStyle w:val="Heading2"/>
      </w:pPr>
      <w:r>
        <w:t xml:space="preserve">6. PFAS Growth Assessment</w:t>
      </w:r>
    </w:p>
    <w:bookmarkStart w:id="49" w:name="X3b9686b14cbd5a244c23eb94c30718e7ecbcc11"/>
    <w:p>
      <w:pPr>
        <w:pStyle w:val="Heading3"/>
      </w:pPr>
      <w:r>
        <w:t xml:space="preserve">6.1 The PFAS projections are roughly 3x the achievable company-level growth rate</w:t>
      </w:r>
    </w:p>
    <w:p>
      <w:pPr>
        <w:pStyle w:val="FirstParagraph"/>
      </w:pPr>
      <w:r>
        <w:t xml:space="preserve">The CIM projects PFAS revenue of $14.0M in FY2025E (125.8% YoY growth) and $22.0M in FY2026E (57.1% growth), from a FY2024 base of $6.2M (CIM Sections III.A, VI.F; Financial Exhibits</w:t>
      </w:r>
      <w:r>
        <w:t xml:space="preserve"> </w:t>
      </w:r>
      <w:r>
        <w:t xml:space="preserve">“</w:t>
      </w:r>
      <w:r>
        <w:t xml:space="preserve">Revenue by Segment</w:t>
      </w:r>
      <w:r>
        <w:t xml:space="preserve">”</w:t>
      </w:r>
      <w:r>
        <w:t xml:space="preserve">). The Sector Memo (Section 3.2) is directly on point: while the</w:t>
      </w:r>
      <w:r>
        <w:t xml:space="preserve"> </w:t>
      </w:r>
      <w:r>
        <w:rPr>
          <w:i/>
          <w:iCs/>
        </w:rPr>
        <w:t xml:space="preserve">sector-wide</w:t>
      </w:r>
      <w:r>
        <w:t xml:space="preserve"> </w:t>
      </w:r>
      <w:r>
        <w:t xml:space="preserve">PFAS market may grow 25–35% annually,</w:t>
      </w:r>
      <w:r>
        <w:t xml:space="preserve"> </w:t>
      </w:r>
      <w:r>
        <w:rPr>
          <w:i/>
          <w:iCs/>
        </w:rPr>
        <w:t xml:space="preserve">company-level</w:t>
      </w:r>
      <w:r>
        <w:t xml:space="preserve"> </w:t>
      </w:r>
      <w:r>
        <w:t xml:space="preserve">growth is constrained by (a) licensed-engineer and trained-technician availability, (b) capital investment for specialized treatment/monitoring equipment, (c) competitive entry by larger national firms with greater resources, and (d) the pace of regulatory enforcement that actually triggers</w:t>
      </w:r>
      <w:r>
        <w:t xml:space="preserve"> </w:t>
      </w:r>
      <w:r>
        <w:rPr>
          <w:i/>
          <w:iCs/>
        </w:rPr>
        <w:t xml:space="preserve">funded</w:t>
      </w:r>
      <w:r>
        <w:t xml:space="preserve"> </w:t>
      </w:r>
      <w:r>
        <w:t xml:space="preserve">remediation (as opposed to investigation/assessment). Based on Thornfield’s GreenWorks experience with a comparable emerging service line (vapor intrusion), we expect CES’s PFAS practice to moderate to</w:t>
      </w:r>
      <w:r>
        <w:t xml:space="preserve"> </w:t>
      </w:r>
      <w:r>
        <w:rPr>
          <w:b/>
          <w:bCs/>
        </w:rPr>
        <w:t xml:space="preserve">30–50% annual growth</w:t>
      </w:r>
      <w:r>
        <w:t xml:space="preserve"> </w:t>
      </w:r>
      <w:r>
        <w:t xml:space="preserve">now that it has crossed the $5M threshold — i.e., FY2025E PFAS of ~$9–10M rather than $14.0M.</w:t>
      </w:r>
    </w:p>
    <w:bookmarkEnd w:id="49"/>
    <w:bookmarkStart w:id="50" w:name="Xc49b73dee7d9bcf983508f5d10e916971bcefdc"/>
    <w:p>
      <w:pPr>
        <w:pStyle w:val="Heading3"/>
      </w:pPr>
      <w:r>
        <w:t xml:space="preserve">6.2 PFAS is asked to carry ~64% of incremental growth</w:t>
      </w:r>
    </w:p>
    <w:p>
      <w:pPr>
        <w:pStyle w:val="FirstParagraph"/>
      </w:pPr>
      <w:r>
        <w:t xml:space="preserve">Per the Financial Exhibits, PFAS contributes $15.8M of the $24.7M total incremental revenue from FY2024 to FY2026E —</w:t>
      </w:r>
      <w:r>
        <w:t xml:space="preserve"> </w:t>
      </w:r>
      <w:r>
        <w:rPr>
          <w:b/>
          <w:bCs/>
        </w:rPr>
        <w:t xml:space="preserve">64.0% of incremental growth</w:t>
      </w:r>
      <w:r>
        <w:t xml:space="preserve"> </w:t>
      </w:r>
      <w:r>
        <w:t xml:space="preserve">— and the CIM explicitly relies on this (Section VI.F). If PFAS reaches ~$9–10M in FY2025 rather than $14M, the overall revenue trajectory weakens materially and the projected margin expansion (from 13.9% reported / 19.6% adjusted to 20.0%+) becomes difficult to achieve, since PFAS is presented as carrying above-average margins. The growth story is disproportionately dependent on a two-year-old service line — and, as noted in Section 4.14, the Financial Exhibits show traditional remediation essentially flat, so PFAS is carrying not just the incremental growth but effectively all of the remediation segment’s growth.</w:t>
      </w:r>
    </w:p>
    <w:bookmarkEnd w:id="50"/>
    <w:bookmarkStart w:id="51" w:name="X007c30624b577c508a033a45b3243d62b9df3fa"/>
    <w:p>
      <w:pPr>
        <w:pStyle w:val="Heading3"/>
      </w:pPr>
      <w:r>
        <w:t xml:space="preserve">6.3 Professional Engineer capacity is a binding near-term constraint</w:t>
      </w:r>
    </w:p>
    <w:p>
      <w:pPr>
        <w:pStyle w:val="FirstParagraph"/>
      </w:pPr>
      <w:r>
        <w:t xml:space="preserve">The CIM (Section II.D, item 6) discloses that CES employs two licensed PEs</w:t>
      </w:r>
      <w:r>
        <w:t xml:space="preserve"> </w:t>
      </w:r>
      <w:r>
        <w:t xml:space="preserve">“</w:t>
      </w:r>
      <w:r>
        <w:t xml:space="preserve">following the recent retirement of a third PE in January 2025</w:t>
      </w:r>
      <w:r>
        <w:t xml:space="preserve">”</w:t>
      </w:r>
      <w:r>
        <w:t xml:space="preserve"> </w:t>
      </w:r>
      <w:r>
        <w:t xml:space="preserve">who has not been replaced. The Sector Memo (Section 3.2) flags that PFAS projects typically require PE oversight for site assessment and remediation design, that growth at the projected pace would likely require hiring two to three additional PEs, and that the environmental PE market is extremely tight (six- to twelve-month recruitment timelines). The loss of one-third of PE capacity creates a near-term execution bottleneck that directly threatens the PFAS plan. Management’s PE hiring plan (and budget) should be tested, and the impact on the PFAS ramp modeled.</w:t>
      </w:r>
    </w:p>
    <w:bookmarkEnd w:id="51"/>
    <w:bookmarkStart w:id="52" w:name="X5d13ba1bf358c929eb9ecd8c9129bd821ccd0b5"/>
    <w:p>
      <w:pPr>
        <w:pStyle w:val="Heading3"/>
      </w:pPr>
      <w:r>
        <w:t xml:space="preserve">6.4 PFAS backlog breakout is missing and must be requested</w:t>
      </w:r>
    </w:p>
    <w:p>
      <w:pPr>
        <w:pStyle w:val="FirstParagraph"/>
      </w:pPr>
      <w:r>
        <w:t xml:space="preserve">The CIM and Backlog Report do not break out how much of the $14.0M FY2025E PFAS projection is supported by signed contracts versus pipeline/assumptions. The Sector Memo (Section 7, item 1) identifies this as the top diligence question. The Remediation backlog ($26.8M) and pipeline ($19.2M) are reported in aggregate (Backlog Report Sections 5.2, 6.1), with only narrative reference to PFAS content. A signed-contract vs. pipeline breakout for PFAS specifically is essential to underwrite the growth case.</w:t>
      </w:r>
    </w:p>
    <w:bookmarkEnd w:id="52"/>
    <w:bookmarkStart w:id="53" w:name="core-business-ex-pfas-growth-is-modest"/>
    <w:p>
      <w:pPr>
        <w:pStyle w:val="Heading3"/>
      </w:pPr>
      <w:r>
        <w:t xml:space="preserve">6.5 Core business ex-PFAS growth is modest</w:t>
      </w:r>
    </w:p>
    <w:p>
      <w:pPr>
        <w:pStyle w:val="FirstParagraph"/>
      </w:pPr>
      <w:r>
        <w:t xml:space="preserve">Using the Financial Exhibits</w:t>
      </w:r>
      <w:r>
        <w:t xml:space="preserve"> </w:t>
      </w:r>
      <w:r>
        <w:t xml:space="preserve">“</w:t>
      </w:r>
      <w:r>
        <w:t xml:space="preserve">Revenue by Segment</w:t>
      </w:r>
      <w:r>
        <w:t xml:space="preserve">”</w:t>
      </w:r>
      <w:r>
        <w:t xml:space="preserve"> </w:t>
      </w:r>
      <w:r>
        <w:t xml:space="preserve">sheet, traditional (non-PFAS) remediation grew from $37.0M (FY2022) to $42.0M (FY2024), a ~6.5% CAGR; industrial cleaning ~12.2%; emergency response ~13.9%. Ex-PFAS total revenue grew ~9.4% CAGR (FY2022–FY2024) — solid but at the upper end of the sector’s 5–10% range, not exceptional. The headline 12.5% CAGR is meaningfully PFAS-driven. This is a useful framing for the IC: the core platform is a good, mid-single-to-low-double-digit grower; the premium growth and the premium multiple both depend on PFAS executing. The projections extend this dependence: traditional remediation is forecast to grow only ~1.2% in FY2025E (Section 4.14).</w:t>
      </w:r>
    </w:p>
    <w:p>
      <w:r>
        <w:pict>
          <v:rect style="width:0;height:1.5pt" o:hralign="center" o:hrstd="t" o:hr="t"/>
        </w:pict>
      </w:r>
    </w:p>
    <w:bookmarkEnd w:id="53"/>
    <w:bookmarkEnd w:id="54"/>
    <w:bookmarkStart w:id="60" w:name="management-and-key-person-risk"/>
    <w:p>
      <w:pPr>
        <w:pStyle w:val="Heading2"/>
      </w:pPr>
      <w:r>
        <w:t xml:space="preserve">7. Management and Key-Person Risk</w:t>
      </w:r>
    </w:p>
    <w:bookmarkStart w:id="55" w:name="Xdcaffb8ffc48a8eedac4fb1caf8f5609d19c436"/>
    <w:p>
      <w:pPr>
        <w:pStyle w:val="Heading3"/>
      </w:pPr>
      <w:r>
        <w:t xml:space="preserve">7.1 Founder transition creates concentrated key-person risk</w:t>
      </w:r>
    </w:p>
    <w:p>
      <w:pPr>
        <w:pStyle w:val="FirstParagraph"/>
      </w:pPr>
      <w:r>
        <w:t xml:space="preserve">Mr. Oakes (age 61) is founder, CEO, Chairman, and 68% holder, and has led all</w:t>
      </w:r>
      <w:r>
        <w:t xml:space="preserve"> </w:t>
      </w:r>
      <w:r>
        <w:t xml:space="preserve">“</w:t>
      </w:r>
      <w:r>
        <w:t xml:space="preserve">strategic, financial, and operational decisions</w:t>
      </w:r>
      <w:r>
        <w:t xml:space="preserve">”</w:t>
      </w:r>
      <w:r>
        <w:t xml:space="preserve"> </w:t>
      </w:r>
      <w:r>
        <w:t xml:space="preserve">for 16 years (CIM Section VII.B). He intends to transition out of day-to-day operations within 18–24 months post-close. The Sector Memo (Section 6.1) records a directly analogous failure at GreenWorks, where the lead project manager departed within six months of close and retention agreements should have been a closing condition. A credible, costed succession plan — including who assumes CEO responsibilities, on what timeline, and at what cost — is essential. The $500K replacement-CEO assumption (Section 4.4) is the only quantified element, and it is unsupported.</w:t>
      </w:r>
    </w:p>
    <w:bookmarkEnd w:id="55"/>
    <w:bookmarkStart w:id="56" w:name="no-cfo-thin-finance-bench"/>
    <w:p>
      <w:pPr>
        <w:pStyle w:val="Heading3"/>
      </w:pPr>
      <w:r>
        <w:t xml:space="preserve">7.2 No CFO; thin finance bench</w:t>
      </w:r>
    </w:p>
    <w:p>
      <w:pPr>
        <w:pStyle w:val="FirstParagraph"/>
      </w:pPr>
      <w:r>
        <w:t xml:space="preserve">The management team (CIM Section VII.B) includes a Controller (Lisa Fontaine, since 2016) but no CFO. For a ~$90M revenue platform being acquired by a financial sponsor that will require monthly reporting, board packages, and add-on M&amp;A support, the absence of a CFO is a gap to be costed and filled post-close. The finance function’s capacity should be assessed during the management presentation.</w:t>
      </w:r>
    </w:p>
    <w:bookmarkEnd w:id="56"/>
    <w:bookmarkStart w:id="57" w:name="Xb031725ec593191e541abe9cc43a95350d9323b"/>
    <w:p>
      <w:pPr>
        <w:pStyle w:val="Heading3"/>
      </w:pPr>
      <w:r>
        <w:t xml:space="preserve">7.3 Key-manager retention is a closing condition</w:t>
      </w:r>
    </w:p>
    <w:p>
      <w:pPr>
        <w:pStyle w:val="FirstParagraph"/>
      </w:pPr>
      <w:r>
        <w:t xml:space="preserve">Janet Prewitt (VP Operations, 18-year tenure)</w:t>
      </w:r>
      <w:r>
        <w:t xml:space="preserve"> </w:t>
      </w:r>
      <w:r>
        <w:t xml:space="preserve">“</w:t>
      </w:r>
      <w:r>
        <w:t xml:space="preserve">maintains key client relationships that are central to the Company’s market position</w:t>
      </w:r>
      <w:r>
        <w:t xml:space="preserve">”</w:t>
      </w:r>
      <w:r>
        <w:t xml:space="preserve"> </w:t>
      </w:r>
      <w:r>
        <w:t xml:space="preserve">and oversees the largest segment (CIM Section VII.B; Backlog Report Section 2). Derek Cahill (VP Sales, since 2014) owns the proposal pipeline. Both are key persons whose departure would be value-destructive. Retention agreements (cash and/or equity) for Ms. Prewitt, Mr. Cahill, and other critical managers should be a condition of closing, and rollover equity for the management team should be considered to align incentives through the transition.</w:t>
      </w:r>
    </w:p>
    <w:bookmarkEnd w:id="57"/>
    <w:bookmarkStart w:id="58" w:name="X449473bafd9587abef4d9a1a3964456c3b4d52e"/>
    <w:p>
      <w:pPr>
        <w:pStyle w:val="Heading3"/>
      </w:pPr>
      <w:r>
        <w:t xml:space="preserve">7.4 PE retirement and technical-oversight continuity</w:t>
      </w:r>
    </w:p>
    <w:p>
      <w:pPr>
        <w:pStyle w:val="FirstParagraph"/>
      </w:pPr>
      <w:r>
        <w:t xml:space="preserve">Beyond the capacity constraint in Section 6.3, the January 2025 PE retirement raises a technical-oversight and licensing-continuity question: PE sign-off is required for site assessments, remediation work plans, and closure reports (CIM Section III.A). The deal team should confirm that the remaining two PEs are retained under employment agreements and that the retired PE’s project portfolio has been transitioned without disruption.</w:t>
      </w:r>
    </w:p>
    <w:bookmarkEnd w:id="58"/>
    <w:bookmarkStart w:id="59" w:name="X8caeb91ab2e587cf5a78b6000842749f7e456f7"/>
    <w:p>
      <w:pPr>
        <w:pStyle w:val="Heading3"/>
      </w:pPr>
      <w:r>
        <w:t xml:space="preserve">7.5 Field-technician turnover and workforce stability</w:t>
      </w:r>
    </w:p>
    <w:p>
      <w:pPr>
        <w:pStyle w:val="FirstParagraph"/>
      </w:pPr>
      <w:r>
        <w:t xml:space="preserve">The CIM (Section VII.A) reports that field-technician turnover has averaged approximately</w:t>
      </w:r>
      <w:r>
        <w:t xml:space="preserve"> </w:t>
      </w:r>
      <w:r>
        <w:rPr>
          <w:b/>
          <w:bCs/>
        </w:rPr>
        <w:t xml:space="preserve">18% annually</w:t>
      </w:r>
      <w:r>
        <w:t xml:space="preserve"> </w:t>
      </w:r>
      <w:r>
        <w:t xml:space="preserve">over the past three years, described as</w:t>
      </w:r>
      <w:r>
        <w:t xml:space="preserve"> </w:t>
      </w:r>
      <w:r>
        <w:t xml:space="preserve">“</w:t>
      </w:r>
      <w:r>
        <w:t xml:space="preserve">consistent with industry norms.</w:t>
      </w:r>
      <w:r>
        <w:t xml:space="preserve">”</w:t>
      </w:r>
      <w:r>
        <w:t xml:space="preserve"> </w:t>
      </w:r>
      <w:r>
        <w:t xml:space="preserve">While within norms, 18% of 289 field technicians equates to roughly 50+ departures per year in the Company’s largest employee category — the personnel who hold the HAZWOPER certifications and operate the specialized equipment that underpin CES’s service delivery and safety qualifications. The deal team should verify the turnover figure, assess its impact on training costs and safety/EMR trends, and confirm that turnover is not concentrated in the PFAS or remediation crews where the PE-capacity bottleneck already constrains growth (Section 6.3). Workforce stability is a relevant diligence item given the founder transition and the planned growth.</w:t>
      </w:r>
    </w:p>
    <w:p>
      <w:r>
        <w:pict>
          <v:rect style="width:0;height:1.5pt" o:hralign="center" o:hrstd="t" o:hr="t"/>
        </w:pict>
      </w:r>
    </w:p>
    <w:bookmarkEnd w:id="59"/>
    <w:bookmarkEnd w:id="60"/>
    <w:bookmarkStart w:id="64" w:name="regulatory-and-compliance"/>
    <w:p>
      <w:pPr>
        <w:pStyle w:val="Heading2"/>
      </w:pPr>
      <w:r>
        <w:t xml:space="preserve">8. Regulatory and Compliance</w:t>
      </w:r>
    </w:p>
    <w:bookmarkStart w:id="61" w:name="X2ebc10b08fc72d158570a7dd2851bce16013c79"/>
    <w:p>
      <w:pPr>
        <w:pStyle w:val="Heading3"/>
      </w:pPr>
      <w:r>
        <w:t xml:space="preserve">8.1 The DEQ enforcement action requires a full compliance-history review</w:t>
      </w:r>
    </w:p>
    <w:p>
      <w:pPr>
        <w:pStyle w:val="FirstParagraph"/>
      </w:pPr>
      <w:r>
        <w:t xml:space="preserve">The August 14, 2024 consent agreement with Oregon DEQ resolved an enforcement action for improper storage of contaminated soils at the Portland facility (settlement $875K + $325K legal fees; CIM Appendix D; Financial Exhibits EBITDA Bridge). The CIM states the matter is</w:t>
      </w:r>
      <w:r>
        <w:t xml:space="preserve"> </w:t>
      </w:r>
      <w:r>
        <w:t xml:space="preserve">“</w:t>
      </w:r>
      <w:r>
        <w:t xml:space="preserve">fully resolved</w:t>
      </w:r>
      <w:r>
        <w:t xml:space="preserve">”</w:t>
      </w:r>
      <w:r>
        <w:t xml:space="preserve"> </w:t>
      </w:r>
      <w:r>
        <w:t xml:space="preserve">and the DEQ contractor license was unaffected. The Sector Memo (Section 5) emphasizes that Oregon DEQ enforcement has been</w:t>
      </w:r>
      <w:r>
        <w:t xml:space="preserve"> </w:t>
      </w:r>
      <w:r>
        <w:t xml:space="preserve">“</w:t>
      </w:r>
      <w:r>
        <w:t xml:space="preserve">particularly active</w:t>
      </w:r>
      <w:r>
        <w:t xml:space="preserve">”</w:t>
      </w:r>
      <w:r>
        <w:t xml:space="preserve"> </w:t>
      </w:r>
      <w:r>
        <w:t xml:space="preserve">and that environmental services companies routinely encounter enforcement actions as a normal cost of operations. The deal team should obtain CES’s complete 10-year regulatory enforcement history (notices of violation, permit compliance issues, settlements, fines) across all four states and federal jurisdictions to determine whether the 2024 action is isolated or symptomatic of systemic compliance gaps — which bears directly on the add-back analysis in Section 4.6.</w:t>
      </w:r>
    </w:p>
    <w:bookmarkEnd w:id="61"/>
    <w:bookmarkStart w:id="62" w:name="Xe9809ebf2cd0c3ca0745ccee2f4ff040b2f10a7"/>
    <w:p>
      <w:pPr>
        <w:pStyle w:val="Heading3"/>
      </w:pPr>
      <w:r>
        <w:t xml:space="preserve">8.2 Permits and licenses are a genuine asset but must be verified</w:t>
      </w:r>
    </w:p>
    <w:p>
      <w:pPr>
        <w:pStyle w:val="FirstParagraph"/>
      </w:pPr>
      <w:r>
        <w:t xml:space="preserve">The CIM (Appendix D) lists current permits: Oregon DEQ Contractor License (ENV-2009-04821), hazardous waste transporter permits in OR/WA/ID/CA, and an EPA Generator ID. These credentials are barriers to entry and a real competitive strength. Diligence should confirm current standing, renewal dates, and any conditions, and verify that the recent DEQ action did not place any permit at risk. The EIN (93-1247856) and EPA Generator ID (ORD-093124785) identifiers should be cross-checked for consistency.</w:t>
      </w:r>
    </w:p>
    <w:bookmarkEnd w:id="62"/>
    <w:bookmarkStart w:id="63" w:name="safety-record-and-insurance"/>
    <w:p>
      <w:pPr>
        <w:pStyle w:val="Heading3"/>
      </w:pPr>
      <w:r>
        <w:t xml:space="preserve">8.3 Safety record and insurance</w:t>
      </w:r>
    </w:p>
    <w:p>
      <w:pPr>
        <w:pStyle w:val="FirstParagraph"/>
      </w:pPr>
      <w:r>
        <w:t xml:space="preserve">The EMR of 0.87 and HAZWOPER-compliant workforce are positives (CIM Sections III.B, VII.A). The deal team should review the full claims history, OSHA 300 logs, insurance policies (including environmental/pollution liability coverage and limits), and any open claims as part of Phase II diligence.</w:t>
      </w:r>
    </w:p>
    <w:p>
      <w:r>
        <w:pict>
          <v:rect style="width:0;height:1.5pt" o:hralign="center" o:hrstd="t" o:hr="t"/>
        </w:pict>
      </w:r>
    </w:p>
    <w:bookmarkEnd w:id="63"/>
    <w:bookmarkEnd w:id="64"/>
    <w:bookmarkStart w:id="68" w:name="real-estate-and-related-party-issues"/>
    <w:p>
      <w:pPr>
        <w:pStyle w:val="Heading2"/>
      </w:pPr>
      <w:r>
        <w:t xml:space="preserve">9. Real Estate and Related-Party Issues</w:t>
      </w:r>
    </w:p>
    <w:bookmarkStart w:id="65" w:name="X5ea4db091b9354930fee71b15b70bc4584ec88c"/>
    <w:p>
      <w:pPr>
        <w:pStyle w:val="Heading3"/>
      </w:pPr>
      <w:r>
        <w:t xml:space="preserve">9.1 The headquarters is owned by the seller/CEO — a conflict requiring structural resolution</w:t>
      </w:r>
    </w:p>
    <w:p>
      <w:pPr>
        <w:pStyle w:val="FirstParagraph"/>
      </w:pPr>
      <w:r>
        <w:t xml:space="preserve">The Portland HQ (8.5 acres, purpose-built environmental operations center) is owned by Mr. Oakes personally and leased to CES at $1.4M/year under a 2019–2029 lease (CIM Section VIII.A). Mr. Oakes is simultaneously the seller, the majority equity holder, the CEO, and the landlord — a clear conflict of interest. The Process Letter (Section III) expressly asks bidders to address</w:t>
      </w:r>
      <w:r>
        <w:t xml:space="preserve"> </w:t>
      </w:r>
      <w:r>
        <w:t xml:space="preserve">“</w:t>
      </w:r>
      <w:r>
        <w:t xml:space="preserve">the headquarters real estate currently owned by Mr. Oakes and leased to the Company.</w:t>
      </w:r>
      <w:r>
        <w:t xml:space="preserve">”</w:t>
      </w:r>
      <w:r>
        <w:t xml:space="preserve"> </w:t>
      </w:r>
      <w:r>
        <w:t xml:space="preserve">A buyer must either (i) acquire the property from Mr. Oakes at independently appraised fair market value, (ii) negotiate a new arm’s-length lease at market rent, or (iii) relocate (operationally disruptive and costly for a purpose-built facility). Each path has valuation and post-close cash-flow implications, and the $800K lease add-back (Section 4.5) is only realizable if post-close occupancy cost is actually reduced to ~$600K — which the CIM’s own $1.0M–$1.2M market data suggests is not the true market rate.</w:t>
      </w:r>
    </w:p>
    <w:bookmarkEnd w:id="65"/>
    <w:bookmarkStart w:id="66" w:name="boise-and-seattle-leases"/>
    <w:p>
      <w:pPr>
        <w:pStyle w:val="Heading3"/>
      </w:pPr>
      <w:r>
        <w:t xml:space="preserve">9.2 Boise and Seattle leases</w:t>
      </w:r>
    </w:p>
    <w:p>
      <w:pPr>
        <w:pStyle w:val="FirstParagraph"/>
      </w:pPr>
      <w:r>
        <w:t xml:space="preserve">The Boise depot (1880 Vista Avenue) is leased from a third party through 2028 at ~$180K/year; the Seattle office (7100 Eastlake Drive) through 2027 at ~$85K/year (CIM Section VIII.B). These appear routine. Note a minor inconsistency: the CIM describes the FY2024 Boise work as an</w:t>
      </w:r>
      <w:r>
        <w:t xml:space="preserve"> </w:t>
      </w:r>
      <w:r>
        <w:t xml:space="preserve">“</w:t>
      </w:r>
      <w:r>
        <w:t xml:space="preserve">expansion</w:t>
      </w:r>
      <w:r>
        <w:t xml:space="preserve">”</w:t>
      </w:r>
      <w:r>
        <w:t xml:space="preserve"> </w:t>
      </w:r>
      <w:r>
        <w:t xml:space="preserve">of the existing 1880 Vista Avenue depot (Section II.A), while the EBITDA bridge labels the $0.4M add-back as</w:t>
      </w:r>
      <w:r>
        <w:t xml:space="preserve"> </w:t>
      </w:r>
      <w:r>
        <w:t xml:space="preserve">“</w:t>
      </w:r>
      <w:r>
        <w:t xml:space="preserve">relocation… to 1880 Vista Avenue</w:t>
      </w:r>
      <w:r>
        <w:t xml:space="preserve">”</w:t>
      </w:r>
      <w:r>
        <w:t xml:space="preserve"> </w:t>
      </w:r>
      <w:r>
        <w:t xml:space="preserve">— if it was an expansion rather than a relocation, the non-recurring characterization (and the add-back) is less clearly defensible.</w:t>
      </w:r>
    </w:p>
    <w:bookmarkEnd w:id="66"/>
    <w:bookmarkStart w:id="67" w:name="X0135f61efee4084b3728d3dbf1f6476ed692e65"/>
    <w:p>
      <w:pPr>
        <w:pStyle w:val="Heading3"/>
      </w:pPr>
      <w:r>
        <w:t xml:space="preserve">9.3 Undisclosed Sacramento satellite operation</w:t>
      </w:r>
    </w:p>
    <w:p>
      <w:pPr>
        <w:pStyle w:val="FirstParagraph"/>
      </w:pPr>
      <w:r>
        <w:t xml:space="preserve">The Backlog Report (Section 8) states that</w:t>
      </w:r>
      <w:r>
        <w:t xml:space="preserve"> </w:t>
      </w:r>
      <w:r>
        <w:t xml:space="preserve">“</w:t>
      </w:r>
      <w:r>
        <w:t xml:space="preserve">CES has established satellite operations in Sacramento and Boise to support business development activity</w:t>
      </w:r>
      <w:r>
        <w:t xml:space="preserve">”</w:t>
      </w:r>
      <w:r>
        <w:t xml:space="preserve"> </w:t>
      </w:r>
      <w:r>
        <w:t xml:space="preserve">in Northern California and Idaho. The CIM’s facility list (Sections II.C and VIII), however, identifies only three facilities — Portland, Seattle, and Boise — with no Sacramento location, lease, or operations described. This is either an undisclosed Northern California facility (raising real-estate, lease, and permit diligence questions, particularly given the California hazardous waste transporter permit HWT-CA-2019-8831) or an inaccuracy in the Backlog Report. Either way, the existence, lease terms, and regulatory standing of any Sacramento operation must be confirmed, and the CIM’s facility disclosure reconciled to the Backlog Report.</w:t>
      </w:r>
    </w:p>
    <w:p>
      <w:r>
        <w:pict>
          <v:rect style="width:0;height:1.5pt" o:hralign="center" o:hrstd="t" o:hr="t"/>
        </w:pict>
      </w:r>
    </w:p>
    <w:bookmarkEnd w:id="67"/>
    <w:bookmarkEnd w:id="68"/>
    <w:bookmarkStart w:id="75" w:name="valuation-analysis"/>
    <w:p>
      <w:pPr>
        <w:pStyle w:val="Heading2"/>
      </w:pPr>
      <w:r>
        <w:t xml:space="preserve">10. Valuation Analysis</w:t>
      </w:r>
    </w:p>
    <w:bookmarkStart w:id="69" w:name="sell-side-implied-valuation"/>
    <w:p>
      <w:pPr>
        <w:pStyle w:val="Heading3"/>
      </w:pPr>
      <w:r>
        <w:t xml:space="preserve">10.1 Sell-side implied valuation</w:t>
      </w:r>
    </w:p>
    <w:p>
      <w:pPr>
        <w:pStyle w:val="FirstParagraph"/>
      </w:pPr>
      <w:r>
        <w:t xml:space="preserve">The CIM (Sections I, X.C) implies an enterprise value of</w:t>
      </w:r>
      <w:r>
        <w:t xml:space="preserve"> </w:t>
      </w:r>
      <w:r>
        <w:rPr>
          <w:b/>
          <w:bCs/>
        </w:rPr>
        <w:t xml:space="preserve">$136.8M–$171.0M</w:t>
      </w:r>
      <w:r>
        <w:t xml:space="preserve"> </w:t>
      </w:r>
      <w:r>
        <w:t xml:space="preserve">(8.0x–10.0x FY2024 Adjusted EBITDA of $17.1M) and</w:t>
      </w:r>
      <w:r>
        <w:t xml:space="preserve"> </w:t>
      </w:r>
      <w:r>
        <w:rPr>
          <w:b/>
          <w:bCs/>
        </w:rPr>
        <w:t xml:space="preserve">$157.6M–$197.0M</w:t>
      </w:r>
      <w:r>
        <w:t xml:space="preserve"> </w:t>
      </w:r>
      <w:r>
        <w:t xml:space="preserve">on FY2025E Adjusted EBITDA of $19.7M. The 8.0x–10.0x range is described as typical for</w:t>
      </w:r>
      <w:r>
        <w:t xml:space="preserve"> </w:t>
      </w:r>
      <w:r>
        <w:t xml:space="preserve">“</w:t>
      </w:r>
      <w:r>
        <w:t xml:space="preserve">well-positioned environmental services platforms,</w:t>
      </w:r>
      <w:r>
        <w:t xml:space="preserve">”</w:t>
      </w:r>
      <w:r>
        <w:t xml:space="preserve"> </w:t>
      </w:r>
      <w:r>
        <w:t xml:space="preserve">but no specific comparable transactions are cited.</w:t>
      </w:r>
    </w:p>
    <w:bookmarkEnd w:id="69"/>
    <w:bookmarkStart w:id="70" w:name="buy-side-adjusted-ebitda-normalization"/>
    <w:p>
      <w:pPr>
        <w:pStyle w:val="Heading3"/>
      </w:pPr>
      <w:r>
        <w:t xml:space="preserve">10.2 Buy-side Adjusted EBITDA normalization</w:t>
      </w:r>
    </w:p>
    <w:p>
      <w:pPr>
        <w:pStyle w:val="FirstParagraph"/>
      </w:pPr>
      <w:r>
        <w:t xml:space="preserve">Starting from the sell-side’s $17.1M, we adjust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$M</w:t>
            </w:r>
          </w:p>
        </w:tc>
        <w:tc>
          <w:tcPr/>
          <w:p>
            <w:pPr>
              <w:pStyle w:val="Compact"/>
              <w:jc w:val="left"/>
            </w:pPr>
            <w:r>
              <w:t xml:space="preserve">Basis</w:t>
            </w:r>
          </w:p>
        </w:tc>
      </w:tr>
      <w:tr>
        <w:tc>
          <w:tcPr/>
          <w:p>
            <w:pPr>
              <w:pStyle w:val="Compact"/>
              <w:jc w:val="left"/>
            </w:pPr>
            <w:r>
              <w:t xml:space="preserve">Sell-side FY2024 Adjusted EBITDA</w:t>
            </w:r>
          </w:p>
        </w:tc>
        <w:tc>
          <w:tcPr/>
          <w:p>
            <w:pPr>
              <w:pStyle w:val="Compact"/>
              <w:jc w:val="left"/>
            </w:pPr>
            <w:r>
              <w:t xml:space="preserve">17.1</w:t>
            </w:r>
          </w:p>
        </w:tc>
        <w:tc>
          <w:tcPr/>
          <w:p>
            <w:pPr>
              <w:pStyle w:val="Compact"/>
              <w:jc w:val="left"/>
            </w:pPr>
            <w:r>
              <w:t xml:space="preserve">CIM</w:t>
            </w:r>
          </w:p>
        </w:tc>
      </w:tr>
      <w:tr>
        <w:tc>
          <w:tcPr/>
          <w:p>
            <w:pPr>
              <w:pStyle w:val="Compact"/>
              <w:jc w:val="left"/>
            </w:pPr>
            <w:r>
              <w:t xml:space="preserve">Less: Arithmetic correction</w:t>
            </w:r>
          </w:p>
        </w:tc>
        <w:tc>
          <w:tcPr/>
          <w:p>
            <w:pPr>
              <w:pStyle w:val="Compact"/>
              <w:jc w:val="left"/>
            </w:pPr>
            <w:r>
              <w:t xml:space="preserve">(0.3)</w:t>
            </w:r>
          </w:p>
        </w:tc>
        <w:tc>
          <w:tcPr/>
          <w:p>
            <w:pPr>
              <w:pStyle w:val="Compact"/>
              <w:jc w:val="left"/>
            </w:pPr>
            <w:r>
              <w:t xml:space="preserve">Adjustments sum to $16.8M, not $17.1M (Section 4.1)</w:t>
            </w:r>
          </w:p>
        </w:tc>
      </w:tr>
      <w:tr>
        <w:tc>
          <w:tcPr/>
          <w:p>
            <w:pPr>
              <w:pStyle w:val="Compact"/>
              <w:jc w:val="left"/>
            </w:pPr>
            <w:r>
              <w:t xml:space="preserve">Less: Regulatory add-back overstatement</w:t>
            </w:r>
          </w:p>
        </w:tc>
        <w:tc>
          <w:tcPr/>
          <w:p>
            <w:pPr>
              <w:pStyle w:val="Compact"/>
              <w:jc w:val="left"/>
            </w:pPr>
            <w:r>
              <w:t xml:space="preserve">(0.3 to 0.5)</w:t>
            </w:r>
          </w:p>
        </w:tc>
        <w:tc>
          <w:tcPr/>
          <w:p>
            <w:pPr>
              <w:pStyle w:val="Compact"/>
              <w:jc w:val="left"/>
            </w:pPr>
            <w:r>
              <w:t xml:space="preserve">Normalize to $300–500K run-rate; potential double-count (Section 4.6)</w:t>
            </w:r>
          </w:p>
        </w:tc>
      </w:tr>
      <w:tr>
        <w:tc>
          <w:tcPr/>
          <w:p>
            <w:pPr>
              <w:pStyle w:val="Compact"/>
              <w:jc w:val="left"/>
            </w:pPr>
            <w:r>
              <w:t xml:space="preserve">Less: Related-party lease add-back overstatement</w:t>
            </w:r>
          </w:p>
        </w:tc>
        <w:tc>
          <w:tcPr/>
          <w:p>
            <w:pPr>
              <w:pStyle w:val="Compact"/>
              <w:jc w:val="left"/>
            </w:pPr>
            <w:r>
              <w:t xml:space="preserve">(0.4 to 0.6)</w:t>
            </w:r>
          </w:p>
        </w:tc>
        <w:tc>
          <w:tcPr/>
          <w:p>
            <w:pPr>
              <w:pStyle w:val="Compact"/>
              <w:jc w:val="left"/>
            </w:pPr>
            <w:r>
              <w:t xml:space="preserve">CIM’s own $1.0–1.2M market data vs. $600K used (Section 4.5)</w:t>
            </w:r>
          </w:p>
        </w:tc>
      </w:tr>
      <w:tr>
        <w:tc>
          <w:tcPr/>
          <w:p>
            <w:pPr>
              <w:pStyle w:val="Compact"/>
              <w:jc w:val="left"/>
            </w:pPr>
            <w:r>
              <w:t xml:space="preserve">Less: Owner-comp add-back overstatement</w:t>
            </w:r>
          </w:p>
        </w:tc>
        <w:tc>
          <w:tcPr/>
          <w:p>
            <w:pPr>
              <w:pStyle w:val="Compact"/>
              <w:jc w:val="left"/>
            </w:pPr>
            <w:r>
              <w:t xml:space="preserve">(0.1 to 0.3)</w:t>
            </w:r>
          </w:p>
        </w:tc>
        <w:tc>
          <w:tcPr/>
          <w:p>
            <w:pPr>
              <w:pStyle w:val="Compact"/>
              <w:jc w:val="left"/>
            </w:pPr>
            <w:r>
              <w:t xml:space="preserve">$600–800K replacement CEO vs. $500K (Section 4.4)</w:t>
            </w:r>
          </w:p>
        </w:tc>
      </w:tr>
      <w:tr>
        <w:tc>
          <w:tcPr/>
          <w:p>
            <w:pPr>
              <w:pStyle w:val="Compact"/>
              <w:jc w:val="left"/>
            </w:pPr>
            <w:r>
              <w:rPr>
                <w:b/>
                <w:bCs/>
              </w:rPr>
              <w:t xml:space="preserve">Buy-side normalized Adjusted EBITDA</w:t>
            </w:r>
          </w:p>
        </w:tc>
        <w:tc>
          <w:tcPr/>
          <w:p>
            <w:pPr>
              <w:pStyle w:val="Compact"/>
              <w:jc w:val="left"/>
            </w:pPr>
            <w:r>
              <w:rPr>
                <w:b/>
                <w:bCs/>
              </w:rPr>
              <w:t xml:space="preserve">~15.4 – 16.1</w:t>
            </w:r>
          </w:p>
        </w:tc>
        <w:tc>
          <w:tcPr/>
          <w:p>
            <w:pPr>
              <w:pStyle w:val="Compact"/>
            </w:pPr>
          </w:p>
        </w:tc>
      </w:tr>
    </w:tbl>
    <w:p>
      <w:pPr>
        <w:pStyle w:val="BodyText"/>
      </w:pPr>
      <w:r>
        <w:t xml:space="preserve">We estimate a defensible FY2024 Adjusted EBITDA of approximately</w:t>
      </w:r>
      <w:r>
        <w:t xml:space="preserve"> </w:t>
      </w:r>
      <w:r>
        <w:rPr>
          <w:b/>
          <w:bCs/>
        </w:rPr>
        <w:t xml:space="preserve">$15.4M–$16.1M</w:t>
      </w:r>
      <w:r>
        <w:t xml:space="preserve"> </w:t>
      </w:r>
      <w:r>
        <w:t xml:space="preserve">(midpoint ~$15.8M), versus the sell-side’s $17.1M — a reduction of roughly</w:t>
      </w:r>
      <w:r>
        <w:t xml:space="preserve"> </w:t>
      </w:r>
      <w:r>
        <w:rPr>
          <w:b/>
          <w:bCs/>
        </w:rPr>
        <w:t xml:space="preserve">$1.0M–$1.7M</w:t>
      </w:r>
      <w:r>
        <w:t xml:space="preserve">, or ~6–10%. (For reference, reported EBITDA is $12.1M; the gap between reported and buy-side adjusted reflects the legitimately non-recurring portions of the add-backs.)</w:t>
      </w:r>
    </w:p>
    <w:bookmarkEnd w:id="70"/>
    <w:bookmarkStart w:id="71" w:name="buy-side-enterprise-value-range"/>
    <w:p>
      <w:pPr>
        <w:pStyle w:val="Heading3"/>
      </w:pPr>
      <w:r>
        <w:t xml:space="preserve">10.3 Buy-side enterprise value range</w:t>
      </w:r>
    </w:p>
    <w:p>
      <w:pPr>
        <w:pStyle w:val="FirstParagraph"/>
      </w:pPr>
      <w:r>
        <w:t xml:space="preserve">Applying an</w:t>
      </w:r>
      <w:r>
        <w:t xml:space="preserve"> </w:t>
      </w:r>
      <w:r>
        <w:rPr>
          <w:b/>
          <w:bCs/>
        </w:rPr>
        <w:t xml:space="preserve">8.0x–9.0x</w:t>
      </w:r>
      <w:r>
        <w:t xml:space="preserve"> </w:t>
      </w:r>
      <w:r>
        <w:t xml:space="preserve">multiple — below the sell-side’s 8.0x–10.0x to reflect customer concentration (PNR 21.4% on an expired MSA), founder-transition key-person risk, PFAS execution risk, and capex/FCF concerns — to buy-side Adjusted EBITDA of $15.4M–$16.1M:</w:t>
      </w:r>
    </w:p>
    <w:p>
      <w:pPr>
        <w:pStyle w:val="Compact"/>
        <w:numPr>
          <w:ilvl w:val="0"/>
          <w:numId w:val="1008"/>
        </w:numPr>
      </w:pPr>
      <w:r>
        <w:t xml:space="preserve">Low: 8.0x × $15.4M =</w:t>
      </w:r>
      <w:r>
        <w:t xml:space="preserve"> </w:t>
      </w:r>
      <w:r>
        <w:rPr>
          <w:b/>
          <w:bCs/>
        </w:rPr>
        <w:t xml:space="preserve">$123M</w:t>
      </w:r>
    </w:p>
    <w:p>
      <w:pPr>
        <w:pStyle w:val="Compact"/>
        <w:numPr>
          <w:ilvl w:val="0"/>
          <w:numId w:val="1008"/>
        </w:numPr>
      </w:pPr>
      <w:r>
        <w:t xml:space="preserve">High: 9.0x × $16.1M =</w:t>
      </w:r>
      <w:r>
        <w:t xml:space="preserve"> </w:t>
      </w:r>
      <w:r>
        <w:rPr>
          <w:b/>
          <w:bCs/>
        </w:rPr>
        <w:t xml:space="preserve">$145M</w:t>
      </w:r>
    </w:p>
    <w:p>
      <w:pPr>
        <w:pStyle w:val="FirstParagraph"/>
      </w:pPr>
      <w:r>
        <w:t xml:space="preserve">Implied buy-side EV:</w:t>
      </w:r>
      <w:r>
        <w:t xml:space="preserve"> </w:t>
      </w:r>
      <w:r>
        <w:rPr>
          <w:b/>
          <w:bCs/>
        </w:rPr>
        <w:t xml:space="preserve">~$123M–$145M</w:t>
      </w:r>
      <w:r>
        <w:t xml:space="preserve"> </w:t>
      </w:r>
      <w:r>
        <w:t xml:space="preserve">(midpoint ~$134M), versus the sell-side’s $136.8M–$171.0M. We recommend an IOI enterprise value range of</w:t>
      </w:r>
      <w:r>
        <w:t xml:space="preserve"> </w:t>
      </w:r>
      <w:r>
        <w:rPr>
          <w:b/>
          <w:bCs/>
        </w:rPr>
        <w:t xml:space="preserve">$125M–$145M</w:t>
      </w:r>
      <w:r>
        <w:t xml:space="preserve">.</w:t>
      </w:r>
    </w:p>
    <w:bookmarkEnd w:id="71"/>
    <w:bookmarkStart w:id="72" w:name="multiple-assessment"/>
    <w:p>
      <w:pPr>
        <w:pStyle w:val="Heading3"/>
      </w:pPr>
      <w:r>
        <w:t xml:space="preserve">10.4 Multiple assessment</w:t>
      </w:r>
    </w:p>
    <w:p>
      <w:pPr>
        <w:pStyle w:val="FirstParagraph"/>
      </w:pPr>
      <w:r>
        <w:t xml:space="preserve">The 8.0x–10.0x sector range is corroborated by the Sector Memo (Section 2.1) but is described as appropriate for</w:t>
      </w:r>
      <w:r>
        <w:t xml:space="preserve"> </w:t>
      </w:r>
      <w:r>
        <w:t xml:space="preserve">“</w:t>
      </w:r>
      <w:r>
        <w:t xml:space="preserve">well-positioned</w:t>
      </w:r>
      <w:r>
        <w:t xml:space="preserve">”</w:t>
      </w:r>
      <w:r>
        <w:t xml:space="preserve"> </w:t>
      </w:r>
      <w:r>
        <w:t xml:space="preserve">platforms. CES’s risk profile — single-customer concentration with an expired largest contract, founder dependence, an unproven PFAS ramp, below-benchmark capex disclosure, and weak FCF conversion — does not, in our view, support the top of the range. A 7.5x–9.0x range is more defensible, with the upper end achievable only if diligence clears the PNR renewal, PFAS backlog, and capex items. The deal team should build its own comparable-transactions set (the CIM cites none specifically).</w:t>
      </w:r>
    </w:p>
    <w:bookmarkEnd w:id="72"/>
    <w:bookmarkStart w:id="73" w:name="X3a83c7495ef37031c715c865bdc005b24075b2f"/>
    <w:p>
      <w:pPr>
        <w:pStyle w:val="Heading3"/>
      </w:pPr>
      <w:r>
        <w:t xml:space="preserve">10.5 Equity bridge and Fund III mandate sizing</w:t>
      </w:r>
    </w:p>
    <w:p>
      <w:pPr>
        <w:pStyle w:val="FirstParagraph"/>
      </w:pPr>
      <w:r>
        <w:t xml:space="preserve">On a cash-free/debt-free basis with normalized NWC:</w:t>
      </w:r>
    </w:p>
    <w:p>
      <w:pPr>
        <w:pStyle w:val="Compact"/>
        <w:numPr>
          <w:ilvl w:val="0"/>
          <w:numId w:val="1009"/>
        </w:numPr>
      </w:pPr>
      <w:r>
        <w:t xml:space="preserve">Total debt: the CIM states $17.3M (term loan $14.2M + revolver $3.1M), but the Financial Exhibits imply ~$19.1M (Section 4.16) — this must be reconciled to the bank debt schedule. Cash is $2.3M (CIM) to $4.1M (Financial Exhibits), so net debt is roughly</w:t>
      </w:r>
      <w:r>
        <w:t xml:space="preserve"> </w:t>
      </w:r>
      <w:r>
        <w:rPr>
          <w:b/>
          <w:bCs/>
        </w:rPr>
        <w:t xml:space="preserve">$13.2M–$16.8M</w:t>
      </w:r>
      <w:r>
        <w:t xml:space="preserve"> </w:t>
      </w:r>
      <w:r>
        <w:t xml:space="preserve">depending on which presentation is correct.</w:t>
      </w:r>
    </w:p>
    <w:p>
      <w:pPr>
        <w:pStyle w:val="Compact"/>
        <w:numPr>
          <w:ilvl w:val="0"/>
          <w:numId w:val="1009"/>
        </w:numPr>
      </w:pPr>
      <w:r>
        <w:t xml:space="preserve">Less: phantom-unit cash settlement at closing (amount undisclosed — request; Section 4.7).</w:t>
      </w:r>
    </w:p>
    <w:p>
      <w:pPr>
        <w:pStyle w:val="Compact"/>
        <w:numPr>
          <w:ilvl w:val="0"/>
          <w:numId w:val="1009"/>
        </w:numPr>
      </w:pPr>
      <w:r>
        <w:t xml:space="preserve">Less: any NWC peg shortfall if true DSO is ~71 days (Section 4.8).</w:t>
      </w:r>
    </w:p>
    <w:p>
      <w:pPr>
        <w:pStyle w:val="Compact"/>
        <w:numPr>
          <w:ilvl w:val="0"/>
          <w:numId w:val="1009"/>
        </w:numPr>
      </w:pPr>
      <w:r>
        <w:t xml:space="preserve">At a midpoint EV of ~$134M and net debt of ~$15M, equity value is roughly</w:t>
      </w:r>
      <w:r>
        <w:t xml:space="preserve"> </w:t>
      </w:r>
      <w:r>
        <w:rPr>
          <w:b/>
          <w:bCs/>
        </w:rPr>
        <w:t xml:space="preserve">~$119M</w:t>
      </w:r>
      <w:r>
        <w:t xml:space="preserve"> </w:t>
      </w:r>
      <w:r>
        <w:t xml:space="preserve">before the phantom settlement and transaction costs — and could be ~$2M lower if the higher Financial Exhibits debt balance proves correct.</w:t>
      </w:r>
    </w:p>
    <w:p>
      <w:pPr>
        <w:pStyle w:val="FirstParagraph"/>
      </w:pPr>
      <w:r>
        <w:rPr>
          <w:b/>
          <w:bCs/>
        </w:rPr>
        <w:t xml:space="preserve">Mandate sizing flag.</w:t>
      </w:r>
      <w:r>
        <w:t xml:space="preserve"> </w:t>
      </w:r>
      <w:r>
        <w:t xml:space="preserve">The Sector Memo (Section 1) states Fund III</w:t>
      </w:r>
      <w:r>
        <w:t xml:space="preserve"> </w:t>
      </w:r>
      <w:r>
        <w:t xml:space="preserve">“</w:t>
      </w:r>
      <w:r>
        <w:t xml:space="preserve">targets platforms in the $30M–$100M enterprise value range.</w:t>
      </w:r>
      <w:r>
        <w:t xml:space="preserve">”</w:t>
      </w:r>
      <w:r>
        <w:t xml:space="preserve"> </w:t>
      </w:r>
      <w:r>
        <w:t xml:space="preserve">The implied EV here ($123M–$145M buy-side; $137M–$171M sell-side) is</w:t>
      </w:r>
      <w:r>
        <w:t xml:space="preserve"> </w:t>
      </w:r>
      <w:r>
        <w:rPr>
          <w:b/>
          <w:bCs/>
        </w:rPr>
        <w:t xml:space="preserve">above</w:t>
      </w:r>
      <w:r>
        <w:t xml:space="preserve"> </w:t>
      </w:r>
      <w:r>
        <w:t xml:space="preserve">that target range, and an ~$119M+ equity check would represent</w:t>
      </w:r>
      <w:r>
        <w:t xml:space="preserve"> </w:t>
      </w:r>
      <w:r>
        <w:rPr>
          <w:b/>
          <w:bCs/>
        </w:rPr>
        <w:t xml:space="preserve">~28% of Fund III’s $425M of committed capital</w:t>
      </w:r>
      <w:r>
        <w:t xml:space="preserve"> </w:t>
      </w:r>
      <w:r>
        <w:t xml:space="preserve">— a large single-asset concentration that may approach or exceed typical fund concentration limits. The deal team and IC should confirm Fund III’s mandate and concentration limits, and whether co-invest capacity is required, before proceeding. (The Sector Memo’s statement that CES</w:t>
      </w:r>
      <w:r>
        <w:t xml:space="preserve"> </w:t>
      </w:r>
      <w:r>
        <w:t xml:space="preserve">“</w:t>
      </w:r>
      <w:r>
        <w:t xml:space="preserve">fits squarely within these parameters</w:t>
      </w:r>
      <w:r>
        <w:t xml:space="preserve">”</w:t>
      </w:r>
      <w:r>
        <w:t xml:space="preserve"> </w:t>
      </w:r>
      <w:r>
        <w:t xml:space="preserve">appears inconsistent with the CIM’s own implied valuation and should be reconciled.)</w:t>
      </w:r>
    </w:p>
    <w:bookmarkEnd w:id="73"/>
    <w:bookmarkStart w:id="74" w:name="near-term-debt-maturity"/>
    <w:p>
      <w:pPr>
        <w:pStyle w:val="Heading3"/>
      </w:pPr>
      <w:r>
        <w:t xml:space="preserve">10.6 Near-term debt maturity</w:t>
      </w:r>
    </w:p>
    <w:p>
      <w:pPr>
        <w:pStyle w:val="FirstParagraph"/>
      </w:pPr>
      <w:r>
        <w:t xml:space="preserve">The senior term loan ($14.2M per the CIM) matures August 31, 2026 (CIM Section VI.D) — only ~8 months after the expected Q4 2025 close. The Process Letter states existing indebtedness will be refinanced or repaid at closing, so this is a refinancing item rather than a going-concern risk, but it confirms the capital structure must be addressed at close. The debt-balance discrepancy in Section 4.16 should be resolved as part of that refinancing.</w:t>
      </w:r>
    </w:p>
    <w:p>
      <w:r>
        <w:pict>
          <v:rect style="width:0;height:1.5pt" o:hralign="center" o:hrstd="t" o:hr="t"/>
        </w:pict>
      </w:r>
    </w:p>
    <w:bookmarkEnd w:id="74"/>
    <w:bookmarkEnd w:id="75"/>
    <w:bookmarkStart w:id="76" w:name="transaction-structure-recommendations"/>
    <w:p>
      <w:pPr>
        <w:pStyle w:val="Heading2"/>
      </w:pPr>
      <w:r>
        <w:t xml:space="preserve">11. Transaction Structure Recommendations</w:t>
      </w:r>
    </w:p>
    <w:p>
      <w:pPr>
        <w:pStyle w:val="Compact"/>
        <w:numPr>
          <w:ilvl w:val="0"/>
          <w:numId w:val="1010"/>
        </w:numPr>
      </w:pPr>
      <w:r>
        <w:rPr>
          <w:b/>
          <w:bCs/>
        </w:rPr>
        <w:t xml:space="preserve">Earnout.</w:t>
      </w:r>
      <w:r>
        <w:t xml:space="preserve"> </w:t>
      </w:r>
      <w:r>
        <w:t xml:space="preserve">Given the dependence on the PFAS growth story (Section 6) and the founder transition (Section 7), structure a meaningful earnout (e.g., 15–25% of total consideration) tied to PFAS revenue and/or consolidated Adjusted EBITDA over FY2025–FY2026, with clear, auditable metrics. This bridges the buy-side/sell-side valuation gap and aligns Mr. Oakes’s incentives through the transition.</w:t>
      </w:r>
    </w:p>
    <w:p>
      <w:pPr>
        <w:pStyle w:val="Compact"/>
        <w:numPr>
          <w:ilvl w:val="0"/>
          <w:numId w:val="1010"/>
        </w:numPr>
      </w:pPr>
      <w:r>
        <w:rPr>
          <w:b/>
          <w:bCs/>
        </w:rPr>
        <w:t xml:space="preserve">Rollover equity.</w:t>
      </w:r>
      <w:r>
        <w:t xml:space="preserve"> </w:t>
      </w:r>
      <w:r>
        <w:t xml:space="preserve">Consider requesting that Mr. Oakes roll a portion of his proceeds (e.g., 10–20%) into equity of the acquiring entity, aligning him with the transition and the PFAS execution. The Process Letter (Section III) invites bidders to propose rollover equity.</w:t>
      </w:r>
    </w:p>
    <w:p>
      <w:pPr>
        <w:pStyle w:val="Compact"/>
        <w:numPr>
          <w:ilvl w:val="0"/>
          <w:numId w:val="1010"/>
        </w:numPr>
      </w:pPr>
      <w:r>
        <w:rPr>
          <w:b/>
          <w:bCs/>
        </w:rPr>
        <w:t xml:space="preserve">Real estate.</w:t>
      </w:r>
      <w:r>
        <w:t xml:space="preserve"> </w:t>
      </w:r>
      <w:r>
        <w:t xml:space="preserve">Require either (a) purchase of the HQ at independently appraised fair market value or (b) a new long-term arm’s-length lease at verified market rent, as a condition of closing (Section 9.1). Do not assume the $800K lease add-back is realizable until occupancy cost is fixed.</w:t>
      </w:r>
    </w:p>
    <w:p>
      <w:pPr>
        <w:pStyle w:val="Compact"/>
        <w:numPr>
          <w:ilvl w:val="0"/>
          <w:numId w:val="1010"/>
        </w:numPr>
      </w:pPr>
      <w:r>
        <w:rPr>
          <w:b/>
          <w:bCs/>
        </w:rPr>
        <w:t xml:space="preserve">Phantom units.</w:t>
      </w:r>
      <w:r>
        <w:t xml:space="preserve"> </w:t>
      </w:r>
      <w:r>
        <w:t xml:space="preserve">Treat the cash settlement of phantom units as a debt-like item in the equity bridge; require disclosure of the aggregate amount and settlement formula before IOI (Section 4.7).</w:t>
      </w:r>
    </w:p>
    <w:p>
      <w:pPr>
        <w:pStyle w:val="Compact"/>
        <w:numPr>
          <w:ilvl w:val="0"/>
          <w:numId w:val="1010"/>
        </w:numPr>
      </w:pPr>
      <w:r>
        <w:rPr>
          <w:b/>
          <w:bCs/>
        </w:rPr>
        <w:t xml:space="preserve">Key-person retention.</w:t>
      </w:r>
      <w:r>
        <w:t xml:space="preserve"> </w:t>
      </w:r>
      <w:r>
        <w:t xml:space="preserve">Make retention agreements for Ms. Prewitt, Mr. Cahill, and the two remaining PEs a closing condition (Sections 7.3–7.4).</w:t>
      </w:r>
    </w:p>
    <w:p>
      <w:pPr>
        <w:pStyle w:val="Compact"/>
        <w:numPr>
          <w:ilvl w:val="0"/>
          <w:numId w:val="1010"/>
        </w:numPr>
      </w:pPr>
      <w:r>
        <w:rPr>
          <w:b/>
          <w:bCs/>
        </w:rPr>
        <w:t xml:space="preserve">NWC peg.</w:t>
      </w:r>
      <w:r>
        <w:t xml:space="preserve"> </w:t>
      </w:r>
      <w:r>
        <w:t xml:space="preserve">Build the working-capital peg from audited balance-sheet data using actual (not</w:t>
      </w:r>
      <w:r>
        <w:t xml:space="preserve"> </w:t>
      </w:r>
      <w:r>
        <w:t xml:space="preserve">“</w:t>
      </w:r>
      <w:r>
        <w:t xml:space="preserve">normalized</w:t>
      </w:r>
      <w:r>
        <w:t xml:space="preserve">”</w:t>
      </w:r>
      <w:r>
        <w:t xml:space="preserve">) DSO; consider a higher peg if true DSO is ~71 days (Section 4.8).</w:t>
      </w:r>
    </w:p>
    <w:p>
      <w:pPr>
        <w:pStyle w:val="Compact"/>
        <w:numPr>
          <w:ilvl w:val="0"/>
          <w:numId w:val="1010"/>
        </w:numPr>
      </w:pPr>
      <w:r>
        <w:rPr>
          <w:b/>
          <w:bCs/>
        </w:rPr>
        <w:t xml:space="preserve">R&amp;W insurance and indemnity.</w:t>
      </w:r>
      <w:r>
        <w:t xml:space="preserve"> </w:t>
      </w:r>
      <w:r>
        <w:t xml:space="preserve">Given the financial-statement inconsistencies (Section 4) and the DEQ matter (Section 8), obtain reps &amp; warranties insurance with specific coverage for regulatory/compliance matters and the PNR relationship, and negotiate a meaningful general indemnity and escrow/holdback.</w:t>
      </w:r>
    </w:p>
    <w:p>
      <w:pPr>
        <w:pStyle w:val="Compact"/>
        <w:numPr>
          <w:ilvl w:val="0"/>
          <w:numId w:val="1010"/>
        </w:numPr>
      </w:pPr>
      <w:r>
        <w:rPr>
          <w:b/>
          <w:bCs/>
        </w:rPr>
        <w:t xml:space="preserve">Financing.</w:t>
      </w:r>
      <w:r>
        <w:t xml:space="preserve"> </w:t>
      </w:r>
      <w:r>
        <w:t xml:space="preserve">The Process Letter (Section III) requires disclosure of equity and debt sources, leverage levels, and lender names. Indicate committed equity from Fund III (and any co-invest), anticipated leverage consistent with the sector, and refinancing of the Cascadia Commercial Bank facilities.</w:t>
      </w:r>
    </w:p>
    <w:p>
      <w:pPr>
        <w:pStyle w:val="Compact"/>
        <w:numPr>
          <w:ilvl w:val="0"/>
          <w:numId w:val="1010"/>
        </w:numPr>
      </w:pPr>
      <w:r>
        <w:rPr>
          <w:b/>
          <w:bCs/>
        </w:rPr>
        <w:t xml:space="preserve">Approvals and timeline to close (Process Letter IOI element #6).</w:t>
      </w:r>
      <w:r>
        <w:t xml:space="preserve"> </w:t>
      </w:r>
      <w:r>
        <w:t xml:space="preserve">The IOI must identify required internal approvals (Thornfield investment committee and, if applicable, Fund III LPAC), any regulatory approvals, and an estimated timeline from definitive-agreement execution to closing. On regulatory approvals, the deal team should assess whether the transaction triggers any HSR antitrust filing (the ~$125–145M EV is near the current HSR notification threshold) and whether any state environmental-license transfer approvals are required for the change of control of the DEQ contractor license and hazardous waste transporter permits. We estimate 45–60 days from signing to closing assuming financing is committed and no second-request antitrust review; this should be confirmed with Calloway, Barrett &amp; Sims LLP.</w:t>
      </w:r>
    </w:p>
    <w:p>
      <w:pPr>
        <w:pStyle w:val="Compact"/>
        <w:numPr>
          <w:ilvl w:val="0"/>
          <w:numId w:val="1010"/>
        </w:numPr>
      </w:pPr>
      <w:r>
        <w:rPr>
          <w:b/>
          <w:bCs/>
        </w:rPr>
        <w:t xml:space="preserve">Relevant experience (Process Letter IOI element #7).</w:t>
      </w:r>
      <w:r>
        <w:t xml:space="preserve"> </w:t>
      </w:r>
      <w:r>
        <w:t xml:space="preserve">The IOI should cite Thornfield’s directly relevant Fund II experience — GreenWorks Remediation (2019) and Allied Waste Systems (2021) — as evidence of sector capability, platform-building, and add-on execution, while being mindful that those experiences also inform the diligence concerns in this memo.</w:t>
      </w:r>
    </w:p>
    <w:p>
      <w:r>
        <w:pict>
          <v:rect style="width:0;height:1.5pt" o:hralign="center" o:hrstd="t" o:hr="t"/>
        </w:pict>
      </w:r>
    </w:p>
    <w:bookmarkEnd w:id="76"/>
    <w:bookmarkStart w:id="77" w:name="diligence-priorities-and-action-items"/>
    <w:p>
      <w:pPr>
        <w:pStyle w:val="Heading2"/>
      </w:pPr>
      <w:r>
        <w:t xml:space="preserve">12. Diligence Priorities and Action Items</w:t>
      </w:r>
    </w:p>
    <w:p>
      <w:pPr>
        <w:pStyle w:val="FirstParagraph"/>
      </w:pPr>
      <w:r>
        <w:t xml:space="preserve">The following are prioritized for the Phase I/IOI stage and Phase II confirmatory diligence. Each maps to a section above.</w:t>
      </w:r>
    </w:p>
    <w:p>
      <w:pPr>
        <w:pStyle w:val="BodyText"/>
      </w:pPr>
      <w:r>
        <w:rPr>
          <w:b/>
          <w:bCs/>
        </w:rPr>
        <w:t xml:space="preserve">Financial / QoE (engage independent QoE provider):</w:t>
      </w:r>
      <w:r>
        <w:t xml:space="preserve"> </w:t>
      </w:r>
      <w:r>
        <w:t xml:space="preserve">1. Reconcile the CIM Appendix A financials to the Financial Exhibits workbook to the audited financial statements; resolve the $3.3M operating-income variance and the workbook’s internal non-reconciliation (Sections 4.2–4.3).</w:t>
      </w:r>
      <w:r>
        <w:t xml:space="preserve"> </w:t>
      </w:r>
      <w:r>
        <w:t xml:space="preserve">2. Correct the FY2024 Adjusted EBITDA arithmetic ($17.1M vs. $16.8M) and identify the missing $0.3M (Section 4.1).</w:t>
      </w:r>
      <w:r>
        <w:t xml:space="preserve"> </w:t>
      </w:r>
      <w:r>
        <w:t xml:space="preserve">3. Verify income-statement classification of the $875K DEQ settlement (below EBITDA per Financial Exhibits) and $325K legal fees (above EBITDA) to confirm the extent of any double-count (Section 4.6).</w:t>
      </w:r>
      <w:r>
        <w:t xml:space="preserve"> </w:t>
      </w:r>
      <w:r>
        <w:t xml:space="preserve">4. Obtain CES’s complete 10-year regulatory enforcement history across all jurisdictions (Sections 4.6, 8.1).</w:t>
      </w:r>
      <w:r>
        <w:t xml:space="preserve"> </w:t>
      </w:r>
      <w:r>
        <w:t xml:space="preserve">5. Itemize Mr. Oakes’s $2.4M compensation; test each</w:t>
      </w:r>
      <w:r>
        <w:t xml:space="preserve"> </w:t>
      </w:r>
      <w:r>
        <w:t xml:space="preserve">“</w:t>
      </w:r>
      <w:r>
        <w:t xml:space="preserve">personal expense</w:t>
      </w:r>
      <w:r>
        <w:t xml:space="preserve">”</w:t>
      </w:r>
      <w:r>
        <w:t xml:space="preserve">; validate replacement-CEO cost (Section 4.4).</w:t>
      </w:r>
      <w:r>
        <w:t xml:space="preserve"> </w:t>
      </w:r>
      <w:r>
        <w:t xml:space="preserve">6. Obtain an independent MAI appraisal of the HQ property; validate the $600K market-rent assumption against the CIM’s own $1.0–1.2M data (Section 4.5).</w:t>
      </w:r>
      <w:r>
        <w:t xml:space="preserve"> </w:t>
      </w:r>
      <w:r>
        <w:t xml:space="preserve">7. Independently calculate DSO from audited AR and revenue; build the NWC peg from audited data (Sections 4.8, 11.6).</w:t>
      </w:r>
      <w:r>
        <w:t xml:space="preserve"> </w:t>
      </w:r>
      <w:r>
        <w:t xml:space="preserve">8. Commission a detailed fleet age, condition, and remaining-useful-life assessment; re-derive maintenance capex at 5–7% of revenue (Section 4.9).</w:t>
      </w:r>
      <w:r>
        <w:t xml:space="preserve"> </w:t>
      </w:r>
      <w:r>
        <w:t xml:space="preserve">9. Request projected cash flow statement and balance sheet for FY2025E–FY2027E; request a clean projection model with an EBITDA bridge per forecast year, including a normalized replacement-CEO cost (Sections 4.10–4.11).</w:t>
      </w:r>
      <w:r>
        <w:t xml:space="preserve"> </w:t>
      </w:r>
      <w:r>
        <w:t xml:space="preserve">10. Quantify the phantom-unit cash settlement obligation at closing (Section 4.7).</w:t>
      </w:r>
      <w:r>
        <w:t xml:space="preserve"> </w:t>
      </w:r>
      <w:r>
        <w:t xml:space="preserve">11. Investigate the origin of the $2.5M goodwill/intangible balance (Section 4.12).</w:t>
      </w:r>
      <w:r>
        <w:t xml:space="preserve"> </w:t>
      </w:r>
      <w:r>
        <w:t xml:space="preserve">12. Reconcile historical segment revenue (FY2021–FY2023) between the CIM and Financial Exhibits (Section 4.13).</w:t>
      </w:r>
      <w:r>
        <w:t xml:space="preserve"> </w:t>
      </w:r>
      <w:r>
        <w:t xml:space="preserve">13. Reconcile projected segment revenue splits (FY2025E–FY2027E) between the CIM and Financial Exhibits; confirm the traditional-remediation flat-growth assumption (Section 4.14).</w:t>
      </w:r>
      <w:r>
        <w:t xml:space="preserve"> </w:t>
      </w:r>
      <w:r>
        <w:t xml:space="preserve">14. Confirm shareholder-distribution policy and whether distributions were debt-funded; quantify total owner economic benefit (comp + distributions) (Section 4.15).</w:t>
      </w:r>
      <w:r>
        <w:t xml:space="preserve"> </w:t>
      </w:r>
      <w:r>
        <w:t xml:space="preserve">15. Obtain the Cascadia Commercial Bank debt schedule; reconcile total debt ($17.3M CIM vs. ~$19.1M Financial Exhibits) and the current/non-current split (Section 4.16).</w:t>
      </w:r>
    </w:p>
    <w:p>
      <w:pPr>
        <w:pStyle w:val="BodyText"/>
      </w:pPr>
      <w:r>
        <w:rPr>
          <w:b/>
          <w:bCs/>
        </w:rPr>
        <w:t xml:space="preserve">Commercial / customer:</w:t>
      </w:r>
      <w:r>
        <w:t xml:space="preserve"> </w:t>
      </w:r>
      <w:r>
        <w:t xml:space="preserve">16. Reconcile the top-10 customer lists between the CIM and the Backlog Report to the audited customer ledger; resolve the five name discrepancies, segment-served differences, and relationship-tenure differences; resolve the CIM’s internal PNR service-line inconsistency (Section 5.1).</w:t>
      </w:r>
      <w:r>
        <w:t xml:space="preserve"> </w:t>
      </w:r>
      <w:r>
        <w:t xml:space="preserve">17. Confirm PNR MSA renewal status, terms, and pricing; assess replacement-revenue capacity if PNR is lost/repriced; confirm the Portland/Anacortes two-site footprint (Section 5.2).</w:t>
      </w:r>
      <w:r>
        <w:t xml:space="preserve"> </w:t>
      </w:r>
      <w:r>
        <w:t xml:space="preserve">18. Obtain a PFAS-specific signed-contract vs. pipeline breakout supporting the $14.0M FY2025E projection (Sections 6.4, 6.1).</w:t>
      </w:r>
      <w:r>
        <w:t xml:space="preserve"> </w:t>
      </w:r>
      <w:r>
        <w:t xml:space="preserve">19. Assess backlog quality (firm vs. estimable vs. pipeline) by segment and customer (Section 5.5).</w:t>
      </w:r>
      <w:r>
        <w:t xml:space="preserve"> </w:t>
      </w:r>
      <w:r>
        <w:t xml:space="preserve">20. Reconcile the geographic revenue mix (CIM</w:t>
      </w:r>
      <w:r>
        <w:t xml:space="preserve"> </w:t>
      </w:r>
      <w:r>
        <w:t xml:space="preserve">“</w:t>
      </w:r>
      <w:r>
        <w:t xml:space="preserve">75/25</w:t>
      </w:r>
      <w:r>
        <w:t xml:space="preserve">”</w:t>
      </w:r>
      <w:r>
        <w:t xml:space="preserve"> </w:t>
      </w:r>
      <w:r>
        <w:t xml:space="preserve">vs. Backlog Report 82.3/17.7) to audited revenue-by-state (Section 5.6).</w:t>
      </w:r>
    </w:p>
    <w:p>
      <w:pPr>
        <w:pStyle w:val="BodyText"/>
      </w:pPr>
      <w:r>
        <w:rPr>
          <w:b/>
          <w:bCs/>
        </w:rPr>
        <w:t xml:space="preserve">Management / operations:</w:t>
      </w:r>
      <w:r>
        <w:t xml:space="preserve"> </w:t>
      </w:r>
      <w:r>
        <w:t xml:space="preserve">21. Obtain a costed CEO succession plan and PE hiring plan; confirm employment agreements for the two remaining PEs and key managers (Sections 6.3, 7.1, 7.4).</w:t>
      </w:r>
      <w:r>
        <w:t xml:space="preserve"> </w:t>
      </w:r>
      <w:r>
        <w:t xml:space="preserve">22. Assess finance-function capacity and the need for a CFO post-close (Section 7.2).</w:t>
      </w:r>
      <w:r>
        <w:t xml:space="preserve"> </w:t>
      </w:r>
      <w:r>
        <w:t xml:space="preserve">23. Verify the 18% field-technician turnover figure; assess training-cost and safety/EMR impact and any concentration in PFAS/remediation crews (Section 7.5).</w:t>
      </w:r>
    </w:p>
    <w:p>
      <w:pPr>
        <w:pStyle w:val="BodyText"/>
      </w:pPr>
      <w:r>
        <w:rPr>
          <w:b/>
          <w:bCs/>
        </w:rPr>
        <w:t xml:space="preserve">Real estate / facilities:</w:t>
      </w:r>
      <w:r>
        <w:t xml:space="preserve"> </w:t>
      </w:r>
      <w:r>
        <w:t xml:space="preserve">24. Confirm the existence, lease terms, and regulatory standing of the Sacramento satellite operation referenced in the Backlog Report but absent from the CIM (Section 9.3).</w:t>
      </w:r>
    </w:p>
    <w:p>
      <w:pPr>
        <w:pStyle w:val="BodyText"/>
      </w:pPr>
      <w:r>
        <w:rPr>
          <w:b/>
          <w:bCs/>
        </w:rPr>
        <w:t xml:space="preserve">Regulatory / legal (coordinate with Calloway, Barrett &amp; Sims LLP):</w:t>
      </w:r>
      <w:r>
        <w:t xml:space="preserve"> </w:t>
      </w:r>
      <w:r>
        <w:t xml:space="preserve">25. Review full permit/license standing, renewal dates, and conditions; verify EIN/EPA-ID consistency; assess change-of-control license-transfer requirements (Sections 8.2, 8.1, 11.9).</w:t>
      </w:r>
      <w:r>
        <w:t xml:space="preserve"> </w:t>
      </w:r>
      <w:r>
        <w:t xml:space="preserve">26. Review insurance policies, claims history, and OSHA 300 logs (Section 8.3).</w:t>
      </w:r>
      <w:r>
        <w:t xml:space="preserve"> </w:t>
      </w:r>
      <w:r>
        <w:t xml:space="preserve">27. Assess HSR antitrust filing requirements given EV near the notification threshold (Section 11.9).</w:t>
      </w:r>
    </w:p>
    <w:p>
      <w:pPr>
        <w:pStyle w:val="BodyText"/>
      </w:pPr>
      <w:r>
        <w:rPr>
          <w:b/>
          <w:bCs/>
        </w:rPr>
        <w:t xml:space="preserve">Strategic / fund:</w:t>
      </w:r>
      <w:r>
        <w:t xml:space="preserve"> </w:t>
      </w:r>
      <w:r>
        <w:t xml:space="preserve">28. Confirm Fund III mandate and concentration limits; determine whether co-invest is required for an ~$119M+ equity check (Section 10.5).</w:t>
      </w:r>
    </w:p>
    <w:p>
      <w:r>
        <w:pict>
          <v:rect style="width:0;height:1.5pt" o:hralign="center" o:hrstd="t" o:hr="t"/>
        </w:pict>
      </w:r>
    </w:p>
    <w:bookmarkEnd w:id="77"/>
    <w:bookmarkStart w:id="78" w:name="recommendation-and-next-steps"/>
    <w:p>
      <w:pPr>
        <w:pStyle w:val="Heading2"/>
      </w:pPr>
      <w:r>
        <w:t xml:space="preserve">13. Recommendation and Next Steps</w:t>
      </w:r>
    </w:p>
    <w:p>
      <w:pPr>
        <w:pStyle w:val="FirstParagraph"/>
      </w:pPr>
      <w:r>
        <w:t xml:space="preserve">CES is a legitimate, well-positioned Pacific Northwest environmental services platform with real regulatory tailwinds and a defensible core business. It merits a disciplined IOI. However, the marketing materials exhibit a consistent pattern — an arithmetic error in the headline EBITDA, financial statements that do not reconcile across documents or internally, aggressive and potentially double-counted add-backs, an understated DSO, below-benchmark maintenance capex, a debt balance that differs between documents, an unproven PFAS growth plan carrying the majority of incremental growth (with traditional remediation projected flat), a top-10 customer list that disagrees between two advisor-prepared documents (and a CIM internally inconsistent on its largest customer), an expired largest-customer contract, a geographic mix that contradicts itself across documents, and an undisclosed Sacramento facility — that warrants a valuation and structure materially more conservative than the sell-side’s.</w:t>
      </w:r>
    </w:p>
    <w:p>
      <w:pPr>
        <w:pStyle w:val="BodyText"/>
      </w:pPr>
      <w:r>
        <w:rPr>
          <w:b/>
          <w:bCs/>
        </w:rPr>
        <w:t xml:space="preserve">Proposed IOI posture:</w:t>
      </w:r>
    </w:p>
    <w:p>
      <w:pPr>
        <w:pStyle w:val="Compact"/>
        <w:numPr>
          <w:ilvl w:val="0"/>
          <w:numId w:val="1011"/>
        </w:numPr>
      </w:pPr>
      <w:r>
        <w:rPr>
          <w:b/>
          <w:bCs/>
        </w:rPr>
        <w:t xml:space="preserve">Enterprise value range: $125M–$145M</w:t>
      </w:r>
      <w:r>
        <w:t xml:space="preserve"> </w:t>
      </w:r>
      <w:r>
        <w:t xml:space="preserve">(cash-free, debt-free, normalized NWC), based on buy-side normalized Adjusted EBITDA of ~$15.4M–$16.1M at 8.0x–9.0x.</w:t>
      </w:r>
    </w:p>
    <w:p>
      <w:pPr>
        <w:pStyle w:val="Compact"/>
        <w:numPr>
          <w:ilvl w:val="0"/>
          <w:numId w:val="1011"/>
        </w:numPr>
      </w:pPr>
      <w:r>
        <w:rPr>
          <w:b/>
          <w:bCs/>
        </w:rPr>
        <w:t xml:space="preserve">Structure:</w:t>
      </w:r>
      <w:r>
        <w:t xml:space="preserve"> </w:t>
      </w:r>
      <w:r>
        <w:t xml:space="preserve">primary cash consideration plus a PFAS/EBITDA earnout (15–25% of total) and optional founder rollover; real-estate purchase or arm’s-length lease as a closing condition; phantom-unit settlement treated as debt-like; key-person retention as a closing condition.</w:t>
      </w:r>
    </w:p>
    <w:p>
      <w:pPr>
        <w:pStyle w:val="Compact"/>
        <w:numPr>
          <w:ilvl w:val="0"/>
          <w:numId w:val="1011"/>
        </w:numPr>
      </w:pPr>
      <w:r>
        <w:rPr>
          <w:b/>
          <w:bCs/>
        </w:rPr>
        <w:t xml:space="preserve">Conditionality:</w:t>
      </w:r>
      <w:r>
        <w:t xml:space="preserve"> </w:t>
      </w:r>
      <w:r>
        <w:t xml:space="preserve">IOI expressly subject to satisfactory resolution of the financial reconciliation, debt reconciliation, PNR renewal, PFAS backlog breakout, fleet/capex assessment, regulatory history, and Sacramento-facility items above.</w:t>
      </w:r>
    </w:p>
    <w:p>
      <w:pPr>
        <w:pStyle w:val="FirstParagraph"/>
      </w:pPr>
      <w:r>
        <w:rPr>
          <w:b/>
          <w:bCs/>
        </w:rPr>
        <w:t xml:space="preserve">Next steps:</w:t>
      </w:r>
    </w:p>
    <w:p>
      <w:pPr>
        <w:pStyle w:val="Compact"/>
        <w:numPr>
          <w:ilvl w:val="0"/>
          <w:numId w:val="1012"/>
        </w:numPr>
      </w:pPr>
      <w:r>
        <w:t xml:space="preserve">Circulate this memo to the deal team and schedule an IC pre-read ahead of the July 14, 2025 IOI deadline.</w:t>
      </w:r>
    </w:p>
    <w:p>
      <w:pPr>
        <w:pStyle w:val="Compact"/>
        <w:numPr>
          <w:ilvl w:val="0"/>
          <w:numId w:val="1012"/>
        </w:numPr>
      </w:pPr>
      <w:r>
        <w:t xml:space="preserve">Confirm Fund III mandate/concentration limits and co-invest capacity (Section 10.5).</w:t>
      </w:r>
    </w:p>
    <w:p>
      <w:pPr>
        <w:pStyle w:val="Compact"/>
        <w:numPr>
          <w:ilvl w:val="0"/>
          <w:numId w:val="1012"/>
        </w:numPr>
      </w:pPr>
      <w:r>
        <w:t xml:space="preserve">Engage an independent QoE provider and coordinate diligence scope with Calloway, Barrett &amp; Sims LLP.</w:t>
      </w:r>
    </w:p>
    <w:p>
      <w:pPr>
        <w:pStyle w:val="Compact"/>
        <w:numPr>
          <w:ilvl w:val="0"/>
          <w:numId w:val="1012"/>
        </w:numPr>
      </w:pPr>
      <w:r>
        <w:t xml:space="preserve">Submit a written question to Greenleaf (via Philip Tran, per the Process Letter’s no-direct-contact rule) requesting: (a) the FY2024 Adjusted EBITDA reconciliation/correction, (b) the PNR MSA renewal status, (c) the PFAS signed-contract vs. pipeline breakout, (d) the phantom-unit settlement amount, (e) projected cash flow and balance sheet, (f) the 10-year regulatory enforcement history, (g) reconciliation of the debt balance and the CIM-vs-Financial-Exhibits financials, (h) the geographic revenue mix reconciliation, and (i) confirmation of the Sacramento facility.</w:t>
      </w:r>
    </w:p>
    <w:p>
      <w:pPr>
        <w:pStyle w:val="Compact"/>
        <w:numPr>
          <w:ilvl w:val="0"/>
          <w:numId w:val="1012"/>
        </w:numPr>
      </w:pPr>
      <w:r>
        <w:t xml:space="preserve">Prepare the IOI letter per the Process Letter’s eight required elements (Section III), reflecting the valuation, structure, and conditionality above.</w:t>
      </w:r>
    </w:p>
    <w:p>
      <w:r>
        <w:pict>
          <v:rect style="width:0;height:1.5pt" o:hralign="center" o:hrstd="t" o:hr="t"/>
        </w:pict>
      </w:r>
    </w:p>
    <w:p>
      <w:pPr>
        <w:pStyle w:val="FirstParagraph"/>
      </w:pPr>
      <w:r>
        <w:rPr>
          <w:i/>
          <w:iCs/>
        </w:rPr>
        <w:t xml:space="preserve">Prepared by David Koh, Associate, Thornfield Capital Partners. This memorandum is privileged and confidential, prepared for internal investment-team use in connection with the evaluation of Project Cascade, and is not to be shared with any external party, including Greenleaf Advisory Group, CES, or its management. All figures are derived from the CIM, Customer Backlog Report, Financial Exhibits, Process Letter, and Thornfield Sector Memo dated as indicated, none of which have been independently verified. A formal quality-of-earnings review and legal diligence are required before any binding commitment.</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2026-06-27T01:43:05Z</dcterms:created>
  <dcterms:modified xsi:type="dcterms:W3CDTF">2026-06-27T01:43:05Z</dcterms:modified>
</cp:coreProperties>
</file>

<file path=docProps/custom.xml><?xml version="1.0" encoding="utf-8"?>
<Properties xmlns="http://schemas.openxmlformats.org/officeDocument/2006/custom-properties" xmlns:vt="http://schemas.openxmlformats.org/officeDocument/2006/docPropsVTypes"/>
</file>