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PRIVILEGED</w:t>
      </w:r>
      <w:r>
        <w:t xml:space="preserve"> </w:t>
      </w:r>
      <w:r>
        <w:t xml:space="preserve">&amp;</w:t>
      </w:r>
      <w:r>
        <w:t xml:space="preserve"> </w:t>
      </w:r>
      <w:r>
        <w:t xml:space="preserve">CONFIDENTIAL</w:t>
      </w:r>
      <w:r>
        <w:t xml:space="preserve"> </w:t>
      </w:r>
      <w:r>
        <w:t xml:space="preserve">—</w:t>
      </w:r>
      <w:r>
        <w:t xml:space="preserve"> </w:t>
      </w:r>
      <w:r>
        <w:t xml:space="preserve">ATTORNEY</w:t>
      </w:r>
      <w:r>
        <w:t xml:space="preserve"> </w:t>
      </w:r>
      <w:r>
        <w:t xml:space="preserve">WORK</w:t>
      </w:r>
      <w:r>
        <w:t xml:space="preserve"> </w:t>
      </w:r>
      <w:r>
        <w:t xml:space="preserve">PRODUCT</w:t>
      </w:r>
    </w:p>
    <w:bookmarkStart w:id="20" w:name="governance-diligence-memorandum"/>
    <w:p>
      <w:pPr>
        <w:pStyle w:val="Heading1"/>
      </w:pPr>
      <w:r>
        <w:t xml:space="preserve">GOVERNANCE DILIGENCE MEMORANDUM</w:t>
      </w:r>
    </w:p>
    <w:p>
      <w:pPr>
        <w:pStyle w:val="FirstParagraph"/>
      </w:pPr>
      <w:r>
        <w:rPr>
          <w:b/>
          <w:bCs/>
        </w:rPr>
        <w:t xml:space="preserve">PRIVILEGED &amp; CONFIDENTIAL | ATTORNEY WORK PRODUCT | PREPARED IN ANTICIPATION OF LITIGATION</w:t>
      </w:r>
    </w:p>
    <w:p>
      <w:pPr>
        <w:pStyle w:val="BodyText"/>
      </w:pPr>
      <w:r>
        <w:rPr>
          <w:b/>
          <w:bCs/>
        </w:rPr>
        <w:t xml:space="preserve">TO:</w:t>
      </w:r>
      <w:r>
        <w:t xml:space="preserve"> </w:t>
      </w:r>
      <w:r>
        <w:t xml:space="preserve">Elena Marchetti, Partner; Jonathan Hsieh, Senior Associate — Whitfield &amp; Crane LLP</w:t>
      </w:r>
    </w:p>
    <w:p>
      <w:pPr>
        <w:pStyle w:val="BodyText"/>
      </w:pPr>
      <w:r>
        <w:rPr>
          <w:b/>
          <w:bCs/>
        </w:rPr>
        <w:t xml:space="preserve">FROM:</w:t>
      </w:r>
      <w:r>
        <w:t xml:space="preserve"> </w:t>
      </w:r>
      <w:r>
        <w:t xml:space="preserve">[Associate], Whitfield &amp; Crane LLP</w:t>
      </w:r>
    </w:p>
    <w:p>
      <w:pPr>
        <w:pStyle w:val="BodyText"/>
      </w:pPr>
      <w:r>
        <w:rPr>
          <w:b/>
          <w:bCs/>
        </w:rPr>
        <w:t xml:space="preserve">DATE:</w:t>
      </w:r>
      <w:r>
        <w:t xml:space="preserve"> </w:t>
      </w:r>
      <w:r>
        <w:t xml:space="preserve">October 28, 2024</w:t>
      </w:r>
    </w:p>
    <w:p>
      <w:pPr>
        <w:pStyle w:val="BodyText"/>
      </w:pPr>
      <w:r>
        <w:rPr>
          <w:b/>
          <w:bCs/>
        </w:rPr>
        <w:t xml:space="preserve">RE:</w:t>
      </w:r>
      <w:r>
        <w:t xml:space="preserve"> </w:t>
      </w:r>
      <w:r>
        <w:t xml:space="preserve">Governance Diligence — Proposed Acquisition of Terravox Systems, Inc. by Hargrove Capital Partners III, L.P. (Reverse Triangular Merger; EV $485 million)</w:t>
      </w:r>
    </w:p>
    <w:p>
      <w:pPr>
        <w:pStyle w:val="BodyText"/>
      </w:pPr>
      <w:r>
        <w:rPr>
          <w:b/>
          <w:bCs/>
        </w:rPr>
        <w:t xml:space="preserve">MATTER:</w:t>
      </w:r>
      <w:r>
        <w:t xml:space="preserve"> </w:t>
      </w:r>
      <w:r>
        <w:t xml:space="preserve">Hargrove Capital Partners III, L.P. — Terravox Acquisition</w:t>
      </w:r>
    </w:p>
    <w:bookmarkEnd w:id="20"/>
    <w:p>
      <w:r>
        <w:pict>
          <v:rect style="width:0;height:1.5pt" o:hralign="center" o:hrstd="t" o:hr="t"/>
        </w:pict>
      </w:r>
    </w:p>
    <w:bookmarkStart w:id="23" w:name="i.-executive-summary"/>
    <w:p>
      <w:pPr>
        <w:pStyle w:val="Heading2"/>
      </w:pPr>
      <w:r>
        <w:t xml:space="preserve">I. Executive Summary</w:t>
      </w:r>
    </w:p>
    <w:p>
      <w:pPr>
        <w:pStyle w:val="FirstParagraph"/>
      </w:pPr>
      <w:r>
        <w:t xml:space="preserve">This memorandum summarizes our review of the governance documents of Terravox Systems, Inc. (</w:t>
      </w:r>
      <w:r>
        <w:t xml:space="preserve">“</w:t>
      </w:r>
      <w:r>
        <w:t xml:space="preserve">Terravox</w:t>
      </w:r>
      <w:r>
        <w:t xml:space="preserve">”</w:t>
      </w:r>
      <w:r>
        <w:t xml:space="preserve"> </w:t>
      </w:r>
      <w:r>
        <w:t xml:space="preserve">or the</w:t>
      </w:r>
      <w:r>
        <w:t xml:space="preserve"> </w:t>
      </w:r>
      <w:r>
        <w:t xml:space="preserve">“</w:t>
      </w:r>
      <w:r>
        <w:t xml:space="preserve">Company</w:t>
      </w:r>
      <w:r>
        <w:t xml:space="preserve">”</w:t>
      </w:r>
      <w:r>
        <w:t xml:space="preserve">) in connection with the proposed acquisition of 100% of the Company’s outstanding equity by Hargrove Capital Partners III, L.P. (</w:t>
      </w:r>
      <w:r>
        <w:t xml:space="preserve">“</w:t>
      </w:r>
      <w:r>
        <w:t xml:space="preserve">Hargrove</w:t>
      </w:r>
      <w:r>
        <w:t xml:space="preserve">”</w:t>
      </w:r>
      <w:r>
        <w:t xml:space="preserve"> </w:t>
      </w:r>
      <w:r>
        <w:t xml:space="preserve">or</w:t>
      </w:r>
      <w:r>
        <w:t xml:space="preserve"> </w:t>
      </w:r>
      <w:r>
        <w:t xml:space="preserve">“</w:t>
      </w:r>
      <w:r>
        <w:t xml:space="preserve">Buyer</w:t>
      </w:r>
      <w:r>
        <w:t xml:space="preserve">”</w:t>
      </w:r>
      <w:r>
        <w:t xml:space="preserve">), structured as a reverse triangular merger at an enterprise value of $485 million (equity value approximately $473 million). The transaction is being led on the Company side by a Special Committee of the Board and the Company’s financial advisor, Meridian Partners LLC. Target closing is Q1 2025.</w:t>
      </w:r>
    </w:p>
    <w:p>
      <w:pPr>
        <w:pStyle w:val="BodyText"/>
      </w:pPr>
      <w:r>
        <w:t xml:space="preserve">As requested, the memorandum is organized around the ten diligence areas you identified, with the leverage held by Stonemill Capital Partners Fund VI, LP (</w:t>
      </w:r>
      <w:r>
        <w:t xml:space="preserve">“</w:t>
      </w:r>
      <w:r>
        <w:t xml:space="preserve">Stonemill</w:t>
      </w:r>
      <w:r>
        <w:t xml:space="preserve">”</w:t>
      </w:r>
      <w:r>
        <w:t xml:space="preserve">) — the Series C lead investor and the client’s principal concern — treated as the throughline of the analysis.</w:t>
      </w:r>
    </w:p>
    <w:bookmarkStart w:id="21" w:name="key-findings"/>
    <w:p>
      <w:pPr>
        <w:pStyle w:val="Heading3"/>
      </w:pPr>
      <w:r>
        <w:t xml:space="preserve">Key Findings</w:t>
      </w:r>
    </w:p>
    <w:p>
      <w:pPr>
        <w:numPr>
          <w:ilvl w:val="0"/>
          <w:numId w:val="1001"/>
        </w:numPr>
      </w:pPr>
      <w:r>
        <w:rPr>
          <w:b/>
          <w:bCs/>
        </w:rPr>
        <w:t xml:space="preserve">Stonemill holds a hard, charter-level blocking right over the transaction.</w:t>
      </w:r>
      <w:r>
        <w:t xml:space="preserve"> </w:t>
      </w:r>
      <w:r>
        <w:t xml:space="preserve">The Restated Certificate grants the holders of Series C Preferred Stock a separate-class protective provision requiring the consent of holders of at least 66⅔% of the Series C (voting as a separate class) to effect any</w:t>
      </w:r>
      <w:r>
        <w:t xml:space="preserve"> </w:t>
      </w:r>
      <w:r>
        <w:t xml:space="preserve">“</w:t>
      </w:r>
      <w:r>
        <w:t xml:space="preserve">Liquidation Event,</w:t>
      </w:r>
      <w:r>
        <w:t xml:space="preserve">”</w:t>
      </w:r>
      <w:r>
        <w:t xml:space="preserve"> </w:t>
      </w:r>
      <w:r>
        <w:t xml:space="preserve">which expressly includes the reverse triangular merger. Stonemill holds 100% of the outstanding Series C Preferred Stock (7,800,000 shares). The 66⅔% threshold (5,200,000 shares) therefore</w:t>
      </w:r>
      <w:r>
        <w:t xml:space="preserve"> </w:t>
      </w:r>
      <w:r>
        <w:rPr>
          <w:b/>
          <w:bCs/>
        </w:rPr>
        <w:t xml:space="preserve">cannot be satisfied without Stonemill’s affirmative consent</w:t>
      </w:r>
      <w:r>
        <w:t xml:space="preserve">. This is the single most important fact in the diligence record.</w:t>
      </w:r>
      <w:r>
        <w:t xml:space="preserve"> </w:t>
      </w:r>
      <w:r>
        <w:rPr>
          <w:i/>
          <w:iCs/>
        </w:rPr>
        <w:t xml:space="preserve">(Severity: Critical — Areas 1, 2)</w:t>
      </w:r>
    </w:p>
    <w:p>
      <w:pPr>
        <w:numPr>
          <w:ilvl w:val="0"/>
          <w:numId w:val="1001"/>
        </w:numPr>
      </w:pPr>
      <w:r>
        <w:rPr>
          <w:b/>
          <w:bCs/>
        </w:rPr>
        <w:t xml:space="preserve">The drag-along in the Stockholders’ Agreement provides a</w:t>
      </w:r>
      <w:r>
        <w:rPr>
          <w:b/>
          <w:bCs/>
        </w:rPr>
        <w:t xml:space="preserve"> </w:t>
      </w:r>
      <w:r>
        <w:rPr>
          <w:b/>
          <w:bCs/>
          <w:i/>
          <w:iCs/>
        </w:rPr>
        <w:t xml:space="preserve">potential</w:t>
      </w:r>
      <w:r>
        <w:rPr>
          <w:b/>
          <w:bCs/>
        </w:rPr>
        <w:t xml:space="preserve"> </w:t>
      </w:r>
      <w:r>
        <w:rPr>
          <w:b/>
          <w:bCs/>
        </w:rPr>
        <w:t xml:space="preserve">— but legally uncertain — path to compel Stonemill.</w:t>
      </w:r>
      <w:r>
        <w:t xml:space="preserve"> </w:t>
      </w:r>
      <w:r>
        <w:t xml:space="preserve">The drag-along can be triggered without Stonemill’s vote (Ridgeline + Northbridge satisfy the Preferred-majority and</w:t>
      </w:r>
      <w:r>
        <w:t xml:space="preserve"> </w:t>
      </w:r>
      <w:r>
        <w:t xml:space="preserve">“</w:t>
      </w:r>
      <w:r>
        <w:t xml:space="preserve">2-of-3-investor</w:t>
      </w:r>
      <w:r>
        <w:t xml:space="preserve">”</w:t>
      </w:r>
      <w:r>
        <w:t xml:space="preserve"> </w:t>
      </w:r>
      <w:r>
        <w:t xml:space="preserve">prongs), and, if triggered, purports to compel all party stockholders — including Stonemill — to vote in favor and to grant an irrevocable proxy to that effect.</w:t>
      </w:r>
      <w:r>
        <w:t xml:space="preserve"> </w:t>
      </w:r>
      <w:r>
        <w:rPr>
          <w:b/>
          <w:bCs/>
        </w:rPr>
        <w:t xml:space="preserve">Whether a contractual drag-along can be used to satisfy (or override) a charter-level separate-class protective provision is a contested question under Delaware law.</w:t>
      </w:r>
      <w:r>
        <w:t xml:space="preserve"> </w:t>
      </w:r>
      <w:r>
        <w:t xml:space="preserve">This is the central legal issue in the transaction and the principal determinant of whether the deal can close over Stonemill’s objection.</w:t>
      </w:r>
      <w:r>
        <w:t xml:space="preserve"> </w:t>
      </w:r>
      <w:r>
        <w:rPr>
          <w:i/>
          <w:iCs/>
        </w:rPr>
        <w:t xml:space="preserve">(Severity: Critical — Area 2)</w:t>
      </w:r>
    </w:p>
    <w:p>
      <w:pPr>
        <w:numPr>
          <w:ilvl w:val="0"/>
          <w:numId w:val="1001"/>
        </w:numPr>
      </w:pPr>
      <w:r>
        <w:rPr>
          <w:b/>
          <w:bCs/>
        </w:rPr>
        <w:t xml:space="preserve">A live exclusivity obligation to SensorLink Technologies may conflict with signing a definitive agreement with Hargrove.</w:t>
      </w:r>
      <w:r>
        <w:t xml:space="preserve"> </w:t>
      </w:r>
      <w:r>
        <w:t xml:space="preserve">The SensorLink LOI contains an auto-renewal clause; the Company cannot confirm whether a termination notice was sent before the September 8, 2024 expiration. If no notice was sent, the exclusivity auto-renewed and may remain in effect. This is time-sensitive and could impede signing.</w:t>
      </w:r>
      <w:r>
        <w:t xml:space="preserve"> </w:t>
      </w:r>
      <w:r>
        <w:rPr>
          <w:i/>
          <w:iCs/>
        </w:rPr>
        <w:t xml:space="preserve">(Severity: Critical — Area 8)</w:t>
      </w:r>
    </w:p>
    <w:p>
      <w:pPr>
        <w:numPr>
          <w:ilvl w:val="0"/>
          <w:numId w:val="1001"/>
        </w:numPr>
      </w:pPr>
      <w:r>
        <w:rPr>
          <w:b/>
          <w:bCs/>
        </w:rPr>
        <w:t xml:space="preserve">The $12 million Clearfield National Bank term loan appears to have been incurred without the Preferred Stockholder consent required by the charter.</w:t>
      </w:r>
      <w:r>
        <w:t xml:space="preserve"> </w:t>
      </w:r>
      <w:r>
        <w:t xml:space="preserve">Section 4.3.6(a)(v) of the Restated Certificate requires majority-of-Preferred consent for borrowed-money indebtedness exceeding $5 million. The October 2023 Board minutes reflect Board approval but no Preferred Stockholder consent.</w:t>
      </w:r>
      <w:r>
        <w:t xml:space="preserve"> </w:t>
      </w:r>
      <w:r>
        <w:rPr>
          <w:i/>
          <w:iCs/>
        </w:rPr>
        <w:t xml:space="preserve">(Severity: Significant — Area 8)</w:t>
      </w:r>
    </w:p>
    <w:p>
      <w:pPr>
        <w:numPr>
          <w:ilvl w:val="0"/>
          <w:numId w:val="1001"/>
        </w:numPr>
      </w:pPr>
      <w:r>
        <w:rPr>
          <w:b/>
          <w:bCs/>
        </w:rPr>
        <w:t xml:space="preserve">The Special Committee includes a director (Sandra Okafor) who is not disinterested.</w:t>
      </w:r>
      <w:r>
        <w:t xml:space="preserve"> </w:t>
      </w:r>
      <w:r>
        <w:t xml:space="preserve">Ms. Okafor is Northbridge Growth Equity’s designee and a Principal at Northbridge, which holds Series B Preferred with a $48.1 million liquidation preference. Her service on a sale-of-control special committee creates an independence vulnerability that Stonemill could exploit to challenge the sale process.</w:t>
      </w:r>
      <w:r>
        <w:t xml:space="preserve"> </w:t>
      </w:r>
      <w:r>
        <w:rPr>
          <w:i/>
          <w:iCs/>
        </w:rPr>
        <w:t xml:space="preserve">(Severity: Significant — Area 9)</w:t>
      </w:r>
    </w:p>
    <w:p>
      <w:pPr>
        <w:numPr>
          <w:ilvl w:val="0"/>
          <w:numId w:val="1001"/>
        </w:numPr>
      </w:pPr>
      <w:r>
        <w:rPr>
          <w:b/>
          <w:bCs/>
        </w:rPr>
        <w:t xml:space="preserve">The Registration Rights Agreement may not cleanly terminate at closing.</w:t>
      </w:r>
      <w:r>
        <w:t xml:space="preserve"> </w:t>
      </w:r>
      <w:r>
        <w:t xml:space="preserve">The RRA terminates upon</w:t>
      </w:r>
      <w:r>
        <w:t xml:space="preserve"> </w:t>
      </w:r>
      <w:r>
        <w:t xml:space="preserve">“</w:t>
      </w:r>
      <w:r>
        <w:t xml:space="preserve">a Deemed Liquidation Event,</w:t>
      </w:r>
      <w:r>
        <w:t xml:space="preserve">”</w:t>
      </w:r>
      <w:r>
        <w:t xml:space="preserve"> </w:t>
      </w:r>
      <w:r>
        <w:t xml:space="preserve">but that term is</w:t>
      </w:r>
      <w:r>
        <w:t xml:space="preserve"> </w:t>
      </w:r>
      <w:r>
        <w:rPr>
          <w:b/>
          <w:bCs/>
        </w:rPr>
        <w:t xml:space="preserve">undefined</w:t>
      </w:r>
      <w:r>
        <w:t xml:space="preserve"> </w:t>
      </w:r>
      <w:r>
        <w:t xml:space="preserve">in the RRA and is not cross-referenced to the charter’s</w:t>
      </w:r>
      <w:r>
        <w:t xml:space="preserve"> </w:t>
      </w:r>
      <w:r>
        <w:t xml:space="preserve">“</w:t>
      </w:r>
      <w:r>
        <w:t xml:space="preserve">Liquidation Event.</w:t>
      </w:r>
      <w:r>
        <w:t xml:space="preserve">”</w:t>
      </w:r>
      <w:r>
        <w:t xml:space="preserve"> </w:t>
      </w:r>
      <w:r>
        <w:t xml:space="preserve">Registration rights could arguably survive the merger, creating a post-closing liability.</w:t>
      </w:r>
      <w:r>
        <w:t xml:space="preserve"> </w:t>
      </w:r>
      <w:r>
        <w:rPr>
          <w:i/>
          <w:iCs/>
        </w:rPr>
        <w:t xml:space="preserve">(Severity: Significant — Areas 6, 10)</w:t>
      </w:r>
    </w:p>
    <w:p>
      <w:pPr>
        <w:numPr>
          <w:ilvl w:val="0"/>
          <w:numId w:val="1001"/>
        </w:numPr>
      </w:pPr>
      <w:r>
        <w:rPr>
          <w:b/>
          <w:bCs/>
        </w:rPr>
        <w:t xml:space="preserve">The Board’s waterfall analysis (as reflected in the September 25, 2024 minutes) appears to overstate Series C’s as-converted outcome.</w:t>
      </w:r>
      <w:r>
        <w:t xml:space="preserve"> </w:t>
      </w:r>
      <w:r>
        <w:t xml:space="preserve">The minutes state that all preferred holders would receive more than their liquidation preferences</w:t>
      </w:r>
      <w:r>
        <w:t xml:space="preserve"> </w:t>
      </w:r>
      <w:r>
        <w:t xml:space="preserve">“</w:t>
      </w:r>
      <w:r>
        <w:t xml:space="preserve">on an as-converted basis.</w:t>
      </w:r>
      <w:r>
        <w:t xml:space="preserve">”</w:t>
      </w:r>
      <w:r>
        <w:t xml:space="preserve"> </w:t>
      </w:r>
      <w:r>
        <w:t xml:space="preserve">Because the Series C liquidation preference ($18.50/share) exceeds the as-converted per-share value (~$13.95), Series C is economically better off</w:t>
      </w:r>
      <w:r>
        <w:t xml:space="preserve"> </w:t>
      </w:r>
      <w:r>
        <w:rPr>
          <w:b/>
          <w:bCs/>
        </w:rPr>
        <w:t xml:space="preserve">taking its preference</w:t>
      </w:r>
      <w:r>
        <w:t xml:space="preserve"> </w:t>
      </w:r>
      <w:r>
        <w:t xml:space="preserve">than converting. The correct waterfall gives Series C $18.50/share and the remaining classes ~$12.59/share. This affects the fairness analysis and the consent solicitation.</w:t>
      </w:r>
      <w:r>
        <w:t xml:space="preserve"> </w:t>
      </w:r>
      <w:r>
        <w:rPr>
          <w:i/>
          <w:iCs/>
        </w:rPr>
        <w:t xml:space="preserve">(Severity: Significant — Areas 1, 9)</w:t>
      </w:r>
    </w:p>
    <w:p>
      <w:pPr>
        <w:numPr>
          <w:ilvl w:val="0"/>
          <w:numId w:val="1001"/>
        </w:numPr>
      </w:pPr>
      <w:r>
        <w:rPr>
          <w:b/>
          <w:bCs/>
        </w:rPr>
        <w:t xml:space="preserve">Material document gaps remain.</w:t>
      </w:r>
      <w:r>
        <w:t xml:space="preserve"> </w:t>
      </w:r>
      <w:r>
        <w:t xml:space="preserve">We have not received the 2021 Equity Incentive Plan, individual award agreements, or any stockholder consent records. These are needed to quantify change-of-control acceleration, confirm the equity plan share-reserve increase was validly authorized, and confirm the Clearfield loan consent.</w:t>
      </w:r>
      <w:r>
        <w:t xml:space="preserve"> </w:t>
      </w:r>
      <w:r>
        <w:rPr>
          <w:i/>
          <w:iCs/>
        </w:rPr>
        <w:t xml:space="preserve">(Severity: Significant — Areas 7, 8)</w:t>
      </w:r>
    </w:p>
    <w:bookmarkEnd w:id="21"/>
    <w:bookmarkStart w:id="22" w:name="bottom-line"/>
    <w:p>
      <w:pPr>
        <w:pStyle w:val="Heading3"/>
      </w:pPr>
      <w:r>
        <w:t xml:space="preserve">Bottom Line</w:t>
      </w:r>
    </w:p>
    <w:p>
      <w:pPr>
        <w:pStyle w:val="FirstParagraph"/>
      </w:pPr>
      <w:r>
        <w:t xml:space="preserve">There is</w:t>
      </w:r>
      <w:r>
        <w:t xml:space="preserve"> </w:t>
      </w:r>
      <w:r>
        <w:rPr>
          <w:b/>
          <w:bCs/>
        </w:rPr>
        <w:t xml:space="preserve">no clean path to closing without either (a) Stonemill’s voluntary consent or (b) a successful enforcement of the drag-along to compel Stonemill’s Series C vote.</w:t>
      </w:r>
      <w:r>
        <w:t xml:space="preserve"> </w:t>
      </w:r>
      <w:r>
        <w:t xml:space="preserve">The all-Preferred protective provision and the DGCL §251 stockholder vote can both be satisfied without Stonemill (the former narrowly, via Ridgeline + Northbridge). The Series C separate-class vote cannot. The drag-along is the only mechanism that could theoretically deliver Stonemill’s consent involuntarily, and its effectiveness against the charter protective provision is uncertain and likely to be litigated. We recommend pursuing Stonemill’s consent in parallel while preparing the drag-along enforcement strategy, and addressing the SensorLink exclusivity issue immediately.</w:t>
      </w:r>
    </w:p>
    <w:p>
      <w:r>
        <w:pict>
          <v:rect style="width:0;height:1.5pt" o:hralign="center" o:hrstd="t" o:hr="t"/>
        </w:pict>
      </w:r>
    </w:p>
    <w:bookmarkEnd w:id="22"/>
    <w:bookmarkEnd w:id="23"/>
    <w:bookmarkStart w:id="27" w:name="X88eb8b56709cd39480e6482745b3f62f2061f84"/>
    <w:p>
      <w:pPr>
        <w:pStyle w:val="Heading2"/>
      </w:pPr>
      <w:r>
        <w:t xml:space="preserve">II. Transaction Overview and Document Inventory</w:t>
      </w:r>
    </w:p>
    <w:bookmarkStart w:id="24" w:name="a.-transaction-structure"/>
    <w:p>
      <w:pPr>
        <w:pStyle w:val="Heading3"/>
      </w:pPr>
      <w:r>
        <w:t xml:space="preserve">A. Transaction Structure</w:t>
      </w:r>
    </w:p>
    <w:p>
      <w:pPr>
        <w:pStyle w:val="FirstParagraph"/>
      </w:pPr>
      <w:r>
        <w:t xml:space="preserve">Hargrove will form a wholly-owned acquisition subsidiary (</w:t>
      </w:r>
      <w:r>
        <w:t xml:space="preserve">“</w:t>
      </w:r>
      <w:r>
        <w:t xml:space="preserve">Merger Sub</w:t>
      </w:r>
      <w:r>
        <w:t xml:space="preserve">”</w:t>
      </w:r>
      <w:r>
        <w:t xml:space="preserve">) that will merge with and into Terravox, with Terravox surviving as a wholly-owned subsidiary of Hargrove. All outstanding equity interests of Terravox (Common Stock and all series of Preferred Stock) will be cancelled and converted into the right to receive cash merger consideration. Enterprise value is $485 million; with approximately $12 million of outstanding indebtedness (Clearfield National Bank term loan), implied equity value is approximately $473 million. Implied multiples: ~3.81x FY2023 revenue ($127.3 million) and ~15.25x FY2023 Adjusted EBITDA ($31.8 million).</w:t>
      </w:r>
    </w:p>
    <w:bookmarkEnd w:id="24"/>
    <w:bookmarkStart w:id="25" w:name="b.-documents-reviewed"/>
    <w:p>
      <w:pPr>
        <w:pStyle w:val="Heading3"/>
      </w:pPr>
      <w:r>
        <w:t xml:space="preserve">B. Documents Reviewed</w:t>
      </w:r>
    </w:p>
    <w:tbl>
      <w:tblPr>
        <w:tblStyle w:val="Table"/>
        <w:tblW w:type="pct" w:w="5000"/>
        <w:jc w:val="left"/>
        <w:tblLayout w:type="fixed"/>
        <w:tblLook w:firstRow="1" w:lastRow="0" w:firstColumn="0" w:lastColumn="0" w:noHBand="0" w:noVBand="0" w:val="0020"/>
      </w:tblPr>
      <w:tblGrid>
        <w:gridCol w:w="1250"/>
        <w:gridCol w:w="4168"/>
        <w:gridCol w:w="2501"/>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r>
      <w:tr>
        <w:tc>
          <w:tcPr/>
          <w:p>
            <w:pPr>
              <w:pStyle w:val="Compact"/>
              <w:jc w:val="left"/>
            </w:pPr>
            <w:r>
              <w:t xml:space="preserve">1</w:t>
            </w:r>
          </w:p>
        </w:tc>
        <w:tc>
          <w:tcPr/>
          <w:p>
            <w:pPr>
              <w:pStyle w:val="Compact"/>
              <w:jc w:val="left"/>
            </w:pPr>
            <w:r>
              <w:t xml:space="preserve">Third Amended and Restated Certificate of Incorporation (</w:t>
            </w:r>
            <w:r>
              <w:t xml:space="preserve">“</w:t>
            </w:r>
            <w:r>
              <w:t xml:space="preserve">Restated Certificate</w:t>
            </w:r>
            <w:r>
              <w:t xml:space="preserve">”</w:t>
            </w:r>
            <w:r>
              <w:t xml:space="preserve">)</w:t>
            </w:r>
          </w:p>
        </w:tc>
        <w:tc>
          <w:tcPr/>
          <w:p>
            <w:pPr>
              <w:pStyle w:val="Compact"/>
              <w:jc w:val="left"/>
            </w:pPr>
            <w:r>
              <w:t xml:space="preserve">Nov. 3, 2021</w:t>
            </w:r>
          </w:p>
        </w:tc>
      </w:tr>
      <w:tr>
        <w:tc>
          <w:tcPr/>
          <w:p>
            <w:pPr>
              <w:pStyle w:val="Compact"/>
              <w:jc w:val="left"/>
            </w:pPr>
            <w:r>
              <w:t xml:space="preserve">2</w:t>
            </w:r>
          </w:p>
        </w:tc>
        <w:tc>
          <w:tcPr/>
          <w:p>
            <w:pPr>
              <w:pStyle w:val="Compact"/>
              <w:jc w:val="left"/>
            </w:pPr>
            <w:r>
              <w:t xml:space="preserve">Amended and Restated Bylaws (</w:t>
            </w:r>
            <w:r>
              <w:t xml:space="preserve">“</w:t>
            </w:r>
            <w:r>
              <w:t xml:space="preserve">Bylaws</w:t>
            </w:r>
            <w:r>
              <w:t xml:space="preserve">”</w:t>
            </w:r>
            <w:r>
              <w:t xml:space="preserve">)</w:t>
            </w:r>
          </w:p>
        </w:tc>
        <w:tc>
          <w:tcPr/>
          <w:p>
            <w:pPr>
              <w:pStyle w:val="Compact"/>
              <w:jc w:val="left"/>
            </w:pPr>
            <w:r>
              <w:t xml:space="preserve">Nov. 3, 2021</w:t>
            </w:r>
          </w:p>
        </w:tc>
      </w:tr>
      <w:tr>
        <w:tc>
          <w:tcPr/>
          <w:p>
            <w:pPr>
              <w:pStyle w:val="Compact"/>
              <w:jc w:val="left"/>
            </w:pPr>
            <w:r>
              <w:t xml:space="preserve">3</w:t>
            </w:r>
          </w:p>
        </w:tc>
        <w:tc>
          <w:tcPr/>
          <w:p>
            <w:pPr>
              <w:pStyle w:val="Compact"/>
              <w:jc w:val="left"/>
            </w:pPr>
            <w:r>
              <w:t xml:space="preserve">Stockholders’ Agreement (</w:t>
            </w:r>
            <w:r>
              <w:t xml:space="preserve">“</w:t>
            </w:r>
            <w:r>
              <w:t xml:space="preserve">SHA</w:t>
            </w:r>
            <w:r>
              <w:t xml:space="preserve">”</w:t>
            </w:r>
            <w:r>
              <w:t xml:space="preserve">)</w:t>
            </w:r>
          </w:p>
        </w:tc>
        <w:tc>
          <w:tcPr/>
          <w:p>
            <w:pPr>
              <w:pStyle w:val="Compact"/>
              <w:jc w:val="left"/>
            </w:pPr>
            <w:r>
              <w:t xml:space="preserve">Nov. 3, 2021</w:t>
            </w:r>
          </w:p>
        </w:tc>
      </w:tr>
      <w:tr>
        <w:tc>
          <w:tcPr/>
          <w:p>
            <w:pPr>
              <w:pStyle w:val="Compact"/>
              <w:jc w:val="left"/>
            </w:pPr>
            <w:r>
              <w:t xml:space="preserve">4</w:t>
            </w:r>
          </w:p>
        </w:tc>
        <w:tc>
          <w:tcPr/>
          <w:p>
            <w:pPr>
              <w:pStyle w:val="Compact"/>
              <w:jc w:val="left"/>
            </w:pPr>
            <w:r>
              <w:t xml:space="preserve">Voting Agreement (</w:t>
            </w:r>
            <w:r>
              <w:t xml:space="preserve">“</w:t>
            </w:r>
            <w:r>
              <w:t xml:space="preserve">VA</w:t>
            </w:r>
            <w:r>
              <w:t xml:space="preserve">”</w:t>
            </w:r>
            <w:r>
              <w:t xml:space="preserve">)</w:t>
            </w:r>
          </w:p>
        </w:tc>
        <w:tc>
          <w:tcPr/>
          <w:p>
            <w:pPr>
              <w:pStyle w:val="Compact"/>
              <w:jc w:val="left"/>
            </w:pPr>
            <w:r>
              <w:t xml:space="preserve">Nov. 3, 2021</w:t>
            </w:r>
          </w:p>
        </w:tc>
      </w:tr>
      <w:tr>
        <w:tc>
          <w:tcPr/>
          <w:p>
            <w:pPr>
              <w:pStyle w:val="Compact"/>
              <w:jc w:val="left"/>
            </w:pPr>
            <w:r>
              <w:t xml:space="preserve">5</w:t>
            </w:r>
          </w:p>
        </w:tc>
        <w:tc>
          <w:tcPr/>
          <w:p>
            <w:pPr>
              <w:pStyle w:val="Compact"/>
              <w:jc w:val="left"/>
            </w:pPr>
            <w:r>
              <w:t xml:space="preserve">Registration Rights Agreement (</w:t>
            </w:r>
            <w:r>
              <w:t xml:space="preserve">“</w:t>
            </w:r>
            <w:r>
              <w:t xml:space="preserve">RRA</w:t>
            </w:r>
            <w:r>
              <w:t xml:space="preserve">”</w:t>
            </w:r>
            <w:r>
              <w:t xml:space="preserve">)</w:t>
            </w:r>
          </w:p>
        </w:tc>
        <w:tc>
          <w:tcPr/>
          <w:p>
            <w:pPr>
              <w:pStyle w:val="Compact"/>
              <w:jc w:val="left"/>
            </w:pPr>
            <w:r>
              <w:t xml:space="preserve">Nov. 3, 2021</w:t>
            </w:r>
          </w:p>
        </w:tc>
      </w:tr>
      <w:tr>
        <w:tc>
          <w:tcPr/>
          <w:p>
            <w:pPr>
              <w:pStyle w:val="Compact"/>
              <w:jc w:val="left"/>
            </w:pPr>
            <w:r>
              <w:t xml:space="preserve">6</w:t>
            </w:r>
          </w:p>
        </w:tc>
        <w:tc>
          <w:tcPr/>
          <w:p>
            <w:pPr>
              <w:pStyle w:val="Compact"/>
              <w:jc w:val="left"/>
            </w:pPr>
            <w:r>
              <w:t xml:space="preserve">Board Minutes, January 2023 – September 2024 (8 meetings)</w:t>
            </w:r>
          </w:p>
        </w:tc>
        <w:tc>
          <w:tcPr/>
          <w:p>
            <w:pPr>
              <w:pStyle w:val="Compact"/>
              <w:jc w:val="left"/>
            </w:pPr>
            <w:r>
              <w:t xml:space="preserve">various</w:t>
            </w:r>
          </w:p>
        </w:tc>
      </w:tr>
    </w:tbl>
    <w:bookmarkEnd w:id="25"/>
    <w:bookmarkStart w:id="26" w:name="X8adc481a6b15c13a27fd318233aa2f6ad5fcdc2"/>
    <w:p>
      <w:pPr>
        <w:pStyle w:val="Heading3"/>
      </w:pPr>
      <w:r>
        <w:t xml:space="preserve">C. Documents Not Yet Received (Requested — see Section XVII)</w:t>
      </w:r>
    </w:p>
    <w:p>
      <w:pPr>
        <w:pStyle w:val="Compact"/>
        <w:numPr>
          <w:ilvl w:val="0"/>
          <w:numId w:val="1002"/>
        </w:numPr>
      </w:pPr>
      <w:r>
        <w:t xml:space="preserve">2021 Equity Incentive Plan (as amended July 2023) and all individual award agreements (option agreements, RSU agreements);</w:t>
      </w:r>
    </w:p>
    <w:p>
      <w:pPr>
        <w:pStyle w:val="Compact"/>
        <w:numPr>
          <w:ilvl w:val="0"/>
          <w:numId w:val="1002"/>
        </w:numPr>
      </w:pPr>
      <w:r>
        <w:t xml:space="preserve">Stockholder written-consent records (for the Clearfield term loan, the equity plan amendment, and any other actions requiring Preferred consent);</w:t>
      </w:r>
    </w:p>
    <w:p>
      <w:pPr>
        <w:pStyle w:val="Compact"/>
        <w:numPr>
          <w:ilvl w:val="0"/>
          <w:numId w:val="1002"/>
        </w:numPr>
      </w:pPr>
      <w:r>
        <w:t xml:space="preserve">The SensorLink Technologies LOI and any related correspondence/termination notices;</w:t>
      </w:r>
    </w:p>
    <w:p>
      <w:pPr>
        <w:pStyle w:val="Compact"/>
        <w:numPr>
          <w:ilvl w:val="0"/>
          <w:numId w:val="1002"/>
        </w:numPr>
      </w:pPr>
      <w:r>
        <w:t xml:space="preserve">Indemnification agreements with directors and officers (referenced in Bylaws §6.4);</w:t>
      </w:r>
    </w:p>
    <w:p>
      <w:pPr>
        <w:pStyle w:val="Compact"/>
        <w:numPr>
          <w:ilvl w:val="0"/>
          <w:numId w:val="1002"/>
        </w:numPr>
      </w:pPr>
      <w:r>
        <w:t xml:space="preserve">Any separate</w:t>
      </w:r>
      <w:r>
        <w:t xml:space="preserve"> </w:t>
      </w:r>
      <w:r>
        <w:t xml:space="preserve">“</w:t>
      </w:r>
      <w:r>
        <w:t xml:space="preserve">Investors’ Rights Agreement</w:t>
      </w:r>
      <w:r>
        <w:t xml:space="preserve">”</w:t>
      </w:r>
      <w:r>
        <w:t xml:space="preserve"> </w:t>
      </w:r>
      <w:r>
        <w:t xml:space="preserve">or</w:t>
      </w:r>
      <w:r>
        <w:t xml:space="preserve"> </w:t>
      </w:r>
      <w:r>
        <w:t xml:space="preserve">“</w:t>
      </w:r>
      <w:r>
        <w:t xml:space="preserve">Right of First Refusal and Co-Sale Agreement</w:t>
      </w:r>
      <w:r>
        <w:t xml:space="preserve">”</w:t>
      </w:r>
      <w:r>
        <w:t xml:space="preserve"> </w:t>
      </w:r>
      <w:r>
        <w:t xml:space="preserve">referenced in the Board minutes’ preamble (see Area 6).</w:t>
      </w:r>
    </w:p>
    <w:p>
      <w:r>
        <w:pict>
          <v:rect style="width:0;height:1.5pt" o:hralign="center" o:hrstd="t" o:hr="t"/>
        </w:pict>
      </w:r>
    </w:p>
    <w:bookmarkEnd w:id="26"/>
    <w:bookmarkEnd w:id="27"/>
    <w:bookmarkStart w:id="28" w:name="X256685ce8c1f76e8ef0dc498e54946c7375c395"/>
    <w:p>
      <w:pPr>
        <w:pStyle w:val="Heading2"/>
      </w:pPr>
      <w:r>
        <w:t xml:space="preserve">III. Capitalization and Liquidation Waterfall (Background)</w:t>
      </w:r>
    </w:p>
    <w:p>
      <w:pPr>
        <w:pStyle w:val="FirstParagraph"/>
      </w:pPr>
      <w:r>
        <w:t xml:space="preserve">The following table reflects the Company’s capitalization as of the date of the SHA (Exhibit B), on a fully diluted basis. All series of Preferred Stock convert into Common Stock at the initial 1:1 conversion rate (Original Issue Price = initial Conversion Price).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Stockholder</w:t>
            </w:r>
          </w:p>
        </w:tc>
        <w:tc>
          <w:tcPr/>
          <w:p>
            <w:pPr>
              <w:pStyle w:val="Compact"/>
              <w:jc w:val="left"/>
            </w:pPr>
            <w:r>
              <w:t xml:space="preserve">Class</w:t>
            </w:r>
          </w:p>
        </w:tc>
        <w:tc>
          <w:tcPr/>
          <w:p>
            <w:pPr>
              <w:pStyle w:val="Compact"/>
              <w:jc w:val="left"/>
            </w:pPr>
            <w:r>
              <w:t xml:space="preserve">Shares</w:t>
            </w:r>
          </w:p>
        </w:tc>
        <w:tc>
          <w:tcPr/>
          <w:p>
            <w:pPr>
              <w:pStyle w:val="Compact"/>
              <w:jc w:val="left"/>
            </w:pPr>
            <w:r>
              <w:t xml:space="preserve">% (FD)</w:t>
            </w:r>
          </w:p>
        </w:tc>
      </w:tr>
      <w:tr>
        <w:tc>
          <w:tcPr/>
          <w:p>
            <w:pPr>
              <w:pStyle w:val="Compact"/>
              <w:jc w:val="left"/>
            </w:pPr>
            <w:r>
              <w:t xml:space="preserve">Marcus Ellery</w:t>
            </w:r>
          </w:p>
        </w:tc>
        <w:tc>
          <w:tcPr/>
          <w:p>
            <w:pPr>
              <w:pStyle w:val="Compact"/>
              <w:jc w:val="left"/>
            </w:pPr>
            <w:r>
              <w:t xml:space="preserve">Common</w:t>
            </w:r>
          </w:p>
        </w:tc>
        <w:tc>
          <w:tcPr/>
          <w:p>
            <w:pPr>
              <w:pStyle w:val="Compact"/>
              <w:jc w:val="left"/>
            </w:pPr>
            <w:r>
              <w:t xml:space="preserve">4,200,000</w:t>
            </w:r>
          </w:p>
        </w:tc>
        <w:tc>
          <w:tcPr/>
          <w:p>
            <w:pPr>
              <w:pStyle w:val="Compact"/>
              <w:jc w:val="left"/>
            </w:pPr>
            <w:r>
              <w:t xml:space="preserve">~12.4%</w:t>
            </w:r>
          </w:p>
        </w:tc>
      </w:tr>
      <w:tr>
        <w:tc>
          <w:tcPr/>
          <w:p>
            <w:pPr>
              <w:pStyle w:val="Compact"/>
              <w:jc w:val="left"/>
            </w:pPr>
            <w:r>
              <w:t xml:space="preserve">Priya Chandrasekaran</w:t>
            </w:r>
          </w:p>
        </w:tc>
        <w:tc>
          <w:tcPr/>
          <w:p>
            <w:pPr>
              <w:pStyle w:val="Compact"/>
              <w:jc w:val="left"/>
            </w:pPr>
            <w:r>
              <w:t xml:space="preserve">Common</w:t>
            </w:r>
          </w:p>
        </w:tc>
        <w:tc>
          <w:tcPr/>
          <w:p>
            <w:pPr>
              <w:pStyle w:val="Compact"/>
              <w:jc w:val="left"/>
            </w:pPr>
            <w:r>
              <w:t xml:space="preserve">3,100,000</w:t>
            </w:r>
          </w:p>
        </w:tc>
        <w:tc>
          <w:tcPr/>
          <w:p>
            <w:pPr>
              <w:pStyle w:val="Compact"/>
              <w:jc w:val="left"/>
            </w:pPr>
            <w:r>
              <w:t xml:space="preserve">~9.1%</w:t>
            </w:r>
          </w:p>
        </w:tc>
      </w:tr>
      <w:tr>
        <w:tc>
          <w:tcPr/>
          <w:p>
            <w:pPr>
              <w:pStyle w:val="Compact"/>
              <w:jc w:val="left"/>
            </w:pPr>
            <w:r>
              <w:t xml:space="preserve">Ridgeline Ventures Fund II, LP</w:t>
            </w:r>
          </w:p>
        </w:tc>
        <w:tc>
          <w:tcPr/>
          <w:p>
            <w:pPr>
              <w:pStyle w:val="Compact"/>
              <w:jc w:val="left"/>
            </w:pPr>
            <w:r>
              <w:t xml:space="preserve">Series A Preferred</w:t>
            </w:r>
          </w:p>
        </w:tc>
        <w:tc>
          <w:tcPr/>
          <w:p>
            <w:pPr>
              <w:pStyle w:val="Compact"/>
              <w:jc w:val="left"/>
            </w:pPr>
            <w:r>
              <w:t xml:space="preserve">3,500,000</w:t>
            </w:r>
          </w:p>
        </w:tc>
        <w:tc>
          <w:tcPr/>
          <w:p>
            <w:pPr>
              <w:pStyle w:val="Compact"/>
              <w:jc w:val="left"/>
            </w:pPr>
            <w:r>
              <w:t xml:space="preserve">~10.3%</w:t>
            </w:r>
          </w:p>
        </w:tc>
      </w:tr>
      <w:tr>
        <w:tc>
          <w:tcPr/>
          <w:p>
            <w:pPr>
              <w:pStyle w:val="Compact"/>
              <w:jc w:val="left"/>
            </w:pPr>
            <w:r>
              <w:t xml:space="preserve">Northbridge Growth Equity Fund IV, LP</w:t>
            </w:r>
          </w:p>
        </w:tc>
        <w:tc>
          <w:tcPr/>
          <w:p>
            <w:pPr>
              <w:pStyle w:val="Compact"/>
              <w:jc w:val="left"/>
            </w:pPr>
            <w:r>
              <w:t xml:space="preserve">Series B Preferred</w:t>
            </w:r>
          </w:p>
        </w:tc>
        <w:tc>
          <w:tcPr/>
          <w:p>
            <w:pPr>
              <w:pStyle w:val="Compact"/>
              <w:jc w:val="left"/>
            </w:pPr>
            <w:r>
              <w:t xml:space="preserve">5,200,000</w:t>
            </w:r>
          </w:p>
        </w:tc>
        <w:tc>
          <w:tcPr/>
          <w:p>
            <w:pPr>
              <w:pStyle w:val="Compact"/>
              <w:jc w:val="left"/>
            </w:pPr>
            <w:r>
              <w:t xml:space="preserve">~15.3%</w:t>
            </w:r>
          </w:p>
        </w:tc>
      </w:tr>
      <w:tr>
        <w:tc>
          <w:tcPr/>
          <w:p>
            <w:pPr>
              <w:pStyle w:val="Compact"/>
              <w:jc w:val="left"/>
            </w:pPr>
            <w:r>
              <w:t xml:space="preserve">Stonemill Capital Partners Fund VI, LP</w:t>
            </w:r>
          </w:p>
        </w:tc>
        <w:tc>
          <w:tcPr/>
          <w:p>
            <w:pPr>
              <w:pStyle w:val="Compact"/>
              <w:jc w:val="left"/>
            </w:pPr>
            <w:r>
              <w:t xml:space="preserve">Series C Preferred</w:t>
            </w:r>
          </w:p>
        </w:tc>
        <w:tc>
          <w:tcPr/>
          <w:p>
            <w:pPr>
              <w:pStyle w:val="Compact"/>
              <w:jc w:val="left"/>
            </w:pPr>
            <w:r>
              <w:t xml:space="preserve">7,800,000</w:t>
            </w:r>
          </w:p>
        </w:tc>
        <w:tc>
          <w:tcPr/>
          <w:p>
            <w:pPr>
              <w:pStyle w:val="Compact"/>
              <w:jc w:val="left"/>
            </w:pPr>
            <w:r>
              <w:t xml:space="preserve">~23.0%</w:t>
            </w:r>
          </w:p>
        </w:tc>
      </w:tr>
      <w:tr>
        <w:tc>
          <w:tcPr/>
          <w:p>
            <w:pPr>
              <w:pStyle w:val="Compact"/>
              <w:jc w:val="left"/>
            </w:pPr>
            <w:r>
              <w:t xml:space="preserve">Other Common / Option Pool</w:t>
            </w:r>
          </w:p>
        </w:tc>
        <w:tc>
          <w:tcPr/>
          <w:p>
            <w:pPr>
              <w:pStyle w:val="Compact"/>
              <w:jc w:val="left"/>
            </w:pPr>
            <w:r>
              <w:t xml:space="preserve">Common / Options / RSUs</w:t>
            </w:r>
          </w:p>
        </w:tc>
        <w:tc>
          <w:tcPr/>
          <w:p>
            <w:pPr>
              <w:pStyle w:val="Compact"/>
              <w:jc w:val="left"/>
            </w:pPr>
            <w:r>
              <w:t xml:space="preserve">10,100,000</w:t>
            </w:r>
          </w:p>
        </w:tc>
        <w:tc>
          <w:tcPr/>
          <w:p>
            <w:pPr>
              <w:pStyle w:val="Compact"/>
              <w:jc w:val="left"/>
            </w:pPr>
            <w:r>
              <w:t xml:space="preserve">~29.8%</w:t>
            </w:r>
          </w:p>
        </w:tc>
      </w:tr>
      <w:tr>
        <w:tc>
          <w:tcPr/>
          <w:p>
            <w:pPr>
              <w:pStyle w:val="Compact"/>
              <w:jc w:val="left"/>
            </w:pPr>
            <w:r>
              <w:rPr>
                <w:b/>
                <w:bCs/>
              </w:rPr>
              <w:t xml:space="preserve">Total (Fully Diluted)</w:t>
            </w:r>
          </w:p>
        </w:tc>
        <w:tc>
          <w:tcPr/>
          <w:p>
            <w:pPr>
              <w:pStyle w:val="Compact"/>
            </w:pPr>
          </w:p>
        </w:tc>
        <w:tc>
          <w:tcPr/>
          <w:p>
            <w:pPr>
              <w:pStyle w:val="Compact"/>
              <w:jc w:val="left"/>
            </w:pPr>
            <w:r>
              <w:rPr>
                <w:b/>
                <w:bCs/>
              </w:rPr>
              <w:t xml:space="preserve">33,900,000</w:t>
            </w:r>
          </w:p>
        </w:tc>
        <w:tc>
          <w:tcPr/>
          <w:p>
            <w:pPr>
              <w:pStyle w:val="Compact"/>
              <w:jc w:val="left"/>
            </w:pPr>
            <w:r>
              <w:rPr>
                <w:b/>
                <w:bCs/>
              </w:rPr>
              <w:t xml:space="preserve">100.0%</w:t>
            </w:r>
          </w:p>
        </w:tc>
      </w:tr>
    </w:tbl>
    <w:p>
      <w:pPr>
        <w:pStyle w:val="BodyText"/>
      </w:pPr>
      <w:r>
        <w:rPr>
          <w:b/>
          <w:bCs/>
        </w:rPr>
        <w:t xml:space="preserve">Liquidation preferences (non-participating; Restated Certificate §4.3.2):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Series</w:t>
            </w:r>
          </w:p>
        </w:tc>
        <w:tc>
          <w:tcPr/>
          <w:p>
            <w:pPr>
              <w:pStyle w:val="Compact"/>
              <w:jc w:val="left"/>
            </w:pPr>
            <w:r>
              <w:t xml:space="preserve">Original Issue Price</w:t>
            </w:r>
          </w:p>
        </w:tc>
        <w:tc>
          <w:tcPr/>
          <w:p>
            <w:pPr>
              <w:pStyle w:val="Compact"/>
              <w:jc w:val="left"/>
            </w:pPr>
            <w:r>
              <w:t xml:space="preserve">Shares Outstanding</w:t>
            </w:r>
          </w:p>
        </w:tc>
        <w:tc>
          <w:tcPr/>
          <w:p>
            <w:pPr>
              <w:pStyle w:val="Compact"/>
              <w:jc w:val="left"/>
            </w:pPr>
            <w:r>
              <w:t xml:space="preserve">Aggregate Preference</w:t>
            </w:r>
          </w:p>
        </w:tc>
      </w:tr>
      <w:tr>
        <w:tc>
          <w:tcPr/>
          <w:p>
            <w:pPr>
              <w:pStyle w:val="Compact"/>
              <w:jc w:val="left"/>
            </w:pPr>
            <w:r>
              <w:t xml:space="preserve">Series C</w:t>
            </w:r>
          </w:p>
        </w:tc>
        <w:tc>
          <w:tcPr/>
          <w:p>
            <w:pPr>
              <w:pStyle w:val="Compact"/>
              <w:jc w:val="left"/>
            </w:pPr>
            <w:r>
              <w:t xml:space="preserve">$18.50</w:t>
            </w:r>
          </w:p>
        </w:tc>
        <w:tc>
          <w:tcPr/>
          <w:p>
            <w:pPr>
              <w:pStyle w:val="Compact"/>
              <w:jc w:val="left"/>
            </w:pPr>
            <w:r>
              <w:t xml:space="preserve">7,800,000</w:t>
            </w:r>
          </w:p>
        </w:tc>
        <w:tc>
          <w:tcPr/>
          <w:p>
            <w:pPr>
              <w:pStyle w:val="Compact"/>
              <w:jc w:val="left"/>
            </w:pPr>
            <w:r>
              <w:t xml:space="preserve">$144,300,000</w:t>
            </w:r>
          </w:p>
        </w:tc>
      </w:tr>
      <w:tr>
        <w:tc>
          <w:tcPr/>
          <w:p>
            <w:pPr>
              <w:pStyle w:val="Compact"/>
              <w:jc w:val="left"/>
            </w:pPr>
            <w:r>
              <w:t xml:space="preserve">Series B</w:t>
            </w:r>
          </w:p>
        </w:tc>
        <w:tc>
          <w:tcPr/>
          <w:p>
            <w:pPr>
              <w:pStyle w:val="Compact"/>
              <w:jc w:val="left"/>
            </w:pPr>
            <w:r>
              <w:t xml:space="preserve">$9.25</w:t>
            </w:r>
          </w:p>
        </w:tc>
        <w:tc>
          <w:tcPr/>
          <w:p>
            <w:pPr>
              <w:pStyle w:val="Compact"/>
              <w:jc w:val="left"/>
            </w:pPr>
            <w:r>
              <w:t xml:space="preserve">5,200,000</w:t>
            </w:r>
          </w:p>
        </w:tc>
        <w:tc>
          <w:tcPr/>
          <w:p>
            <w:pPr>
              <w:pStyle w:val="Compact"/>
              <w:jc w:val="left"/>
            </w:pPr>
            <w:r>
              <w:t xml:space="preserve">$48,100,000</w:t>
            </w:r>
          </w:p>
        </w:tc>
      </w:tr>
      <w:tr>
        <w:tc>
          <w:tcPr/>
          <w:p>
            <w:pPr>
              <w:pStyle w:val="Compact"/>
              <w:jc w:val="left"/>
            </w:pPr>
            <w:r>
              <w:t xml:space="preserve">Series A</w:t>
            </w:r>
          </w:p>
        </w:tc>
        <w:tc>
          <w:tcPr/>
          <w:p>
            <w:pPr>
              <w:pStyle w:val="Compact"/>
              <w:jc w:val="left"/>
            </w:pPr>
            <w:r>
              <w:t xml:space="preserve">$4.00</w:t>
            </w:r>
          </w:p>
        </w:tc>
        <w:tc>
          <w:tcPr/>
          <w:p>
            <w:pPr>
              <w:pStyle w:val="Compact"/>
              <w:jc w:val="left"/>
            </w:pPr>
            <w:r>
              <w:t xml:space="preserve">3,500,000</w:t>
            </w:r>
          </w:p>
        </w:tc>
        <w:tc>
          <w:tcPr/>
          <w:p>
            <w:pPr>
              <w:pStyle w:val="Compact"/>
              <w:jc w:val="left"/>
            </w:pPr>
            <w:r>
              <w:t xml:space="preserve">$14,000,000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16,500,000</w:t>
            </w:r>
          </w:p>
        </w:tc>
        <w:tc>
          <w:tcPr/>
          <w:p>
            <w:pPr>
              <w:pStyle w:val="Compact"/>
              <w:jc w:val="left"/>
            </w:pPr>
            <w:r>
              <w:rPr>
                <w:b/>
                <w:bCs/>
              </w:rPr>
              <w:t xml:space="preserve">$206,400,000</w:t>
            </w:r>
          </w:p>
        </w:tc>
      </w:tr>
    </w:tbl>
    <w:p>
      <w:pPr>
        <w:pStyle w:val="BodyText"/>
      </w:pPr>
      <w:r>
        <w:t xml:space="preserve">Preferences are paid in priority order: Series C first, then Series B, then Series A. The Preferred is</w:t>
      </w:r>
      <w:r>
        <w:t xml:space="preserve"> </w:t>
      </w:r>
      <w:r>
        <w:rPr>
          <w:b/>
          <w:bCs/>
        </w:rPr>
        <w:t xml:space="preserve">non-participating</w:t>
      </w:r>
      <w:r>
        <w:t xml:space="preserve">: after payment of all preferences, remaining assets pass to Common, but each preferred holder may elect to convert in lieu of taking its preference and is deemed to elect whichever yields the greater per-share return (§4.3.2(b)).</w:t>
      </w:r>
    </w:p>
    <w:p>
      <w:pPr>
        <w:pStyle w:val="BodyText"/>
      </w:pPr>
      <w:r>
        <w:rPr>
          <w:b/>
          <w:bCs/>
        </w:rPr>
        <w:t xml:space="preserve">Waterfall at $473 million equity value.</w:t>
      </w:r>
      <w:r>
        <w:t xml:space="preserve"> </w:t>
      </w:r>
      <w:r>
        <w:t xml:space="preserve">Because the Series C preference ($18.50/share) exceeds the as-converted per-share value (~$13.95 if all preferred converted), Series C is economically better off</w:t>
      </w:r>
      <w:r>
        <w:t xml:space="preserve"> </w:t>
      </w:r>
      <w:r>
        <w:rPr>
          <w:b/>
          <w:bCs/>
        </w:rPr>
        <w:t xml:space="preserve">taking its preference</w:t>
      </w:r>
      <w:r>
        <w:t xml:space="preserve"> </w:t>
      </w:r>
      <w:r>
        <w:t xml:space="preserve">than converting. The remaining classes convert. The resulting waterfall (on a fully diluted basis) is approximately: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Class</w:t>
            </w:r>
          </w:p>
        </w:tc>
        <w:tc>
          <w:tcPr/>
          <w:p>
            <w:pPr>
              <w:pStyle w:val="Compact"/>
              <w:jc w:val="left"/>
            </w:pPr>
            <w:r>
              <w:t xml:space="preserve">Per-Share Consideration</w:t>
            </w:r>
          </w:p>
        </w:tc>
        <w:tc>
          <w:tcPr/>
          <w:p>
            <w:pPr>
              <w:pStyle w:val="Compact"/>
              <w:jc w:val="left"/>
            </w:pPr>
            <w:r>
              <w:t xml:space="preserve">Aggregate</w:t>
            </w:r>
          </w:p>
        </w:tc>
      </w:tr>
      <w:tr>
        <w:tc>
          <w:tcPr/>
          <w:p>
            <w:pPr>
              <w:pStyle w:val="Compact"/>
              <w:jc w:val="left"/>
            </w:pPr>
            <w:r>
              <w:t xml:space="preserve">Series C (takes preference)</w:t>
            </w:r>
          </w:p>
        </w:tc>
        <w:tc>
          <w:tcPr/>
          <w:p>
            <w:pPr>
              <w:pStyle w:val="Compact"/>
              <w:jc w:val="left"/>
            </w:pPr>
            <w:r>
              <w:t xml:space="preserve">$18.50</w:t>
            </w:r>
          </w:p>
        </w:tc>
        <w:tc>
          <w:tcPr/>
          <w:p>
            <w:pPr>
              <w:pStyle w:val="Compact"/>
              <w:jc w:val="left"/>
            </w:pPr>
            <w:r>
              <w:t xml:space="preserve">$144,300,000</w:t>
            </w:r>
          </w:p>
        </w:tc>
      </w:tr>
      <w:tr>
        <w:tc>
          <w:tcPr/>
          <w:p>
            <w:pPr>
              <w:pStyle w:val="Compact"/>
              <w:jc w:val="left"/>
            </w:pPr>
            <w:r>
              <w:t xml:space="preserve">Series B (converts)</w:t>
            </w:r>
          </w:p>
        </w:tc>
        <w:tc>
          <w:tcPr/>
          <w:p>
            <w:pPr>
              <w:pStyle w:val="Compact"/>
              <w:jc w:val="left"/>
            </w:pPr>
            <w:r>
              <w:t xml:space="preserve">~$12.59</w:t>
            </w:r>
          </w:p>
        </w:tc>
        <w:tc>
          <w:tcPr/>
          <w:p>
            <w:pPr>
              <w:pStyle w:val="Compact"/>
              <w:jc w:val="left"/>
            </w:pPr>
            <w:r>
              <w:t xml:space="preserve">~$65,500,000</w:t>
            </w:r>
          </w:p>
        </w:tc>
      </w:tr>
      <w:tr>
        <w:tc>
          <w:tcPr/>
          <w:p>
            <w:pPr>
              <w:pStyle w:val="Compact"/>
              <w:jc w:val="left"/>
            </w:pPr>
            <w:r>
              <w:t xml:space="preserve">Series A (converts)</w:t>
            </w:r>
          </w:p>
        </w:tc>
        <w:tc>
          <w:tcPr/>
          <w:p>
            <w:pPr>
              <w:pStyle w:val="Compact"/>
              <w:jc w:val="left"/>
            </w:pPr>
            <w:r>
              <w:t xml:space="preserve">~$12.59</w:t>
            </w:r>
          </w:p>
        </w:tc>
        <w:tc>
          <w:tcPr/>
          <w:p>
            <w:pPr>
              <w:pStyle w:val="Compact"/>
              <w:jc w:val="left"/>
            </w:pPr>
            <w:r>
              <w:t xml:space="preserve">~$44,100,000</w:t>
            </w:r>
          </w:p>
        </w:tc>
      </w:tr>
      <w:tr>
        <w:tc>
          <w:tcPr/>
          <w:p>
            <w:pPr>
              <w:pStyle w:val="Compact"/>
              <w:jc w:val="left"/>
            </w:pPr>
            <w:r>
              <w:t xml:space="preserve">Common (incl. option/RSU spread)</w:t>
            </w:r>
          </w:p>
        </w:tc>
        <w:tc>
          <w:tcPr/>
          <w:p>
            <w:pPr>
              <w:pStyle w:val="Compact"/>
              <w:jc w:val="left"/>
            </w:pPr>
            <w:r>
              <w:t xml:space="preserve">~$12.59</w:t>
            </w:r>
          </w:p>
        </w:tc>
        <w:tc>
          <w:tcPr/>
          <w:p>
            <w:pPr>
              <w:pStyle w:val="Compact"/>
              <w:jc w:val="left"/>
            </w:pPr>
            <w:r>
              <w:t xml:space="preserve">~$219,100,000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~$473,000,000</w:t>
            </w:r>
          </w:p>
        </w:tc>
      </w:tr>
    </w:tbl>
    <w:p>
      <w:pPr>
        <w:pStyle w:val="BodyText"/>
      </w:pPr>
      <w:r>
        <w:rPr>
          <w:i/>
          <w:iCs/>
        </w:rPr>
        <w:t xml:space="preserve">Note:</w:t>
      </w:r>
      <w:r>
        <w:t xml:space="preserve"> </w:t>
      </w:r>
      <w:r>
        <w:t xml:space="preserve">The September 25, 2024 Board minutes state that</w:t>
      </w:r>
      <w:r>
        <w:t xml:space="preserve"> </w:t>
      </w:r>
      <w:r>
        <w:t xml:space="preserve">“</w:t>
      </w:r>
      <w:r>
        <w:t xml:space="preserve">all holders of Preferred Stock would receive amounts in excess of their respective liquidation preferences on an as-converted basis, suggesting that participation on an as-converted basis would be economically favorable for all preferred holders.</w:t>
      </w:r>
      <w:r>
        <w:t xml:space="preserve">”</w:t>
      </w:r>
      <w:r>
        <w:t xml:space="preserve"> </w:t>
      </w:r>
      <w:r>
        <w:rPr>
          <w:b/>
          <w:bCs/>
        </w:rPr>
        <w:t xml:space="preserve">This statement is incorrect as to Series C.</w:t>
      </w:r>
      <w:r>
        <w:t xml:space="preserve"> </w:t>
      </w:r>
      <w:r>
        <w:t xml:space="preserve">Series C receives its $18.50 preference (not an as-converted amount), and as-converted participation ($13.95) would yield</w:t>
      </w:r>
      <w:r>
        <w:t xml:space="preserve"> </w:t>
      </w:r>
      <w:r>
        <w:rPr>
          <w:i/>
          <w:iCs/>
        </w:rPr>
        <w:t xml:space="preserve">less</w:t>
      </w:r>
      <w:r>
        <w:t xml:space="preserve"> </w:t>
      </w:r>
      <w:r>
        <w:t xml:space="preserve">than the preference. The error should be corrected before the fairness analysis and consent solicitation are finalized. The total consideration to Hargrove is unaffected (the waterfall is an internal allocation), but the per-class allocation and the fairness presentation are affected.</w:t>
      </w:r>
      <w:r>
        <w:t xml:space="preserve"> </w:t>
      </w:r>
      <w:r>
        <w:rPr>
          <w:i/>
          <w:iCs/>
        </w:rPr>
        <w:t xml:space="preserve">(See Areas 1 and 9.)</w:t>
      </w:r>
    </w:p>
    <w:p>
      <w:r>
        <w:pict>
          <v:rect style="width:0;height:1.5pt" o:hralign="center" o:hrstd="t" o:hr="t"/>
        </w:pict>
      </w:r>
    </w:p>
    <w:bookmarkEnd w:id="28"/>
    <w:bookmarkStart w:id="35" w:name="X369724edc836995650d77602119295b06982799"/>
    <w:p>
      <w:pPr>
        <w:pStyle w:val="Heading2"/>
      </w:pPr>
      <w:r>
        <w:t xml:space="preserve">IV. Area 1 — Change-of-Control Consent Requirements</w:t>
      </w:r>
    </w:p>
    <w:bookmarkStart w:id="29" w:name="a.-charter-protective-provisions"/>
    <w:p>
      <w:pPr>
        <w:pStyle w:val="Heading3"/>
      </w:pPr>
      <w:r>
        <w:t xml:space="preserve">A. Charter Protective Provisions</w:t>
      </w:r>
    </w:p>
    <w:p>
      <w:pPr>
        <w:pStyle w:val="FirstParagraph"/>
      </w:pPr>
      <w:r>
        <w:t xml:space="preserve">The Restated Certificate contains two layers of protective provisions that are directly triggered by the merger.</w:t>
      </w:r>
    </w:p>
    <w:p>
      <w:pPr>
        <w:pStyle w:val="BodyText"/>
      </w:pPr>
      <w:r>
        <w:rPr>
          <w:b/>
          <w:bCs/>
        </w:rPr>
        <w:t xml:space="preserve">1. All-Preferred protective provision (§4.3.6(a)(vi)).</w:t>
      </w:r>
      <w:r>
        <w:t xml:space="preserve"> </w:t>
      </w:r>
      <w:r>
        <w:t xml:space="preserve">So long as any Preferred is outstanding, the Company may not</w:t>
      </w:r>
      <w:r>
        <w:t xml:space="preserve"> </w:t>
      </w:r>
      <w:r>
        <w:t xml:space="preserve">“</w:t>
      </w:r>
      <w:r>
        <w:t xml:space="preserve">effect any Liquidation Event</w:t>
      </w:r>
      <w:r>
        <w:t xml:space="preserve">”</w:t>
      </w:r>
      <w:r>
        <w:t xml:space="preserve"> </w:t>
      </w:r>
      <w:r>
        <w:t xml:space="preserve">without the prior written consent or affirmative vote of holders of at least a</w:t>
      </w:r>
      <w:r>
        <w:t xml:space="preserve"> </w:t>
      </w:r>
      <w:r>
        <w:rPr>
          <w:b/>
          <w:bCs/>
        </w:rPr>
        <w:t xml:space="preserve">majority (greater than 50%) of the then-outstanding shares of Preferred Stock, voting together as a single class on an as-converted basis.</w:t>
      </w:r>
      <w:r>
        <w:t xml:space="preserve"> </w:t>
      </w:r>
      <w:r>
        <w:t xml:space="preserve">Based on 16,500,000 shares of Preferred outstanding, this requires the affirmative vote/consent of holders of</w:t>
      </w:r>
      <w:r>
        <w:t xml:space="preserve"> </w:t>
      </w:r>
      <w:r>
        <w:rPr>
          <w:b/>
          <w:bCs/>
        </w:rPr>
        <w:t xml:space="preserve">more than 8,250,000 shares</w:t>
      </w:r>
      <w:r>
        <w:t xml:space="preserve"> </w:t>
      </w:r>
      <w:r>
        <w:t xml:space="preserve">of Preferred (as-converted).</w:t>
      </w:r>
    </w:p>
    <w:p>
      <w:pPr>
        <w:pStyle w:val="BodyText"/>
      </w:pPr>
      <w:r>
        <w:rPr>
          <w:b/>
          <w:bCs/>
        </w:rPr>
        <w:t xml:space="preserve">2. Series C separate-class protective provision (§4.3.6(b)(i)).</w:t>
      </w:r>
      <w:r>
        <w:t xml:space="preserve"> </w:t>
      </w:r>
      <w:r>
        <w:t xml:space="preserve">So long as any Series C is outstanding, the Company may not</w:t>
      </w:r>
      <w:r>
        <w:t xml:space="preserve"> </w:t>
      </w:r>
      <w:r>
        <w:t xml:space="preserve">“</w:t>
      </w:r>
      <w:r>
        <w:t xml:space="preserve">effect any Liquidation Event</w:t>
      </w:r>
      <w:r>
        <w:t xml:space="preserve">”</w:t>
      </w:r>
      <w:r>
        <w:t xml:space="preserve"> </w:t>
      </w:r>
      <w:r>
        <w:t xml:space="preserve">without the prior written consent or affirmative vote of holders of at least</w:t>
      </w:r>
      <w:r>
        <w:t xml:space="preserve"> </w:t>
      </w:r>
      <w:r>
        <w:rPr>
          <w:b/>
          <w:bCs/>
        </w:rPr>
        <w:t xml:space="preserve">66⅔% of the then-outstanding shares of Series C Preferred Stock, voting as a separate class.</w:t>
      </w:r>
      <w:r>
        <w:t xml:space="preserve"> </w:t>
      </w:r>
      <w:r>
        <w:t xml:space="preserve">Based on 7,800,000 shares of Series C outstanding, this requires the affirmative vote/consent of holders of at least</w:t>
      </w:r>
      <w:r>
        <w:t xml:space="preserve"> </w:t>
      </w:r>
      <w:r>
        <w:rPr>
          <w:b/>
          <w:bCs/>
        </w:rPr>
        <w:t xml:space="preserve">5,200,000 shares</w:t>
      </w:r>
      <w:r>
        <w:t xml:space="preserve"> </w:t>
      </w:r>
      <w:r>
        <w:t xml:space="preserve">of Series C. The consent under §4.3.6(b) is</w:t>
      </w:r>
      <w:r>
        <w:t xml:space="preserve"> </w:t>
      </w:r>
      <w:r>
        <w:rPr>
          <w:b/>
          <w:bCs/>
        </w:rPr>
        <w:t xml:space="preserve">separate from and in addition to</w:t>
      </w:r>
      <w:r>
        <w:t xml:space="preserve"> </w:t>
      </w:r>
      <w:r>
        <w:t xml:space="preserve">the consent under §4.3.6(a); both must be independently obtained.</w:t>
      </w:r>
    </w:p>
    <w:p>
      <w:pPr>
        <w:pStyle w:val="BodyText"/>
      </w:pPr>
      <w:r>
        <w:rPr>
          <w:b/>
          <w:bCs/>
        </w:rPr>
        <w:t xml:space="preserve">3.</w:t>
      </w:r>
      <w:r>
        <w:rPr>
          <w:b/>
          <w:bCs/>
        </w:rPr>
        <w:t xml:space="preserve"> </w:t>
      </w:r>
      <w:r>
        <w:rPr>
          <w:b/>
          <w:bCs/>
        </w:rPr>
        <w:t xml:space="preserve">“</w:t>
      </w:r>
      <w:r>
        <w:rPr>
          <w:b/>
          <w:bCs/>
        </w:rPr>
        <w:t xml:space="preserve">Liquidation Event</w:t>
      </w:r>
      <w:r>
        <w:rPr>
          <w:b/>
          <w:bCs/>
        </w:rPr>
        <w:t xml:space="preserve">”</w:t>
      </w:r>
      <w:r>
        <w:rPr>
          <w:b/>
          <w:bCs/>
        </w:rPr>
        <w:t xml:space="preserve"> </w:t>
      </w:r>
      <w:r>
        <w:rPr>
          <w:b/>
          <w:bCs/>
        </w:rPr>
        <w:t xml:space="preserve">captures the reverse triangular merger (§4.3.2(d)).</w:t>
      </w:r>
      <w:r>
        <w:t xml:space="preserve"> </w:t>
      </w:r>
      <w:r>
        <w:t xml:space="preserve">A</w:t>
      </w:r>
      <w:r>
        <w:t xml:space="preserve"> </w:t>
      </w:r>
      <w:r>
        <w:t xml:space="preserve">“</w:t>
      </w:r>
      <w:r>
        <w:t xml:space="preserve">Liquidation Event</w:t>
      </w:r>
      <w:r>
        <w:t xml:space="preserve">”</w:t>
      </w:r>
      <w:r>
        <w:t xml:space="preserve"> </w:t>
      </w:r>
      <w:r>
        <w:t xml:space="preserve">includes</w:t>
      </w:r>
      <w:r>
        <w:t xml:space="preserve"> </w:t>
      </w:r>
      <w:r>
        <w:t xml:space="preserve">“</w:t>
      </w:r>
      <w:r>
        <w:t xml:space="preserve">any merger, consolidation, or other business combination of the Corporation with or into another entity (whether or not the Corporation is the surviving entity), other than a merger… in which the stockholders of the Corporation immediately prior to such transaction continue to hold at least fifty percent (50%) of the voting power of the surviving or resulting entity.</w:t>
      </w:r>
      <w:r>
        <w:t xml:space="preserve">”</w:t>
      </w:r>
      <w:r>
        <w:t xml:space="preserve"> </w:t>
      </w:r>
      <w:r>
        <w:t xml:space="preserve">In the Hargrove transaction, Terravox’s pre-merger stockholders will hold</w:t>
      </w:r>
      <w:r>
        <w:t xml:space="preserve"> </w:t>
      </w:r>
      <w:r>
        <w:rPr>
          <w:b/>
          <w:bCs/>
        </w:rPr>
        <w:t xml:space="preserve">0%</w:t>
      </w:r>
      <w:r>
        <w:t xml:space="preserve"> </w:t>
      </w:r>
      <w:r>
        <w:t xml:space="preserve">of the voting power of the surviving entity (Hargrove will own 100% of Terravox). The merger therefore falls squarely within §4.3.2(d)(i). Both protective provisions are triggered.</w:t>
      </w:r>
    </w:p>
    <w:p>
      <w:pPr>
        <w:pStyle w:val="BodyText"/>
      </w:pPr>
      <w:r>
        <w:rPr>
          <w:b/>
          <w:bCs/>
        </w:rPr>
        <w:t xml:space="preserve">4. Charter-amendment protective provision (§4.3.6(a)(i)) — potentially implicated.</w:t>
      </w:r>
      <w:r>
        <w:t xml:space="preserve"> </w:t>
      </w:r>
      <w:r>
        <w:t xml:space="preserve">If the merger agreement effects any amendment to the Restated Certificate that adversely affects the Preferred (e.g., as part of the certificate of merger), the majority-of-Preferred consent under §4.3.6(a)(i) would also be required. In a reverse triangular merger where Terravox survives as a subsidiary, the certificate of merger may amend Terravox’s charter; we should confirm whether any such amendment is contemplated and whether it is adverse to the Preferred. In any event, the §4.3.6(a)(vi) Liquidation Event consent subsumes the substantive veto.</w:t>
      </w:r>
    </w:p>
    <w:bookmarkEnd w:id="29"/>
    <w:bookmarkStart w:id="30" w:name="b.-statutory-requirements-dgcl-251"/>
    <w:p>
      <w:pPr>
        <w:pStyle w:val="Heading3"/>
      </w:pPr>
      <w:r>
        <w:t xml:space="preserve">B. Statutory Requirements (DGCL §251)</w:t>
      </w:r>
    </w:p>
    <w:p>
      <w:pPr>
        <w:pStyle w:val="FirstParagraph"/>
      </w:pPr>
      <w:r>
        <w:t xml:space="preserve">A reverse triangular merger under DGCL §251 requires (i) approval of the merger agreement by the Board of Directors, and (ii) approval by the affirmative vote of the holders of a</w:t>
      </w:r>
      <w:r>
        <w:t xml:space="preserve"> </w:t>
      </w:r>
      <w:r>
        <w:rPr>
          <w:b/>
          <w:bCs/>
        </w:rPr>
        <w:t xml:space="preserve">majority of the outstanding shares of stock entitled to vote</w:t>
      </w:r>
      <w:r>
        <w:t xml:space="preserve"> </w:t>
      </w:r>
      <w:r>
        <w:t xml:space="preserve">(§251(d)). Under the Restated Certificate (§4.2.1, §4.3.5), the Preferred votes with the Common on an as-converted basis as a single class. The §251(d) vote is therefore a single-class, as-converted majority vote of outstanding voting shares. (Unexercised options and unvested RSUs are not</w:t>
      </w:r>
      <w:r>
        <w:t xml:space="preserve"> </w:t>
      </w:r>
      <w:r>
        <w:t xml:space="preserve">“</w:t>
      </w:r>
      <w:r>
        <w:t xml:space="preserve">outstanding shares</w:t>
      </w:r>
      <w:r>
        <w:t xml:space="preserve">”</w:t>
      </w:r>
      <w:r>
        <w:t xml:space="preserve"> </w:t>
      </w:r>
      <w:r>
        <w:t xml:space="preserve">and do not vote; the precise denominator depends on the outstanding share count, which we have requested.)</w:t>
      </w:r>
    </w:p>
    <w:bookmarkEnd w:id="30"/>
    <w:bookmarkStart w:id="31" w:name="X3b8c36037ee5189f38ec2400ecbe19ea998028f"/>
    <w:p>
      <w:pPr>
        <w:pStyle w:val="Heading3"/>
      </w:pPr>
      <w:r>
        <w:t xml:space="preserve">C. Stockholders’ Agreement — Drag-Along (cross-reference to Area 2)</w:t>
      </w:r>
    </w:p>
    <w:p>
      <w:pPr>
        <w:pStyle w:val="FirstParagraph"/>
      </w:pPr>
      <w:r>
        <w:t xml:space="preserve">The SHA contains drag-along rights (Article 3) that, if validly triggered, obligate all party stockholders to vote in favor of a</w:t>
      </w:r>
      <w:r>
        <w:t xml:space="preserve"> </w:t>
      </w:r>
      <w:r>
        <w:t xml:space="preserve">“</w:t>
      </w:r>
      <w:r>
        <w:t xml:space="preserve">Sale of the Company.</w:t>
      </w:r>
      <w:r>
        <w:t xml:space="preserve">”</w:t>
      </w:r>
      <w:r>
        <w:t xml:space="preserve"> </w:t>
      </w:r>
      <w:r>
        <w:t xml:space="preserve">The merger is a</w:t>
      </w:r>
      <w:r>
        <w:t xml:space="preserve"> </w:t>
      </w:r>
      <w:r>
        <w:t xml:space="preserve">“</w:t>
      </w:r>
      <w:r>
        <w:t xml:space="preserve">Sale of the Company</w:t>
      </w:r>
      <w:r>
        <w:t xml:space="preserve">”</w:t>
      </w:r>
      <w:r>
        <w:t xml:space="preserve"> </w:t>
      </w:r>
      <w:r>
        <w:t xml:space="preserve">under the SHA definition (§1.1). The drag-along is analyzed in detail in Area 2.</w:t>
      </w:r>
    </w:p>
    <w:bookmarkEnd w:id="31"/>
    <w:bookmarkStart w:id="32" w:name="X55cc2f237445d14f624d0615509f2c8b19d8257"/>
    <w:p>
      <w:pPr>
        <w:pStyle w:val="Heading3"/>
      </w:pPr>
      <w:r>
        <w:t xml:space="preserve">D. Voting Agreement — No Merger Voting Obligation</w:t>
      </w:r>
    </w:p>
    <w:p>
      <w:pPr>
        <w:pStyle w:val="FirstParagraph"/>
      </w:pPr>
      <w:r>
        <w:t xml:space="preserve">The Voting Agreement (§3.2) expressly provides that it does</w:t>
      </w:r>
      <w:r>
        <w:t xml:space="preserve"> </w:t>
      </w:r>
      <w:r>
        <w:rPr>
          <w:b/>
          <w:bCs/>
        </w:rPr>
        <w:t xml:space="preserve">not</w:t>
      </w:r>
      <w:r>
        <w:t xml:space="preserve"> </w:t>
      </w:r>
      <w:r>
        <w:t xml:space="preserve">create any obligation to vote on a merger, sale of assets, or other corporate transaction. The VA’s voting obligations are limited to maintaining the Board composition specified in §2.2. Accordingly, the VA imposes</w:t>
      </w:r>
      <w:r>
        <w:t xml:space="preserve"> </w:t>
      </w:r>
      <w:r>
        <w:rPr>
          <w:b/>
          <w:bCs/>
        </w:rPr>
        <w:t xml:space="preserve">no separate consent requirement</w:t>
      </w:r>
      <w:r>
        <w:t xml:space="preserve"> </w:t>
      </w:r>
      <w:r>
        <w:t xml:space="preserve">for the merger itself (though it terminates upon a Sale of the Company — see Area 5).</w:t>
      </w:r>
    </w:p>
    <w:bookmarkEnd w:id="32"/>
    <w:bookmarkStart w:id="33" w:name="e.-consent-checklist"/>
    <w:p>
      <w:pPr>
        <w:pStyle w:val="Heading3"/>
      </w:pPr>
      <w:r>
        <w:t xml:space="preserve">E. Consent Checklist</w:t>
      </w:r>
    </w:p>
    <w:p>
      <w:pPr>
        <w:pStyle w:val="FirstParagraph"/>
      </w:pPr>
      <w:r>
        <w:t xml:space="preserve">The full Consent/Approval Matrix appears in Section XVI. In summary, the consents required to consummate the merger are:</w:t>
      </w:r>
    </w:p>
    <w:p>
      <w:pPr>
        <w:pStyle w:val="Compact"/>
        <w:numPr>
          <w:ilvl w:val="0"/>
          <w:numId w:val="1003"/>
        </w:numPr>
      </w:pPr>
      <w:r>
        <w:rPr>
          <w:b/>
          <w:bCs/>
        </w:rPr>
        <w:t xml:space="preserve">Board approval</w:t>
      </w:r>
      <w:r>
        <w:t xml:space="preserve"> </w:t>
      </w:r>
      <w:r>
        <w:t xml:space="preserve">of the definitive merger agreement (DGCL §251; partial — the Board authorized negotiation on Sept. 25, 2024, but final merger-agreement approval is still required);</w:t>
      </w:r>
    </w:p>
    <w:p>
      <w:pPr>
        <w:pStyle w:val="Compact"/>
        <w:numPr>
          <w:ilvl w:val="0"/>
          <w:numId w:val="1003"/>
        </w:numPr>
      </w:pPr>
      <w:r>
        <w:rPr>
          <w:b/>
          <w:bCs/>
        </w:rPr>
        <w:t xml:space="preserve">DGCL §251(d) stockholder vote</w:t>
      </w:r>
      <w:r>
        <w:t xml:space="preserve"> </w:t>
      </w:r>
      <w:r>
        <w:t xml:space="preserve">— majority of outstanding voting shares, as-converted, single class (not yet obtained; can likely be satisfied without Stonemill — see Area 2);</w:t>
      </w:r>
    </w:p>
    <w:p>
      <w:pPr>
        <w:pStyle w:val="Compact"/>
        <w:numPr>
          <w:ilvl w:val="0"/>
          <w:numId w:val="1003"/>
        </w:numPr>
      </w:pPr>
      <w:r>
        <w:rPr>
          <w:b/>
          <w:bCs/>
        </w:rPr>
        <w:t xml:space="preserve">All-Preferred consent (§4.3.6(a)(vi))</w:t>
      </w:r>
      <w:r>
        <w:t xml:space="preserve"> </w:t>
      </w:r>
      <w:r>
        <w:t xml:space="preserve">— majority of Preferred, as-converted, single class (&gt;8,250,000 shares) (not yet obtained;</w:t>
      </w:r>
      <w:r>
        <w:t xml:space="preserve"> </w:t>
      </w:r>
      <w:r>
        <w:rPr>
          <w:b/>
          <w:bCs/>
        </w:rPr>
        <w:t xml:space="preserve">can be satisfied without Stonemill</w:t>
      </w:r>
      <w:r>
        <w:t xml:space="preserve"> </w:t>
      </w:r>
      <w:r>
        <w:t xml:space="preserve">via Ridgeline + Northbridge = 8,700,000 shares);</w:t>
      </w:r>
    </w:p>
    <w:p>
      <w:pPr>
        <w:pStyle w:val="Compact"/>
        <w:numPr>
          <w:ilvl w:val="0"/>
          <w:numId w:val="1003"/>
        </w:numPr>
      </w:pPr>
      <w:r>
        <w:rPr>
          <w:b/>
          <w:bCs/>
        </w:rPr>
        <w:t xml:space="preserve">Series C separate-class consent (§4.3.6(b)(i))</w:t>
      </w:r>
      <w:r>
        <w:t xml:space="preserve"> </w:t>
      </w:r>
      <w:r>
        <w:t xml:space="preserve">— 66⅔% of Series C (≥5,200,000 Series C shares) (not yet obtained;</w:t>
      </w:r>
      <w:r>
        <w:t xml:space="preserve"> </w:t>
      </w:r>
      <w:r>
        <w:rPr>
          <w:b/>
          <w:bCs/>
        </w:rPr>
        <w:t xml:space="preserve">cannot be satisfied without Stonemill</w:t>
      </w:r>
      <w:r>
        <w:t xml:space="preserve">, which holds 100% of Series C); and</w:t>
      </w:r>
    </w:p>
    <w:p>
      <w:pPr>
        <w:pStyle w:val="Compact"/>
        <w:numPr>
          <w:ilvl w:val="0"/>
          <w:numId w:val="1003"/>
        </w:numPr>
      </w:pPr>
      <w:r>
        <w:rPr>
          <w:b/>
          <w:bCs/>
        </w:rPr>
        <w:t xml:space="preserve">Drag-along trigger (SHA §3.1)</w:t>
      </w:r>
      <w:r>
        <w:t xml:space="preserve"> </w:t>
      </w:r>
      <w:r>
        <w:t xml:space="preserve">— the only mechanism that could compel Stonemill’s Series C vote (see Area 2).</w:t>
      </w:r>
    </w:p>
    <w:bookmarkEnd w:id="33"/>
    <w:bookmarkStart w:id="34" w:name="f.-stonemill-leverage-assessment"/>
    <w:p>
      <w:pPr>
        <w:pStyle w:val="Heading3"/>
      </w:pPr>
      <w:r>
        <w:t xml:space="preserve">F. Stonemill Leverage Assessment</w:t>
      </w:r>
    </w:p>
    <w:p>
      <w:pPr>
        <w:pStyle w:val="FirstParagraph"/>
      </w:pPr>
      <w:r>
        <w:t xml:space="preserve">Stonemill’s leverage on the consent front is concentrated in item 4. The Series C separate-class vote is a</w:t>
      </w:r>
      <w:r>
        <w:t xml:space="preserve"> </w:t>
      </w:r>
      <w:r>
        <w:rPr>
          <w:b/>
          <w:bCs/>
        </w:rPr>
        <w:t xml:space="preserve">hard, non-waivable-by-others blocking right</w:t>
      </w:r>
      <w:r>
        <w:t xml:space="preserve">: no combination of other stockholders can supply the 5,200,000 Series C shares required, because Stonemill is the sole Series C holder. This was confirmed on the record by Julian Trask at the September 25, 2024 Board meeting. The all-Preferred vote (item 3) is the only consent Stonemill could</w:t>
      </w:r>
      <w:r>
        <w:t xml:space="preserve"> </w:t>
      </w:r>
      <w:r>
        <w:rPr>
          <w:i/>
          <w:iCs/>
        </w:rPr>
        <w:t xml:space="preserve">not</w:t>
      </w:r>
      <w:r>
        <w:t xml:space="preserve"> </w:t>
      </w:r>
      <w:r>
        <w:t xml:space="preserve">single-handedly block (Ridgeline + Northbridge exceed the threshold), but the Series C separate-class vote renders the all-Preferred vote moot as a practical matter — the deal cannot close without satisfying both.</w:t>
      </w:r>
    </w:p>
    <w:p>
      <w:r>
        <w:pict>
          <v:rect style="width:0;height:1.5pt" o:hralign="center" o:hrstd="t" o:hr="t"/>
        </w:pict>
      </w:r>
    </w:p>
    <w:bookmarkEnd w:id="34"/>
    <w:bookmarkEnd w:id="35"/>
    <w:bookmarkStart w:id="41" w:name="v.-area-2-drag-along-analysis"/>
    <w:p>
      <w:pPr>
        <w:pStyle w:val="Heading2"/>
      </w:pPr>
      <w:r>
        <w:t xml:space="preserve">V. Area 2 — Drag-Along Analysis</w:t>
      </w:r>
    </w:p>
    <w:bookmarkStart w:id="36" w:name="a.-the-three-pronged-trigger-sha-3.1a"/>
    <w:p>
      <w:pPr>
        <w:pStyle w:val="Heading3"/>
      </w:pPr>
      <w:r>
        <w:t xml:space="preserve">A. The Three-Pronged Trigger (SHA §3.1(a))</w:t>
      </w:r>
    </w:p>
    <w:p>
      <w:pPr>
        <w:pStyle w:val="FirstParagraph"/>
      </w:pPr>
      <w:r>
        <w:t xml:space="preserve">A</w:t>
      </w:r>
      <w:r>
        <w:t xml:space="preserve"> </w:t>
      </w:r>
      <w:r>
        <w:t xml:space="preserve">“</w:t>
      </w:r>
      <w:r>
        <w:t xml:space="preserve">Drag-Along Approval</w:t>
      </w:r>
      <w:r>
        <w:t xml:space="preserve">”</w:t>
      </w:r>
      <w:r>
        <w:t xml:space="preserve"> </w:t>
      </w:r>
      <w:r>
        <w:t xml:space="preserve">requires the satisfaction of</w:t>
      </w:r>
      <w:r>
        <w:t xml:space="preserve"> </w:t>
      </w:r>
      <w:r>
        <w:rPr>
          <w:b/>
          <w:bCs/>
        </w:rPr>
        <w:t xml:space="preserve">all three</w:t>
      </w:r>
      <w:r>
        <w:t xml:space="preserve"> </w:t>
      </w:r>
      <w:r>
        <w:t xml:space="preserve">of the following conditions:</w:t>
      </w:r>
    </w:p>
    <w:p>
      <w:pPr>
        <w:pStyle w:val="Compact"/>
        <w:numPr>
          <w:ilvl w:val="0"/>
          <w:numId w:val="1004"/>
        </w:numPr>
      </w:pPr>
      <w:r>
        <w:rPr>
          <w:b/>
          <w:bCs/>
        </w:rPr>
        <w:t xml:space="preserve">Common prong (§3.1(a)(i)):</w:t>
      </w:r>
      <w:r>
        <w:t xml:space="preserve"> </w:t>
      </w:r>
      <w:r>
        <w:t xml:space="preserve">approval by holders of at least a majority of the outstanding shares of Common Stock, calculated on an as-converted basis (treating each share of Preferred as converted);</w:t>
      </w:r>
    </w:p>
    <w:p>
      <w:pPr>
        <w:pStyle w:val="Compact"/>
        <w:numPr>
          <w:ilvl w:val="0"/>
          <w:numId w:val="1004"/>
        </w:numPr>
      </w:pPr>
      <w:r>
        <w:rPr>
          <w:b/>
          <w:bCs/>
        </w:rPr>
        <w:t xml:space="preserve">Preferred prong (§3.1(a)(ii)):</w:t>
      </w:r>
      <w:r>
        <w:t xml:space="preserve"> </w:t>
      </w:r>
      <w:r>
        <w:t xml:space="preserve">approval by holders of at least a majority of the outstanding shares of Preferred Stock, as-converted, voting together as a single class; and</w:t>
      </w:r>
    </w:p>
    <w:p>
      <w:pPr>
        <w:pStyle w:val="Compact"/>
        <w:numPr>
          <w:ilvl w:val="0"/>
          <w:numId w:val="1004"/>
        </w:numPr>
      </w:pPr>
      <w:r>
        <w:rPr>
          <w:b/>
          <w:bCs/>
        </w:rPr>
        <w:t xml:space="preserve">Investor prong (§3.1(a)(iii)):</w:t>
      </w:r>
      <w:r>
        <w:t xml:space="preserve"> </w:t>
      </w:r>
      <w:r>
        <w:t xml:space="preserve">approval by at least</w:t>
      </w:r>
      <w:r>
        <w:t xml:space="preserve"> </w:t>
      </w:r>
      <w:r>
        <w:rPr>
          <w:b/>
          <w:bCs/>
        </w:rPr>
        <w:t xml:space="preserve">two (2) of the three (3) Investor Stockholders</w:t>
      </w:r>
      <w:r>
        <w:t xml:space="preserve"> </w:t>
      </w:r>
      <w:r>
        <w:t xml:space="preserve">(Ridgeline, Northbridge, Stonemill).</w:t>
      </w:r>
    </w:p>
    <w:p>
      <w:pPr>
        <w:pStyle w:val="FirstParagraph"/>
      </w:pPr>
      <w:r>
        <w:t xml:space="preserve">If a Drag-Along Approval is obtained,</w:t>
      </w:r>
      <w:r>
        <w:t xml:space="preserve"> </w:t>
      </w:r>
      <w:r>
        <w:rPr>
          <w:b/>
          <w:bCs/>
        </w:rPr>
        <w:t xml:space="preserve">every</w:t>
      </w:r>
      <w:r>
        <w:t xml:space="preserve"> </w:t>
      </w:r>
      <w:r>
        <w:t xml:space="preserve">Restricted Stockholder (including those who did not vote in favor) must (A) vote all of its shares in favor of the Sale of the Company and any related required approval, (B) refrain from exercising appraisal/dissenters’ rights, (C) take all reasonably necessary actions to consummate the sale (including executing required agreements), and (D) refrain from impeding the transaction (§3.1(a)). Each party also granted an</w:t>
      </w:r>
      <w:r>
        <w:t xml:space="preserve"> </w:t>
      </w:r>
      <w:r>
        <w:rPr>
          <w:b/>
          <w:bCs/>
        </w:rPr>
        <w:t xml:space="preserve">irrevocable proxy</w:t>
      </w:r>
      <w:r>
        <w:t xml:space="preserve"> </w:t>
      </w:r>
      <w:r>
        <w:t xml:space="preserve">(coupled with an interest) to the holders constituting the Drag-Along Approval to vote its shares in favor (§3.3).</w:t>
      </w:r>
    </w:p>
    <w:bookmarkEnd w:id="36"/>
    <w:bookmarkStart w:id="37" w:name="Xaf9d6ea6c9a77d44ac521a9de399de568cdb5c3"/>
    <w:p>
      <w:pPr>
        <w:pStyle w:val="Heading3"/>
      </w:pPr>
      <w:r>
        <w:t xml:space="preserve">B. Can the Drag-Along Be Triggered Without Stonemill?</w:t>
      </w:r>
    </w:p>
    <w:p>
      <w:pPr>
        <w:pStyle w:val="FirstParagraph"/>
      </w:pPr>
      <w:r>
        <w:t xml:space="preserve">We analyze each prong assuming Stonemill does not participate.</w:t>
      </w:r>
    </w:p>
    <w:p>
      <w:pPr>
        <w:pStyle w:val="BodyText"/>
      </w:pPr>
      <w:r>
        <w:rPr>
          <w:b/>
          <w:bCs/>
        </w:rPr>
        <w:t xml:space="preserve">Investor prong (iii):</w:t>
      </w:r>
      <w:r>
        <w:t xml:space="preserve"> </w:t>
      </w:r>
      <w:r>
        <w:t xml:space="preserve">Two of three Investor Stockholders — Ridgeline and Northbridge — can approve without Stonemill.</w:t>
      </w:r>
      <w:r>
        <w:t xml:space="preserve"> </w:t>
      </w:r>
      <w:r>
        <w:rPr>
          <w:b/>
          <w:bCs/>
        </w:rPr>
        <w:t xml:space="preserve">Satisfied.</w:t>
      </w:r>
    </w:p>
    <w:p>
      <w:pPr>
        <w:pStyle w:val="BodyText"/>
      </w:pPr>
      <w:r>
        <w:rPr>
          <w:b/>
          <w:bCs/>
        </w:rPr>
        <w:t xml:space="preserve">Preferred prong (ii):</w:t>
      </w:r>
      <w:r>
        <w:t xml:space="preserve"> </w:t>
      </w:r>
      <w:r>
        <w:t xml:space="preserve">Majority of Preferred, as-converted (&gt;8,250,000 of 16,500,000). Ridgeline (3,500,000) + Northbridge (5,200,000) =</w:t>
      </w:r>
      <w:r>
        <w:t xml:space="preserve"> </w:t>
      </w:r>
      <w:r>
        <w:rPr>
          <w:b/>
          <w:bCs/>
        </w:rPr>
        <w:t xml:space="preserve">8,700,000</w:t>
      </w:r>
      <w:r>
        <w:t xml:space="preserve">, which exceeds 8,250,000 by 450,000 shares.</w:t>
      </w:r>
      <w:r>
        <w:t xml:space="preserve"> </w:t>
      </w:r>
      <w:r>
        <w:rPr>
          <w:b/>
          <w:bCs/>
        </w:rPr>
        <w:t xml:space="preserve">Satisfied without Stonemill, but by a thin margin.</w:t>
      </w:r>
      <w:r>
        <w:t xml:space="preserve"> </w:t>
      </w:r>
      <w:r>
        <w:t xml:space="preserve">(Note: this is the same threshold as the charter’s all-Preferred protective provision, §4.3.6(a)(vi).)</w:t>
      </w:r>
    </w:p>
    <w:p>
      <w:pPr>
        <w:pStyle w:val="BodyText"/>
      </w:pPr>
      <w:r>
        <w:rPr>
          <w:b/>
          <w:bCs/>
        </w:rPr>
        <w:t xml:space="preserve">Common prong (i):</w:t>
      </w:r>
      <w:r>
        <w:t xml:space="preserve"> </w:t>
      </w:r>
      <w:r>
        <w:t xml:space="preserve">Majority of Common, as-converted. The parties to the SHA (excluding Stonemill) hold: Founders (7,300,000) + Ridgeline (3,500,000) + Northbridge (5,200,000) =</w:t>
      </w:r>
      <w:r>
        <w:t xml:space="preserve"> </w:t>
      </w:r>
      <w:r>
        <w:rPr>
          <w:b/>
          <w:bCs/>
        </w:rPr>
        <w:t xml:space="preserve">16,000,000</w:t>
      </w:r>
      <w:r>
        <w:t xml:space="preserve"> </w:t>
      </w:r>
      <w:r>
        <w:t xml:space="preserve">shares (as-converted). The threshold is a majority of the outstanding Common (as-converted, treating Preferred as converted).</w:t>
      </w:r>
    </w:p>
    <w:p>
      <w:pPr>
        <w:pStyle w:val="Compact"/>
        <w:numPr>
          <w:ilvl w:val="0"/>
          <w:numId w:val="1005"/>
        </w:numPr>
      </w:pPr>
      <w:r>
        <w:t xml:space="preserve">If the denominator is the</w:t>
      </w:r>
      <w:r>
        <w:t xml:space="preserve"> </w:t>
      </w:r>
      <w:r>
        <w:rPr>
          <w:b/>
          <w:bCs/>
        </w:rPr>
        <w:t xml:space="preserve">fully diluted</w:t>
      </w:r>
      <w:r>
        <w:t xml:space="preserve"> </w:t>
      </w:r>
      <w:r>
        <w:t xml:space="preserve">count (33,900,000, including unexercised options and unvested RSUs), a majority is</w:t>
      </w:r>
      <w:r>
        <w:t xml:space="preserve"> </w:t>
      </w:r>
      <w:r>
        <w:rPr>
          <w:b/>
          <w:bCs/>
        </w:rPr>
        <w:t xml:space="preserve">&gt;16,950,000</w:t>
      </w:r>
      <w:r>
        <w:t xml:space="preserve">, and the party block (16,000,000) falls</w:t>
      </w:r>
      <w:r>
        <w:t xml:space="preserve"> </w:t>
      </w:r>
      <w:r>
        <w:rPr>
          <w:b/>
          <w:bCs/>
        </w:rPr>
        <w:t xml:space="preserve">short by approximately 950,000 shares</w:t>
      </w:r>
      <w:r>
        <w:t xml:space="preserve">. Triggering would require approximately 950,000+ additional shares from non-party common/option holders to vote in favor.</w:t>
      </w:r>
    </w:p>
    <w:p>
      <w:pPr>
        <w:pStyle w:val="Compact"/>
        <w:numPr>
          <w:ilvl w:val="0"/>
          <w:numId w:val="1005"/>
        </w:numPr>
      </w:pPr>
      <w:r>
        <w:t xml:space="preserve">If the denominator is</w:t>
      </w:r>
      <w:r>
        <w:t xml:space="preserve"> </w:t>
      </w:r>
      <w:r>
        <w:rPr>
          <w:b/>
          <w:bCs/>
        </w:rPr>
        <w:t xml:space="preserve">outstanding Common + Preferred (as-converted), excluding unexercised options/unvested RSUs</w:t>
      </w:r>
      <w:r>
        <w:t xml:space="preserve">, the denominator is smaller (the 10,100,000</w:t>
      </w:r>
      <w:r>
        <w:t xml:space="preserve"> </w:t>
      </w:r>
      <w:r>
        <w:t xml:space="preserve">“</w:t>
      </w:r>
      <w:r>
        <w:t xml:space="preserve">other</w:t>
      </w:r>
      <w:r>
        <w:t xml:space="preserve">”</w:t>
      </w:r>
      <w:r>
        <w:t xml:space="preserve"> </w:t>
      </w:r>
      <w:r>
        <w:t xml:space="preserve">block includes a substantial option/RSU overhang of roughly 7,000,000+ shares per the July 2023 minutes), and 16,000,000 may itself constitute a majority.</w:t>
      </w:r>
    </w:p>
    <w:p>
      <w:pPr>
        <w:pStyle w:val="FirstParagraph"/>
      </w:pPr>
      <w:r>
        <w:rPr>
          <w:b/>
          <w:bCs/>
        </w:rPr>
        <w:t xml:space="preserve">The interpretation of the Common-prong denominator is therefore decisive.</w:t>
      </w:r>
      <w:r>
        <w:t xml:space="preserve"> </w:t>
      </w:r>
      <w:r>
        <w:t xml:space="preserve">The SHA language (</w:t>
      </w:r>
      <w:r>
        <w:t xml:space="preserve">“</w:t>
      </w:r>
      <w:r>
        <w:t xml:space="preserve">outstanding shares of Common Stock… treating each share of Preferred Stock as having been converted</w:t>
      </w:r>
      <w:r>
        <w:t xml:space="preserve">”</w:t>
      </w:r>
      <w:r>
        <w:t xml:space="preserve">) does not expressly address unexercised options or unvested RSUs. This ambiguity should be resolved before relying on the drag-along. Under the fully-diluted reading, the drag-along cannot be triggered by the SHA parties alone and requires modest (but not assured) support from non-party common holders; under the outstanding-shares reading, the party block may suffice.</w:t>
      </w:r>
    </w:p>
    <w:p>
      <w:pPr>
        <w:pStyle w:val="BodyText"/>
      </w:pPr>
      <w:r>
        <w:rPr>
          <w:b/>
          <w:bCs/>
        </w:rPr>
        <w:t xml:space="preserve">Conclusion on trigger:</w:t>
      </w:r>
      <w:r>
        <w:t xml:space="preserve"> </w:t>
      </w:r>
      <w:r>
        <w:t xml:space="preserve">The drag-along</w:t>
      </w:r>
      <w:r>
        <w:t xml:space="preserve"> </w:t>
      </w:r>
      <w:r>
        <w:rPr>
          <w:b/>
          <w:bCs/>
        </w:rPr>
        <w:t xml:space="preserve">can be triggered without Stonemill</w:t>
      </w:r>
      <w:r>
        <w:t xml:space="preserve">, provided (a) Ridgeline, Northbridge, and both Founders all approve, and (b) either the denominator is interpreted to exclude unexercised options/RSUs, or at least ~950,000 non-party common shares vote in favor. The Preferred and Investor prongs are satisfied without Stonemill; the Common prong is the binding constraint.</w:t>
      </w:r>
    </w:p>
    <w:bookmarkEnd w:id="37"/>
    <w:bookmarkStart w:id="38" w:name="X74e459928c8b71914ef124ea8ee87eeed4fa0cf"/>
    <w:p>
      <w:pPr>
        <w:pStyle w:val="Heading3"/>
      </w:pPr>
      <w:r>
        <w:t xml:space="preserve">C. The Central Legal Question: Can the Drag-Along Compel Stonemill’s Series C Vote?</w:t>
      </w:r>
    </w:p>
    <w:p>
      <w:pPr>
        <w:pStyle w:val="FirstParagraph"/>
      </w:pPr>
      <w:r>
        <w:t xml:space="preserve">If the drag-along is triggered, it purports to compel Stonemill — as a party to the SHA — to vote its 7,800,000 Series C shares in favor of the merger and to refrain from exercising its charter protective-provision rights, and it grants the approving holders an irrevocable proxy to vote Stonemill’s shares. If enforceable, this would supply the very Series C consent that satisfies §4.3.6(b)(i) (7,800,000 &gt; 5,200,000) — i.e., the drag-along would not</w:t>
      </w:r>
      <w:r>
        <w:t xml:space="preserve"> </w:t>
      </w:r>
      <w:r>
        <w:t xml:space="preserve">“</w:t>
      </w:r>
      <w:r>
        <w:t xml:space="preserve">override</w:t>
      </w:r>
      <w:r>
        <w:t xml:space="preserve">”</w:t>
      </w:r>
      <w:r>
        <w:t xml:space="preserve"> </w:t>
      </w:r>
      <w:r>
        <w:t xml:space="preserve">the separate-class vote so much as</w:t>
      </w:r>
      <w:r>
        <w:t xml:space="preserve"> </w:t>
      </w:r>
      <w:r>
        <w:rPr>
          <w:b/>
          <w:bCs/>
        </w:rPr>
        <w:t xml:space="preserve">compel Stonemill to provide the consent that satisfies it</w:t>
      </w:r>
      <w:r>
        <w:t xml:space="preserve">.</w:t>
      </w:r>
    </w:p>
    <w:p>
      <w:pPr>
        <w:pStyle w:val="BodyText"/>
      </w:pPr>
      <w:r>
        <w:t xml:space="preserve">Whether this works is a contested question under Delaware law, with two principal lines of argument:</w:t>
      </w:r>
    </w:p>
    <w:p>
      <w:pPr>
        <w:pStyle w:val="BodyText"/>
      </w:pPr>
      <w:r>
        <w:rPr>
          <w:b/>
          <w:bCs/>
        </w:rPr>
        <w:t xml:space="preserve">Arguments favoring enforcement:</w:t>
      </w:r>
    </w:p>
    <w:p>
      <w:pPr>
        <w:pStyle w:val="Compact"/>
        <w:numPr>
          <w:ilvl w:val="0"/>
          <w:numId w:val="1006"/>
        </w:numPr>
      </w:pPr>
      <w:r>
        <w:t xml:space="preserve">The SHA is a valid voting agreement among stockholders, enforceable under DGCL §218(c), which provides that stockholder voting agreements</w:t>
      </w:r>
      <w:r>
        <w:t xml:space="preserve"> </w:t>
      </w:r>
      <w:r>
        <w:t xml:space="preserve">“</w:t>
      </w:r>
      <w:r>
        <w:t xml:space="preserve">shall be enforceable against the stockholders party to [them].</w:t>
      </w:r>
      <w:r>
        <w:t xml:space="preserve">”</w:t>
      </w:r>
      <w:r>
        <w:t xml:space="preserve"> </w:t>
      </w:r>
      <w:r>
        <w:t xml:space="preserve">Stonemill is a party and agreed to be bound.</w:t>
      </w:r>
    </w:p>
    <w:p>
      <w:pPr>
        <w:pStyle w:val="Compact"/>
        <w:numPr>
          <w:ilvl w:val="0"/>
          <w:numId w:val="1006"/>
        </w:numPr>
      </w:pPr>
      <w:r>
        <w:t xml:space="preserve">The drag-along expressly requires the dragged stockholder to vote in favor</w:t>
      </w:r>
      <w:r>
        <w:t xml:space="preserve"> </w:t>
      </w:r>
      <w:r>
        <w:t xml:space="preserve">“</w:t>
      </w:r>
      <w:r>
        <w:t xml:space="preserve">of any other matter required to be approved in connection with such Sale of the Company</w:t>
      </w:r>
      <w:r>
        <w:t xml:space="preserve">”</w:t>
      </w:r>
      <w:r>
        <w:t xml:space="preserve"> </w:t>
      </w:r>
      <w:r>
        <w:t xml:space="preserve">(§3.1(a)(A)) — language that can be read to encompass the Series C separate-class vote, which is a</w:t>
      </w:r>
      <w:r>
        <w:t xml:space="preserve"> </w:t>
      </w:r>
      <w:r>
        <w:t xml:space="preserve">“</w:t>
      </w:r>
      <w:r>
        <w:t xml:space="preserve">matter required to be approved.</w:t>
      </w:r>
      <w:r>
        <w:t xml:space="preserve">”</w:t>
      </w:r>
    </w:p>
    <w:p>
      <w:pPr>
        <w:pStyle w:val="Compact"/>
        <w:numPr>
          <w:ilvl w:val="0"/>
          <w:numId w:val="1006"/>
        </w:numPr>
      </w:pPr>
      <w:r>
        <w:t xml:space="preserve">The irrevocable proxy (§3.3), coupled with an interest, provides a self-executing enforcement mechanism that does not depend on Stonemill’s cooperation.</w:t>
      </w:r>
    </w:p>
    <w:p>
      <w:pPr>
        <w:pStyle w:val="Compact"/>
        <w:numPr>
          <w:ilvl w:val="0"/>
          <w:numId w:val="1006"/>
        </w:numPr>
      </w:pPr>
      <w:r>
        <w:t xml:space="preserve">Delaware courts have generally enforced drag-along provisions and stockholder voting agreements, including obligations to vote in favor of a merger and to waive appraisal rights.</w:t>
      </w:r>
    </w:p>
    <w:p>
      <w:pPr>
        <w:pStyle w:val="FirstParagraph"/>
      </w:pPr>
      <w:r>
        <w:rPr>
          <w:b/>
          <w:bCs/>
        </w:rPr>
        <w:t xml:space="preserve">Arguments opposing enforcement (likely to be raised by Stonemill):</w:t>
      </w:r>
    </w:p>
    <w:p>
      <w:pPr>
        <w:pStyle w:val="Compact"/>
        <w:numPr>
          <w:ilvl w:val="0"/>
          <w:numId w:val="1007"/>
        </w:numPr>
      </w:pPr>
      <w:r>
        <w:t xml:space="preserve">The Series C separate-class protective provision is a</w:t>
      </w:r>
      <w:r>
        <w:t xml:space="preserve"> </w:t>
      </w:r>
      <w:r>
        <w:rPr>
          <w:b/>
          <w:bCs/>
        </w:rPr>
        <w:t xml:space="preserve">charter-level class right</w:t>
      </w:r>
      <w:r>
        <w:t xml:space="preserve"> </w:t>
      </w:r>
      <w:r>
        <w:t xml:space="preserve">— a feature of the certificate of incorporation, which is itself a contract among the corporation and its stockholders. A voting agreement among</w:t>
      </w:r>
      <w:r>
        <w:t xml:space="preserve"> </w:t>
      </w:r>
      <w:r>
        <w:rPr>
          <w:i/>
          <w:iCs/>
        </w:rPr>
        <w:t xml:space="preserve">some</w:t>
      </w:r>
      <w:r>
        <w:t xml:space="preserve"> </w:t>
      </w:r>
      <w:r>
        <w:t xml:space="preserve">stockholders cannot be used to strip a class of a separately negotiated charter veto to which it did not assent in the voting agreement itself.</w:t>
      </w:r>
    </w:p>
    <w:p>
      <w:pPr>
        <w:pStyle w:val="Compact"/>
        <w:numPr>
          <w:ilvl w:val="0"/>
          <w:numId w:val="1007"/>
        </w:numPr>
      </w:pPr>
      <w:r>
        <w:rPr>
          <w:b/>
          <w:bCs/>
        </w:rPr>
        <w:t xml:space="preserve">Circularity argument:</w:t>
      </w:r>
      <w:r>
        <w:t xml:space="preserve"> </w:t>
      </w:r>
      <w:r>
        <w:t xml:space="preserve">The drag-along trigger requires the Sale of the Company to be</w:t>
      </w:r>
      <w:r>
        <w:t xml:space="preserve"> </w:t>
      </w:r>
      <w:r>
        <w:t xml:space="preserve">“</w:t>
      </w:r>
      <w:r>
        <w:t xml:space="preserve">approved by</w:t>
      </w:r>
      <w:r>
        <w:t xml:space="preserve">”</w:t>
      </w:r>
      <w:r>
        <w:t xml:space="preserve"> </w:t>
      </w:r>
      <w:r>
        <w:t xml:space="preserve">the three prongs. If</w:t>
      </w:r>
      <w:r>
        <w:t xml:space="preserve"> </w:t>
      </w:r>
      <w:r>
        <w:t xml:space="preserve">“</w:t>
      </w:r>
      <w:r>
        <w:t xml:space="preserve">approval</w:t>
      </w:r>
      <w:r>
        <w:t xml:space="preserve">”</w:t>
      </w:r>
      <w:r>
        <w:t xml:space="preserve"> </w:t>
      </w:r>
      <w:r>
        <w:t xml:space="preserve">presupposes satisfaction of the charter’s protective provisions (including the Series C separate-class vote), then the drag-along cannot be triggered until the Series C consent is</w:t>
      </w:r>
      <w:r>
        <w:t xml:space="preserve"> </w:t>
      </w:r>
      <w:r>
        <w:rPr>
          <w:i/>
          <w:iCs/>
        </w:rPr>
        <w:t xml:space="preserve">already</w:t>
      </w:r>
      <w:r>
        <w:t xml:space="preserve"> </w:t>
      </w:r>
      <w:r>
        <w:t xml:space="preserve">obtained — rendering the drag-along useless as a compulsion device against the very holder whose consent is needed. Stonemill will argue that the protective provisions are a condition precedent to</w:t>
      </w:r>
      <w:r>
        <w:t xml:space="preserve"> </w:t>
      </w:r>
      <w:r>
        <w:t xml:space="preserve">“</w:t>
      </w:r>
      <w:r>
        <w:t xml:space="preserve">approval</w:t>
      </w:r>
      <w:r>
        <w:t xml:space="preserve">”</w:t>
      </w:r>
      <w:r>
        <w:t xml:space="preserve"> </w:t>
      </w:r>
      <w:r>
        <w:t xml:space="preserve">and that the drag-along’s three prongs are not self-contained.</w:t>
      </w:r>
    </w:p>
    <w:p>
      <w:pPr>
        <w:pStyle w:val="Compact"/>
        <w:numPr>
          <w:ilvl w:val="0"/>
          <w:numId w:val="1007"/>
        </w:numPr>
      </w:pPr>
      <w:r>
        <w:t xml:space="preserve">The drag-along does</w:t>
      </w:r>
      <w:r>
        <w:t xml:space="preserve"> </w:t>
      </w:r>
      <w:r>
        <w:rPr>
          <w:b/>
          <w:bCs/>
        </w:rPr>
        <w:t xml:space="preserve">not</w:t>
      </w:r>
      <w:r>
        <w:t xml:space="preserve"> </w:t>
      </w:r>
      <w:r>
        <w:t xml:space="preserve">expressly reference or purport to waive the charter protective provisions. Where a stockholder agreement and a charter provision conflict, the charter controls as to the class right (the VA itself provides in §8.3 that</w:t>
      </w:r>
      <w:r>
        <w:t xml:space="preserve"> </w:t>
      </w:r>
      <w:r>
        <w:t xml:space="preserve">“</w:t>
      </w:r>
      <w:r>
        <w:t xml:space="preserve">in the event of any conflict between the terms of this Agreement and the Restated Certificate, the terms of the Restated Certificate shall control</w:t>
      </w:r>
      <w:r>
        <w:t xml:space="preserve">”</w:t>
      </w:r>
      <w:r>
        <w:t xml:space="preserve"> </w:t>
      </w:r>
      <w:r>
        <w:t xml:space="preserve">— an argument Stonemill may analogize to the SHA, though the SHA contains no equivalent express provision).</w:t>
      </w:r>
    </w:p>
    <w:p>
      <w:pPr>
        <w:pStyle w:val="Compact"/>
        <w:numPr>
          <w:ilvl w:val="0"/>
          <w:numId w:val="1007"/>
        </w:numPr>
      </w:pPr>
      <w:r>
        <w:t xml:space="preserve">Public-policy and fiduciary concerns: using a majority-of-the-company voting agreement to eliminate a minority-class veto negotiated for the express purpose of protecting that class against a change-of-control transaction may be viewed with skepticism, particularly where the dragged holder is the most senior class.</w:t>
      </w:r>
    </w:p>
    <w:p>
      <w:pPr>
        <w:pStyle w:val="FirstParagraph"/>
      </w:pPr>
      <w:r>
        <w:rPr>
          <w:b/>
          <w:bCs/>
        </w:rPr>
        <w:t xml:space="preserve">Assessment.</w:t>
      </w:r>
      <w:r>
        <w:t xml:space="preserve"> </w:t>
      </w:r>
      <w:r>
        <w:t xml:space="preserve">This is a genuinely open and fact-sensitive question. The outcome will likely turn on (i) the precise construction of</w:t>
      </w:r>
      <w:r>
        <w:t xml:space="preserve"> </w:t>
      </w:r>
      <w:r>
        <w:t xml:space="preserve">“</w:t>
      </w:r>
      <w:r>
        <w:t xml:space="preserve">approved by</w:t>
      </w:r>
      <w:r>
        <w:t xml:space="preserve">”</w:t>
      </w:r>
      <w:r>
        <w:t xml:space="preserve"> </w:t>
      </w:r>
      <w:r>
        <w:t xml:space="preserve">in §3.1(a) (self-contained vs. charter-conditioned), (ii) whether the irrevocable proxy is enforceable to vote Series C shares on a charter protective-provision matter, and (iii) the equitable posture (e.g., whether Stonemill is seeking to extract value vs. protect a legitimate class interest). We do</w:t>
      </w:r>
      <w:r>
        <w:t xml:space="preserve"> </w:t>
      </w:r>
      <w:r>
        <w:rPr>
          <w:b/>
          <w:bCs/>
        </w:rPr>
        <w:t xml:space="preserve">not</w:t>
      </w:r>
      <w:r>
        <w:t xml:space="preserve"> </w:t>
      </w:r>
      <w:r>
        <w:t xml:space="preserve">recommend treating the drag-along as a reliable override of the Series C veto. We</w:t>
      </w:r>
      <w:r>
        <w:t xml:space="preserve"> </w:t>
      </w:r>
      <w:r>
        <w:rPr>
          <w:b/>
          <w:bCs/>
        </w:rPr>
        <w:t xml:space="preserve">do</w:t>
      </w:r>
      <w:r>
        <w:t xml:space="preserve"> </w:t>
      </w:r>
      <w:r>
        <w:t xml:space="preserve">recommend treating it as a credible litigation lever and a basis for a declaratory-judgment action, while pursuing Stonemill’s voluntary consent in parallel.</w:t>
      </w:r>
    </w:p>
    <w:bookmarkEnd w:id="38"/>
    <w:bookmarkStart w:id="39" w:name="Xc9dfc8ae48b0b03d59ede4b6ce885e29715ce7b"/>
    <w:p>
      <w:pPr>
        <w:pStyle w:val="Heading3"/>
      </w:pPr>
      <w:r>
        <w:t xml:space="preserve">D. Drag-Along Terms Affecting Deal Structure (§3.2)</w:t>
      </w:r>
    </w:p>
    <w:p>
      <w:pPr>
        <w:pStyle w:val="Compact"/>
        <w:numPr>
          <w:ilvl w:val="0"/>
          <w:numId w:val="1008"/>
        </w:numPr>
      </w:pPr>
      <w:r>
        <w:rPr>
          <w:b/>
          <w:bCs/>
        </w:rPr>
        <w:t xml:space="preserve">Waterfall preserved (§3.2(a)):</w:t>
      </w:r>
      <w:r>
        <w:t xml:space="preserve"> </w:t>
      </w:r>
      <w:r>
        <w:t xml:space="preserve">Consideration is distributed</w:t>
      </w:r>
      <w:r>
        <w:t xml:space="preserve"> </w:t>
      </w:r>
      <w:r>
        <w:t xml:space="preserve">“</w:t>
      </w:r>
      <w:r>
        <w:t xml:space="preserve">in accordance with the liquidation waterfall provisions of the Restated Certificate as if the Sale of the Company were a Liquidation Event.</w:t>
      </w:r>
      <w:r>
        <w:t xml:space="preserve">”</w:t>
      </w:r>
      <w:r>
        <w:t xml:space="preserve"> </w:t>
      </w:r>
      <w:r>
        <w:t xml:space="preserve">The Series C preference is therefore honored even under the drag-along — Stonemill would receive $18.50/share, not the as-converted amount. This is consistent with the waterfall in Section III.</w:t>
      </w:r>
    </w:p>
    <w:p>
      <w:pPr>
        <w:pStyle w:val="Compact"/>
        <w:numPr>
          <w:ilvl w:val="0"/>
          <w:numId w:val="1008"/>
        </w:numPr>
      </w:pPr>
      <w:r>
        <w:rPr>
          <w:b/>
          <w:bCs/>
        </w:rPr>
        <w:t xml:space="preserve">Representations limited to title, authority, enforceability (§3.2(c));</w:t>
      </w:r>
      <w:r>
        <w:t xml:space="preserve"> </w:t>
      </w:r>
      <w:r>
        <w:t xml:space="preserve">indemnity several (not joint), capped at each stockholder’s consideration. This is favorable for the merger agreement negotiation and should be reflected in the stockholder representative / indemnity provisions.</w:t>
      </w:r>
    </w:p>
    <w:p>
      <w:pPr>
        <w:pStyle w:val="Compact"/>
        <w:numPr>
          <w:ilvl w:val="0"/>
          <w:numId w:val="1008"/>
        </w:numPr>
      </w:pPr>
      <w:r>
        <w:rPr>
          <w:b/>
          <w:bCs/>
        </w:rPr>
        <w:t xml:space="preserve">No non-competes / non-solicits required of stockholders (§3.2(d));</w:t>
      </w:r>
      <w:r>
        <w:t xml:space="preserve"> </w:t>
      </w:r>
      <w:r>
        <w:t xml:space="preserve">indemnity capped at consideration received. These limits must be respected in the merger agreement — the Company cannot impose restrictive covenants on dragged stockholders as a condition to closing.</w:t>
      </w:r>
    </w:p>
    <w:p>
      <w:pPr>
        <w:pStyle w:val="Compact"/>
        <w:numPr>
          <w:ilvl w:val="0"/>
          <w:numId w:val="1008"/>
        </w:numPr>
      </w:pPr>
      <w:r>
        <w:rPr>
          <w:b/>
          <w:bCs/>
        </w:rPr>
        <w:t xml:space="preserve">Cost-sharing (§3.2(b)):</w:t>
      </w:r>
      <w:r>
        <w:t xml:space="preserve"> </w:t>
      </w:r>
      <w:r>
        <w:t xml:space="preserve">Each stockholder bears its pro rata share of sale costs (legal, advisory, escrow) not otherwise paid by the Company or acquirer. Confirm the merger agreement’s expense-allocation provisions are consistent.</w:t>
      </w:r>
    </w:p>
    <w:bookmarkEnd w:id="39"/>
    <w:bookmarkStart w:id="40" w:name="e.-appraisal-rights"/>
    <w:p>
      <w:pPr>
        <w:pStyle w:val="Heading3"/>
      </w:pPr>
      <w:r>
        <w:t xml:space="preserve">E. Appraisal Rights</w:t>
      </w:r>
    </w:p>
    <w:p>
      <w:pPr>
        <w:pStyle w:val="FirstParagraph"/>
      </w:pPr>
      <w:r>
        <w:t xml:space="preserve">The drag-along requires parties to refrain from exercising appraisal rights (§3.1(a)(B)). Terravox is a private company (not exchange-listed; fewer than 2,000 holders of record assumed), so appraisal rights under DGCL §262 are</w:t>
      </w:r>
      <w:r>
        <w:t xml:space="preserve"> </w:t>
      </w:r>
      <w:r>
        <w:rPr>
          <w:b/>
          <w:bCs/>
        </w:rPr>
        <w:t xml:space="preserve">available</w:t>
      </w:r>
      <w:r>
        <w:t xml:space="preserve"> </w:t>
      </w:r>
      <w:r>
        <w:t xml:space="preserve">to dissenting stockholders in the cash-out merger. The drag-along’s waiver binds only SHA parties;</w:t>
      </w:r>
      <w:r>
        <w:t xml:space="preserve"> </w:t>
      </w:r>
      <w:r>
        <w:rPr>
          <w:b/>
          <w:bCs/>
        </w:rPr>
        <w:t xml:space="preserve">non-party common/option holders</w:t>
      </w:r>
      <w:r>
        <w:t xml:space="preserve"> </w:t>
      </w:r>
      <w:r>
        <w:t xml:space="preserve">(the ~10,100,000</w:t>
      </w:r>
      <w:r>
        <w:t xml:space="preserve"> </w:t>
      </w:r>
      <w:r>
        <w:t xml:space="preserve">“</w:t>
      </w:r>
      <w:r>
        <w:t xml:space="preserve">other</w:t>
      </w:r>
      <w:r>
        <w:t xml:space="preserve">”</w:t>
      </w:r>
      <w:r>
        <w:t xml:space="preserve"> </w:t>
      </w:r>
      <w:r>
        <w:t xml:space="preserve">block, to the extent they are not SHA parties) could seek appraisal if they dissent and perfect their rights. The consent solicitation and merger agreement should account for this (e.g., appraisal exposure estimates, information-rights obligations to dissenters).</w:t>
      </w:r>
    </w:p>
    <w:p>
      <w:r>
        <w:pict>
          <v:rect style="width:0;height:1.5pt" o:hralign="center" o:hrstd="t" o:hr="t"/>
        </w:pict>
      </w:r>
    </w:p>
    <w:bookmarkEnd w:id="40"/>
    <w:bookmarkEnd w:id="41"/>
    <w:bookmarkStart w:id="45" w:name="X61b42c4424d66ea74b3ae73283ae6347e5d6b63"/>
    <w:p>
      <w:pPr>
        <w:pStyle w:val="Heading2"/>
      </w:pPr>
      <w:r>
        <w:t xml:space="preserve">VI. Area 3 — Impediments to Closing a Reverse Triangular Merger</w:t>
      </w:r>
    </w:p>
    <w:bookmarkStart w:id="42" w:name="X4c4b4bcccd7e1bfdaf2b1730b67b2c0f6e14d72"/>
    <w:p>
      <w:pPr>
        <w:pStyle w:val="Heading3"/>
      </w:pPr>
      <w:r>
        <w:t xml:space="preserve">A. Defined-Term Coverage of the Reverse Triangular Merger</w:t>
      </w:r>
    </w:p>
    <w:p>
      <w:pPr>
        <w:pStyle w:val="FirstParagraph"/>
      </w:pPr>
      <w:r>
        <w:t xml:space="preserve">The reverse triangular merger is clearly captured by each operative defined term:</w:t>
      </w:r>
    </w:p>
    <w:p>
      <w:pPr>
        <w:pStyle w:val="Compact"/>
        <w:numPr>
          <w:ilvl w:val="0"/>
          <w:numId w:val="1009"/>
        </w:numPr>
      </w:pPr>
      <w:r>
        <w:rPr>
          <w:b/>
          <w:bCs/>
        </w:rPr>
        <w:t xml:space="preserve">“</w:t>
      </w:r>
      <w:r>
        <w:rPr>
          <w:b/>
          <w:bCs/>
        </w:rPr>
        <w:t xml:space="preserve">Liquidation Event</w:t>
      </w:r>
      <w:r>
        <w:rPr>
          <w:b/>
          <w:bCs/>
        </w:rPr>
        <w:t xml:space="preserve">”</w:t>
      </w:r>
      <w:r>
        <w:rPr>
          <w:b/>
          <w:bCs/>
        </w:rPr>
        <w:t xml:space="preserve"> </w:t>
      </w:r>
      <w:r>
        <w:rPr>
          <w:b/>
          <w:bCs/>
        </w:rPr>
        <w:t xml:space="preserve">(Restated Certificate §4.3.2(d)(i)):</w:t>
      </w:r>
      <w:r>
        <w:t xml:space="preserve"> </w:t>
      </w:r>
      <w:r>
        <w:t xml:space="preserve">merger/consolidation/business combination in which pre-merger stockholders do not retain ≥50% of the surviving entity’s voting power. Terravox stockholders retain 0%.</w:t>
      </w:r>
      <w:r>
        <w:t xml:space="preserve"> </w:t>
      </w:r>
      <w:r>
        <w:rPr>
          <w:b/>
          <w:bCs/>
        </w:rPr>
        <w:t xml:space="preserve">Captured.</w:t>
      </w:r>
      <w:r>
        <w:t xml:space="preserve"> </w:t>
      </w:r>
      <w:r>
        <w:t xml:space="preserve">No structural ambiguity.</w:t>
      </w:r>
    </w:p>
    <w:p>
      <w:pPr>
        <w:pStyle w:val="Compact"/>
        <w:numPr>
          <w:ilvl w:val="0"/>
          <w:numId w:val="1009"/>
        </w:numPr>
      </w:pPr>
      <w:r>
        <w:rPr>
          <w:b/>
          <w:bCs/>
        </w:rPr>
        <w:t xml:space="preserve">“</w:t>
      </w:r>
      <w:r>
        <w:rPr>
          <w:b/>
          <w:bCs/>
        </w:rPr>
        <w:t xml:space="preserve">Sale of the Company</w:t>
      </w:r>
      <w:r>
        <w:rPr>
          <w:b/>
          <w:bCs/>
        </w:rPr>
        <w:t xml:space="preserve">”</w:t>
      </w:r>
      <w:r>
        <w:rPr>
          <w:b/>
          <w:bCs/>
        </w:rPr>
        <w:t xml:space="preserve"> </w:t>
      </w:r>
      <w:r>
        <w:rPr>
          <w:b/>
          <w:bCs/>
        </w:rPr>
        <w:t xml:space="preserve">(SHA §1.1(i); VA §1(a)):</w:t>
      </w:r>
      <w:r>
        <w:t xml:space="preserve"> </w:t>
      </w:r>
      <w:r>
        <w:t xml:space="preserve">merger/consolidation/reorganization in which pre-merger stockholders do not retain a majority of the surviving entity’s voting power. Terravox stockholders retain 0%.</w:t>
      </w:r>
      <w:r>
        <w:t xml:space="preserve"> </w:t>
      </w:r>
      <w:r>
        <w:rPr>
          <w:b/>
          <w:bCs/>
        </w:rPr>
        <w:t xml:space="preserve">Captured.</w:t>
      </w:r>
    </w:p>
    <w:p>
      <w:pPr>
        <w:pStyle w:val="Compact"/>
        <w:numPr>
          <w:ilvl w:val="0"/>
          <w:numId w:val="1009"/>
        </w:numPr>
      </w:pPr>
      <w:r>
        <w:rPr>
          <w:b/>
          <w:bCs/>
        </w:rPr>
        <w:t xml:space="preserve">“</w:t>
      </w:r>
      <w:r>
        <w:rPr>
          <w:b/>
          <w:bCs/>
        </w:rPr>
        <w:t xml:space="preserve">Deemed Liquidation Event</w:t>
      </w:r>
      <w:r>
        <w:rPr>
          <w:b/>
          <w:bCs/>
        </w:rPr>
        <w:t xml:space="preserve">”</w:t>
      </w:r>
      <w:r>
        <w:rPr>
          <w:b/>
          <w:bCs/>
        </w:rPr>
        <w:t xml:space="preserve"> </w:t>
      </w:r>
      <w:r>
        <w:rPr>
          <w:b/>
          <w:bCs/>
        </w:rPr>
        <w:t xml:space="preserve">(RRA §9(c)):</w:t>
      </w:r>
      <w:r>
        <w:t xml:space="preserve"> </w:t>
      </w:r>
      <w:r>
        <w:rPr>
          <w:b/>
          <w:bCs/>
        </w:rPr>
        <w:t xml:space="preserve">undefined</w:t>
      </w:r>
      <w:r>
        <w:t xml:space="preserve"> </w:t>
      </w:r>
      <w:r>
        <w:t xml:space="preserve">in the RRA (see Area 6). The merger</w:t>
      </w:r>
      <w:r>
        <w:t xml:space="preserve"> </w:t>
      </w:r>
      <w:r>
        <w:rPr>
          <w:i/>
          <w:iCs/>
        </w:rPr>
        <w:t xml:space="preserve">should</w:t>
      </w:r>
      <w:r>
        <w:t xml:space="preserve"> </w:t>
      </w:r>
      <w:r>
        <w:t xml:space="preserve">terminate the RRA, but the undefined term creates ambiguity.</w:t>
      </w:r>
    </w:p>
    <w:bookmarkEnd w:id="42"/>
    <w:bookmarkStart w:id="43" w:name="X2d9f00c93ac55f7b00cec4cdb6af5a7fb034080"/>
    <w:p>
      <w:pPr>
        <w:pStyle w:val="Heading3"/>
      </w:pPr>
      <w:r>
        <w:t xml:space="preserve">B. Reverse Triangular Merger — Specific Considerations</w:t>
      </w:r>
    </w:p>
    <w:p>
      <w:pPr>
        <w:numPr>
          <w:ilvl w:val="0"/>
          <w:numId w:val="1010"/>
        </w:numPr>
      </w:pPr>
      <w:r>
        <w:rPr>
          <w:b/>
          <w:bCs/>
        </w:rPr>
        <w:t xml:space="preserve">Surviving-entity status.</w:t>
      </w:r>
      <w:r>
        <w:t xml:space="preserve"> </w:t>
      </w:r>
      <w:r>
        <w:t xml:space="preserve">In a reverse triangular merger, Terravox survives as a wholly-owned subsidiary. Its charter and bylaws remain in effect as subsidiary documents. The stockholder-level governance agreements (SHA, VA, RRA) are contracts that, by their terms, terminate upon a Sale of the Company / Liquidation Event (see Areas 4, 5, 10). To the extent any agreement does</w:t>
      </w:r>
      <w:r>
        <w:t xml:space="preserve"> </w:t>
      </w:r>
      <w:r>
        <w:rPr>
          <w:b/>
          <w:bCs/>
        </w:rPr>
        <w:t xml:space="preserve">not</w:t>
      </w:r>
      <w:r>
        <w:t xml:space="preserve"> </w:t>
      </w:r>
      <w:r>
        <w:t xml:space="preserve">clearly terminate, its obligations could theoretically survive and bind Hargrove as successor — most relevantly the RRA (Area 10).</w:t>
      </w:r>
    </w:p>
    <w:p>
      <w:pPr>
        <w:numPr>
          <w:ilvl w:val="0"/>
          <w:numId w:val="1010"/>
        </w:numPr>
      </w:pPr>
      <w:r>
        <w:rPr>
          <w:b/>
          <w:bCs/>
        </w:rPr>
        <w:t xml:space="preserve">Consideration waterfall.</w:t>
      </w:r>
      <w:r>
        <w:t xml:space="preserve"> </w:t>
      </w:r>
      <w:r>
        <w:t xml:space="preserve">Because Terravox survives, the certificate of merger will govern the cancellation of shares and the allocation of consideration. The allocation must follow the charter’s liquidation waterfall (§4.3.2). As noted in Section III, Series C takes its preference; the remaining classes convert. The merger agreement’s payment-agent/waterfall provisions must be drafted to match, and the per-class consideration figures used in the consent solicitation must be accurate.</w:t>
      </w:r>
    </w:p>
    <w:p>
      <w:pPr>
        <w:numPr>
          <w:ilvl w:val="0"/>
          <w:numId w:val="1010"/>
        </w:numPr>
      </w:pPr>
      <w:r>
        <w:rPr>
          <w:b/>
          <w:bCs/>
        </w:rPr>
        <w:t xml:space="preserve">No stock-for-stock complications.</w:t>
      </w:r>
      <w:r>
        <w:t xml:space="preserve"> </w:t>
      </w:r>
      <w:r>
        <w:t xml:space="preserve">The consideration is all-cash, so there are no exchange-ratio, collar, or stock-issuance-approval issues on the Buyer side. The all-cash structure also means there are no continuing equity holders of Terravox post-closing (all equity cancelled for cash), which simplifies the post-closing governance picture (Areas 5, 10).</w:t>
      </w:r>
    </w:p>
    <w:p>
      <w:pPr>
        <w:numPr>
          <w:ilvl w:val="0"/>
          <w:numId w:val="1010"/>
        </w:numPr>
      </w:pPr>
      <w:r>
        <w:rPr>
          <w:b/>
          <w:bCs/>
        </w:rPr>
        <w:t xml:space="preserve">Indebtedness.</w:t>
      </w:r>
      <w:r>
        <w:t xml:space="preserve"> </w:t>
      </w:r>
      <w:r>
        <w:t xml:space="preserve">The $12 million Clearfield term loan is outstanding and will be repaid (or refinanced/assumed) at closing. The loan is secured by substantially all assets (including IP). Confirm the loan documents’ change-of-control and prepayment provisions and coordinate payoff with the lender. (The loan’s authorization is separately problematic — see Area 8.)</w:t>
      </w:r>
    </w:p>
    <w:bookmarkEnd w:id="43"/>
    <w:bookmarkStart w:id="44" w:name="c.-structural-ambiguities-identified"/>
    <w:p>
      <w:pPr>
        <w:pStyle w:val="Heading3"/>
      </w:pPr>
      <w:r>
        <w:t xml:space="preserve">C. Structural Ambiguities Identified</w:t>
      </w:r>
    </w:p>
    <w:p>
      <w:pPr>
        <w:pStyle w:val="Compact"/>
        <w:numPr>
          <w:ilvl w:val="0"/>
          <w:numId w:val="1011"/>
        </w:numPr>
      </w:pPr>
      <w:r>
        <w:t xml:space="preserve">The only genuine structural ambiguity is the</w:t>
      </w:r>
      <w:r>
        <w:t xml:space="preserve"> </w:t>
      </w:r>
      <w:r>
        <w:rPr>
          <w:b/>
          <w:bCs/>
        </w:rPr>
        <w:t xml:space="preserve">RRA’s undefined</w:t>
      </w:r>
      <w:r>
        <w:rPr>
          <w:b/>
          <w:bCs/>
        </w:rPr>
        <w:t xml:space="preserve"> </w:t>
      </w:r>
      <w:r>
        <w:rPr>
          <w:b/>
          <w:bCs/>
        </w:rPr>
        <w:t xml:space="preserve">“</w:t>
      </w:r>
      <w:r>
        <w:rPr>
          <w:b/>
          <w:bCs/>
        </w:rPr>
        <w:t xml:space="preserve">Deemed Liquidation Event</w:t>
      </w:r>
      <w:r>
        <w:rPr>
          <w:b/>
          <w:bCs/>
        </w:rPr>
        <w:t xml:space="preserve">”</w:t>
      </w:r>
      <w:r>
        <w:t xml:space="preserve"> </w:t>
      </w:r>
      <w:r>
        <w:t xml:space="preserve">(Area 6/10). The merger itself is unambiguously a Liquidation Event / Sale of the Company under the charter and SHA/VA. We recommend not relying on automatic RRA termination and instead obtaining an express termination/waiver at closing.</w:t>
      </w:r>
    </w:p>
    <w:p>
      <w:r>
        <w:pict>
          <v:rect style="width:0;height:1.5pt" o:hralign="center" o:hrstd="t" o:hr="t"/>
        </w:pict>
      </w:r>
    </w:p>
    <w:bookmarkEnd w:id="44"/>
    <w:bookmarkEnd w:id="45"/>
    <w:bookmarkStart w:id="50" w:name="vii.-area-4-transfer-restrictions"/>
    <w:p>
      <w:pPr>
        <w:pStyle w:val="Heading2"/>
      </w:pPr>
      <w:r>
        <w:t xml:space="preserve">VII. Area 4 — Transfer Restrictions</w:t>
      </w:r>
    </w:p>
    <w:bookmarkStart w:id="46" w:name="a.-rofr-and-co-sale-sha-article-2"/>
    <w:p>
      <w:pPr>
        <w:pStyle w:val="Heading3"/>
      </w:pPr>
      <w:r>
        <w:t xml:space="preserve">A. ROFR and Co-Sale (SHA Article 2)</w:t>
      </w:r>
    </w:p>
    <w:p>
      <w:pPr>
        <w:pStyle w:val="FirstParagraph"/>
      </w:pPr>
      <w:r>
        <w:t xml:space="preserve">The SHA imposes a general restriction on transfers (§2.1): no Restricted Stockholder may Transfer shares except (a) in compliance with Article 2, (b) pursuant to a Permitted Transfer (§2.7), or (c)</w:t>
      </w:r>
      <w:r>
        <w:t xml:space="preserve"> </w:t>
      </w:r>
      <w:r>
        <w:rPr>
          <w:b/>
          <w:bCs/>
        </w:rPr>
        <w:t xml:space="preserve">in connection with a Sale of the Company consummated in accordance with Article 3</w:t>
      </w:r>
      <w:r>
        <w:t xml:space="preserve">. The ROFR (§2.2) and co-sale right (§2.3) apply to bona fide third-party purchase offers; the tag-along right (§2.4) applies to Founder transfers of &gt;5%.</w:t>
      </w:r>
    </w:p>
    <w:bookmarkEnd w:id="46"/>
    <w:bookmarkStart w:id="47" w:name="Xc5974028d3ed721061cede89485a262155f37c6"/>
    <w:p>
      <w:pPr>
        <w:pStyle w:val="Heading3"/>
      </w:pPr>
      <w:r>
        <w:t xml:space="preserve">B. Does the Merger Trigger ROFR or Co-Sale?</w:t>
      </w:r>
    </w:p>
    <w:p>
      <w:pPr>
        <w:pStyle w:val="FirstParagraph"/>
      </w:pPr>
      <w:r>
        <w:rPr>
          <w:b/>
          <w:bCs/>
        </w:rPr>
        <w:t xml:space="preserve">No — provided the merger is structured to fit within the §2.1(c) carve-out.</w:t>
      </w:r>
      <w:r>
        <w:t xml:space="preserve"> </w:t>
      </w:r>
      <w:r>
        <w:t xml:space="preserve">Transfers</w:t>
      </w:r>
      <w:r>
        <w:t xml:space="preserve"> </w:t>
      </w:r>
      <w:r>
        <w:t xml:space="preserve">“</w:t>
      </w:r>
      <w:r>
        <w:t xml:space="preserve">in connection with a Sale of the Company consummated in accordance with Article 3</w:t>
      </w:r>
      <w:r>
        <w:t xml:space="preserve">”</w:t>
      </w:r>
      <w:r>
        <w:t xml:space="preserve"> </w:t>
      </w:r>
      <w:r>
        <w:t xml:space="preserve">are expressly permitted and exempt from ROFR/co-sale. The merger is a</w:t>
      </w:r>
      <w:r>
        <w:t xml:space="preserve"> </w:t>
      </w:r>
      <w:r>
        <w:t xml:space="preserve">“</w:t>
      </w:r>
      <w:r>
        <w:t xml:space="preserve">Sale of the Company</w:t>
      </w:r>
      <w:r>
        <w:t xml:space="preserve">”</w:t>
      </w:r>
      <w:r>
        <w:t xml:space="preserve"> </w:t>
      </w:r>
      <w:r>
        <w:t xml:space="preserve">(§1.1). If the merger is</w:t>
      </w:r>
      <w:r>
        <w:t xml:space="preserve"> </w:t>
      </w:r>
      <w:r>
        <w:rPr>
          <w:b/>
          <w:bCs/>
        </w:rPr>
        <w:t xml:space="preserve">consummated pursuant to the drag-along (Article 3)</w:t>
      </w:r>
      <w:r>
        <w:t xml:space="preserve">, the §2.1(c) carve-out clearly applies and ROFR/co-sale are not triggered.</w:t>
      </w:r>
    </w:p>
    <w:p>
      <w:pPr>
        <w:pStyle w:val="BodyText"/>
      </w:pPr>
      <w:r>
        <w:rPr>
          <w:b/>
          <w:bCs/>
        </w:rPr>
        <w:t xml:space="preserve">Ambiguity if the drag-along is not used.</w:t>
      </w:r>
      <w:r>
        <w:t xml:space="preserve"> </w:t>
      </w:r>
      <w:r>
        <w:t xml:space="preserve">If the merger proceeds via stockholder written consent</w:t>
      </w:r>
      <w:r>
        <w:t xml:space="preserve"> </w:t>
      </w:r>
      <w:r>
        <w:rPr>
          <w:i/>
          <w:iCs/>
        </w:rPr>
        <w:t xml:space="preserve">without</w:t>
      </w:r>
      <w:r>
        <w:t xml:space="preserve"> </w:t>
      </w:r>
      <w:r>
        <w:t xml:space="preserve">invoking the drag-along, it is less clear whether the transfer is</w:t>
      </w:r>
      <w:r>
        <w:t xml:space="preserve"> </w:t>
      </w:r>
      <w:r>
        <w:t xml:space="preserve">“</w:t>
      </w:r>
      <w:r>
        <w:t xml:space="preserve">consummated in accordance with Article 3</w:t>
      </w:r>
      <w:r>
        <w:t xml:space="preserve">”</w:t>
      </w:r>
      <w:r>
        <w:t xml:space="preserve"> </w:t>
      </w:r>
      <w:r>
        <w:t xml:space="preserve">(which is specifically the drag-along article). A stockholder could argue that a consent-based merger is not</w:t>
      </w:r>
      <w:r>
        <w:t xml:space="preserve"> </w:t>
      </w:r>
      <w:r>
        <w:t xml:space="preserve">“</w:t>
      </w:r>
      <w:r>
        <w:t xml:space="preserve">in accordance with Article 3</w:t>
      </w:r>
      <w:r>
        <w:t xml:space="preserve">”</w:t>
      </w:r>
      <w:r>
        <w:t xml:space="preserve"> </w:t>
      </w:r>
      <w:r>
        <w:t xml:space="preserve">and therefore not within the §2.1(c) carve-out. In practice, a merger effects cancellation of shares by operation of DGCL §251 (not a voluntary</w:t>
      </w:r>
      <w:r>
        <w:t xml:space="preserve"> </w:t>
      </w:r>
      <w:r>
        <w:t xml:space="preserve">“</w:t>
      </w:r>
      <w:r>
        <w:t xml:space="preserve">Transfer</w:t>
      </w:r>
      <w:r>
        <w:t xml:space="preserve">”</w:t>
      </w:r>
      <w:r>
        <w:t xml:space="preserve"> </w:t>
      </w:r>
      <w:r>
        <w:t xml:space="preserve">by the stockholder), and ROFR/co-sale provisions are generally understood not to apply to statutory mergers; the</w:t>
      </w:r>
      <w:r>
        <w:t xml:space="preserve"> </w:t>
      </w:r>
      <w:r>
        <w:t xml:space="preserve">“</w:t>
      </w:r>
      <w:r>
        <w:t xml:space="preserve">Sale of the Company</w:t>
      </w:r>
      <w:r>
        <w:t xml:space="preserve">”</w:t>
      </w:r>
      <w:r>
        <w:t xml:space="preserve"> </w:t>
      </w:r>
      <w:r>
        <w:t xml:space="preserve">carve-out reinforces this. But the</w:t>
      </w:r>
      <w:r>
        <w:t xml:space="preserve"> </w:t>
      </w:r>
      <w:r>
        <w:t xml:space="preserve">“</w:t>
      </w:r>
      <w:r>
        <w:t xml:space="preserve">consummated in accordance with Article 3</w:t>
      </w:r>
      <w:r>
        <w:t xml:space="preserve">”</w:t>
      </w:r>
      <w:r>
        <w:t xml:space="preserve"> </w:t>
      </w:r>
      <w:r>
        <w:t xml:space="preserve">qualifier is a drafting imperfection that Stonemill or another stockholder could exploit.</w:t>
      </w:r>
    </w:p>
    <w:p>
      <w:pPr>
        <w:pStyle w:val="BodyText"/>
      </w:pPr>
      <w:r>
        <w:rPr>
          <w:b/>
          <w:bCs/>
        </w:rPr>
        <w:t xml:space="preserve">Recommendation:</w:t>
      </w:r>
      <w:r>
        <w:t xml:space="preserve"> </w:t>
      </w:r>
      <w:r>
        <w:t xml:space="preserve">Structure the consent/merger process to invoke the drag-along (so §2.1(c) clearly applies), or obtain a written waiver/amendment of the SHA transfer restrictions from the requisite parties (Company + Founders + majority of Investor Stockholder shares, per §7.4) confirming that the merger does not trigger ROFR/co-sale. Given that the SHA terminates upon a Sale of the Company (§6.1(b)), the restrictions cease at closing in any event — the concern is solely the moment of closing.</w:t>
      </w:r>
    </w:p>
    <w:bookmarkEnd w:id="47"/>
    <w:bookmarkStart w:id="48" w:name="Xeab0f21ffb20585cf3f5646074dee05489467ba"/>
    <w:p>
      <w:pPr>
        <w:pStyle w:val="Heading3"/>
      </w:pPr>
      <w:r>
        <w:t xml:space="preserve">C. Termination of the SHA Upon the Merger</w:t>
      </w:r>
    </w:p>
    <w:p>
      <w:pPr>
        <w:pStyle w:val="FirstParagraph"/>
      </w:pPr>
      <w:r>
        <w:t xml:space="preserve">The SHA terminates upon the earliest of (a) an IPO, (b)</w:t>
      </w:r>
      <w:r>
        <w:t xml:space="preserve"> </w:t>
      </w:r>
      <w:r>
        <w:rPr>
          <w:b/>
          <w:bCs/>
        </w:rPr>
        <w:t xml:space="preserve">a Sale of the Company</w:t>
      </w:r>
      <w:r>
        <w:t xml:space="preserve"> </w:t>
      </w:r>
      <w:r>
        <w:t xml:space="preserve">(§1.1), or (c) written consent of the Company, Founders, and majority of Investor Stockholder shares (§6.1). The merger is a Sale of the Company, so the SHA</w:t>
      </w:r>
      <w:r>
        <w:t xml:space="preserve"> </w:t>
      </w:r>
      <w:r>
        <w:rPr>
          <w:b/>
          <w:bCs/>
        </w:rPr>
        <w:t xml:space="preserve">terminates at closing</w:t>
      </w:r>
      <w:r>
        <w:t xml:space="preserve">. Upon termination, all transfer restrictions, ROFR, co-sale, tag-along, and drag-along rights cease, and the Company must remove related legends (§6.3). Article 7 (miscellaneous) and liability for pre-termination breach survive (§6.2).</w:t>
      </w:r>
    </w:p>
    <w:bookmarkEnd w:id="48"/>
    <w:bookmarkStart w:id="49" w:name="d.-founder-lock-up-2.5"/>
    <w:p>
      <w:pPr>
        <w:pStyle w:val="Heading3"/>
      </w:pPr>
      <w:r>
        <w:t xml:space="preserve">D. Founder Lock-Up (§2.5)</w:t>
      </w:r>
    </w:p>
    <w:p>
      <w:pPr>
        <w:pStyle w:val="FirstParagraph"/>
      </w:pPr>
      <w:r>
        <w:t xml:space="preserve">The 12-month Founder lock-up expired on November 3, 2022. Not relevant to the merger.</w:t>
      </w:r>
    </w:p>
    <w:p>
      <w:r>
        <w:pict>
          <v:rect style="width:0;height:1.5pt" o:hralign="center" o:hrstd="t" o:hr="t"/>
        </w:pict>
      </w:r>
    </w:p>
    <w:bookmarkEnd w:id="49"/>
    <w:bookmarkEnd w:id="50"/>
    <w:bookmarkStart w:id="55" w:name="Xcb38ea13c43230afa67425d1dfe8bd236c63cb1"/>
    <w:p>
      <w:pPr>
        <w:pStyle w:val="Heading2"/>
      </w:pPr>
      <w:r>
        <w:t xml:space="preserve">VIII. Area 5 — Board Composition — Post-Closing Implications</w:t>
      </w:r>
    </w:p>
    <w:bookmarkStart w:id="51" w:name="a.-current-board-composition-va-2.2"/>
    <w:p>
      <w:pPr>
        <w:pStyle w:val="Heading3"/>
      </w:pPr>
      <w:r>
        <w:t xml:space="preserve">A. Current Board Composition (VA §2.2)</w:t>
      </w:r>
    </w:p>
    <w:p>
      <w:pPr>
        <w:pStyle w:val="FirstParagraph"/>
      </w:pPr>
      <w:r>
        <w:t xml:space="preserve">The Voting Agreement fixes the Board at seven (7) directors, designated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Seat</w:t>
            </w:r>
          </w:p>
        </w:tc>
        <w:tc>
          <w:tcPr/>
          <w:p>
            <w:pPr>
              <w:pStyle w:val="Compact"/>
              <w:jc w:val="left"/>
            </w:pPr>
            <w:r>
              <w:t xml:space="preserve">Designator</w:t>
            </w:r>
          </w:p>
        </w:tc>
        <w:tc>
          <w:tcPr/>
          <w:p>
            <w:pPr>
              <w:pStyle w:val="Compact"/>
              <w:jc w:val="left"/>
            </w:pPr>
            <w:r>
              <w:t xml:space="preserve">Initial Director</w:t>
            </w:r>
          </w:p>
        </w:tc>
      </w:tr>
      <w:tr>
        <w:tc>
          <w:tcPr/>
          <w:p>
            <w:pPr>
              <w:pStyle w:val="Compact"/>
              <w:jc w:val="left"/>
            </w:pPr>
            <w:r>
              <w:t xml:space="preserve">Series A Director</w:t>
            </w:r>
          </w:p>
        </w:tc>
        <w:tc>
          <w:tcPr/>
          <w:p>
            <w:pPr>
              <w:pStyle w:val="Compact"/>
              <w:jc w:val="left"/>
            </w:pPr>
            <w:r>
              <w:t xml:space="preserve">Ridgeline (≥1,000,000 Series A)</w:t>
            </w:r>
          </w:p>
        </w:tc>
        <w:tc>
          <w:tcPr/>
          <w:p>
            <w:pPr>
              <w:pStyle w:val="Compact"/>
              <w:jc w:val="left"/>
            </w:pPr>
            <w:r>
              <w:t xml:space="preserve">David Kleinhans</w:t>
            </w:r>
          </w:p>
        </w:tc>
      </w:tr>
      <w:tr>
        <w:tc>
          <w:tcPr/>
          <w:p>
            <w:pPr>
              <w:pStyle w:val="Compact"/>
              <w:jc w:val="left"/>
            </w:pPr>
            <w:r>
              <w:t xml:space="preserve">Series B Director</w:t>
            </w:r>
          </w:p>
        </w:tc>
        <w:tc>
          <w:tcPr/>
          <w:p>
            <w:pPr>
              <w:pStyle w:val="Compact"/>
              <w:jc w:val="left"/>
            </w:pPr>
            <w:r>
              <w:t xml:space="preserve">Northbridge (≥1,000,000 Series B)</w:t>
            </w:r>
          </w:p>
        </w:tc>
        <w:tc>
          <w:tcPr/>
          <w:p>
            <w:pPr>
              <w:pStyle w:val="Compact"/>
              <w:jc w:val="left"/>
            </w:pPr>
            <w:r>
              <w:t xml:space="preserve">Sandra Okafor</w:t>
            </w:r>
          </w:p>
        </w:tc>
      </w:tr>
      <w:tr>
        <w:tc>
          <w:tcPr/>
          <w:p>
            <w:pPr>
              <w:pStyle w:val="Compact"/>
              <w:jc w:val="left"/>
            </w:pPr>
            <w:r>
              <w:t xml:space="preserve">Series C Director</w:t>
            </w:r>
          </w:p>
        </w:tc>
        <w:tc>
          <w:tcPr/>
          <w:p>
            <w:pPr>
              <w:pStyle w:val="Compact"/>
              <w:jc w:val="left"/>
            </w:pPr>
            <w:r>
              <w:t xml:space="preserve">Stonemill (≥1,000,000 Series C)</w:t>
            </w:r>
          </w:p>
        </w:tc>
        <w:tc>
          <w:tcPr/>
          <w:p>
            <w:pPr>
              <w:pStyle w:val="Compact"/>
              <w:jc w:val="left"/>
            </w:pPr>
            <w:r>
              <w:t xml:space="preserve">Julian Trask</w:t>
            </w:r>
          </w:p>
        </w:tc>
      </w:tr>
      <w:tr>
        <w:tc>
          <w:tcPr/>
          <w:p>
            <w:pPr>
              <w:pStyle w:val="Compact"/>
              <w:jc w:val="left"/>
            </w:pPr>
            <w:r>
              <w:t xml:space="preserve">CEO Director</w:t>
            </w:r>
          </w:p>
        </w:tc>
        <w:tc>
          <w:tcPr/>
          <w:p>
            <w:pPr>
              <w:pStyle w:val="Compact"/>
              <w:jc w:val="left"/>
            </w:pPr>
            <w:r>
              <w:t xml:space="preserve">n/a (CEO)</w:t>
            </w:r>
          </w:p>
        </w:tc>
        <w:tc>
          <w:tcPr/>
          <w:p>
            <w:pPr>
              <w:pStyle w:val="Compact"/>
              <w:jc w:val="left"/>
            </w:pPr>
            <w:r>
              <w:t xml:space="preserve">Marcus Ellery</w:t>
            </w:r>
          </w:p>
        </w:tc>
      </w:tr>
      <w:tr>
        <w:tc>
          <w:tcPr/>
          <w:p>
            <w:pPr>
              <w:pStyle w:val="Compact"/>
              <w:jc w:val="left"/>
            </w:pPr>
            <w:r>
              <w:t xml:space="preserve">Founder Director</w:t>
            </w:r>
          </w:p>
        </w:tc>
        <w:tc>
          <w:tcPr/>
          <w:p>
            <w:pPr>
              <w:pStyle w:val="Compact"/>
              <w:jc w:val="left"/>
            </w:pPr>
            <w:r>
              <w:t xml:space="preserve">Founders (other than CEO)</w:t>
            </w:r>
          </w:p>
        </w:tc>
        <w:tc>
          <w:tcPr/>
          <w:p>
            <w:pPr>
              <w:pStyle w:val="Compact"/>
              <w:jc w:val="left"/>
            </w:pPr>
            <w:r>
              <w:t xml:space="preserve">Priya Chandrasekaran</w:t>
            </w:r>
          </w:p>
        </w:tc>
      </w:tr>
      <w:tr>
        <w:tc>
          <w:tcPr/>
          <w:p>
            <w:pPr>
              <w:pStyle w:val="Compact"/>
              <w:jc w:val="left"/>
            </w:pPr>
            <w:r>
              <w:t xml:space="preserve">Independent Director #1</w:t>
            </w:r>
          </w:p>
        </w:tc>
        <w:tc>
          <w:tcPr/>
          <w:p>
            <w:pPr>
              <w:pStyle w:val="Compact"/>
              <w:jc w:val="left"/>
            </w:pPr>
            <w:r>
              <w:t xml:space="preserve">CEO + majority of Investors</w:t>
            </w:r>
          </w:p>
        </w:tc>
        <w:tc>
          <w:tcPr/>
          <w:p>
            <w:pPr>
              <w:pStyle w:val="Compact"/>
              <w:jc w:val="left"/>
            </w:pPr>
            <w:r>
              <w:t xml:space="preserve">Rebecca Lau</w:t>
            </w:r>
          </w:p>
        </w:tc>
      </w:tr>
      <w:tr>
        <w:tc>
          <w:tcPr/>
          <w:p>
            <w:pPr>
              <w:pStyle w:val="Compact"/>
              <w:jc w:val="left"/>
            </w:pPr>
            <w:r>
              <w:t xml:space="preserve">Independent Director #2</w:t>
            </w:r>
          </w:p>
        </w:tc>
        <w:tc>
          <w:tcPr/>
          <w:p>
            <w:pPr>
              <w:pStyle w:val="Compact"/>
              <w:jc w:val="left"/>
            </w:pPr>
            <w:r>
              <w:t xml:space="preserve">CEO + majority of Investors</w:t>
            </w:r>
          </w:p>
        </w:tc>
        <w:tc>
          <w:tcPr/>
          <w:p>
            <w:pPr>
              <w:pStyle w:val="Compact"/>
              <w:jc w:val="left"/>
            </w:pPr>
            <w:r>
              <w:t xml:space="preserve">Thomas Garrett</w:t>
            </w:r>
          </w:p>
        </w:tc>
      </w:tr>
    </w:tbl>
    <w:p>
      <w:pPr>
        <w:pStyle w:val="BodyText"/>
      </w:pPr>
      <w:r>
        <w:t xml:space="preserve">No party may increase or decrease the Board size without majority-Investor consent (§2.1). Designation rights terminate if the designating holder falls below the 1,000,000-share threshold (§2.3, §7.3).</w:t>
      </w:r>
    </w:p>
    <w:bookmarkEnd w:id="51"/>
    <w:bookmarkStart w:id="52" w:name="X80436d6f16256e706af6f456e19d5e4359551bc"/>
    <w:p>
      <w:pPr>
        <w:pStyle w:val="Heading3"/>
      </w:pPr>
      <w:r>
        <w:t xml:space="preserve">B. Termination of the Voting Agreement Upon the Merger</w:t>
      </w:r>
    </w:p>
    <w:p>
      <w:pPr>
        <w:pStyle w:val="FirstParagraph"/>
      </w:pPr>
      <w:r>
        <w:t xml:space="preserve">The VA terminates upon the earliest of (a) an IPO (≥$75 million gross proceeds), (b)</w:t>
      </w:r>
      <w:r>
        <w:t xml:space="preserve"> </w:t>
      </w:r>
      <w:r>
        <w:rPr>
          <w:b/>
          <w:bCs/>
        </w:rPr>
        <w:t xml:space="preserve">a Sale of the Company</w:t>
      </w:r>
      <w:r>
        <w:t xml:space="preserve"> </w:t>
      </w:r>
      <w:r>
        <w:t xml:space="preserve">(§1), (c) written consent of the Company, majority of Founder-held Common, and majority of each series of Preferred held by parties (each voting as a separate class), or (d)</w:t>
      </w:r>
      <w:r>
        <w:t xml:space="preserve"> </w:t>
      </w:r>
      <w:r>
        <w:rPr>
          <w:b/>
          <w:bCs/>
        </w:rPr>
        <w:t xml:space="preserve">November 3, 2026</w:t>
      </w:r>
      <w:r>
        <w:t xml:space="preserve"> </w:t>
      </w:r>
      <w:r>
        <w:t xml:space="preserve">(the five-year sunset) (§7.1).</w:t>
      </w:r>
    </w:p>
    <w:p>
      <w:pPr>
        <w:pStyle w:val="BodyText"/>
      </w:pPr>
      <w:r>
        <w:t xml:space="preserve">The merger is a Sale of the Company (Terravox stockholders retain 0% of the surviving entity’s voting power), so the VA</w:t>
      </w:r>
      <w:r>
        <w:t xml:space="preserve"> </w:t>
      </w:r>
      <w:r>
        <w:rPr>
          <w:b/>
          <w:bCs/>
        </w:rPr>
        <w:t xml:space="preserve">terminates at closing</w:t>
      </w:r>
      <w:r>
        <w:t xml:space="preserve"> </w:t>
      </w:r>
      <w:r>
        <w:t xml:space="preserve">under §7.1(b). Accordingly:</w:t>
      </w:r>
    </w:p>
    <w:p>
      <w:pPr>
        <w:pStyle w:val="Compact"/>
        <w:numPr>
          <w:ilvl w:val="0"/>
          <w:numId w:val="1012"/>
        </w:numPr>
      </w:pPr>
      <w:r>
        <w:rPr>
          <w:b/>
          <w:bCs/>
        </w:rPr>
        <w:t xml:space="preserve">Board designation rights terminate at closing.</w:t>
      </w:r>
      <w:r>
        <w:t xml:space="preserve"> </w:t>
      </w:r>
      <w:r>
        <w:t xml:space="preserve">Post-closing, Terravox is a wholly-owned subsidiary of Hargrove; Hargrove, as sole stockholder, may reconstitute the Board. The designated-seat structure ceases to have effect.</w:t>
      </w:r>
    </w:p>
    <w:p>
      <w:pPr>
        <w:pStyle w:val="Compact"/>
        <w:numPr>
          <w:ilvl w:val="0"/>
          <w:numId w:val="1012"/>
        </w:numPr>
      </w:pPr>
      <w:r>
        <w:rPr>
          <w:b/>
          <w:bCs/>
        </w:rPr>
        <w:t xml:space="preserve">Voting obligations terminate at closing.</w:t>
      </w:r>
      <w:r>
        <w:t xml:space="preserve"> </w:t>
      </w:r>
      <w:r>
        <w:t xml:space="preserve">The §3.1 obligations to vote to maintain Board composition cease.</w:t>
      </w:r>
    </w:p>
    <w:p>
      <w:pPr>
        <w:pStyle w:val="Compact"/>
        <w:numPr>
          <w:ilvl w:val="0"/>
          <w:numId w:val="1012"/>
        </w:numPr>
      </w:pPr>
      <w:r>
        <w:rPr>
          <w:b/>
          <w:bCs/>
        </w:rPr>
        <w:t xml:space="preserve">The Board observer right terminates at closing.</w:t>
      </w:r>
      <w:r>
        <w:t xml:space="preserve"> </w:t>
      </w:r>
      <w:r>
        <w:t xml:space="preserve">Stonemill’s observer right (§4) terminates both (i) with the VA under §7.1(b) and (ii) independently when Stonemill ceases to hold ≥1,000,000 Series C shares (§7.3) — which occurs at closing when the Series C is cancelled for consideration.</w:t>
      </w:r>
      <w:r>
        <w:t xml:space="preserve"> </w:t>
      </w:r>
      <w:r>
        <w:rPr>
          <w:b/>
          <w:bCs/>
        </w:rPr>
        <w:t xml:space="preserve">The observer right does not survive the transaction.</w:t>
      </w:r>
    </w:p>
    <w:bookmarkEnd w:id="52"/>
    <w:bookmarkStart w:id="53" w:name="X77701e3e2185237ca071c9f090486de3ad5c7e6"/>
    <w:p>
      <w:pPr>
        <w:pStyle w:val="Heading3"/>
      </w:pPr>
      <w:r>
        <w:t xml:space="preserve">C. The November 3, 2026 Sunset — Residual Risk</w:t>
      </w:r>
    </w:p>
    <w:p>
      <w:pPr>
        <w:pStyle w:val="FirstParagraph"/>
      </w:pPr>
      <w:r>
        <w:t xml:space="preserve">If the merger did</w:t>
      </w:r>
      <w:r>
        <w:t xml:space="preserve"> </w:t>
      </w:r>
      <w:r>
        <w:rPr>
          <w:b/>
          <w:bCs/>
        </w:rPr>
        <w:t xml:space="preserve">not</w:t>
      </w:r>
      <w:r>
        <w:t xml:space="preserve"> </w:t>
      </w:r>
      <w:r>
        <w:t xml:space="preserve">clearly qualify as a</w:t>
      </w:r>
      <w:r>
        <w:t xml:space="preserve"> </w:t>
      </w:r>
      <w:r>
        <w:t xml:space="preserve">“</w:t>
      </w:r>
      <w:r>
        <w:t xml:space="preserve">Sale of the Company,</w:t>
      </w:r>
      <w:r>
        <w:t xml:space="preserve">”</w:t>
      </w:r>
      <w:r>
        <w:t xml:space="preserve"> </w:t>
      </w:r>
      <w:r>
        <w:t xml:space="preserve">the VA could theoretically linger until the November 3, 2026 sunset. Because the merger unambiguously qualifies (0% retention), this is not a real risk. We note it only because the sunset is the backstop termination date and because the VA’s §3.2 confirms it imposes no merger-voting obligation — so even if it lingered, it would not impede the merger. The principal residual concern is the RRA (Area 10), not the VA.</w:t>
      </w:r>
    </w:p>
    <w:bookmarkEnd w:id="53"/>
    <w:bookmarkStart w:id="54" w:name="d.-committee-composition-covenant-va-2.4"/>
    <w:p>
      <w:pPr>
        <w:pStyle w:val="Heading3"/>
      </w:pPr>
      <w:r>
        <w:t xml:space="preserve">D. Committee Composition Covenant (VA §2.4)</w:t>
      </w:r>
    </w:p>
    <w:p>
      <w:pPr>
        <w:pStyle w:val="FirstParagraph"/>
      </w:pPr>
      <w:r>
        <w:t xml:space="preserve">Unless otherwise agreed by the Investors, each Board committee must include at least one Investor designee. This obligation terminates with the VA at closing. During the signing-to-closing period, the VA remains in effect; the Special Committee (a Board committee) currently includes Okafor (an Investor designee), satisfying §2.4. (See Area 9 regarding Okafor’s independence.)</w:t>
      </w:r>
    </w:p>
    <w:p>
      <w:r>
        <w:pict>
          <v:rect style="width:0;height:1.5pt" o:hralign="center" o:hrstd="t" o:hr="t"/>
        </w:pict>
      </w:r>
    </w:p>
    <w:bookmarkEnd w:id="54"/>
    <w:bookmarkEnd w:id="55"/>
    <w:bookmarkStart w:id="59" w:name="Xb5c8894ca0a7523972a6e2943ac65957535918f"/>
    <w:p>
      <w:pPr>
        <w:pStyle w:val="Heading2"/>
      </w:pPr>
      <w:r>
        <w:t xml:space="preserve">IX. Area 6 — Cross-Document Definitional Inconsistencies</w:t>
      </w:r>
    </w:p>
    <w:bookmarkStart w:id="56" w:name="X6071c45bbf13b63aa0073d4971037ba60847586"/>
    <w:p>
      <w:pPr>
        <w:pStyle w:val="Heading3"/>
      </w:pPr>
      <w:r>
        <w:t xml:space="preserve">A. Comparison of the Three Operative Defined Terms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Feature</w:t>
            </w:r>
          </w:p>
        </w:tc>
        <w:tc>
          <w:tcPr/>
          <w:p>
            <w:pPr>
              <w:pStyle w:val="Compact"/>
              <w:jc w:val="left"/>
            </w:pPr>
            <w:r>
              <w:t xml:space="preserve">“</w:t>
            </w:r>
            <w:r>
              <w:t xml:space="preserve">Liquidation Event</w:t>
            </w:r>
            <w:r>
              <w:t xml:space="preserve">”</w:t>
            </w:r>
            <w:r>
              <w:t xml:space="preserve"> </w:t>
            </w:r>
            <w:r>
              <w:t xml:space="preserve">(Charter §4.3.2(d))</w:t>
            </w:r>
          </w:p>
        </w:tc>
        <w:tc>
          <w:tcPr/>
          <w:p>
            <w:pPr>
              <w:pStyle w:val="Compact"/>
              <w:jc w:val="left"/>
            </w:pPr>
            <w:r>
              <w:t xml:space="preserve">“</w:t>
            </w:r>
            <w:r>
              <w:t xml:space="preserve">Sale of the Company</w:t>
            </w:r>
            <w:r>
              <w:t xml:space="preserve">”</w:t>
            </w:r>
            <w:r>
              <w:t xml:space="preserve"> </w:t>
            </w:r>
            <w:r>
              <w:t xml:space="preserve">(SHA §1.1 / VA §1)</w:t>
            </w:r>
          </w:p>
        </w:tc>
        <w:tc>
          <w:tcPr/>
          <w:p>
            <w:pPr>
              <w:pStyle w:val="Compact"/>
              <w:jc w:val="left"/>
            </w:pPr>
            <w:r>
              <w:t xml:space="preserve">“</w:t>
            </w:r>
            <w:r>
              <w:t xml:space="preserve">Deemed Liquidation Event</w:t>
            </w:r>
            <w:r>
              <w:t xml:space="preserve">”</w:t>
            </w:r>
            <w:r>
              <w:t xml:space="preserve"> </w:t>
            </w:r>
            <w:r>
              <w:t xml:space="preserve">(RRA §9(c))</w:t>
            </w:r>
          </w:p>
        </w:tc>
      </w:tr>
      <w:tr>
        <w:tc>
          <w:tcPr/>
          <w:p>
            <w:pPr>
              <w:pStyle w:val="Compact"/>
              <w:jc w:val="left"/>
            </w:pPr>
            <w:r>
              <w:t xml:space="preserve">Merger voting-power retention test</w:t>
            </w:r>
          </w:p>
        </w:tc>
        <w:tc>
          <w:tcPr/>
          <w:p>
            <w:pPr>
              <w:pStyle w:val="Compact"/>
              <w:jc w:val="left"/>
            </w:pPr>
            <w:r>
              <w:t xml:space="preserve">“</w:t>
            </w:r>
            <w:r>
              <w:t xml:space="preserve">at least 50%</w:t>
            </w:r>
            <w:r>
              <w:t xml:space="preserve">”</w:t>
            </w:r>
          </w:p>
        </w:tc>
        <w:tc>
          <w:tcPr/>
          <w:p>
            <w:pPr>
              <w:pStyle w:val="Compact"/>
              <w:jc w:val="left"/>
            </w:pPr>
            <w:r>
              <w:t xml:space="preserve">“</w:t>
            </w:r>
            <w:r>
              <w:t xml:space="preserve">majority</w:t>
            </w:r>
            <w:r>
              <w:t xml:space="preserve">”</w:t>
            </w:r>
            <w:r>
              <w:t xml:space="preserve"> </w:t>
            </w:r>
            <w:r>
              <w:t xml:space="preserve">(&gt;50%)</w:t>
            </w:r>
          </w:p>
        </w:tc>
        <w:tc>
          <w:tcPr/>
          <w:p>
            <w:pPr>
              <w:pStyle w:val="Compact"/>
              <w:jc w:val="left"/>
            </w:pPr>
            <w:r>
              <w:rPr>
                <w:b/>
                <w:bCs/>
              </w:rPr>
              <w:t xml:space="preserve">Undefined</w:t>
            </w:r>
          </w:p>
        </w:tc>
      </w:tr>
      <w:tr>
        <w:tc>
          <w:tcPr/>
          <w:p>
            <w:pPr>
              <w:pStyle w:val="Compact"/>
              <w:jc w:val="left"/>
            </w:pPr>
            <w:r>
              <w:t xml:space="preserve">Asset disposition</w:t>
            </w:r>
          </w:p>
        </w:tc>
        <w:tc>
          <w:tcPr/>
          <w:p>
            <w:pPr>
              <w:pStyle w:val="Compact"/>
              <w:jc w:val="left"/>
            </w:pPr>
            <w:r>
              <w:t xml:space="preserve">all or substantially all (single tx or series)</w:t>
            </w:r>
          </w:p>
        </w:tc>
        <w:tc>
          <w:tcPr/>
          <w:p>
            <w:pPr>
              <w:pStyle w:val="Compact"/>
              <w:jc w:val="left"/>
            </w:pPr>
            <w:r>
              <w:t xml:space="preserve">all or substantially all</w:t>
            </w:r>
          </w:p>
        </w:tc>
        <w:tc>
          <w:tcPr/>
          <w:p>
            <w:pPr>
              <w:pStyle w:val="Compact"/>
              <w:jc w:val="left"/>
            </w:pPr>
            <w:r>
              <w:rPr>
                <w:b/>
                <w:bCs/>
              </w:rPr>
              <w:t xml:space="preserve">Undefined</w:t>
            </w:r>
          </w:p>
        </w:tc>
      </w:tr>
      <w:tr>
        <w:tc>
          <w:tcPr/>
          <w:p>
            <w:pPr>
              <w:pStyle w:val="Compact"/>
              <w:jc w:val="left"/>
            </w:pPr>
            <w:r>
              <w:t xml:space="preserve">Voting-power transfer threshold</w:t>
            </w:r>
          </w:p>
        </w:tc>
        <w:tc>
          <w:tcPr/>
          <w:p>
            <w:pPr>
              <w:pStyle w:val="Compact"/>
              <w:jc w:val="left"/>
            </w:pPr>
            <w:r>
              <w:t xml:space="preserve">&gt;50% (with equity-financing carve-out)</w:t>
            </w:r>
          </w:p>
        </w:tc>
        <w:tc>
          <w:tcPr/>
          <w:p>
            <w:pPr>
              <w:pStyle w:val="Compact"/>
              <w:jc w:val="left"/>
            </w:pPr>
            <w:r>
              <w:t xml:space="preserve">&gt;50% (no carve-out)</w:t>
            </w:r>
          </w:p>
        </w:tc>
        <w:tc>
          <w:tcPr/>
          <w:p>
            <w:pPr>
              <w:pStyle w:val="Compact"/>
              <w:jc w:val="left"/>
            </w:pPr>
            <w:r>
              <w:rPr>
                <w:b/>
                <w:bCs/>
              </w:rPr>
              <w:t xml:space="preserve">Undefined</w:t>
            </w:r>
          </w:p>
        </w:tc>
      </w:tr>
      <w:tr>
        <w:tc>
          <w:tcPr/>
          <w:p>
            <w:pPr>
              <w:pStyle w:val="Compact"/>
              <w:jc w:val="left"/>
            </w:pPr>
            <w:r>
              <w:t xml:space="preserve">Liquidation/dissolution</w:t>
            </w:r>
          </w:p>
        </w:tc>
        <w:tc>
          <w:tcPr/>
          <w:p>
            <w:pPr>
              <w:pStyle w:val="Compact"/>
              <w:jc w:val="left"/>
            </w:pPr>
            <w:r>
              <w:t xml:space="preserve">included</w:t>
            </w:r>
          </w:p>
        </w:tc>
        <w:tc>
          <w:tcPr/>
          <w:p>
            <w:pPr>
              <w:pStyle w:val="Compact"/>
              <w:jc w:val="left"/>
            </w:pPr>
            <w:r>
              <w:t xml:space="preserve">not separately listed</w:t>
            </w:r>
          </w:p>
        </w:tc>
        <w:tc>
          <w:tcPr/>
          <w:p>
            <w:pPr>
              <w:pStyle w:val="Compact"/>
              <w:jc w:val="left"/>
            </w:pPr>
            <w:r>
              <w:rPr>
                <w:b/>
                <w:bCs/>
              </w:rPr>
              <w:t xml:space="preserve">Undefined</w:t>
            </w:r>
          </w:p>
        </w:tc>
      </w:tr>
    </w:tbl>
    <w:bookmarkEnd w:id="56"/>
    <w:bookmarkStart w:id="57" w:name="b.-specific-inconsistencies"/>
    <w:p>
      <w:pPr>
        <w:pStyle w:val="Heading3"/>
      </w:pPr>
      <w:r>
        <w:t xml:space="preserve">B. Specific Inconsistencies</w:t>
      </w:r>
    </w:p>
    <w:p>
      <w:pPr>
        <w:numPr>
          <w:ilvl w:val="0"/>
          <w:numId w:val="1013"/>
        </w:numPr>
      </w:pPr>
      <w:r>
        <w:rPr>
          <w:b/>
          <w:bCs/>
        </w:rPr>
        <w:t xml:space="preserve">“</w:t>
      </w:r>
      <w:r>
        <w:rPr>
          <w:b/>
          <w:bCs/>
        </w:rPr>
        <w:t xml:space="preserve">At least 50%</w:t>
      </w:r>
      <w:r>
        <w:rPr>
          <w:b/>
          <w:bCs/>
        </w:rPr>
        <w:t xml:space="preserve">”</w:t>
      </w:r>
      <w:r>
        <w:rPr>
          <w:b/>
          <w:bCs/>
        </w:rPr>
        <w:t xml:space="preserve"> </w:t>
      </w:r>
      <w:r>
        <w:rPr>
          <w:b/>
          <w:bCs/>
        </w:rPr>
        <w:t xml:space="preserve">vs. </w:t>
      </w:r>
      <w:r>
        <w:rPr>
          <w:b/>
          <w:bCs/>
        </w:rPr>
        <w:t xml:space="preserve">“</w:t>
      </w:r>
      <w:r>
        <w:rPr>
          <w:b/>
          <w:bCs/>
        </w:rPr>
        <w:t xml:space="preserve">majority.</w:t>
      </w:r>
      <w:r>
        <w:rPr>
          <w:b/>
          <w:bCs/>
        </w:rPr>
        <w:t xml:space="preserve">”</w:t>
      </w:r>
      <w:r>
        <w:t xml:space="preserve"> </w:t>
      </w:r>
      <w:r>
        <w:t xml:space="preserve">The charter’s Liquidation Event uses</w:t>
      </w:r>
      <w:r>
        <w:t xml:space="preserve"> </w:t>
      </w:r>
      <w:r>
        <w:t xml:space="preserve">“</w:t>
      </w:r>
      <w:r>
        <w:t xml:space="preserve">at least fifty percent (50%)</w:t>
      </w:r>
      <w:r>
        <w:t xml:space="preserve">”</w:t>
      </w:r>
      <w:r>
        <w:t xml:space="preserve"> </w:t>
      </w:r>
      <w:r>
        <w:t xml:space="preserve">for the merger retention test; the SHA/VA Sale of the Company uses</w:t>
      </w:r>
      <w:r>
        <w:t xml:space="preserve"> </w:t>
      </w:r>
      <w:r>
        <w:t xml:space="preserve">“</w:t>
      </w:r>
      <w:r>
        <w:t xml:space="preserve">majority</w:t>
      </w:r>
      <w:r>
        <w:t xml:space="preserve">”</w:t>
      </w:r>
      <w:r>
        <w:t xml:space="preserve"> </w:t>
      </w:r>
      <w:r>
        <w:t xml:space="preserve">(i.e., &gt;50%). The difference (exactly 50% retention qualifies as</w:t>
      </w:r>
      <w:r>
        <w:t xml:space="preserve"> </w:t>
      </w:r>
      <w:r>
        <w:rPr>
          <w:i/>
          <w:iCs/>
        </w:rPr>
        <w:t xml:space="preserve">not</w:t>
      </w:r>
      <w:r>
        <w:t xml:space="preserve"> </w:t>
      </w:r>
      <w:r>
        <w:t xml:space="preserve">a Liquidation Event under the charter but</w:t>
      </w:r>
      <w:r>
        <w:t xml:space="preserve"> </w:t>
      </w:r>
      <w:r>
        <w:rPr>
          <w:i/>
          <w:iCs/>
        </w:rPr>
        <w:t xml:space="preserve">is</w:t>
      </w:r>
      <w:r>
        <w:t xml:space="preserve"> </w:t>
      </w:r>
      <w:r>
        <w:t xml:space="preserve">a Sale of the Company under the SHA/VA) is immaterial here (Terravox stockholders retain 0%), but is a latent inconsistency that could matter in a partial-rollover or majority-rollover structure.</w:t>
      </w:r>
    </w:p>
    <w:p>
      <w:pPr>
        <w:numPr>
          <w:ilvl w:val="0"/>
          <w:numId w:val="1013"/>
        </w:numPr>
      </w:pPr>
      <w:r>
        <w:rPr>
          <w:b/>
          <w:bCs/>
        </w:rPr>
        <w:t xml:space="preserve">Equity-financing carve-out.</w:t>
      </w:r>
      <w:r>
        <w:t xml:space="preserve"> </w:t>
      </w:r>
      <w:r>
        <w:t xml:space="preserve">The charter’s Liquidation Event (§4.3.2(d)(iii)) expressly excludes</w:t>
      </w:r>
      <w:r>
        <w:t xml:space="preserve"> </w:t>
      </w:r>
      <w:r>
        <w:t xml:space="preserve">“</w:t>
      </w:r>
      <w:r>
        <w:t xml:space="preserve">an equity financing transaction primarily for capital-raising purposes</w:t>
      </w:r>
      <w:r>
        <w:t xml:space="preserve">”</w:t>
      </w:r>
      <w:r>
        <w:t xml:space="preserve"> </w:t>
      </w:r>
      <w:r>
        <w:t xml:space="preserve">from the &gt;50% voting-power-transfer prong. The SHA/VA Sale of the Company definitions contain</w:t>
      </w:r>
      <w:r>
        <w:t xml:space="preserve"> </w:t>
      </w:r>
      <w:r>
        <w:rPr>
          <w:b/>
          <w:bCs/>
        </w:rPr>
        <w:t xml:space="preserve">no such carve-out</w:t>
      </w:r>
      <w:r>
        <w:t xml:space="preserve">. A large equity financing could therefore be a</w:t>
      </w:r>
      <w:r>
        <w:t xml:space="preserve"> </w:t>
      </w:r>
      <w:r>
        <w:t xml:space="preserve">“</w:t>
      </w:r>
      <w:r>
        <w:t xml:space="preserve">Sale of the Company</w:t>
      </w:r>
      <w:r>
        <w:t xml:space="preserve">”</w:t>
      </w:r>
      <w:r>
        <w:t xml:space="preserve"> </w:t>
      </w:r>
      <w:r>
        <w:t xml:space="preserve">(triggering SHA drag-along/termination and VA termination) without being a</w:t>
      </w:r>
      <w:r>
        <w:t xml:space="preserve"> </w:t>
      </w:r>
      <w:r>
        <w:t xml:space="preserve">“</w:t>
      </w:r>
      <w:r>
        <w:t xml:space="preserve">Liquidation Event</w:t>
      </w:r>
      <w:r>
        <w:t xml:space="preserve">”</w:t>
      </w:r>
      <w:r>
        <w:t xml:space="preserve"> </w:t>
      </w:r>
      <w:r>
        <w:t xml:space="preserve">(no charter protective-protection trigger). Not directly relevant to the Hargrove merger, but a meaningful drafting gap.</w:t>
      </w:r>
    </w:p>
    <w:p>
      <w:pPr>
        <w:numPr>
          <w:ilvl w:val="0"/>
          <w:numId w:val="1013"/>
        </w:numPr>
      </w:pPr>
      <w:r>
        <w:rPr>
          <w:b/>
          <w:bCs/>
        </w:rPr>
        <w:t xml:space="preserve">“</w:t>
      </w:r>
      <w:r>
        <w:rPr>
          <w:b/>
          <w:bCs/>
        </w:rPr>
        <w:t xml:space="preserve">Deemed Liquidation Event</w:t>
      </w:r>
      <w:r>
        <w:rPr>
          <w:b/>
          <w:bCs/>
        </w:rPr>
        <w:t xml:space="preserve">”</w:t>
      </w:r>
      <w:r>
        <w:rPr>
          <w:b/>
          <w:bCs/>
        </w:rPr>
        <w:t xml:space="preserve"> </w:t>
      </w:r>
      <w:r>
        <w:rPr>
          <w:b/>
          <w:bCs/>
        </w:rPr>
        <w:t xml:space="preserve">is undefined in the RRA.</w:t>
      </w:r>
      <w:r>
        <w:t xml:space="preserve"> </w:t>
      </w:r>
      <w:r>
        <w:t xml:space="preserve">This is the most significant inconsistency. The RRA’s §9(c) terminates each Holder’s registration rights upon</w:t>
      </w:r>
      <w:r>
        <w:t xml:space="preserve"> </w:t>
      </w:r>
      <w:r>
        <w:t xml:space="preserve">“</w:t>
      </w:r>
      <w:r>
        <w:t xml:space="preserve">a Deemed Liquidation Event,</w:t>
      </w:r>
      <w:r>
        <w:t xml:space="preserve">”</w:t>
      </w:r>
      <w:r>
        <w:t xml:space="preserve"> </w:t>
      </w:r>
      <w:r>
        <w:t xml:space="preserve">but §1 of the RRA does</w:t>
      </w:r>
      <w:r>
        <w:t xml:space="preserve"> </w:t>
      </w:r>
      <w:r>
        <w:rPr>
          <w:b/>
          <w:bCs/>
        </w:rPr>
        <w:t xml:space="preserve">not</w:t>
      </w:r>
      <w:r>
        <w:t xml:space="preserve"> </w:t>
      </w:r>
      <w:r>
        <w:t xml:space="preserve">define</w:t>
      </w:r>
      <w:r>
        <w:t xml:space="preserve"> </w:t>
      </w:r>
      <w:r>
        <w:t xml:space="preserve">“</w:t>
      </w:r>
      <w:r>
        <w:t xml:space="preserve">Deemed Liquidation Event</w:t>
      </w:r>
      <w:r>
        <w:t xml:space="preserve">”</w:t>
      </w:r>
      <w:r>
        <w:t xml:space="preserve"> </w:t>
      </w:r>
      <w:r>
        <w:t xml:space="preserve">and does</w:t>
      </w:r>
      <w:r>
        <w:t xml:space="preserve"> </w:t>
      </w:r>
      <w:r>
        <w:rPr>
          <w:b/>
          <w:bCs/>
        </w:rPr>
        <w:t xml:space="preserve">not</w:t>
      </w:r>
      <w:r>
        <w:t xml:space="preserve"> </w:t>
      </w:r>
      <w:r>
        <w:t xml:space="preserve">cross-reference the charter’s</w:t>
      </w:r>
      <w:r>
        <w:t xml:space="preserve"> </w:t>
      </w:r>
      <w:r>
        <w:t xml:space="preserve">“</w:t>
      </w:r>
      <w:r>
        <w:t xml:space="preserve">Liquidation Event.</w:t>
      </w:r>
      <w:r>
        <w:t xml:space="preserve">”</w:t>
      </w:r>
      <w:r>
        <w:t xml:space="preserve"> </w:t>
      </w:r>
      <w:r>
        <w:t xml:space="preserve">The term appears to be a vestige of the NVCA-model</w:t>
      </w:r>
      <w:r>
        <w:t xml:space="preserve"> </w:t>
      </w:r>
      <w:r>
        <w:t xml:space="preserve">“</w:t>
      </w:r>
      <w:r>
        <w:t xml:space="preserve">Deemed Liquidation Event</w:t>
      </w:r>
      <w:r>
        <w:t xml:space="preserve">”</w:t>
      </w:r>
      <w:r>
        <w:t xml:space="preserve"> </w:t>
      </w:r>
      <w:r>
        <w:t xml:space="preserve">concept (a merger/sale treated as a liquidation for preference purposes), but its undefined status creates ambiguity about whether the merger terminates the RRA.</w:t>
      </w:r>
      <w:r>
        <w:t xml:space="preserve"> </w:t>
      </w:r>
      <w:r>
        <w:rPr>
          <w:i/>
          <w:iCs/>
        </w:rPr>
        <w:t xml:space="preserve">(See Area 10.)</w:t>
      </w:r>
    </w:p>
    <w:p>
      <w:pPr>
        <w:numPr>
          <w:ilvl w:val="0"/>
          <w:numId w:val="1013"/>
        </w:numPr>
      </w:pPr>
      <w:r>
        <w:rPr>
          <w:b/>
          <w:bCs/>
        </w:rPr>
        <w:t xml:space="preserve">Board minutes reference additional/legacy agreements.</w:t>
      </w:r>
      <w:r>
        <w:t xml:space="preserve"> </w:t>
      </w:r>
      <w:r>
        <w:t xml:space="preserve">The preamble to the Board minutes refers to</w:t>
      </w:r>
      <w:r>
        <w:t xml:space="preserve"> </w:t>
      </w:r>
      <w:r>
        <w:t xml:space="preserve">“</w:t>
      </w:r>
      <w:r>
        <w:t xml:space="preserve">the Investors’ Rights Agreement, the Voting Agreement, the Right of First Refusal and Co-Sale Agreement, and the Stockholders’ Agreement</w:t>
      </w:r>
      <w:r>
        <w:t xml:space="preserve">”</w:t>
      </w:r>
      <w:r>
        <w:t xml:space="preserve"> </w:t>
      </w:r>
      <w:r>
        <w:t xml:space="preserve">as the</w:t>
      </w:r>
      <w:r>
        <w:t xml:space="preserve"> </w:t>
      </w:r>
      <w:r>
        <w:t xml:space="preserve">“</w:t>
      </w:r>
      <w:r>
        <w:t xml:space="preserve">Governance Agreements.</w:t>
      </w:r>
      <w:r>
        <w:t xml:space="preserve">”</w:t>
      </w:r>
      <w:r>
        <w:t xml:space="preserve"> </w:t>
      </w:r>
      <w:r>
        <w:t xml:space="preserve">The documents we received consolidate information rights, ROFR/co-sale, and drag-along/tag-along into the single Stockholders’ Agreement. The minutes’ reference to separate</w:t>
      </w:r>
      <w:r>
        <w:t xml:space="preserve"> </w:t>
      </w:r>
      <w:r>
        <w:t xml:space="preserve">“</w:t>
      </w:r>
      <w:r>
        <w:t xml:space="preserve">Investors’ Rights Agreement</w:t>
      </w:r>
      <w:r>
        <w:t xml:space="preserve">”</w:t>
      </w:r>
      <w:r>
        <w:t xml:space="preserve"> </w:t>
      </w:r>
      <w:r>
        <w:t xml:space="preserve">and</w:t>
      </w:r>
      <w:r>
        <w:t xml:space="preserve"> </w:t>
      </w:r>
      <w:r>
        <w:t xml:space="preserve">“</w:t>
      </w:r>
      <w:r>
        <w:t xml:space="preserve">Right of First Refusal and Co-Sale Agreement</w:t>
      </w:r>
      <w:r>
        <w:t xml:space="preserve">”</w:t>
      </w:r>
      <w:r>
        <w:t xml:space="preserve"> </w:t>
      </w:r>
      <w:r>
        <w:t xml:space="preserve">may be imprecise (describing the SHA’s component parts) or may indicate</w:t>
      </w:r>
      <w:r>
        <w:t xml:space="preserve"> </w:t>
      </w:r>
      <w:r>
        <w:rPr>
          <w:b/>
          <w:bCs/>
        </w:rPr>
        <w:t xml:space="preserve">legacy or additional agreements</w:t>
      </w:r>
      <w:r>
        <w:t xml:space="preserve"> </w:t>
      </w:r>
      <w:r>
        <w:t xml:space="preserve">that we have not received. This should be confirmed with Company counsel. If separate agreements exist, they may contain additional consent, transfer, or information provisions that affect the transaction.</w:t>
      </w:r>
    </w:p>
    <w:bookmarkEnd w:id="57"/>
    <w:bookmarkStart w:id="58" w:name="c.-impact"/>
    <w:p>
      <w:pPr>
        <w:pStyle w:val="Heading3"/>
      </w:pPr>
      <w:r>
        <w:t xml:space="preserve">C. Impact</w:t>
      </w:r>
    </w:p>
    <w:p>
      <w:pPr>
        <w:pStyle w:val="FirstParagraph"/>
      </w:pPr>
      <w:r>
        <w:t xml:space="preserve">The inconsistencies do not impede characterization of the Hargrove merger as a Liquidation Event / Sale of the Company (all definitions capture it). The principal risk is the</w:t>
      </w:r>
      <w:r>
        <w:t xml:space="preserve"> </w:t>
      </w:r>
      <w:r>
        <w:rPr>
          <w:b/>
          <w:bCs/>
        </w:rPr>
        <w:t xml:space="preserve">RRA’s undefined</w:t>
      </w:r>
      <w:r>
        <w:rPr>
          <w:b/>
          <w:bCs/>
        </w:rPr>
        <w:t xml:space="preserve"> </w:t>
      </w:r>
      <w:r>
        <w:rPr>
          <w:b/>
          <w:bCs/>
        </w:rPr>
        <w:t xml:space="preserve">“</w:t>
      </w:r>
      <w:r>
        <w:rPr>
          <w:b/>
          <w:bCs/>
        </w:rPr>
        <w:t xml:space="preserve">Deemed Liquidation Event,</w:t>
      </w:r>
      <w:r>
        <w:rPr>
          <w:b/>
          <w:bCs/>
        </w:rPr>
        <w:t xml:space="preserve">”</w:t>
      </w:r>
      <w:r>
        <w:t xml:space="preserve"> </w:t>
      </w:r>
      <w:r>
        <w:t xml:space="preserve">which creates uncertainty about RRA termination (Area 10). The</w:t>
      </w:r>
      <w:r>
        <w:t xml:space="preserve"> </w:t>
      </w:r>
      <w:r>
        <w:t xml:space="preserve">“</w:t>
      </w:r>
      <w:r>
        <w:t xml:space="preserve">at least 50%</w:t>
      </w:r>
      <w:r>
        <w:t xml:space="preserve">”</w:t>
      </w:r>
      <w:r>
        <w:t xml:space="preserve"> </w:t>
      </w:r>
      <w:r>
        <w:t xml:space="preserve">vs. </w:t>
      </w:r>
      <w:r>
        <w:t xml:space="preserve">“</w:t>
      </w:r>
      <w:r>
        <w:t xml:space="preserve">majority</w:t>
      </w:r>
      <w:r>
        <w:t xml:space="preserve">”</w:t>
      </w:r>
      <w:r>
        <w:t xml:space="preserve"> </w:t>
      </w:r>
      <w:r>
        <w:t xml:space="preserve">and equity-financing-carve-out differences are latent issues for future transactions but do not affect this deal.</w:t>
      </w:r>
    </w:p>
    <w:p>
      <w:r>
        <w:pict>
          <v:rect style="width:0;height:1.5pt" o:hralign="center" o:hrstd="t" o:hr="t"/>
        </w:pict>
      </w:r>
    </w:p>
    <w:bookmarkEnd w:id="58"/>
    <w:bookmarkEnd w:id="59"/>
    <w:bookmarkStart w:id="64" w:name="X5e5b0550a6a9f46300e1589cd228a8163554e17"/>
    <w:p>
      <w:pPr>
        <w:pStyle w:val="Heading2"/>
      </w:pPr>
      <w:r>
        <w:t xml:space="preserve">X. Area 7 — Outstanding Equity Awards and Change-of-Control Acceleration</w:t>
      </w:r>
    </w:p>
    <w:bookmarkStart w:id="60" w:name="X875b7c1ea6e63a4de60caa8611d140255726082"/>
    <w:p>
      <w:pPr>
        <w:pStyle w:val="Heading3"/>
      </w:pPr>
      <w:r>
        <w:t xml:space="preserve">A. Awards Identified in the Board Minutes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Holder</w:t>
            </w:r>
          </w:p>
        </w:tc>
        <w:tc>
          <w:tcPr/>
          <w:p>
            <w:pPr>
              <w:pStyle w:val="Compact"/>
              <w:jc w:val="left"/>
            </w:pPr>
            <w:r>
              <w:t xml:space="preserve">Title</w:t>
            </w:r>
          </w:p>
        </w:tc>
        <w:tc>
          <w:tcPr/>
          <w:p>
            <w:pPr>
              <w:pStyle w:val="Compact"/>
              <w:jc w:val="left"/>
            </w:pPr>
            <w:r>
              <w:t xml:space="preserve">Award</w:t>
            </w:r>
          </w:p>
        </w:tc>
        <w:tc>
          <w:tcPr/>
          <w:p>
            <w:pPr>
              <w:pStyle w:val="Compact"/>
              <w:jc w:val="left"/>
            </w:pPr>
            <w:r>
              <w:t xml:space="preserve">Shares</w:t>
            </w:r>
          </w:p>
        </w:tc>
        <w:tc>
          <w:tcPr/>
          <w:p>
            <w:pPr>
              <w:pStyle w:val="Compact"/>
              <w:jc w:val="left"/>
            </w:pPr>
            <w:r>
              <w:t xml:space="preserve">Exercise Price</w:t>
            </w:r>
          </w:p>
        </w:tc>
        <w:tc>
          <w:tcPr/>
          <w:p>
            <w:pPr>
              <w:pStyle w:val="Compact"/>
              <w:jc w:val="left"/>
            </w:pPr>
            <w:r>
              <w:t xml:space="preserve">Vesting</w:t>
            </w:r>
          </w:p>
        </w:tc>
        <w:tc>
          <w:tcPr/>
          <w:p>
            <w:pPr>
              <w:pStyle w:val="Compact"/>
              <w:jc w:val="left"/>
            </w:pPr>
            <w:r>
              <w:t xml:space="preserve">Grant Date</w:t>
            </w:r>
          </w:p>
        </w:tc>
      </w:tr>
      <w:tr>
        <w:tc>
          <w:tcPr/>
          <w:p>
            <w:pPr>
              <w:pStyle w:val="Compact"/>
              <w:jc w:val="left"/>
            </w:pPr>
            <w:r>
              <w:t xml:space="preserve">Raj Malhotra</w:t>
            </w:r>
          </w:p>
        </w:tc>
        <w:tc>
          <w:tcPr/>
          <w:p>
            <w:pPr>
              <w:pStyle w:val="Compact"/>
              <w:jc w:val="left"/>
            </w:pPr>
            <w:r>
              <w:t xml:space="preserve">VP, Engineering</w:t>
            </w:r>
          </w:p>
        </w:tc>
        <w:tc>
          <w:tcPr/>
          <w:p>
            <w:pPr>
              <w:pStyle w:val="Compact"/>
              <w:jc w:val="left"/>
            </w:pPr>
            <w:r>
              <w:t xml:space="preserve">Stock options</w:t>
            </w:r>
          </w:p>
        </w:tc>
        <w:tc>
          <w:tcPr/>
          <w:p>
            <w:pPr>
              <w:pStyle w:val="Compact"/>
              <w:jc w:val="left"/>
            </w:pPr>
            <w:r>
              <w:t xml:space="preserve">350,000</w:t>
            </w:r>
          </w:p>
        </w:tc>
        <w:tc>
          <w:tcPr/>
          <w:p>
            <w:pPr>
              <w:pStyle w:val="Compact"/>
              <w:jc w:val="left"/>
            </w:pPr>
            <w:r>
              <w:t xml:space="preserve">$14.30</w:t>
            </w:r>
          </w:p>
        </w:tc>
        <w:tc>
          <w:tcPr/>
          <w:p>
            <w:pPr>
              <w:pStyle w:val="Compact"/>
              <w:jc w:val="left"/>
            </w:pPr>
            <w:r>
              <w:t xml:space="preserve">4-yr, 1-yr cliff</w:t>
            </w:r>
          </w:p>
        </w:tc>
        <w:tc>
          <w:tcPr/>
          <w:p>
            <w:pPr>
              <w:pStyle w:val="Compact"/>
              <w:jc w:val="left"/>
            </w:pPr>
            <w:r>
              <w:t xml:space="preserve">April 2023</w:t>
            </w:r>
          </w:p>
        </w:tc>
      </w:tr>
      <w:tr>
        <w:tc>
          <w:tcPr/>
          <w:p>
            <w:pPr>
              <w:pStyle w:val="Compact"/>
              <w:jc w:val="left"/>
            </w:pPr>
            <w:r>
              <w:t xml:space="preserve">Linda Yeung</w:t>
            </w:r>
          </w:p>
        </w:tc>
        <w:tc>
          <w:tcPr/>
          <w:p>
            <w:pPr>
              <w:pStyle w:val="Compact"/>
              <w:jc w:val="left"/>
            </w:pPr>
            <w:r>
              <w:t xml:space="preserve">CFO</w:t>
            </w:r>
          </w:p>
        </w:tc>
        <w:tc>
          <w:tcPr/>
          <w:p>
            <w:pPr>
              <w:pStyle w:val="Compact"/>
              <w:jc w:val="left"/>
            </w:pPr>
            <w:r>
              <w:t xml:space="preserve">RSUs</w:t>
            </w:r>
          </w:p>
        </w:tc>
        <w:tc>
          <w:tcPr/>
          <w:p>
            <w:pPr>
              <w:pStyle w:val="Compact"/>
              <w:jc w:val="left"/>
            </w:pPr>
            <w:r>
              <w:t xml:space="preserve">200,000</w:t>
            </w:r>
          </w:p>
        </w:tc>
        <w:tc>
          <w:tcPr/>
          <w:p>
            <w:pPr>
              <w:pStyle w:val="Compact"/>
              <w:jc w:val="left"/>
            </w:pPr>
            <w:r>
              <w:t xml:space="preserve">n/a</w:t>
            </w:r>
          </w:p>
        </w:tc>
        <w:tc>
          <w:tcPr/>
          <w:p>
            <w:pPr>
              <w:pStyle w:val="Compact"/>
              <w:jc w:val="left"/>
            </w:pPr>
            <w:r>
              <w:t xml:space="preserve">3-yr, 1/3 per year</w:t>
            </w:r>
          </w:p>
        </w:tc>
        <w:tc>
          <w:tcPr/>
          <w:p>
            <w:pPr>
              <w:pStyle w:val="Compact"/>
              <w:jc w:val="left"/>
            </w:pPr>
            <w:r>
              <w:t xml:space="preserve">April 2024</w:t>
            </w:r>
          </w:p>
        </w:tc>
      </w:tr>
    </w:tbl>
    <w:p>
      <w:pPr>
        <w:pStyle w:val="BodyText"/>
      </w:pPr>
      <w:r>
        <w:t xml:space="preserve">The July 19, 2023 minutes indicate that, prior to the share-reserve increase, approximately</w:t>
      </w:r>
      <w:r>
        <w:t xml:space="preserve"> </w:t>
      </w:r>
      <w:r>
        <w:rPr>
          <w:b/>
          <w:bCs/>
        </w:rPr>
        <w:t xml:space="preserve">7,420,000 shares</w:t>
      </w:r>
      <w:r>
        <w:t xml:space="preserve"> </w:t>
      </w:r>
      <w:r>
        <w:t xml:space="preserve">were subject to outstanding awards or previously exercised, leaving fewer than 580,000 available under the then-8,000,000 reserve. After the increase to 9,500,000 and the Malhotra/Yeung grants, the available reserve is approximately 1,530,000 shares. This implies a substantial number of additional awards (and award holders) beyond Malhotra and Yeung that we have not yet identified.</w:t>
      </w:r>
    </w:p>
    <w:bookmarkEnd w:id="60"/>
    <w:bookmarkStart w:id="61" w:name="Xea13d2118eeaf61167d88534dc116eb962704a5"/>
    <w:p>
      <w:pPr>
        <w:pStyle w:val="Heading3"/>
      </w:pPr>
      <w:r>
        <w:t xml:space="preserve">B. Document Gap — 2021 Equity Incentive Plan and Award Agreements</w:t>
      </w:r>
    </w:p>
    <w:p>
      <w:pPr>
        <w:pStyle w:val="FirstParagraph"/>
      </w:pPr>
      <w:r>
        <w:t xml:space="preserve">We have</w:t>
      </w:r>
      <w:r>
        <w:t xml:space="preserve"> </w:t>
      </w:r>
      <w:r>
        <w:rPr>
          <w:b/>
          <w:bCs/>
        </w:rPr>
        <w:t xml:space="preserve">not</w:t>
      </w:r>
      <w:r>
        <w:t xml:space="preserve"> </w:t>
      </w:r>
      <w:r>
        <w:t xml:space="preserve">received the 2021 Equity Incentive Plan (as amended July 2023) or any individual award agreements. These are essential to determine:</w:t>
      </w:r>
    </w:p>
    <w:p>
      <w:pPr>
        <w:pStyle w:val="Compact"/>
        <w:numPr>
          <w:ilvl w:val="0"/>
          <w:numId w:val="1014"/>
        </w:numPr>
      </w:pPr>
      <w:r>
        <w:rPr>
          <w:b/>
          <w:bCs/>
        </w:rPr>
        <w:t xml:space="preserve">Change-of-control definition.</w:t>
      </w:r>
      <w:r>
        <w:t xml:space="preserve"> </w:t>
      </w:r>
      <w:r>
        <w:t xml:space="preserve">Whether the merger constitutes a</w:t>
      </w:r>
      <w:r>
        <w:t xml:space="preserve"> </w:t>
      </w:r>
      <w:r>
        <w:t xml:space="preserve">“</w:t>
      </w:r>
      <w:r>
        <w:t xml:space="preserve">change of control</w:t>
      </w:r>
      <w:r>
        <w:t xml:space="preserve">”</w:t>
      </w:r>
      <w:r>
        <w:t xml:space="preserve"> </w:t>
      </w:r>
      <w:r>
        <w:t xml:space="preserve">(or</w:t>
      </w:r>
      <w:r>
        <w:t xml:space="preserve"> </w:t>
      </w:r>
      <w:r>
        <w:t xml:space="preserve">“</w:t>
      </w:r>
      <w:r>
        <w:t xml:space="preserve">change in control</w:t>
      </w:r>
      <w:r>
        <w:t xml:space="preserve">”</w:t>
      </w:r>
      <w:r>
        <w:t xml:space="preserve"> </w:t>
      </w:r>
      <w:r>
        <w:t xml:space="preserve">/</w:t>
      </w:r>
      <w:r>
        <w:t xml:space="preserve"> </w:t>
      </w:r>
      <w:r>
        <w:t xml:space="preserve">“</w:t>
      </w:r>
      <w:r>
        <w:t xml:space="preserve">qualifying event</w:t>
      </w:r>
      <w:r>
        <w:t xml:space="preserve">”</w:t>
      </w:r>
      <w:r>
        <w:t xml:space="preserve">) under the Plan.</w:t>
      </w:r>
    </w:p>
    <w:p>
      <w:pPr>
        <w:pStyle w:val="Compact"/>
        <w:numPr>
          <w:ilvl w:val="0"/>
          <w:numId w:val="1014"/>
        </w:numPr>
      </w:pPr>
      <w:r>
        <w:rPr>
          <w:b/>
          <w:bCs/>
        </w:rPr>
        <w:t xml:space="preserve">Acceleration — single-trigger vs. double-trigger.</w:t>
      </w:r>
      <w:r>
        <w:t xml:space="preserve"> </w:t>
      </w:r>
      <w:r>
        <w:t xml:space="preserve">Whether unvested awards accelerate upon a change of control alone (single-trigger) or only upon a change of control</w:t>
      </w:r>
      <w:r>
        <w:t xml:space="preserve"> </w:t>
      </w:r>
      <w:r>
        <w:rPr>
          <w:i/>
          <w:iCs/>
        </w:rPr>
        <w:t xml:space="preserve">plus</w:t>
      </w:r>
      <w:r>
        <w:t xml:space="preserve"> </w:t>
      </w:r>
      <w:r>
        <w:t xml:space="preserve">a qualifying termination (double-trigger). This is the single most important variable for deal economics.</w:t>
      </w:r>
    </w:p>
    <w:p>
      <w:pPr>
        <w:pStyle w:val="Compact"/>
        <w:numPr>
          <w:ilvl w:val="0"/>
          <w:numId w:val="1014"/>
        </w:numPr>
      </w:pPr>
      <w:r>
        <w:rPr>
          <w:b/>
          <w:bCs/>
        </w:rPr>
        <w:t xml:space="preserve">Treatment of unvested awards at closing.</w:t>
      </w:r>
      <w:r>
        <w:t xml:space="preserve"> </w:t>
      </w:r>
      <w:r>
        <w:t xml:space="preserve">Whether unvested awards are cashed out, assumed/converted by Buyer, or forfeited.</w:t>
      </w:r>
    </w:p>
    <w:p>
      <w:pPr>
        <w:pStyle w:val="Compact"/>
        <w:numPr>
          <w:ilvl w:val="0"/>
          <w:numId w:val="1014"/>
        </w:numPr>
      </w:pPr>
      <w:r>
        <w:rPr>
          <w:b/>
          <w:bCs/>
        </w:rPr>
        <w:t xml:space="preserve">Per-award terms.</w:t>
      </w:r>
      <w:r>
        <w:t xml:space="preserve"> </w:t>
      </w:r>
      <w:r>
        <w:t xml:space="preserve">Each award agreement may have bespoke acceleration, forfeiture, or repurchase provisions.</w:t>
      </w:r>
    </w:p>
    <w:bookmarkEnd w:id="61"/>
    <w:bookmarkStart w:id="62" w:name="c.-estimated-economic-impact-preliminary"/>
    <w:p>
      <w:pPr>
        <w:pStyle w:val="Heading3"/>
      </w:pPr>
      <w:r>
        <w:t xml:space="preserve">C. Estimated Economic Impact (Preliminary)</w:t>
      </w:r>
    </w:p>
    <w:p>
      <w:pPr>
        <w:pStyle w:val="FirstParagraph"/>
      </w:pPr>
      <w:r>
        <w:t xml:space="preserve">On the preliminary waterfall (Common ~$12.59/share; as-converted ~$13.95/share pre-waterfall):</w:t>
      </w:r>
    </w:p>
    <w:p>
      <w:pPr>
        <w:pStyle w:val="Compact"/>
        <w:numPr>
          <w:ilvl w:val="0"/>
          <w:numId w:val="1015"/>
        </w:numPr>
      </w:pPr>
      <w:r>
        <w:rPr>
          <w:b/>
          <w:bCs/>
        </w:rPr>
        <w:t xml:space="preserve">Malhotra options:</w:t>
      </w:r>
      <w:r>
        <w:t xml:space="preserve"> </w:t>
      </w:r>
      <w:r>
        <w:t xml:space="preserve">Exercise price $14.30 vs. ~$12.59 common value → the options are</w:t>
      </w:r>
      <w:r>
        <w:t xml:space="preserve"> </w:t>
      </w:r>
      <w:r>
        <w:rPr>
          <w:b/>
          <w:bCs/>
        </w:rPr>
        <w:t xml:space="preserve">underwater</w:t>
      </w:r>
      <w:r>
        <w:t xml:space="preserve"> </w:t>
      </w:r>
      <w:r>
        <w:t xml:space="preserve">on the preliminary waterfall (out-of-the-money by ~$1.71/share). If underwater, acceleration has minimal cash value (the spread is negative). However, if the merger agreement provides a different per-share figure or a make-whole, this changes. Confirm the final per-share consideration and the Plan’s treatment of underwater options.</w:t>
      </w:r>
    </w:p>
    <w:p>
      <w:pPr>
        <w:pStyle w:val="Compact"/>
        <w:numPr>
          <w:ilvl w:val="0"/>
          <w:numId w:val="1015"/>
        </w:numPr>
      </w:pPr>
      <w:r>
        <w:rPr>
          <w:b/>
          <w:bCs/>
        </w:rPr>
        <w:t xml:space="preserve">Yeung RSUs:</w:t>
      </w:r>
      <w:r>
        <w:t xml:space="preserve"> </w:t>
      </w:r>
      <w:r>
        <w:t xml:space="preserve">No exercise price; value ~$12.59/share × 200,000 = ~$2.5 million if fully accelerated (single-trigger). If double-trigger and Yeung is not terminated, no acceleration. Only ~1/3 vested after one year (April 2025) absent acceleration.</w:t>
      </w:r>
    </w:p>
    <w:p>
      <w:pPr>
        <w:pStyle w:val="Compact"/>
        <w:numPr>
          <w:ilvl w:val="0"/>
          <w:numId w:val="1015"/>
        </w:numPr>
      </w:pPr>
      <w:r>
        <w:rPr>
          <w:b/>
          <w:bCs/>
        </w:rPr>
        <w:t xml:space="preserve">Aggregate impact:</w:t>
      </w:r>
      <w:r>
        <w:t xml:space="preserve"> </w:t>
      </w:r>
      <w:r>
        <w:t xml:space="preserve">Cannot be quantified without the full award schedule (all holders, strike prices, vesting schedules). The ~7,420,000 outstanding-award figure suggests the aggregate acceleration exposure could be material (tens of millions of dollars in the aggregate if a large option block is in-the-money and single-trigger acceleration applies).</w:t>
      </w:r>
      <w:r>
        <w:t xml:space="preserve"> </w:t>
      </w:r>
      <w:r>
        <w:rPr>
          <w:b/>
          <w:bCs/>
        </w:rPr>
        <w:t xml:space="preserve">This must be quantified before the merger agreement is signed</w:t>
      </w:r>
      <w:r>
        <w:t xml:space="preserve">, as it affects the consideration waterfall and the equity-value-to-stockholder allocation.</w:t>
      </w:r>
    </w:p>
    <w:bookmarkEnd w:id="62"/>
    <w:bookmarkStart w:id="63" w:name="Xc2babae55852fadef4d9e1e1ac7c8205adb4706"/>
    <w:p>
      <w:pPr>
        <w:pStyle w:val="Heading3"/>
      </w:pPr>
      <w:r>
        <w:t xml:space="preserve">D. Equity Plan Share-Reserve Increase — Authorization Concern (cross-reference Area 8)</w:t>
      </w:r>
    </w:p>
    <w:p>
      <w:pPr>
        <w:pStyle w:val="FirstParagraph"/>
      </w:pPr>
      <w:r>
        <w:t xml:space="preserve">The July 19, 2023 minutes reflect Board approval (7-0) to increase the Plan share reserve from 8,000,000 to 9,500,000 shares.</w:t>
      </w:r>
      <w:r>
        <w:t xml:space="preserve"> </w:t>
      </w:r>
      <w:r>
        <w:rPr>
          <w:b/>
          <w:bCs/>
        </w:rPr>
        <w:t xml:space="preserve">No stockholder approval is reflected in the minutes.</w:t>
      </w:r>
      <w:r>
        <w:t xml:space="preserve"> </w:t>
      </w:r>
      <w:r>
        <w:t xml:space="preserve">Whether stockholder approval was required depends on the Plan’s terms (e.g., whether the Plan permits Board amendment of the reserve, and whether ISO-qualification or other provisions require stockholder approval for a reserve increase). If the Plan required stockholder approval and it was not obtained, the increase — and grants made from the increased reserve (including potentially the Malhotra and Yeung grants, depending on timing and available pre-increase capacity) — could be subject to challenge.</w:t>
      </w:r>
      <w:r>
        <w:t xml:space="preserve"> </w:t>
      </w:r>
      <w:r>
        <w:rPr>
          <w:b/>
          <w:bCs/>
        </w:rPr>
        <w:t xml:space="preserve">Request the Plan and any stockholder consent records.</w:t>
      </w:r>
    </w:p>
    <w:p>
      <w:pPr>
        <w:pStyle w:val="BodyText"/>
      </w:pPr>
      <w:r>
        <w:t xml:space="preserve">The charter’s anti-dilution exception (§4.3.4(b)(i)) permits issuances under a Board-approved plan (including at least one Preferred-elected director) without triggering Preferred anti-dilution adjustment; the Board includes Preferred designees, so the anti-dilution exception is satisfied. The §4.3.6(a)(ii) protective provision (increase/decrease</w:t>
      </w:r>
      <w:r>
        <w:t xml:space="preserve"> </w:t>
      </w:r>
      <w:r>
        <w:rPr>
          <w:i/>
          <w:iCs/>
        </w:rPr>
        <w:t xml:space="preserve">authorized</w:t>
      </w:r>
      <w:r>
        <w:t xml:space="preserve"> </w:t>
      </w:r>
      <w:r>
        <w:t xml:space="preserve">shares) is</w:t>
      </w:r>
      <w:r>
        <w:t xml:space="preserve"> </w:t>
      </w:r>
      <w:r>
        <w:rPr>
          <w:b/>
          <w:bCs/>
        </w:rPr>
        <w:t xml:space="preserve">not</w:t>
      </w:r>
      <w:r>
        <w:t xml:space="preserve"> </w:t>
      </w:r>
      <w:r>
        <w:t xml:space="preserve">triggered by a Plan reserve increase (it does not change the 50,000,000 authorized Common). The issue is solely whether</w:t>
      </w:r>
      <w:r>
        <w:t xml:space="preserve"> </w:t>
      </w:r>
      <w:r>
        <w:rPr>
          <w:b/>
          <w:bCs/>
        </w:rPr>
        <w:t xml:space="preserve">stockholder</w:t>
      </w:r>
      <w:r>
        <w:t xml:space="preserve"> </w:t>
      </w:r>
      <w:r>
        <w:t xml:space="preserve">approval under the Plan was required and obtained.</w:t>
      </w:r>
    </w:p>
    <w:p>
      <w:r>
        <w:pict>
          <v:rect style="width:0;height:1.5pt" o:hralign="center" o:hrstd="t" o:hr="t"/>
        </w:pict>
      </w:r>
    </w:p>
    <w:bookmarkEnd w:id="63"/>
    <w:bookmarkEnd w:id="64"/>
    <w:bookmarkStart w:id="70" w:name="Xe1ba01046cf23e66e51b961a573e84b572fa87f"/>
    <w:p>
      <w:pPr>
        <w:pStyle w:val="Heading2"/>
      </w:pPr>
      <w:r>
        <w:t xml:space="preserve">XI. Area 8 — Authorization of Corporate Actions (Board Minutes Review)</w:t>
      </w:r>
    </w:p>
    <w:p>
      <w:pPr>
        <w:pStyle w:val="FirstParagraph"/>
      </w:pPr>
      <w:r>
        <w:t xml:space="preserve">We reviewed all eight sets of Board minutes (January 18, 2023 through September 25, 2024). The following items require attention.</w:t>
      </w:r>
    </w:p>
    <w:bookmarkStart w:id="65" w:name="X5175d02f21d06c2e157fa148bc9578a1d6aa6bb"/>
    <w:p>
      <w:pPr>
        <w:pStyle w:val="Heading3"/>
      </w:pPr>
      <w:r>
        <w:t xml:space="preserve">A. Equity Plan Share-Reserve Increase (July 19, 2023) —</w:t>
      </w:r>
      <w:r>
        <w:t xml:space="preserve"> </w:t>
      </w:r>
      <w:r>
        <w:rPr>
          <w:i/>
          <w:iCs/>
        </w:rPr>
        <w:t xml:space="preserve">Significant</w:t>
      </w:r>
    </w:p>
    <w:p>
      <w:pPr>
        <w:pStyle w:val="Compact"/>
        <w:numPr>
          <w:ilvl w:val="0"/>
          <w:numId w:val="1016"/>
        </w:numPr>
      </w:pPr>
      <w:r>
        <w:rPr>
          <w:b/>
          <w:bCs/>
        </w:rPr>
        <w:t xml:space="preserve">Action:</w:t>
      </w:r>
      <w:r>
        <w:t xml:space="preserve"> </w:t>
      </w:r>
      <w:r>
        <w:t xml:space="preserve">Increase Plan reserve from 8,000,000 to 9,500,000 shares.</w:t>
      </w:r>
    </w:p>
    <w:p>
      <w:pPr>
        <w:pStyle w:val="Compact"/>
        <w:numPr>
          <w:ilvl w:val="0"/>
          <w:numId w:val="1016"/>
        </w:numPr>
      </w:pPr>
      <w:r>
        <w:rPr>
          <w:b/>
          <w:bCs/>
        </w:rPr>
        <w:t xml:space="preserve">Board approval:</w:t>
      </w:r>
      <w:r>
        <w:t xml:space="preserve"> </w:t>
      </w:r>
      <w:r>
        <w:t xml:space="preserve">7-0. Properly noticed; quorum present.</w:t>
      </w:r>
    </w:p>
    <w:p>
      <w:pPr>
        <w:pStyle w:val="Compact"/>
        <w:numPr>
          <w:ilvl w:val="0"/>
          <w:numId w:val="1016"/>
        </w:numPr>
      </w:pPr>
      <w:r>
        <w:rPr>
          <w:b/>
          <w:bCs/>
        </w:rPr>
        <w:t xml:space="preserve">Stockholder approval:</w:t>
      </w:r>
      <w:r>
        <w:t xml:space="preserve"> </w:t>
      </w:r>
      <w:r>
        <w:rPr>
          <w:b/>
          <w:bCs/>
        </w:rPr>
        <w:t xml:space="preserve">Not reflected in the minutes.</w:t>
      </w:r>
    </w:p>
    <w:p>
      <w:pPr>
        <w:pStyle w:val="Compact"/>
        <w:numPr>
          <w:ilvl w:val="0"/>
          <w:numId w:val="1016"/>
        </w:numPr>
      </w:pPr>
      <w:r>
        <w:rPr>
          <w:b/>
          <w:bCs/>
        </w:rPr>
        <w:t xml:space="preserve">Concern:</w:t>
      </w:r>
      <w:r>
        <w:t xml:space="preserve"> </w:t>
      </w:r>
      <w:r>
        <w:t xml:space="preserve">If the Plan required stockholder approval for a reserve increase (common for ISO qualification and many plan terms), the increase may be defectively authorized. This affects the validity of grants from the increased reserve and the cap table.</w:t>
      </w:r>
    </w:p>
    <w:p>
      <w:pPr>
        <w:pStyle w:val="Compact"/>
        <w:numPr>
          <w:ilvl w:val="0"/>
          <w:numId w:val="1016"/>
        </w:numPr>
      </w:pPr>
      <w:r>
        <w:rPr>
          <w:b/>
          <w:bCs/>
        </w:rPr>
        <w:t xml:space="preserve">Status:</w:t>
      </w:r>
      <w:r>
        <w:t xml:space="preserve"> </w:t>
      </w:r>
      <w:r>
        <w:t xml:space="preserve">Unknown — pending receipt of the Plan and consent records.</w:t>
      </w:r>
    </w:p>
    <w:p>
      <w:pPr>
        <w:pStyle w:val="Compact"/>
        <w:numPr>
          <w:ilvl w:val="0"/>
          <w:numId w:val="1016"/>
        </w:numPr>
      </w:pPr>
      <w:r>
        <w:rPr>
          <w:b/>
          <w:bCs/>
        </w:rPr>
        <w:t xml:space="preserve">Recommendation:</w:t>
      </w:r>
      <w:r>
        <w:t xml:space="preserve"> </w:t>
      </w:r>
      <w:r>
        <w:t xml:space="preserve">Request the Plan and stockholder consent records; confirm whether the increase was validly authorized.</w:t>
      </w:r>
    </w:p>
    <w:bookmarkEnd w:id="65"/>
    <w:bookmarkStart w:id="66" w:name="Xded9e18d65960cd887eaabb27f7f501a4f1b52c"/>
    <w:p>
      <w:pPr>
        <w:pStyle w:val="Heading3"/>
      </w:pPr>
      <w:r>
        <w:t xml:space="preserve">B. Clearfield National Bank $12 Million Term Loan (October 11, 2023) —</w:t>
      </w:r>
      <w:r>
        <w:t xml:space="preserve"> </w:t>
      </w:r>
      <w:r>
        <w:rPr>
          <w:i/>
          <w:iCs/>
        </w:rPr>
        <w:t xml:space="preserve">Significant</w:t>
      </w:r>
    </w:p>
    <w:p>
      <w:pPr>
        <w:pStyle w:val="Compact"/>
        <w:numPr>
          <w:ilvl w:val="0"/>
          <w:numId w:val="1017"/>
        </w:numPr>
      </w:pPr>
      <w:r>
        <w:rPr>
          <w:b/>
          <w:bCs/>
        </w:rPr>
        <w:t xml:space="preserve">Action:</w:t>
      </w:r>
      <w:r>
        <w:t xml:space="preserve"> </w:t>
      </w:r>
      <w:r>
        <w:t xml:space="preserve">Secured term loan, $12,000,000 principal, 5-year term, SOFR + 3.50%, secured by substantially all assets (A/R, inventory, equipment, IP).</w:t>
      </w:r>
    </w:p>
    <w:p>
      <w:pPr>
        <w:pStyle w:val="Compact"/>
        <w:numPr>
          <w:ilvl w:val="0"/>
          <w:numId w:val="1017"/>
        </w:numPr>
      </w:pPr>
      <w:r>
        <w:rPr>
          <w:b/>
          <w:bCs/>
        </w:rPr>
        <w:t xml:space="preserve">Board approval:</w:t>
      </w:r>
      <w:r>
        <w:t xml:space="preserve"> </w:t>
      </w:r>
      <w:r>
        <w:t xml:space="preserve">7-0. Properly noticed; quorum present.</w:t>
      </w:r>
    </w:p>
    <w:p>
      <w:pPr>
        <w:pStyle w:val="Compact"/>
        <w:numPr>
          <w:ilvl w:val="0"/>
          <w:numId w:val="1017"/>
        </w:numPr>
      </w:pPr>
      <w:r>
        <w:rPr>
          <w:b/>
          <w:bCs/>
        </w:rPr>
        <w:t xml:space="preserve">Charter protective provision (§4.3.6(a)(v)):</w:t>
      </w:r>
      <w:r>
        <w:t xml:space="preserve"> </w:t>
      </w:r>
      <w:r>
        <w:t xml:space="preserve">Requires majority-of-Preferred consent (as-converted, single class; &gt;8,250,000 shares) to incur</w:t>
      </w:r>
      <w:r>
        <w:t xml:space="preserve"> </w:t>
      </w:r>
      <w:r>
        <w:t xml:space="preserve">“</w:t>
      </w:r>
      <w:r>
        <w:t xml:space="preserve">indebtedness for borrowed money in excess of $5,000,000,</w:t>
      </w:r>
      <w:r>
        <w:t xml:space="preserve">”</w:t>
      </w:r>
      <w:r>
        <w:t xml:space="preserve"> </w:t>
      </w:r>
      <w:r>
        <w:t xml:space="preserve">other than (A) equipment financing/capital leases ≤ $2,000,000 or (B) ordinary-course trade payables. The $12 million term loan is borrowed-money indebtedness exceeding $5 million and does not fit either exception (it is a general secured term loan, not equipment financing ≤ $2 million, and not a trade payable).</w:t>
      </w:r>
      <w:r>
        <w:t xml:space="preserve"> </w:t>
      </w:r>
      <w:r>
        <w:rPr>
          <w:b/>
          <w:bCs/>
        </w:rPr>
        <w:t xml:space="preserve">The protective provision was triggered.</w:t>
      </w:r>
    </w:p>
    <w:p>
      <w:pPr>
        <w:pStyle w:val="Compact"/>
        <w:numPr>
          <w:ilvl w:val="0"/>
          <w:numId w:val="1017"/>
        </w:numPr>
      </w:pPr>
      <w:r>
        <w:rPr>
          <w:b/>
          <w:bCs/>
        </w:rPr>
        <w:t xml:space="preserve">Preferred Stockholder consent:</w:t>
      </w:r>
      <w:r>
        <w:t xml:space="preserve"> </w:t>
      </w:r>
      <w:r>
        <w:rPr>
          <w:b/>
          <w:bCs/>
        </w:rPr>
        <w:t xml:space="preserve">Not reflected in the minutes.</w:t>
      </w:r>
      <w:r>
        <w:t xml:space="preserve"> </w:t>
      </w:r>
      <w:r>
        <w:t xml:space="preserve">Board approval (including votes of the Preferred-designated directors Kleinhans, Okafor, and Trask) is</w:t>
      </w:r>
      <w:r>
        <w:t xml:space="preserve"> </w:t>
      </w:r>
      <w:r>
        <w:rPr>
          <w:b/>
          <w:bCs/>
        </w:rPr>
        <w:t xml:space="preserve">not a substitute</w:t>
      </w:r>
      <w:r>
        <w:t xml:space="preserve"> </w:t>
      </w:r>
      <w:r>
        <w:t xml:space="preserve">for the stockholder-level consent required by §4.3.6(a)(v), which requires the affirmative vote or written consent of holders of a majority of the Preferred (as-converted).</w:t>
      </w:r>
    </w:p>
    <w:p>
      <w:pPr>
        <w:pStyle w:val="Compact"/>
        <w:numPr>
          <w:ilvl w:val="0"/>
          <w:numId w:val="1017"/>
        </w:numPr>
      </w:pPr>
      <w:r>
        <w:rPr>
          <w:b/>
          <w:bCs/>
        </w:rPr>
        <w:t xml:space="preserve">Concern:</w:t>
      </w:r>
      <w:r>
        <w:t xml:space="preserve"> </w:t>
      </w:r>
      <w:r>
        <w:t xml:space="preserve">If no Preferred Stockholder consent was obtained, the Company incurred the loan in breach of the charter protective provision. Consequences: (i) potential corporate-authorization defect (though the lender likely relied on officer certifications and may be protected); (ii) a breach-of-charter claim that Stonemill (or any Preferred holder) could assert; (iii) a disclosure/representation issue in the merger agreement (the Company will rep compliance with its charter and governance documents); and (iv) evidence of a pattern of not obtaining required Preferred consents — relevant context for the merger consent process and for Stonemill’s narrative that its rights have been disregarded.</w:t>
      </w:r>
    </w:p>
    <w:p>
      <w:pPr>
        <w:pStyle w:val="Compact"/>
        <w:numPr>
          <w:ilvl w:val="0"/>
          <w:numId w:val="1017"/>
        </w:numPr>
      </w:pPr>
      <w:r>
        <w:rPr>
          <w:b/>
          <w:bCs/>
        </w:rPr>
        <w:t xml:space="preserve">Who could have consented:</w:t>
      </w:r>
      <w:r>
        <w:t xml:space="preserve"> </w:t>
      </w:r>
      <w:r>
        <w:t xml:space="preserve">Ridgeline + Northbridge (8,700,000 &gt; 8,250,000) could have supplied the all-Preferred consent without Stonemill. But the minutes do not reflect any such consent.</w:t>
      </w:r>
    </w:p>
    <w:p>
      <w:pPr>
        <w:pStyle w:val="Compact"/>
        <w:numPr>
          <w:ilvl w:val="0"/>
          <w:numId w:val="1017"/>
        </w:numPr>
      </w:pPr>
      <w:r>
        <w:rPr>
          <w:b/>
          <w:bCs/>
        </w:rPr>
        <w:t xml:space="preserve">Status:</w:t>
      </w:r>
      <w:r>
        <w:t xml:space="preserve"> </w:t>
      </w:r>
      <w:r>
        <w:t xml:space="preserve">Unknown — pending receipt of consent records.</w:t>
      </w:r>
    </w:p>
    <w:p>
      <w:pPr>
        <w:pStyle w:val="Compact"/>
        <w:numPr>
          <w:ilvl w:val="0"/>
          <w:numId w:val="1017"/>
        </w:numPr>
      </w:pPr>
      <w:r>
        <w:rPr>
          <w:b/>
          <w:bCs/>
        </w:rPr>
        <w:t xml:space="preserve">Recommendation:</w:t>
      </w:r>
      <w:r>
        <w:t xml:space="preserve"> </w:t>
      </w:r>
      <w:r>
        <w:t xml:space="preserve">Request the Preferred Stockholder written consent (if any) for the Clearfield loan. If none exists, assess whether ratification is advisable and disclose the issue in the merger agreement negotiation. This item should be raised with Company counsel through Jonathan Hsieh (not directly).</w:t>
      </w:r>
    </w:p>
    <w:bookmarkEnd w:id="66"/>
    <w:bookmarkStart w:id="67" w:name="X0c5673fe4a2943e7d7da3fe3d3b3235bd671ca3"/>
    <w:p>
      <w:pPr>
        <w:pStyle w:val="Heading3"/>
      </w:pPr>
      <w:r>
        <w:t xml:space="preserve">C. SensorLink Technologies LOI — Exclusivity / Auto-Renewal (January 24 – September 25, 2024) —</w:t>
      </w:r>
      <w:r>
        <w:t xml:space="preserve"> </w:t>
      </w:r>
      <w:r>
        <w:rPr>
          <w:i/>
          <w:iCs/>
        </w:rPr>
        <w:t xml:space="preserve">Critical / Time-Sensitive</w:t>
      </w:r>
    </w:p>
    <w:p>
      <w:pPr>
        <w:pStyle w:val="Compact"/>
        <w:numPr>
          <w:ilvl w:val="0"/>
          <w:numId w:val="1018"/>
        </w:numPr>
      </w:pPr>
      <w:r>
        <w:rPr>
          <w:b/>
          <w:bCs/>
        </w:rPr>
        <w:t xml:space="preserve">January 24, 2024:</w:t>
      </w:r>
      <w:r>
        <w:t xml:space="preserve"> </w:t>
      </w:r>
      <w:r>
        <w:t xml:space="preserve">Board authorized the CEO to negotiate and execute a non-binding LOI for a potential acquisition of SensorLink for up to $22 million (7-0).</w:t>
      </w:r>
    </w:p>
    <w:p>
      <w:pPr>
        <w:pStyle w:val="Compact"/>
        <w:numPr>
          <w:ilvl w:val="0"/>
          <w:numId w:val="1018"/>
        </w:numPr>
      </w:pPr>
      <w:r>
        <w:rPr>
          <w:b/>
          <w:bCs/>
        </w:rPr>
        <w:t xml:space="preserve">March 8, 2024:</w:t>
      </w:r>
      <w:r>
        <w:t xml:space="preserve"> </w:t>
      </w:r>
      <w:r>
        <w:t xml:space="preserve">SensorLink LOI executed. The LOI contains a</w:t>
      </w:r>
      <w:r>
        <w:t xml:space="preserve"> </w:t>
      </w:r>
      <w:r>
        <w:rPr>
          <w:b/>
          <w:bCs/>
        </w:rPr>
        <w:t xml:space="preserve">mutual exclusivity provision</w:t>
      </w:r>
      <w:r>
        <w:t xml:space="preserve"> </w:t>
      </w:r>
      <w:r>
        <w:t xml:space="preserve">with an initial six-month term expiring</w:t>
      </w:r>
      <w:r>
        <w:t xml:space="preserve"> </w:t>
      </w:r>
      <w:r>
        <w:rPr>
          <w:b/>
          <w:bCs/>
        </w:rPr>
        <w:t xml:space="preserve">September 8, 2024</w:t>
      </w:r>
      <w:r>
        <w:t xml:space="preserve">, and an</w:t>
      </w:r>
      <w:r>
        <w:t xml:space="preserve"> </w:t>
      </w:r>
      <w:r>
        <w:rPr>
          <w:b/>
          <w:bCs/>
        </w:rPr>
        <w:t xml:space="preserve">automatic-renewal clause</w:t>
      </w:r>
      <w:r>
        <w:t xml:space="preserve">: the exclusivity period automatically extends for</w:t>
      </w:r>
      <w:r>
        <w:t xml:space="preserve"> </w:t>
      </w:r>
      <w:r>
        <w:rPr>
          <w:b/>
          <w:bCs/>
        </w:rPr>
        <w:t xml:space="preserve">successive 90-day periods</w:t>
      </w:r>
      <w:r>
        <w:t xml:space="preserve"> </w:t>
      </w:r>
      <w:r>
        <w:t xml:space="preserve">unless either party delivers written termination notice</w:t>
      </w:r>
      <w:r>
        <w:t xml:space="preserve"> </w:t>
      </w:r>
      <w:r>
        <w:rPr>
          <w:b/>
          <w:bCs/>
        </w:rPr>
        <w:t xml:space="preserve">at least 15 days prior</w:t>
      </w:r>
      <w:r>
        <w:t xml:space="preserve"> </w:t>
      </w:r>
      <w:r>
        <w:t xml:space="preserve">to the expiration of the then-current period.</w:t>
      </w:r>
    </w:p>
    <w:p>
      <w:pPr>
        <w:pStyle w:val="Compact"/>
        <w:numPr>
          <w:ilvl w:val="0"/>
          <w:numId w:val="1018"/>
        </w:numPr>
      </w:pPr>
      <w:r>
        <w:rPr>
          <w:b/>
          <w:bCs/>
        </w:rPr>
        <w:t xml:space="preserve">September 25, 2024:</w:t>
      </w:r>
      <w:r>
        <w:t xml:space="preserve"> </w:t>
      </w:r>
      <w:r>
        <w:t xml:space="preserve">CEO Ellery reported that the Company had not advanced the SensorLink transaction and</w:t>
      </w:r>
      <w:r>
        <w:t xml:space="preserve"> </w:t>
      </w:r>
      <w:r>
        <w:t xml:space="preserve">“</w:t>
      </w:r>
      <w:r>
        <w:t xml:space="preserve">believed the matter had concluded,</w:t>
      </w:r>
      <w:r>
        <w:t xml:space="preserve">”</w:t>
      </w:r>
      <w:r>
        <w:t xml:space="preserve"> </w:t>
      </w:r>
      <w:r>
        <w:t xml:space="preserve">stating the exclusivity period</w:t>
      </w:r>
      <w:r>
        <w:t xml:space="preserve"> </w:t>
      </w:r>
      <w:r>
        <w:t xml:space="preserve">“</w:t>
      </w:r>
      <w:r>
        <w:t xml:space="preserve">had expired by its own terms on September 8, 2024.</w:t>
      </w:r>
      <w:r>
        <w:t xml:space="preserve">”</w:t>
      </w:r>
      <w:r>
        <w:t xml:space="preserve"> </w:t>
      </w:r>
      <w:r>
        <w:t xml:space="preserve">Outside counsel Rourke flagged the auto-renewal clause and asked whether a formal written termination notice had been sent before September 8, 2024.</w:t>
      </w:r>
      <w:r>
        <w:t xml:space="preserve"> </w:t>
      </w:r>
      <w:r>
        <w:rPr>
          <w:b/>
          <w:bCs/>
        </w:rPr>
        <w:t xml:space="preserve">Ellery acknowledged he was</w:t>
      </w:r>
      <w:r>
        <w:rPr>
          <w:b/>
          <w:bCs/>
        </w:rPr>
        <w:t xml:space="preserve"> </w:t>
      </w:r>
      <w:r>
        <w:rPr>
          <w:b/>
          <w:bCs/>
        </w:rPr>
        <w:t xml:space="preserve">“</w:t>
      </w:r>
      <w:r>
        <w:rPr>
          <w:b/>
          <w:bCs/>
        </w:rPr>
        <w:t xml:space="preserve">not certain</w:t>
      </w:r>
      <w:r>
        <w:rPr>
          <w:b/>
          <w:bCs/>
        </w:rPr>
        <w:t xml:space="preserve">”</w:t>
      </w:r>
      <w:r>
        <w:rPr>
          <w:b/>
          <w:bCs/>
        </w:rPr>
        <w:t xml:space="preserve"> </w:t>
      </w:r>
      <w:r>
        <w:rPr>
          <w:b/>
          <w:bCs/>
        </w:rPr>
        <w:t xml:space="preserve">whether a formal termination notice had been delivered.</w:t>
      </w:r>
      <w:r>
        <w:t xml:space="preserve"> </w:t>
      </w:r>
      <w:r>
        <w:t xml:space="preserve">The Chairman directed the CFO and outside counsel to investigate and confirm the status and terminate if necessary.</w:t>
      </w:r>
    </w:p>
    <w:p>
      <w:pPr>
        <w:pStyle w:val="Compact"/>
        <w:numPr>
          <w:ilvl w:val="0"/>
          <w:numId w:val="1018"/>
        </w:numPr>
      </w:pPr>
      <w:r>
        <w:rPr>
          <w:b/>
          <w:bCs/>
        </w:rPr>
        <w:t xml:space="preserve">Concern:</w:t>
      </w:r>
      <w:r>
        <w:t xml:space="preserve"> </w:t>
      </w:r>
      <w:r>
        <w:t xml:space="preserve">If no written termination notice was delivered at least 15 days before September 8, 2024, the exclusivity</w:t>
      </w:r>
      <w:r>
        <w:t xml:space="preserve"> </w:t>
      </w:r>
      <w:r>
        <w:rPr>
          <w:b/>
          <w:bCs/>
        </w:rPr>
        <w:t xml:space="preserve">auto-renewed on September 8, 2024</w:t>
      </w:r>
      <w:r>
        <w:t xml:space="preserve"> </w:t>
      </w:r>
      <w:r>
        <w:t xml:space="preserve">for a successive 90-day period (running to approximately</w:t>
      </w:r>
      <w:r>
        <w:t xml:space="preserve"> </w:t>
      </w:r>
      <w:r>
        <w:rPr>
          <w:b/>
          <w:bCs/>
        </w:rPr>
        <w:t xml:space="preserve">December 7, 2024</w:t>
      </w:r>
      <w:r>
        <w:t xml:space="preserve">), and may still be in effect. A live exclusivity obligation to SensorLink would</w:t>
      </w:r>
      <w:r>
        <w:t xml:space="preserve"> </w:t>
      </w:r>
      <w:r>
        <w:rPr>
          <w:b/>
          <w:bCs/>
        </w:rPr>
        <w:t xml:space="preserve">directly conflict with Terravox’s ability to sign a definitive merger agreement with Hargrove</w:t>
      </w:r>
      <w:r>
        <w:t xml:space="preserve"> </w:t>
      </w:r>
      <w:r>
        <w:t xml:space="preserve">and could expose the Company to breach-of-contract claims by SensorLink.</w:t>
      </w:r>
    </w:p>
    <w:p>
      <w:pPr>
        <w:pStyle w:val="Compact"/>
        <w:numPr>
          <w:ilvl w:val="0"/>
          <w:numId w:val="1018"/>
        </w:numPr>
      </w:pPr>
      <w:r>
        <w:rPr>
          <w:b/>
          <w:bCs/>
        </w:rPr>
        <w:t xml:space="preserve">Status:</w:t>
      </w:r>
      <w:r>
        <w:t xml:space="preserve"> </w:t>
      </w:r>
      <w:r>
        <w:rPr>
          <w:b/>
          <w:bCs/>
        </w:rPr>
        <w:t xml:space="preserve">Unknown and time-sensitive.</w:t>
      </w:r>
      <w:r>
        <w:t xml:space="preserve"> </w:t>
      </w:r>
      <w:r>
        <w:t xml:space="preserve">As of the date of this memo, we have not received confirmation of whether a termination notice was sent.</w:t>
      </w:r>
    </w:p>
    <w:p>
      <w:pPr>
        <w:pStyle w:val="Compact"/>
        <w:numPr>
          <w:ilvl w:val="0"/>
          <w:numId w:val="1018"/>
        </w:numPr>
      </w:pPr>
      <w:r>
        <w:rPr>
          <w:b/>
          <w:bCs/>
        </w:rPr>
        <w:t xml:space="preserve">Recommendation (urgent):</w:t>
      </w:r>
      <w:r>
        <w:t xml:space="preserve"> </w:t>
      </w:r>
      <w:r>
        <w:t xml:space="preserve">This should be flagged to Jonathan Hsieh immediately. Request (i) the SensorLink LOI and all related correspondence, (ii) confirmation of whether a termination notice was delivered before September 8, 2024, and (iii) if not, immediate delivery of a termination notice to terminate the exclusivity at the next renewal date (notice must be delivered at least 15 days before the then-current expiration; if the period renewed on September 8, notice should be delivered promptly to terminate before the December 7, 2024 renewal). The merger agreement signing should be conditioned on resolution of the SensorLink exclusivity.</w:t>
      </w:r>
    </w:p>
    <w:bookmarkEnd w:id="67"/>
    <w:bookmarkStart w:id="68" w:name="Xca657b7cfd5af7ec2442042d378dc286691933f"/>
    <w:p>
      <w:pPr>
        <w:pStyle w:val="Heading3"/>
      </w:pPr>
      <w:r>
        <w:t xml:space="preserve">D. Other Board Actions — Properly Authorized</w:t>
      </w:r>
    </w:p>
    <w:p>
      <w:pPr>
        <w:pStyle w:val="FirstParagraph"/>
      </w:pPr>
      <w:r>
        <w:t xml:space="preserve">The remaining significant Board actions appear properly authorized and do not, on their face, require Preferred consent:</w:t>
      </w:r>
    </w:p>
    <w:p>
      <w:pPr>
        <w:pStyle w:val="Compact"/>
        <w:numPr>
          <w:ilvl w:val="0"/>
          <w:numId w:val="1019"/>
        </w:numPr>
      </w:pPr>
      <w:r>
        <w:rPr>
          <w:b/>
          <w:bCs/>
        </w:rPr>
        <w:t xml:space="preserve">January 18, 2023:</w:t>
      </w:r>
      <w:r>
        <w:t xml:space="preserve"> </w:t>
      </w:r>
      <w:r>
        <w:t xml:space="preserve">FY2023 budget; Permian Basin MSA (up to $15 million); Meridian engagement (7-0). Ordinary-course / process matters.</w:t>
      </w:r>
    </w:p>
    <w:p>
      <w:pPr>
        <w:pStyle w:val="Compact"/>
        <w:numPr>
          <w:ilvl w:val="0"/>
          <w:numId w:val="1019"/>
        </w:numPr>
      </w:pPr>
      <w:r>
        <w:rPr>
          <w:b/>
          <w:bCs/>
        </w:rPr>
        <w:t xml:space="preserve">April 12, 2023:</w:t>
      </w:r>
      <w:r>
        <w:t xml:space="preserve"> </w:t>
      </w:r>
      <w:r>
        <w:t xml:space="preserve">Special Committee formation; Malhotra option grant (350,000 @ $14.30) (7-0). The option grant fits the §4.3.4(b)(i) anti-dilution exception (Board-approved plan with Preferred directors). No Preferred consent required for the grant.</w:t>
      </w:r>
    </w:p>
    <w:p>
      <w:pPr>
        <w:pStyle w:val="Compact"/>
        <w:numPr>
          <w:ilvl w:val="0"/>
          <w:numId w:val="1019"/>
        </w:numPr>
      </w:pPr>
      <w:r>
        <w:rPr>
          <w:b/>
          <w:bCs/>
        </w:rPr>
        <w:t xml:space="preserve">July 19, 2023:</w:t>
      </w:r>
      <w:r>
        <w:t xml:space="preserve"> </w:t>
      </w:r>
      <w:r>
        <w:t xml:space="preserve">45-day exclusivity with</w:t>
      </w:r>
      <w:r>
        <w:t xml:space="preserve"> </w:t>
      </w:r>
      <w:r>
        <w:t xml:space="preserve">“</w:t>
      </w:r>
      <w:r>
        <w:t xml:space="preserve">Beta</w:t>
      </w:r>
      <w:r>
        <w:t xml:space="preserve">”</w:t>
      </w:r>
      <w:r>
        <w:t xml:space="preserve"> </w:t>
      </w:r>
      <w:r>
        <w:t xml:space="preserve">(6-1, Trask against). Process matter; no Liquidation Event.</w:t>
      </w:r>
    </w:p>
    <w:p>
      <w:pPr>
        <w:pStyle w:val="Compact"/>
        <w:numPr>
          <w:ilvl w:val="0"/>
          <w:numId w:val="1019"/>
        </w:numPr>
      </w:pPr>
      <w:r>
        <w:rPr>
          <w:b/>
          <w:bCs/>
        </w:rPr>
        <w:t xml:space="preserve">October 11, 2023:</w:t>
      </w:r>
      <w:r>
        <w:t xml:space="preserve"> </w:t>
      </w:r>
      <w:r>
        <w:t xml:space="preserve">Strategic-alternatives pause; outside-counsel retention (7-0). Ordinary course.</w:t>
      </w:r>
    </w:p>
    <w:p>
      <w:pPr>
        <w:pStyle w:val="Compact"/>
        <w:numPr>
          <w:ilvl w:val="0"/>
          <w:numId w:val="1019"/>
        </w:numPr>
      </w:pPr>
      <w:r>
        <w:rPr>
          <w:b/>
          <w:bCs/>
        </w:rPr>
        <w:t xml:space="preserve">January 24, 2024:</w:t>
      </w:r>
      <w:r>
        <w:t xml:space="preserve"> </w:t>
      </w:r>
      <w:r>
        <w:t xml:space="preserve">FY2024 budget; FY2023 audited results; SensorLink LOI authorization (7-0). Ordinary course / exploratory.</w:t>
      </w:r>
    </w:p>
    <w:p>
      <w:pPr>
        <w:pStyle w:val="Compact"/>
        <w:numPr>
          <w:ilvl w:val="0"/>
          <w:numId w:val="1019"/>
        </w:numPr>
      </w:pPr>
      <w:r>
        <w:rPr>
          <w:b/>
          <w:bCs/>
        </w:rPr>
        <w:t xml:space="preserve">April 17, 2024:</w:t>
      </w:r>
      <w:r>
        <w:t xml:space="preserve"> </w:t>
      </w:r>
      <w:r>
        <w:t xml:space="preserve">Hargrove engagement/data-room authorization (5-0; Trask and Garrett absent); Yeung RSU grant (200,000) (5-0). Quorum present (5 of 7; majority = 4). The engagement authorization is a process step, not a Liquidation Event; no Preferred consent required. The RSU grant fits the §4.3.4(b)(i) exception.</w:t>
      </w:r>
    </w:p>
    <w:p>
      <w:pPr>
        <w:pStyle w:val="Compact"/>
        <w:numPr>
          <w:ilvl w:val="0"/>
          <w:numId w:val="1019"/>
        </w:numPr>
      </w:pPr>
      <w:r>
        <w:rPr>
          <w:b/>
          <w:bCs/>
        </w:rPr>
        <w:t xml:space="preserve">July 10, 2024:</w:t>
      </w:r>
      <w:r>
        <w:t xml:space="preserve"> </w:t>
      </w:r>
      <w:r>
        <w:t xml:space="preserve">60-day Hargrove exclusivity (6-1, Trask against); Thornbury engagement (7-0). Process matters.</w:t>
      </w:r>
    </w:p>
    <w:p>
      <w:pPr>
        <w:pStyle w:val="Compact"/>
        <w:numPr>
          <w:ilvl w:val="0"/>
          <w:numId w:val="1019"/>
        </w:numPr>
      </w:pPr>
      <w:r>
        <w:rPr>
          <w:b/>
          <w:bCs/>
        </w:rPr>
        <w:t xml:space="preserve">September 25, 2024:</w:t>
      </w:r>
      <w:r>
        <w:t xml:space="preserve"> </w:t>
      </w:r>
      <w:r>
        <w:t xml:space="preserve">Authorization to negotiate definitive Hargrove documentation (6-1, Trask against).</w:t>
      </w:r>
      <w:r>
        <w:t xml:space="preserve"> </w:t>
      </w:r>
      <w:r>
        <w:rPr>
          <w:b/>
          <w:bCs/>
        </w:rPr>
        <w:t xml:space="preserve">Note:</w:t>
      </w:r>
      <w:r>
        <w:t xml:space="preserve"> </w:t>
      </w:r>
      <w:r>
        <w:t xml:space="preserve">this is authorization to</w:t>
      </w:r>
      <w:r>
        <w:t xml:space="preserve"> </w:t>
      </w:r>
      <w:r>
        <w:rPr>
          <w:i/>
          <w:iCs/>
        </w:rPr>
        <w:t xml:space="preserve">negotiate</w:t>
      </w:r>
      <w:r>
        <w:t xml:space="preserve">, not final approval of the definitive merger agreement.</w:t>
      </w:r>
      <w:r>
        <w:t xml:space="preserve"> </w:t>
      </w:r>
      <w:r>
        <w:rPr>
          <w:b/>
          <w:bCs/>
        </w:rPr>
        <w:t xml:space="preserve">Final Board approval of the signed merger agreement will be required separately</w:t>
      </w:r>
      <w:r>
        <w:t xml:space="preserve"> </w:t>
      </w:r>
      <w:r>
        <w:t xml:space="preserve">and should be obtained at a duly noticed Board meeting (or by unanimous written consent) prior to signing.</w:t>
      </w:r>
    </w:p>
    <w:bookmarkEnd w:id="68"/>
    <w:bookmarkStart w:id="69" w:name="X72ad872b49da8b99135ab82ac1ddf05959d8065"/>
    <w:p>
      <w:pPr>
        <w:pStyle w:val="Heading3"/>
      </w:pPr>
      <w:r>
        <w:t xml:space="preserve">E. Trask’s Absence and Objection (April 17, 2024)</w:t>
      </w:r>
    </w:p>
    <w:p>
      <w:pPr>
        <w:pStyle w:val="FirstParagraph"/>
      </w:pPr>
      <w:r>
        <w:t xml:space="preserve">Julian Trask was absent from the April 17, 2024 meeting (scheduling conflict; no proxy). The Stonemill observer was also absent. The Board authorized engagement with Hargrove without Stonemill’s participation (5-0). Trask objected by email on April 19, 2024, arguing Stonemill’s input should have been sought and that no further substantive steps should be taken without Stonemill’s participation. The objection was noted in the record and appended to the minutes.</w:t>
      </w:r>
      <w:r>
        <w:t xml:space="preserve"> </w:t>
      </w:r>
      <w:r>
        <w:rPr>
          <w:b/>
          <w:bCs/>
        </w:rPr>
        <w:t xml:space="preserve">Procedurally, the meeting was properly noticed and a quorum was present; the authorization is valid.</w:t>
      </w:r>
      <w:r>
        <w:t xml:space="preserve"> </w:t>
      </w:r>
      <w:r>
        <w:t xml:space="preserve">However, the optics — authorizing the Hargrove engagement without the largest preferred holder’s participation — feed Stonemill’s narrative that the process has marginalized it.</w:t>
      </w:r>
      <w:r>
        <w:t xml:space="preserve"> </w:t>
      </w:r>
      <w:r>
        <w:rPr>
          <w:i/>
          <w:iCs/>
        </w:rPr>
        <w:t xml:space="preserve">(See Area 9.)</w:t>
      </w:r>
    </w:p>
    <w:p>
      <w:r>
        <w:pict>
          <v:rect style="width:0;height:1.5pt" o:hralign="center" o:hrstd="t" o:hr="t"/>
        </w:pict>
      </w:r>
    </w:p>
    <w:bookmarkEnd w:id="69"/>
    <w:bookmarkEnd w:id="70"/>
    <w:bookmarkStart w:id="75" w:name="Xd16e0fc54eba7a5fdc0f3bde25ac697e997a873"/>
    <w:p>
      <w:pPr>
        <w:pStyle w:val="Heading2"/>
      </w:pPr>
      <w:r>
        <w:t xml:space="preserve">XII. Area 9 — Fiduciary Duty / Sale Process Concerns</w:t>
      </w:r>
    </w:p>
    <w:bookmarkStart w:id="71" w:name="a.-special-committee-composition"/>
    <w:p>
      <w:pPr>
        <w:pStyle w:val="Heading3"/>
      </w:pPr>
      <w:r>
        <w:t xml:space="preserve">A. Special Committee Composition</w:t>
      </w:r>
    </w:p>
    <w:p>
      <w:pPr>
        <w:pStyle w:val="FirstParagraph"/>
      </w:pPr>
      <w:r>
        <w:t xml:space="preserve">The Special Committee, formed April 12, 2023, consists of:</w:t>
      </w:r>
    </w:p>
    <w:p>
      <w:pPr>
        <w:pStyle w:val="Compact"/>
        <w:numPr>
          <w:ilvl w:val="0"/>
          <w:numId w:val="1020"/>
        </w:numPr>
      </w:pPr>
      <w:r>
        <w:rPr>
          <w:b/>
          <w:bCs/>
        </w:rPr>
        <w:t xml:space="preserve">Rebecca Lau (Chair)</w:t>
      </w:r>
      <w:r>
        <w:t xml:space="preserve"> </w:t>
      </w:r>
      <w:r>
        <w:t xml:space="preserve">— Independent Director (VA §2.2(f)). Appears disinterested and independent.</w:t>
      </w:r>
    </w:p>
    <w:p>
      <w:pPr>
        <w:pStyle w:val="Compact"/>
        <w:numPr>
          <w:ilvl w:val="0"/>
          <w:numId w:val="1020"/>
        </w:numPr>
      </w:pPr>
      <w:r>
        <w:rPr>
          <w:b/>
          <w:bCs/>
        </w:rPr>
        <w:t xml:space="preserve">Thomas Garrett</w:t>
      </w:r>
      <w:r>
        <w:t xml:space="preserve"> </w:t>
      </w:r>
      <w:r>
        <w:t xml:space="preserve">— Independent Director (VA §2.2(f)). Appears disinterested and independent.</w:t>
      </w:r>
    </w:p>
    <w:p>
      <w:pPr>
        <w:pStyle w:val="Compact"/>
        <w:numPr>
          <w:ilvl w:val="0"/>
          <w:numId w:val="1020"/>
        </w:numPr>
      </w:pPr>
      <w:r>
        <w:rPr>
          <w:b/>
          <w:bCs/>
        </w:rPr>
        <w:t xml:space="preserve">Sandra Okafor</w:t>
      </w:r>
      <w:r>
        <w:t xml:space="preserve"> </w:t>
      </w:r>
      <w:r>
        <w:t xml:space="preserve">—</w:t>
      </w:r>
      <w:r>
        <w:t xml:space="preserve"> </w:t>
      </w:r>
      <w:r>
        <w:rPr>
          <w:b/>
          <w:bCs/>
        </w:rPr>
        <w:t xml:space="preserve">Series B Director</w:t>
      </w:r>
      <w:r>
        <w:t xml:space="preserve">, designated by Northbridge Growth Equity Fund IV, LP (VA §2.2(b)); Principal at Northbridge Growth Advisors, LLC.</w:t>
      </w:r>
      <w:r>
        <w:t xml:space="preserve"> </w:t>
      </w:r>
      <w:r>
        <w:rPr>
          <w:b/>
          <w:bCs/>
        </w:rPr>
        <w:t xml:space="preserve">Not independent / not disinterested.</w:t>
      </w:r>
    </w:p>
    <w:bookmarkEnd w:id="71"/>
    <w:bookmarkStart w:id="72" w:name="X44f0ebdf0867d006f0f010fd78828ce2a1e1d52"/>
    <w:p>
      <w:pPr>
        <w:pStyle w:val="Heading3"/>
      </w:pPr>
      <w:r>
        <w:t xml:space="preserve">B. The Okafor Independence Problem —</w:t>
      </w:r>
      <w:r>
        <w:t xml:space="preserve"> </w:t>
      </w:r>
      <w:r>
        <w:rPr>
          <w:i/>
          <w:iCs/>
        </w:rPr>
        <w:t xml:space="preserve">Significant</w:t>
      </w:r>
    </w:p>
    <w:p>
      <w:pPr>
        <w:pStyle w:val="FirstParagraph"/>
      </w:pPr>
      <w:r>
        <w:t xml:space="preserve">Ms. Okafor is a director</w:t>
      </w:r>
      <w:r>
        <w:t xml:space="preserve"> </w:t>
      </w:r>
      <w:r>
        <w:rPr>
          <w:b/>
          <w:bCs/>
        </w:rPr>
        <w:t xml:space="preserve">designated by Northbridge</w:t>
      </w:r>
      <w:r>
        <w:t xml:space="preserve"> </w:t>
      </w:r>
      <w:r>
        <w:t xml:space="preserve">— a significant stockholder holding 5,200,000 shares of Series B Preferred with a $48.1 million liquidation preference — and is a Principal at Northbridge’s advisor. Her service on a special committee charged with evaluating a</w:t>
      </w:r>
      <w:r>
        <w:t xml:space="preserve"> </w:t>
      </w:r>
      <w:r>
        <w:rPr>
          <w:b/>
          <w:bCs/>
        </w:rPr>
        <w:t xml:space="preserve">sale-of-control transaction</w:t>
      </w:r>
      <w:r>
        <w:t xml:space="preserve"> </w:t>
      </w:r>
      <w:r>
        <w:t xml:space="preserve">raises a disinterestedness/independence concern under Delaware law:</w:t>
      </w:r>
    </w:p>
    <w:p>
      <w:pPr>
        <w:pStyle w:val="Compact"/>
        <w:numPr>
          <w:ilvl w:val="0"/>
          <w:numId w:val="1021"/>
        </w:numPr>
      </w:pPr>
      <w:r>
        <w:t xml:space="preserve">Under Delaware’s corporate-governance jurisprudence (e.g.,</w:t>
      </w:r>
      <w:r>
        <w:t xml:space="preserve"> </w:t>
      </w:r>
      <w:r>
        <w:rPr>
          <w:i/>
          <w:iCs/>
        </w:rPr>
        <w:t xml:space="preserve">Kahn v. Lynch Communication Systems</w:t>
      </w:r>
      <w:r>
        <w:t xml:space="preserve">;</w:t>
      </w:r>
      <w:r>
        <w:t xml:space="preserve"> </w:t>
      </w:r>
      <w:r>
        <w:rPr>
          <w:i/>
          <w:iCs/>
        </w:rPr>
        <w:t xml:space="preserve">Kahn v. M&amp;F Worldwide Corp.</w:t>
      </w:r>
      <w:r>
        <w:t xml:space="preserve"> </w:t>
      </w:r>
      <w:r>
        <w:t xml:space="preserve">(</w:t>
      </w:r>
      <w:r>
        <w:t xml:space="preserve">“</w:t>
      </w:r>
      <w:r>
        <w:t xml:space="preserve">MFW</w:t>
      </w:r>
      <w:r>
        <w:t xml:space="preserve">”</w:t>
      </w:r>
      <w:r>
        <w:t xml:space="preserve">);</w:t>
      </w:r>
      <w:r>
        <w:t xml:space="preserve"> </w:t>
      </w:r>
      <w:r>
        <w:rPr>
          <w:i/>
          <w:iCs/>
        </w:rPr>
        <w:t xml:space="preserve">In re Match Group</w:t>
      </w:r>
      <w:r>
        <w:t xml:space="preserve">), a special committee formed to cleanse a conflict transaction should be composed of</w:t>
      </w:r>
      <w:r>
        <w:t xml:space="preserve"> </w:t>
      </w:r>
      <w:r>
        <w:rPr>
          <w:b/>
          <w:bCs/>
        </w:rPr>
        <w:t xml:space="preserve">disinterested and independent</w:t>
      </w:r>
      <w:r>
        <w:t xml:space="preserve"> </w:t>
      </w:r>
      <w:r>
        <w:t xml:space="preserve">directors capable of acting in the best interests of the corporation and all stockholders.</w:t>
      </w:r>
    </w:p>
    <w:p>
      <w:pPr>
        <w:pStyle w:val="Compact"/>
        <w:numPr>
          <w:ilvl w:val="0"/>
          <w:numId w:val="1021"/>
        </w:numPr>
      </w:pPr>
      <w:r>
        <w:t xml:space="preserve">Northbridge, as a Series B holder, has economic interests that may diverge from those of Common holders (and from Series C holders) depending on the consideration waterfall. Although the preliminary waterfall suggests Series B converts and shares pro rata with Common (aligning Northbridge with maximizing total consideration), Okafor’s structural affiliation with a preferred holder means she is not a</w:t>
      </w:r>
      <w:r>
        <w:t xml:space="preserve"> </w:t>
      </w:r>
      <w:r>
        <w:t xml:space="preserve">“</w:t>
      </w:r>
      <w:r>
        <w:t xml:space="preserve">disinterested</w:t>
      </w:r>
      <w:r>
        <w:t xml:space="preserve">”</w:t>
      </w:r>
      <w:r>
        <w:t xml:space="preserve"> </w:t>
      </w:r>
      <w:r>
        <w:t xml:space="preserve">director in the traditional sense.</w:t>
      </w:r>
    </w:p>
    <w:p>
      <w:pPr>
        <w:pStyle w:val="Compact"/>
        <w:numPr>
          <w:ilvl w:val="0"/>
          <w:numId w:val="1021"/>
        </w:numPr>
      </w:pPr>
      <w:r>
        <w:rPr>
          <w:b/>
          <w:bCs/>
        </w:rPr>
        <w:t xml:space="preserve">Risk:</w:t>
      </w:r>
      <w:r>
        <w:t xml:space="preserve"> </w:t>
      </w:r>
      <w:r>
        <w:t xml:space="preserve">Stonemill (or any stockholder) could challenge the sale process on the basis that the Special Committee was not fully independent, undermining the committee’s cleansing effect and potentially subjecting the transaction to</w:t>
      </w:r>
      <w:r>
        <w:t xml:space="preserve"> </w:t>
      </w:r>
      <w:r>
        <w:rPr>
          <w:b/>
          <w:bCs/>
        </w:rPr>
        <w:t xml:space="preserve">entire-fairness review</w:t>
      </w:r>
      <w:r>
        <w:t xml:space="preserve"> </w:t>
      </w:r>
      <w:r>
        <w:t xml:space="preserve">rather than the business-judgment rule. This is particularly dangerous if the transaction does not otherwise satisfy MFW (independent committee + majority-of-minority approval).</w:t>
      </w:r>
    </w:p>
    <w:bookmarkEnd w:id="72"/>
    <w:bookmarkStart w:id="73" w:name="c.-mitigation-recommendations"/>
    <w:p>
      <w:pPr>
        <w:pStyle w:val="Heading3"/>
      </w:pPr>
      <w:r>
        <w:t xml:space="preserve">C. Mitigation / Recommendations</w:t>
      </w:r>
    </w:p>
    <w:p>
      <w:pPr>
        <w:pStyle w:val="Compact"/>
        <w:numPr>
          <w:ilvl w:val="0"/>
          <w:numId w:val="1022"/>
        </w:numPr>
      </w:pPr>
      <w:r>
        <w:rPr>
          <w:b/>
          <w:bCs/>
        </w:rPr>
        <w:t xml:space="preserve">Reconstitute the Special Committee.</w:t>
      </w:r>
      <w:r>
        <w:t xml:space="preserve"> </w:t>
      </w:r>
      <w:r>
        <w:t xml:space="preserve">Consider replacing Okafor with an additional independent director (or limiting the committee to Lau and Garrett, if a two-member committee is workable), so that the committee is composed entirely of disinterested, independent directors. If the VA requires an Investor designee on each committee (§2.4), obtain the Investors’ written agreement to waive that requirement for the Special Committee, or add a new independent director to the Board (subject to the VA’s Board-size and designation provisions).</w:t>
      </w:r>
    </w:p>
    <w:p>
      <w:pPr>
        <w:pStyle w:val="Compact"/>
        <w:numPr>
          <w:ilvl w:val="0"/>
          <w:numId w:val="1022"/>
        </w:numPr>
      </w:pPr>
      <w:r>
        <w:rPr>
          <w:b/>
          <w:bCs/>
        </w:rPr>
        <w:t xml:space="preserve">Pursue MFW cleansing.</w:t>
      </w:r>
      <w:r>
        <w:t xml:space="preserve"> </w:t>
      </w:r>
      <w:r>
        <w:t xml:space="preserve">Structure the transaction to satisfy MFW: (i) negotiation and approval by a fully independent special committee, and (ii) approval by a majority of the</w:t>
      </w:r>
      <w:r>
        <w:t xml:space="preserve"> </w:t>
      </w:r>
      <w:r>
        <w:rPr>
          <w:b/>
          <w:bCs/>
        </w:rPr>
        <w:t xml:space="preserve">unaffiliated / minority</w:t>
      </w:r>
      <w:r>
        <w:t xml:space="preserve"> </w:t>
      </w:r>
      <w:r>
        <w:t xml:space="preserve">stockholders. If MFW is satisfied, the transaction receives business-judgment protection. Note that the</w:t>
      </w:r>
      <w:r>
        <w:t xml:space="preserve"> </w:t>
      </w:r>
      <w:r>
        <w:t xml:space="preserve">“</w:t>
      </w:r>
      <w:r>
        <w:t xml:space="preserve">majority-of-minority</w:t>
      </w:r>
      <w:r>
        <w:t xml:space="preserve">”</w:t>
      </w:r>
      <w:r>
        <w:t xml:space="preserve"> </w:t>
      </w:r>
      <w:r>
        <w:t xml:space="preserve">vote is complicated here by the preferred protective provisions and the drag-along; careful structuring is required (e.g., excluding Hargrove affiliates and possibly the Founders/management from the</w:t>
      </w:r>
      <w:r>
        <w:t xml:space="preserve"> </w:t>
      </w:r>
      <w:r>
        <w:t xml:space="preserve">“</w:t>
      </w:r>
      <w:r>
        <w:t xml:space="preserve">minority</w:t>
      </w:r>
      <w:r>
        <w:t xml:space="preserve">”</w:t>
      </w:r>
      <w:r>
        <w:t xml:space="preserve">). This should be analyzed with the M&amp;A team.</w:t>
      </w:r>
    </w:p>
    <w:p>
      <w:pPr>
        <w:pStyle w:val="Compact"/>
        <w:numPr>
          <w:ilvl w:val="0"/>
          <w:numId w:val="1022"/>
        </w:numPr>
      </w:pPr>
      <w:r>
        <w:rPr>
          <w:b/>
          <w:bCs/>
        </w:rPr>
        <w:t xml:space="preserve">Document the process rigorously.</w:t>
      </w:r>
      <w:r>
        <w:t xml:space="preserve"> </w:t>
      </w:r>
      <w:r>
        <w:t xml:space="preserve">Ensure the minutes, Meridian’s analyses, and Thornbury’s fairness analysis are complete and reflect a robust, market-tested process (multiple bidders contacted; indications of interest received and evaluated; exclusivity decisions documented). The record should rebut any claim that the process was rushed or steered.</w:t>
      </w:r>
    </w:p>
    <w:p>
      <w:pPr>
        <w:pStyle w:val="Compact"/>
        <w:numPr>
          <w:ilvl w:val="0"/>
          <w:numId w:val="1022"/>
        </w:numPr>
      </w:pPr>
      <w:r>
        <w:rPr>
          <w:b/>
          <w:bCs/>
        </w:rPr>
        <w:t xml:space="preserve">Address Trask’s process objections.</w:t>
      </w:r>
      <w:r>
        <w:t xml:space="preserve"> </w:t>
      </w:r>
      <w:r>
        <w:t xml:space="preserve">Trask has consistently voted against process milestones (Beta exclusivity July 2023; Hargrove exclusivity July 2024; definitive-doc negotiation September 2024) and objected to the April 17, 2024 engagement authorization. While his objections do not invalidate the Board actions (proper notice and quorum), they provide Stonemill with a narrative of exclusion. Consider formally inviting Stonemill’s participation in process updates (without ceding control) to blunt the</w:t>
      </w:r>
      <w:r>
        <w:t xml:space="preserve"> </w:t>
      </w:r>
      <w:r>
        <w:t xml:space="preserve">“</w:t>
      </w:r>
      <w:r>
        <w:t xml:space="preserve">marginalization</w:t>
      </w:r>
      <w:r>
        <w:t xml:space="preserve">”</w:t>
      </w:r>
      <w:r>
        <w:t xml:space="preserve"> </w:t>
      </w:r>
      <w:r>
        <w:t xml:space="preserve">argument, and ensure all process decisions are fully documented.</w:t>
      </w:r>
    </w:p>
    <w:bookmarkEnd w:id="73"/>
    <w:bookmarkStart w:id="74" w:name="d.-sale-process-observations"/>
    <w:p>
      <w:pPr>
        <w:pStyle w:val="Heading3"/>
      </w:pPr>
      <w:r>
        <w:t xml:space="preserve">D. Sale-Process Observations</w:t>
      </w:r>
    </w:p>
    <w:p>
      <w:pPr>
        <w:pStyle w:val="FirstParagraph"/>
      </w:pPr>
      <w:r>
        <w:t xml:space="preserve">The process to date appears reasonably robust: a financial advisor (Meridian) was engaged in January 2023; three indications of interest were solicited (Alpha, Beta, Gamma); a Special Committee was formed; a fairness/valuation advisor (Thornbury) was engaged. The principal vulnerabilities are (i) the Okafor independence issue, (ii) Trask’s exclusion narrative, and (iii) the fact that the process narrowed to a single bidder (Hargrove) after Beta’s financing fell through — which Trask characterized as</w:t>
      </w:r>
      <w:r>
        <w:t xml:space="preserve"> </w:t>
      </w:r>
      <w:r>
        <w:t xml:space="preserve">“</w:t>
      </w:r>
      <w:r>
        <w:t xml:space="preserve">insufficiently broad.</w:t>
      </w:r>
      <w:r>
        <w:t xml:space="preserve">”</w:t>
      </w:r>
      <w:r>
        <w:t xml:space="preserve"> </w:t>
      </w:r>
      <w:r>
        <w:t xml:space="preserve">These are manageable but should be addressed before signing.</w:t>
      </w:r>
    </w:p>
    <w:p>
      <w:r>
        <w:pict>
          <v:rect style="width:0;height:1.5pt" o:hralign="center" o:hrstd="t" o:hr="t"/>
        </w:pict>
      </w:r>
    </w:p>
    <w:bookmarkEnd w:id="74"/>
    <w:bookmarkEnd w:id="75"/>
    <w:bookmarkStart w:id="80" w:name="Xcaec2837b2f325919b5980973667295080f7a2e"/>
    <w:p>
      <w:pPr>
        <w:pStyle w:val="Heading2"/>
      </w:pPr>
      <w:r>
        <w:t xml:space="preserve">XIII. Area 10 — Registration Rights Post-Transaction</w:t>
      </w:r>
    </w:p>
    <w:bookmarkStart w:id="76" w:name="a.-rra-termination-provisions-9"/>
    <w:p>
      <w:pPr>
        <w:pStyle w:val="Heading3"/>
      </w:pPr>
      <w:r>
        <w:t xml:space="preserve">A. RRA Termination Provisions (§9)</w:t>
      </w:r>
    </w:p>
    <w:p>
      <w:pPr>
        <w:pStyle w:val="FirstParagraph"/>
      </w:pPr>
      <w:r>
        <w:t xml:space="preserve">Registration rights terminate as to a particular Holder upon the earliest of: (a) the Holder can sell all its Registrable Securities in a single three-month period under Rule 144 without volume/manner-of-sale restrictions and without the current-public-information requirement; (b) the fifth anniversary of the IPO; or (c)</w:t>
      </w:r>
      <w:r>
        <w:t xml:space="preserve"> </w:t>
      </w:r>
      <w:r>
        <w:rPr>
          <w:b/>
          <w:bCs/>
        </w:rPr>
        <w:t xml:space="preserve">“</w:t>
      </w:r>
      <w:r>
        <w:rPr>
          <w:b/>
          <w:bCs/>
        </w:rPr>
        <w:t xml:space="preserve">a Deemed Liquidation Event.</w:t>
      </w:r>
      <w:r>
        <w:rPr>
          <w:b/>
          <w:bCs/>
        </w:rPr>
        <w:t xml:space="preserve">”</w:t>
      </w:r>
      <w:r>
        <w:t xml:space="preserve"> </w:t>
      </w:r>
      <w:r>
        <w:t xml:space="preserve">The entire RRA terminates upon (i) termination as to all Holders per (a)/(b)/(c), or (ii) written consent of the Company and Holders of a majority of the then-outstanding Registrable Securities. The indemnification provisions (§7) survive termination (§9).</w:t>
      </w:r>
    </w:p>
    <w:bookmarkEnd w:id="76"/>
    <w:bookmarkStart w:id="77" w:name="X05a17414d40f3e89d95140ed6ef4b767a9db1cb"/>
    <w:p>
      <w:pPr>
        <w:pStyle w:val="Heading3"/>
      </w:pPr>
      <w:r>
        <w:t xml:space="preserve">B. The</w:t>
      </w:r>
      <w:r>
        <w:t xml:space="preserve"> </w:t>
      </w:r>
      <w:r>
        <w:t xml:space="preserve">“</w:t>
      </w:r>
      <w:r>
        <w:t xml:space="preserve">Deemed Liquidation Event</w:t>
      </w:r>
      <w:r>
        <w:t xml:space="preserve">”</w:t>
      </w:r>
      <w:r>
        <w:t xml:space="preserve"> </w:t>
      </w:r>
      <w:r>
        <w:t xml:space="preserve">Problem —</w:t>
      </w:r>
      <w:r>
        <w:t xml:space="preserve"> </w:t>
      </w:r>
      <w:r>
        <w:rPr>
          <w:i/>
          <w:iCs/>
        </w:rPr>
        <w:t xml:space="preserve">Significant</w:t>
      </w:r>
    </w:p>
    <w:p>
      <w:pPr>
        <w:pStyle w:val="FirstParagraph"/>
      </w:pPr>
      <w:r>
        <w:t xml:space="preserve">As noted in Area 6,</w:t>
      </w:r>
      <w:r>
        <w:t xml:space="preserve"> </w:t>
      </w:r>
      <w:r>
        <w:rPr>
          <w:b/>
          <w:bCs/>
        </w:rPr>
        <w:t xml:space="preserve">“</w:t>
      </w:r>
      <w:r>
        <w:rPr>
          <w:b/>
          <w:bCs/>
        </w:rPr>
        <w:t xml:space="preserve">Deemed Liquidation Event</w:t>
      </w:r>
      <w:r>
        <w:rPr>
          <w:b/>
          <w:bCs/>
        </w:rPr>
        <w:t xml:space="preserve">”</w:t>
      </w:r>
      <w:r>
        <w:rPr>
          <w:b/>
          <w:bCs/>
        </w:rPr>
        <w:t xml:space="preserve"> </w:t>
      </w:r>
      <w:r>
        <w:rPr>
          <w:b/>
          <w:bCs/>
        </w:rPr>
        <w:t xml:space="preserve">is undefined in the RRA</w:t>
      </w:r>
      <w:r>
        <w:t xml:space="preserve"> </w:t>
      </w:r>
      <w:r>
        <w:t xml:space="preserve">and is not cross-referenced to the charter’s</w:t>
      </w:r>
      <w:r>
        <w:t xml:space="preserve"> </w:t>
      </w:r>
      <w:r>
        <w:t xml:space="preserve">“</w:t>
      </w:r>
      <w:r>
        <w:t xml:space="preserve">Liquidation Event.</w:t>
      </w:r>
      <w:r>
        <w:t xml:space="preserve">”</w:t>
      </w:r>
      <w:r>
        <w:t xml:space="preserve"> </w:t>
      </w:r>
      <w:r>
        <w:t xml:space="preserve">The intended meaning is almost certainly the charter’s Liquidation Event (the NVCA-model concept of a merger/sale treated as a liquidation), which the Hargrove merger satisfies. But because the term is undefined, a Holder could argue the merger does not clearly constitute a</w:t>
      </w:r>
      <w:r>
        <w:t xml:space="preserve"> </w:t>
      </w:r>
      <w:r>
        <w:t xml:space="preserve">“</w:t>
      </w:r>
      <w:r>
        <w:t xml:space="preserve">Deemed Liquidation Event</w:t>
      </w:r>
      <w:r>
        <w:t xml:space="preserve">”</w:t>
      </w:r>
      <w:r>
        <w:t xml:space="preserve"> </w:t>
      </w:r>
      <w:r>
        <w:t xml:space="preserve">under the RRA, and that registration rights therefore</w:t>
      </w:r>
      <w:r>
        <w:t xml:space="preserve"> </w:t>
      </w:r>
      <w:r>
        <w:rPr>
          <w:b/>
          <w:bCs/>
        </w:rPr>
        <w:t xml:space="preserve">survive the merger</w:t>
      </w:r>
      <w:r>
        <w:t xml:space="preserve">.</w:t>
      </w:r>
    </w:p>
    <w:bookmarkEnd w:id="77"/>
    <w:bookmarkStart w:id="78" w:name="c.-practical-effect-if-the-rra-survives"/>
    <w:p>
      <w:pPr>
        <w:pStyle w:val="Heading3"/>
      </w:pPr>
      <w:r>
        <w:t xml:space="preserve">C. Practical Effect If the RRA Survives</w:t>
      </w:r>
    </w:p>
    <w:p>
      <w:pPr>
        <w:pStyle w:val="FirstParagraph"/>
      </w:pPr>
      <w:r>
        <w:t xml:space="preserve">If the RRA survives the merger:</w:t>
      </w:r>
    </w:p>
    <w:p>
      <w:pPr>
        <w:pStyle w:val="Compact"/>
        <w:numPr>
          <w:ilvl w:val="0"/>
          <w:numId w:val="1023"/>
        </w:numPr>
      </w:pPr>
      <w:r>
        <w:rPr>
          <w:b/>
          <w:bCs/>
        </w:rPr>
        <w:t xml:space="preserve">Registrable Securities may be extinguished.</w:t>
      </w:r>
      <w:r>
        <w:t xml:space="preserve"> </w:t>
      </w:r>
      <w:r>
        <w:t xml:space="preserve">Registrable Securities are defined as Common Stock issued/issuable upon conversion of the Preferred held by Holders. Post-merger, the Preferred is cancelled for cash; no Preferred remains, so no Registrable Securities are issuable. The RRA’s registration obligations (demand, piggyback, S-3) apply only to Registrable Securities, which would no longer exist. The RRA’s operative obligations may therefore be</w:t>
      </w:r>
      <w:r>
        <w:t xml:space="preserve"> </w:t>
      </w:r>
      <w:r>
        <w:rPr>
          <w:b/>
          <w:bCs/>
        </w:rPr>
        <w:t xml:space="preserve">moot</w:t>
      </w:r>
      <w:r>
        <w:t xml:space="preserve"> </w:t>
      </w:r>
      <w:r>
        <w:t xml:space="preserve">post-closing.</w:t>
      </w:r>
    </w:p>
    <w:p>
      <w:pPr>
        <w:pStyle w:val="Compact"/>
        <w:numPr>
          <w:ilvl w:val="0"/>
          <w:numId w:val="1023"/>
        </w:numPr>
      </w:pPr>
      <w:r>
        <w:rPr>
          <w:b/>
          <w:bCs/>
        </w:rPr>
        <w:t xml:space="preserve">Residual liability.</w:t>
      </w:r>
      <w:r>
        <w:t xml:space="preserve"> </w:t>
      </w:r>
      <w:r>
        <w:t xml:space="preserve">Even if moot, a surviving RRA is a technical liability: Hargrove (as successor to Terravox) would inherit a contractual obligation that a Holder could attempt to invoke or assert. The lock-up (§4) and market stand-off (§5) provisions apply only to underwritten public offerings and are irrelevant to an all-cash merger. The indemnification provisions (§7) survive termination in any event, but no registration has occurred (no IPO), so indemnification exposure is minimal.</w:t>
      </w:r>
    </w:p>
    <w:p>
      <w:pPr>
        <w:pStyle w:val="Compact"/>
        <w:numPr>
          <w:ilvl w:val="0"/>
          <w:numId w:val="1023"/>
        </w:numPr>
      </w:pPr>
      <w:r>
        <w:rPr>
          <w:b/>
          <w:bCs/>
        </w:rPr>
        <w:t xml:space="preserve">The cleanest fix is express termination.</w:t>
      </w:r>
      <w:r>
        <w:t xml:space="preserve"> </w:t>
      </w:r>
      <w:r>
        <w:t xml:space="preserve">Do not rely on automatic termination via the undefined</w:t>
      </w:r>
      <w:r>
        <w:t xml:space="preserve"> </w:t>
      </w:r>
      <w:r>
        <w:t xml:space="preserve">“</w:t>
      </w:r>
      <w:r>
        <w:t xml:space="preserve">Deemed Liquidation Event.</w:t>
      </w:r>
      <w:r>
        <w:t xml:space="preserve">”</w:t>
      </w:r>
    </w:p>
    <w:bookmarkEnd w:id="78"/>
    <w:bookmarkStart w:id="79" w:name="d.-recommendation"/>
    <w:p>
      <w:pPr>
        <w:pStyle w:val="Heading3"/>
      </w:pPr>
      <w:r>
        <w:t xml:space="preserve">D. Recommendation</w:t>
      </w:r>
    </w:p>
    <w:p>
      <w:pPr>
        <w:pStyle w:val="Compact"/>
        <w:numPr>
          <w:ilvl w:val="0"/>
          <w:numId w:val="1024"/>
        </w:numPr>
      </w:pPr>
      <w:r>
        <w:rPr>
          <w:b/>
          <w:bCs/>
        </w:rPr>
        <w:t xml:space="preserve">Obtain express termination of the RRA at closing.</w:t>
      </w:r>
      <w:r>
        <w:t xml:space="preserve"> </w:t>
      </w:r>
      <w:r>
        <w:t xml:space="preserve">Either (a) obtain the written consent of the Company and Holders of a majority of the then-outstanding Registrable Securities to terminate the RRA (§9, second clause) — Stonemill, Northbridge, and Ridgeline collectively hold 100% of the Registrable Securities (16,500,000 as-converted), so majority consent is achievable (Stonemill alone holds 7,800,000 = 47%, short of majority; Ridgeline + Northbridge = 8,700,000 = 53%, sufficient) — or (b) obtain individual termination/waiver agreements from each Holder as a condition to closing.</w:t>
      </w:r>
    </w:p>
    <w:p>
      <w:pPr>
        <w:pStyle w:val="Compact"/>
        <w:numPr>
          <w:ilvl w:val="0"/>
          <w:numId w:val="1024"/>
        </w:numPr>
      </w:pPr>
      <w:r>
        <w:rPr>
          <w:b/>
          <w:bCs/>
        </w:rPr>
        <w:t xml:space="preserve">Include a covenant in the merger agreement</w:t>
      </w:r>
      <w:r>
        <w:t xml:space="preserve"> </w:t>
      </w:r>
      <w:r>
        <w:t xml:space="preserve">providing that the RRA terminates upon the merger and that the Company has no post-closing registration obligations, with appropriate reps.</w:t>
      </w:r>
    </w:p>
    <w:p>
      <w:pPr>
        <w:pStyle w:val="Compact"/>
        <w:numPr>
          <w:ilvl w:val="0"/>
          <w:numId w:val="1024"/>
        </w:numPr>
      </w:pPr>
      <w:r>
        <w:rPr>
          <w:b/>
          <w:bCs/>
        </w:rPr>
        <w:t xml:space="preserve">Note the consent dynamic:</w:t>
      </w:r>
      <w:r>
        <w:t xml:space="preserve"> </w:t>
      </w:r>
      <w:r>
        <w:t xml:space="preserve">majority-of-Registrable-Securities consent can be obtained without Stonemill (Ridgeline + Northbridge = 53%), but obtaining Stonemill’s waiver would eliminate any argument. If the drag-along is invoked, consider whether it extends to compelling RRA termination (the drag-along requires stockholders to</w:t>
      </w:r>
      <w:r>
        <w:t xml:space="preserve"> </w:t>
      </w:r>
      <w:r>
        <w:t xml:space="preserve">“</w:t>
      </w:r>
      <w:r>
        <w:t xml:space="preserve">take all reasonably necessary actions to consummate</w:t>
      </w:r>
      <w:r>
        <w:t xml:space="preserve">”</w:t>
      </w:r>
      <w:r>
        <w:t xml:space="preserve"> </w:t>
      </w:r>
      <w:r>
        <w:t xml:space="preserve">the sale, §3.1(a)(C), which may encompass executing termination/waiver agreements).</w:t>
      </w:r>
    </w:p>
    <w:p>
      <w:r>
        <w:pict>
          <v:rect style="width:0;height:1.5pt" o:hralign="center" o:hrstd="t" o:hr="t"/>
        </w:pict>
      </w:r>
    </w:p>
    <w:bookmarkEnd w:id="79"/>
    <w:bookmarkEnd w:id="80"/>
    <w:bookmarkStart w:id="81" w:name="xiv.-severity-classification-summary"/>
    <w:p>
      <w:pPr>
        <w:pStyle w:val="Heading2"/>
      </w:pPr>
      <w:r>
        <w:t xml:space="preserve">XIV. Severity Classification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Area</w:t>
            </w:r>
          </w:p>
        </w:tc>
      </w:tr>
      <w:tr>
        <w:tc>
          <w:tcPr/>
          <w:p>
            <w:pPr>
              <w:pStyle w:val="Compact"/>
              <w:jc w:val="left"/>
            </w:pPr>
            <w:r>
              <w:t xml:space="preserve">1</w:t>
            </w:r>
          </w:p>
        </w:tc>
        <w:tc>
          <w:tcPr/>
          <w:p>
            <w:pPr>
              <w:pStyle w:val="Compact"/>
              <w:jc w:val="left"/>
            </w:pPr>
            <w:r>
              <w:t xml:space="preserve">Series C separate-class protective provision (§4.3.6(b)(i)) — Stonemill’s hard blocking right; cannot be satisfied without Stonemill</w:t>
            </w:r>
          </w:p>
        </w:tc>
        <w:tc>
          <w:tcPr/>
          <w:p>
            <w:pPr>
              <w:pStyle w:val="Compact"/>
              <w:jc w:val="left"/>
            </w:pPr>
            <w:r>
              <w:rPr>
                <w:b/>
                <w:bCs/>
              </w:rPr>
              <w:t xml:space="preserve">Critical</w:t>
            </w:r>
          </w:p>
        </w:tc>
        <w:tc>
          <w:tcPr/>
          <w:p>
            <w:pPr>
              <w:pStyle w:val="Compact"/>
              <w:jc w:val="left"/>
            </w:pPr>
            <w:r>
              <w:t xml:space="preserve">1, 2</w:t>
            </w:r>
          </w:p>
        </w:tc>
      </w:tr>
      <w:tr>
        <w:tc>
          <w:tcPr/>
          <w:p>
            <w:pPr>
              <w:pStyle w:val="Compact"/>
              <w:jc w:val="left"/>
            </w:pPr>
            <w:r>
              <w:t xml:space="preserve">2</w:t>
            </w:r>
          </w:p>
        </w:tc>
        <w:tc>
          <w:tcPr/>
          <w:p>
            <w:pPr>
              <w:pStyle w:val="Compact"/>
              <w:jc w:val="left"/>
            </w:pPr>
            <w:r>
              <w:t xml:space="preserve">Drag-along enforceability against charter protective provision — central legal uncertainty; determines whether deal can close over Stonemill’s objection</w:t>
            </w:r>
          </w:p>
        </w:tc>
        <w:tc>
          <w:tcPr/>
          <w:p>
            <w:pPr>
              <w:pStyle w:val="Compact"/>
              <w:jc w:val="left"/>
            </w:pPr>
            <w:r>
              <w:rPr>
                <w:b/>
                <w:bCs/>
              </w:rPr>
              <w:t xml:space="preserve">Critical</w:t>
            </w:r>
          </w:p>
        </w:tc>
        <w:tc>
          <w:tcPr/>
          <w:p>
            <w:pPr>
              <w:pStyle w:val="Compact"/>
              <w:jc w:val="left"/>
            </w:pPr>
            <w:r>
              <w:t xml:space="preserve">2</w:t>
            </w:r>
          </w:p>
        </w:tc>
      </w:tr>
      <w:tr>
        <w:tc>
          <w:tcPr/>
          <w:p>
            <w:pPr>
              <w:pStyle w:val="Compact"/>
              <w:jc w:val="left"/>
            </w:pPr>
            <w:r>
              <w:t xml:space="preserve">3</w:t>
            </w:r>
          </w:p>
        </w:tc>
        <w:tc>
          <w:tcPr/>
          <w:p>
            <w:pPr>
              <w:pStyle w:val="Compact"/>
              <w:jc w:val="left"/>
            </w:pPr>
            <w:r>
              <w:t xml:space="preserve">SensorLink LOI auto-renewal / potential live exclusivity — time-sensitive; could block signing of definitive agreement</w:t>
            </w:r>
          </w:p>
        </w:tc>
        <w:tc>
          <w:tcPr/>
          <w:p>
            <w:pPr>
              <w:pStyle w:val="Compact"/>
              <w:jc w:val="left"/>
            </w:pPr>
            <w:r>
              <w:rPr>
                <w:b/>
                <w:bCs/>
              </w:rPr>
              <w:t xml:space="preserve">Critical</w:t>
            </w:r>
          </w:p>
        </w:tc>
        <w:tc>
          <w:tcPr/>
          <w:p>
            <w:pPr>
              <w:pStyle w:val="Compact"/>
              <w:jc w:val="left"/>
            </w:pPr>
            <w:r>
              <w:t xml:space="preserve">8</w:t>
            </w:r>
          </w:p>
        </w:tc>
      </w:tr>
      <w:tr>
        <w:tc>
          <w:tcPr/>
          <w:p>
            <w:pPr>
              <w:pStyle w:val="Compact"/>
              <w:jc w:val="left"/>
            </w:pPr>
            <w:r>
              <w:t xml:space="preserve">4</w:t>
            </w:r>
          </w:p>
        </w:tc>
        <w:tc>
          <w:tcPr/>
          <w:p>
            <w:pPr>
              <w:pStyle w:val="Compact"/>
              <w:jc w:val="left"/>
            </w:pPr>
            <w:r>
              <w:t xml:space="preserve">Clearfield $12M term loan incurred without required Preferred consent (§4.3.6(a)(v)) — corporate-authorization defect</w:t>
            </w:r>
          </w:p>
        </w:tc>
        <w:tc>
          <w:tcPr/>
          <w:p>
            <w:pPr>
              <w:pStyle w:val="Compact"/>
              <w:jc w:val="left"/>
            </w:pPr>
            <w:r>
              <w:rPr>
                <w:b/>
                <w:bCs/>
              </w:rPr>
              <w:t xml:space="preserve">Significant</w:t>
            </w:r>
          </w:p>
        </w:tc>
        <w:tc>
          <w:tcPr/>
          <w:p>
            <w:pPr>
              <w:pStyle w:val="Compact"/>
              <w:jc w:val="left"/>
            </w:pPr>
            <w:r>
              <w:t xml:space="preserve">8</w:t>
            </w:r>
          </w:p>
        </w:tc>
      </w:tr>
      <w:tr>
        <w:tc>
          <w:tcPr/>
          <w:p>
            <w:pPr>
              <w:pStyle w:val="Compact"/>
              <w:jc w:val="left"/>
            </w:pPr>
            <w:r>
              <w:t xml:space="preserve">5</w:t>
            </w:r>
          </w:p>
        </w:tc>
        <w:tc>
          <w:tcPr/>
          <w:p>
            <w:pPr>
              <w:pStyle w:val="Compact"/>
              <w:jc w:val="left"/>
            </w:pPr>
            <w:r>
              <w:t xml:space="preserve">Special Committee includes non-disinterested director (Okafor) — independence/fiduciary vulnerability</w:t>
            </w:r>
          </w:p>
        </w:tc>
        <w:tc>
          <w:tcPr/>
          <w:p>
            <w:pPr>
              <w:pStyle w:val="Compact"/>
              <w:jc w:val="left"/>
            </w:pPr>
            <w:r>
              <w:rPr>
                <w:b/>
                <w:bCs/>
              </w:rPr>
              <w:t xml:space="preserve">Significant</w:t>
            </w:r>
          </w:p>
        </w:tc>
        <w:tc>
          <w:tcPr/>
          <w:p>
            <w:pPr>
              <w:pStyle w:val="Compact"/>
              <w:jc w:val="left"/>
            </w:pPr>
            <w:r>
              <w:t xml:space="preserve">9</w:t>
            </w:r>
          </w:p>
        </w:tc>
      </w:tr>
      <w:tr>
        <w:tc>
          <w:tcPr/>
          <w:p>
            <w:pPr>
              <w:pStyle w:val="Compact"/>
              <w:jc w:val="left"/>
            </w:pPr>
            <w:r>
              <w:t xml:space="preserve">6</w:t>
            </w:r>
          </w:p>
        </w:tc>
        <w:tc>
          <w:tcPr/>
          <w:p>
            <w:pPr>
              <w:pStyle w:val="Compact"/>
              <w:jc w:val="left"/>
            </w:pPr>
            <w:r>
              <w:t xml:space="preserve">RRA</w:t>
            </w:r>
            <w:r>
              <w:t xml:space="preserve"> </w:t>
            </w:r>
            <w:r>
              <w:t xml:space="preserve">“</w:t>
            </w:r>
            <w:r>
              <w:t xml:space="preserve">Deemed Liquidation Event</w:t>
            </w:r>
            <w:r>
              <w:t xml:space="preserve">”</w:t>
            </w:r>
            <w:r>
              <w:t xml:space="preserve"> </w:t>
            </w:r>
            <w:r>
              <w:t xml:space="preserve">undefined — registration rights may not cleanly terminate</w:t>
            </w:r>
          </w:p>
        </w:tc>
        <w:tc>
          <w:tcPr/>
          <w:p>
            <w:pPr>
              <w:pStyle w:val="Compact"/>
              <w:jc w:val="left"/>
            </w:pPr>
            <w:r>
              <w:rPr>
                <w:b/>
                <w:bCs/>
              </w:rPr>
              <w:t xml:space="preserve">Significant</w:t>
            </w:r>
          </w:p>
        </w:tc>
        <w:tc>
          <w:tcPr/>
          <w:p>
            <w:pPr>
              <w:pStyle w:val="Compact"/>
              <w:jc w:val="left"/>
            </w:pPr>
            <w:r>
              <w:t xml:space="preserve">6, 10</w:t>
            </w:r>
          </w:p>
        </w:tc>
      </w:tr>
      <w:tr>
        <w:tc>
          <w:tcPr/>
          <w:p>
            <w:pPr>
              <w:pStyle w:val="Compact"/>
              <w:jc w:val="left"/>
            </w:pPr>
            <w:r>
              <w:t xml:space="preserve">7</w:t>
            </w:r>
          </w:p>
        </w:tc>
        <w:tc>
          <w:tcPr/>
          <w:p>
            <w:pPr>
              <w:pStyle w:val="Compact"/>
              <w:jc w:val="left"/>
            </w:pPr>
            <w:r>
              <w:t xml:space="preserve">Board minutes’ waterfall analysis incorrect as to Series C — affects fairness analysis and consent solicitation</w:t>
            </w:r>
          </w:p>
        </w:tc>
        <w:tc>
          <w:tcPr/>
          <w:p>
            <w:pPr>
              <w:pStyle w:val="Compact"/>
              <w:jc w:val="left"/>
            </w:pPr>
            <w:r>
              <w:rPr>
                <w:b/>
                <w:bCs/>
              </w:rPr>
              <w:t xml:space="preserve">Significant</w:t>
            </w:r>
          </w:p>
        </w:tc>
        <w:tc>
          <w:tcPr/>
          <w:p>
            <w:pPr>
              <w:pStyle w:val="Compact"/>
              <w:jc w:val="left"/>
            </w:pPr>
            <w:r>
              <w:t xml:space="preserve">1, 9</w:t>
            </w:r>
          </w:p>
        </w:tc>
      </w:tr>
      <w:tr>
        <w:tc>
          <w:tcPr/>
          <w:p>
            <w:pPr>
              <w:pStyle w:val="Compact"/>
              <w:jc w:val="left"/>
            </w:pPr>
            <w:r>
              <w:t xml:space="preserve">8</w:t>
            </w:r>
          </w:p>
        </w:tc>
        <w:tc>
          <w:tcPr/>
          <w:p>
            <w:pPr>
              <w:pStyle w:val="Compact"/>
              <w:jc w:val="left"/>
            </w:pPr>
            <w:r>
              <w:t xml:space="preserve">Document gaps — 2021 Equity Incentive Plan, award agreements, stockholder consent records</w:t>
            </w:r>
          </w:p>
        </w:tc>
        <w:tc>
          <w:tcPr/>
          <w:p>
            <w:pPr>
              <w:pStyle w:val="Compact"/>
              <w:jc w:val="left"/>
            </w:pPr>
            <w:r>
              <w:rPr>
                <w:b/>
                <w:bCs/>
              </w:rPr>
              <w:t xml:space="preserve">Significant</w:t>
            </w:r>
          </w:p>
        </w:tc>
        <w:tc>
          <w:tcPr/>
          <w:p>
            <w:pPr>
              <w:pStyle w:val="Compact"/>
              <w:jc w:val="left"/>
            </w:pPr>
            <w:r>
              <w:t xml:space="preserve">7, 8</w:t>
            </w:r>
          </w:p>
        </w:tc>
      </w:tr>
      <w:tr>
        <w:tc>
          <w:tcPr/>
          <w:p>
            <w:pPr>
              <w:pStyle w:val="Compact"/>
              <w:jc w:val="left"/>
            </w:pPr>
            <w:r>
              <w:t xml:space="preserve">9</w:t>
            </w:r>
          </w:p>
        </w:tc>
        <w:tc>
          <w:tcPr/>
          <w:p>
            <w:pPr>
              <w:pStyle w:val="Compact"/>
              <w:jc w:val="left"/>
            </w:pPr>
            <w:r>
              <w:t xml:space="preserve">Equity plan share-reserve increase (July 2023) — stockholder approval not evidenced</w:t>
            </w:r>
          </w:p>
        </w:tc>
        <w:tc>
          <w:tcPr/>
          <w:p>
            <w:pPr>
              <w:pStyle w:val="Compact"/>
              <w:jc w:val="left"/>
            </w:pPr>
            <w:r>
              <w:rPr>
                <w:b/>
                <w:bCs/>
              </w:rPr>
              <w:t xml:space="preserve">Significant</w:t>
            </w:r>
          </w:p>
        </w:tc>
        <w:tc>
          <w:tcPr/>
          <w:p>
            <w:pPr>
              <w:pStyle w:val="Compact"/>
              <w:jc w:val="left"/>
            </w:pPr>
            <w:r>
              <w:t xml:space="preserve">7, 8</w:t>
            </w:r>
          </w:p>
        </w:tc>
      </w:tr>
      <w:tr>
        <w:tc>
          <w:tcPr/>
          <w:p>
            <w:pPr>
              <w:pStyle w:val="Compact"/>
              <w:jc w:val="left"/>
            </w:pPr>
            <w:r>
              <w:t xml:space="preserve">10</w:t>
            </w:r>
          </w:p>
        </w:tc>
        <w:tc>
          <w:tcPr/>
          <w:p>
            <w:pPr>
              <w:pStyle w:val="Compact"/>
              <w:jc w:val="left"/>
            </w:pPr>
            <w:r>
              <w:t xml:space="preserve">Drag-along Common-prong denominator ambiguity — whether trigger can be satisfied without non-party common votes</w:t>
            </w:r>
          </w:p>
        </w:tc>
        <w:tc>
          <w:tcPr/>
          <w:p>
            <w:pPr>
              <w:pStyle w:val="Compact"/>
              <w:jc w:val="left"/>
            </w:pPr>
            <w:r>
              <w:rPr>
                <w:b/>
                <w:bCs/>
              </w:rPr>
              <w:t xml:space="preserve">Significant</w:t>
            </w:r>
          </w:p>
        </w:tc>
        <w:tc>
          <w:tcPr/>
          <w:p>
            <w:pPr>
              <w:pStyle w:val="Compact"/>
              <w:jc w:val="left"/>
            </w:pPr>
            <w:r>
              <w:t xml:space="preserve">2</w:t>
            </w:r>
          </w:p>
        </w:tc>
      </w:tr>
      <w:tr>
        <w:tc>
          <w:tcPr/>
          <w:p>
            <w:pPr>
              <w:pStyle w:val="Compact"/>
              <w:jc w:val="left"/>
            </w:pPr>
            <w:r>
              <w:t xml:space="preserve">11</w:t>
            </w:r>
          </w:p>
        </w:tc>
        <w:tc>
          <w:tcPr/>
          <w:p>
            <w:pPr>
              <w:pStyle w:val="Compact"/>
              <w:jc w:val="left"/>
            </w:pPr>
            <w:r>
              <w:t xml:space="preserve">Cross-document definitional inconsistencies (Liquidation Event vs. Sale of the Company vs. Deemed Liquidation Event)</w:t>
            </w:r>
          </w:p>
        </w:tc>
        <w:tc>
          <w:tcPr/>
          <w:p>
            <w:pPr>
              <w:pStyle w:val="Compact"/>
              <w:jc w:val="left"/>
            </w:pPr>
            <w:r>
              <w:rPr>
                <w:b/>
                <w:bCs/>
              </w:rPr>
              <w:t xml:space="preserve">Moderate</w:t>
            </w:r>
          </w:p>
        </w:tc>
        <w:tc>
          <w:tcPr/>
          <w:p>
            <w:pPr>
              <w:pStyle w:val="Compact"/>
              <w:jc w:val="left"/>
            </w:pPr>
            <w:r>
              <w:t xml:space="preserve">6</w:t>
            </w:r>
          </w:p>
        </w:tc>
      </w:tr>
      <w:tr>
        <w:tc>
          <w:tcPr/>
          <w:p>
            <w:pPr>
              <w:pStyle w:val="Compact"/>
              <w:jc w:val="left"/>
            </w:pPr>
            <w:r>
              <w:t xml:space="preserve">12</w:t>
            </w:r>
          </w:p>
        </w:tc>
        <w:tc>
          <w:tcPr/>
          <w:p>
            <w:pPr>
              <w:pStyle w:val="Compact"/>
              <w:jc w:val="left"/>
            </w:pPr>
            <w:r>
              <w:t xml:space="preserve">Trask absence/objection and</w:t>
            </w:r>
            <w:r>
              <w:t xml:space="preserve"> </w:t>
            </w:r>
            <w:r>
              <w:t xml:space="preserve">“</w:t>
            </w:r>
            <w:r>
              <w:t xml:space="preserve">marginalization</w:t>
            </w:r>
            <w:r>
              <w:t xml:space="preserve">”</w:t>
            </w:r>
            <w:r>
              <w:t xml:space="preserve"> </w:t>
            </w:r>
            <w:r>
              <w:t xml:space="preserve">narrative — process vulnerability</w:t>
            </w:r>
          </w:p>
        </w:tc>
        <w:tc>
          <w:tcPr/>
          <w:p>
            <w:pPr>
              <w:pStyle w:val="Compact"/>
              <w:jc w:val="left"/>
            </w:pPr>
            <w:r>
              <w:rPr>
                <w:b/>
                <w:bCs/>
              </w:rPr>
              <w:t xml:space="preserve">Moderate</w:t>
            </w:r>
          </w:p>
        </w:tc>
        <w:tc>
          <w:tcPr/>
          <w:p>
            <w:pPr>
              <w:pStyle w:val="Compact"/>
              <w:jc w:val="left"/>
            </w:pPr>
            <w:r>
              <w:t xml:space="preserve">9</w:t>
            </w:r>
          </w:p>
        </w:tc>
      </w:tr>
      <w:tr>
        <w:tc>
          <w:tcPr/>
          <w:p>
            <w:pPr>
              <w:pStyle w:val="Compact"/>
              <w:jc w:val="left"/>
            </w:pPr>
            <w:r>
              <w:t xml:space="preserve">13</w:t>
            </w:r>
          </w:p>
        </w:tc>
        <w:tc>
          <w:tcPr/>
          <w:p>
            <w:pPr>
              <w:pStyle w:val="Compact"/>
              <w:jc w:val="left"/>
            </w:pPr>
            <w:r>
              <w:t xml:space="preserve">SHA transfer-restriction</w:t>
            </w:r>
            <w:r>
              <w:t xml:space="preserve"> </w:t>
            </w:r>
            <w:r>
              <w:t xml:space="preserve">“</w:t>
            </w:r>
            <w:r>
              <w:t xml:space="preserve">consummated in accordance with Article 3</w:t>
            </w:r>
            <w:r>
              <w:t xml:space="preserve">”</w:t>
            </w:r>
            <w:r>
              <w:t xml:space="preserve"> </w:t>
            </w:r>
            <w:r>
              <w:t xml:space="preserve">ambiguity if drag-along not used</w:t>
            </w:r>
          </w:p>
        </w:tc>
        <w:tc>
          <w:tcPr/>
          <w:p>
            <w:pPr>
              <w:pStyle w:val="Compact"/>
              <w:jc w:val="left"/>
            </w:pPr>
            <w:r>
              <w:rPr>
                <w:b/>
                <w:bCs/>
              </w:rPr>
              <w:t xml:space="preserve">Moderate</w:t>
            </w:r>
          </w:p>
        </w:tc>
        <w:tc>
          <w:tcPr/>
          <w:p>
            <w:pPr>
              <w:pStyle w:val="Compact"/>
              <w:jc w:val="left"/>
            </w:pPr>
            <w:r>
              <w:t xml:space="preserve">4</w:t>
            </w:r>
          </w:p>
        </w:tc>
      </w:tr>
      <w:tr>
        <w:tc>
          <w:tcPr/>
          <w:p>
            <w:pPr>
              <w:pStyle w:val="Compact"/>
              <w:jc w:val="left"/>
            </w:pPr>
            <w:r>
              <w:t xml:space="preserve">14</w:t>
            </w:r>
          </w:p>
        </w:tc>
        <w:tc>
          <w:tcPr/>
          <w:p>
            <w:pPr>
              <w:pStyle w:val="Compact"/>
              <w:jc w:val="left"/>
            </w:pPr>
            <w:r>
              <w:t xml:space="preserve">Board minutes reference to separate</w:t>
            </w:r>
            <w:r>
              <w:t xml:space="preserve"> </w:t>
            </w:r>
            <w:r>
              <w:t xml:space="preserve">“</w:t>
            </w:r>
            <w:r>
              <w:t xml:space="preserve">Investors’ Rights Agreement</w:t>
            </w:r>
            <w:r>
              <w:t xml:space="preserve">”</w:t>
            </w:r>
            <w:r>
              <w:t xml:space="preserve"> </w:t>
            </w:r>
            <w:r>
              <w:t xml:space="preserve">/</w:t>
            </w:r>
            <w:r>
              <w:t xml:space="preserve"> </w:t>
            </w:r>
            <w:r>
              <w:t xml:space="preserve">“</w:t>
            </w:r>
            <w:r>
              <w:t xml:space="preserve">ROFR &amp; Co-Sale Agreement</w:t>
            </w:r>
            <w:r>
              <w:t xml:space="preserve">”</w:t>
            </w:r>
            <w:r>
              <w:t xml:space="preserve"> </w:t>
            </w:r>
            <w:r>
              <w:t xml:space="preserve">— possible additional/legacy agreements not received</w:t>
            </w:r>
          </w:p>
        </w:tc>
        <w:tc>
          <w:tcPr/>
          <w:p>
            <w:pPr>
              <w:pStyle w:val="Compact"/>
              <w:jc w:val="left"/>
            </w:pPr>
            <w:r>
              <w:rPr>
                <w:b/>
                <w:bCs/>
              </w:rPr>
              <w:t xml:space="preserve">Moderate</w:t>
            </w:r>
          </w:p>
        </w:tc>
        <w:tc>
          <w:tcPr/>
          <w:p>
            <w:pPr>
              <w:pStyle w:val="Compact"/>
              <w:jc w:val="left"/>
            </w:pPr>
            <w:r>
              <w:t xml:space="preserve">6</w:t>
            </w:r>
          </w:p>
        </w:tc>
      </w:tr>
      <w:tr>
        <w:tc>
          <w:tcPr/>
          <w:p>
            <w:pPr>
              <w:pStyle w:val="Compact"/>
              <w:jc w:val="left"/>
            </w:pPr>
            <w:r>
              <w:t xml:space="preserve">15</w:t>
            </w:r>
          </w:p>
        </w:tc>
        <w:tc>
          <w:tcPr/>
          <w:p>
            <w:pPr>
              <w:pStyle w:val="Compact"/>
              <w:jc w:val="left"/>
            </w:pPr>
            <w:r>
              <w:t xml:space="preserve">Appraisal rights available to non-party dissenting stockholders; drag-along waiver binds only parties</w:t>
            </w:r>
          </w:p>
        </w:tc>
        <w:tc>
          <w:tcPr/>
          <w:p>
            <w:pPr>
              <w:pStyle w:val="Compact"/>
              <w:jc w:val="left"/>
            </w:pPr>
            <w:r>
              <w:rPr>
                <w:b/>
                <w:bCs/>
              </w:rPr>
              <w:t xml:space="preserve">Moderate</w:t>
            </w:r>
          </w:p>
        </w:tc>
        <w:tc>
          <w:tcPr/>
          <w:p>
            <w:pPr>
              <w:pStyle w:val="Compact"/>
              <w:jc w:val="left"/>
            </w:pPr>
            <w:r>
              <w:t xml:space="preserve">2</w:t>
            </w:r>
          </w:p>
        </w:tc>
      </w:tr>
      <w:tr>
        <w:tc>
          <w:tcPr/>
          <w:p>
            <w:pPr>
              <w:pStyle w:val="Compact"/>
              <w:jc w:val="left"/>
            </w:pPr>
            <w:r>
              <w:t xml:space="preserve">16</w:t>
            </w:r>
          </w:p>
        </w:tc>
        <w:tc>
          <w:tcPr/>
          <w:p>
            <w:pPr>
              <w:pStyle w:val="Compact"/>
              <w:jc w:val="left"/>
            </w:pPr>
            <w:r>
              <w:t xml:space="preserve">Indemnification/advancement obligations survive merger; D&amp;O tail insurance and indemnification agreements should be confirmed</w:t>
            </w:r>
          </w:p>
        </w:tc>
        <w:tc>
          <w:tcPr/>
          <w:p>
            <w:pPr>
              <w:pStyle w:val="Compact"/>
              <w:jc w:val="left"/>
            </w:pPr>
            <w:r>
              <w:rPr>
                <w:b/>
                <w:bCs/>
              </w:rPr>
              <w:t xml:space="preserve">Moderate</w:t>
            </w:r>
          </w:p>
        </w:tc>
        <w:tc>
          <w:tcPr/>
          <w:p>
            <w:pPr>
              <w:pStyle w:val="Compact"/>
              <w:jc w:val="left"/>
            </w:pPr>
            <w:r>
              <w:t xml:space="preserve">general</w:t>
            </w:r>
          </w:p>
        </w:tc>
      </w:tr>
      <w:tr>
        <w:tc>
          <w:tcPr/>
          <w:p>
            <w:pPr>
              <w:pStyle w:val="Compact"/>
              <w:jc w:val="left"/>
            </w:pPr>
            <w:r>
              <w:t xml:space="preserve">17</w:t>
            </w:r>
          </w:p>
        </w:tc>
        <w:tc>
          <w:tcPr/>
          <w:p>
            <w:pPr>
              <w:pStyle w:val="Compact"/>
              <w:jc w:val="left"/>
            </w:pPr>
            <w:r>
              <w:t xml:space="preserve">Exclusive forum (Delaware Chancery) for internal-affairs claims — any Stonemill challenge will be litigated in Delaware</w:t>
            </w:r>
          </w:p>
        </w:tc>
        <w:tc>
          <w:tcPr/>
          <w:p>
            <w:pPr>
              <w:pStyle w:val="Compact"/>
              <w:jc w:val="left"/>
            </w:pPr>
            <w:r>
              <w:rPr>
                <w:b/>
                <w:bCs/>
              </w:rPr>
              <w:t xml:space="preserve">Moderate</w:t>
            </w:r>
          </w:p>
        </w:tc>
        <w:tc>
          <w:tcPr/>
          <w:p>
            <w:pPr>
              <w:pStyle w:val="Compact"/>
              <w:jc w:val="left"/>
            </w:pPr>
            <w:r>
              <w:t xml:space="preserve">general</w:t>
            </w:r>
          </w:p>
        </w:tc>
      </w:tr>
    </w:tbl>
    <w:p>
      <w:r>
        <w:pict>
          <v:rect style="width:0;height:1.5pt" o:hralign="center" o:hrstd="t" o:hr="t"/>
        </w:pict>
      </w:r>
    </w:p>
    <w:bookmarkEnd w:id="81"/>
    <w:bookmarkStart w:id="82" w:name="xv.-stonemill-leverage-consolidated-map"/>
    <w:p>
      <w:pPr>
        <w:pStyle w:val="Heading2"/>
      </w:pPr>
      <w:r>
        <w:t xml:space="preserve">XV. Stonemill Leverage — Consolidated Map</w:t>
      </w:r>
    </w:p>
    <w:p>
      <w:pPr>
        <w:pStyle w:val="FirstParagraph"/>
      </w:pPr>
      <w:r>
        <w:t xml:space="preserve">At your request, the following consolidates every leverage point Stonemill holds across the governance 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Leverage Point</w:t>
            </w:r>
          </w:p>
        </w:tc>
        <w:tc>
          <w:tcPr/>
          <w:p>
            <w:pPr>
              <w:pStyle w:val="Compact"/>
              <w:jc w:val="left"/>
            </w:pPr>
            <w:r>
              <w:t xml:space="preserve">Source</w:t>
            </w:r>
          </w:p>
        </w:tc>
        <w:tc>
          <w:tcPr/>
          <w:p>
            <w:pPr>
              <w:pStyle w:val="Compact"/>
              <w:jc w:val="left"/>
            </w:pPr>
            <w:r>
              <w:t xml:space="preserve">Effect</w:t>
            </w:r>
          </w:p>
        </w:tc>
        <w:tc>
          <w:tcPr/>
          <w:p>
            <w:pPr>
              <w:pStyle w:val="Compact"/>
              <w:jc w:val="left"/>
            </w:pPr>
            <w:r>
              <w:t xml:space="preserve">Can It Be Overcome Without Stonemill?</w:t>
            </w:r>
          </w:p>
        </w:tc>
      </w:tr>
      <w:tr>
        <w:tc>
          <w:tcPr/>
          <w:p>
            <w:pPr>
              <w:pStyle w:val="Compact"/>
              <w:jc w:val="left"/>
            </w:pPr>
            <w:r>
              <w:rPr>
                <w:b/>
                <w:bCs/>
              </w:rPr>
              <w:t xml:space="preserve">Series C separate-class veto on Liquidation Event</w:t>
            </w:r>
          </w:p>
        </w:tc>
        <w:tc>
          <w:tcPr/>
          <w:p>
            <w:pPr>
              <w:pStyle w:val="Compact"/>
              <w:jc w:val="left"/>
            </w:pPr>
            <w:r>
              <w:t xml:space="preserve">Charter §4.3.6(b)(i) (66⅔% of Series C)</w:t>
            </w:r>
          </w:p>
        </w:tc>
        <w:tc>
          <w:tcPr/>
          <w:p>
            <w:pPr>
              <w:pStyle w:val="Compact"/>
              <w:jc w:val="left"/>
            </w:pPr>
            <w:r>
              <w:t xml:space="preserve">Hard block on the merger</w:t>
            </w:r>
          </w:p>
        </w:tc>
        <w:tc>
          <w:tcPr/>
          <w:p>
            <w:pPr>
              <w:pStyle w:val="Compact"/>
              <w:jc w:val="left"/>
            </w:pPr>
            <w:r>
              <w:rPr>
                <w:b/>
                <w:bCs/>
              </w:rPr>
              <w:t xml:space="preserve">No</w:t>
            </w:r>
            <w:r>
              <w:t xml:space="preserve"> </w:t>
            </w:r>
            <w:r>
              <w:t xml:space="preserve">— Stonemill holds 100% of Series C; 5,200,000-share threshold cannot be met without it. Only the drag-along (if enforceable) could compel Stonemill’s vote.</w:t>
            </w:r>
          </w:p>
        </w:tc>
      </w:tr>
      <w:tr>
        <w:tc>
          <w:tcPr/>
          <w:p>
            <w:pPr>
              <w:pStyle w:val="Compact"/>
              <w:jc w:val="left"/>
            </w:pPr>
            <w:r>
              <w:rPr>
                <w:b/>
                <w:bCs/>
              </w:rPr>
              <w:t xml:space="preserve">All-Preferred veto on Liquidation Event</w:t>
            </w:r>
          </w:p>
        </w:tc>
        <w:tc>
          <w:tcPr/>
          <w:p>
            <w:pPr>
              <w:pStyle w:val="Compact"/>
              <w:jc w:val="left"/>
            </w:pPr>
            <w:r>
              <w:t xml:space="preserve">Charter §4.3.6(a)(vi) (majority of Preferred)</w:t>
            </w:r>
          </w:p>
        </w:tc>
        <w:tc>
          <w:tcPr/>
          <w:p>
            <w:pPr>
              <w:pStyle w:val="Compact"/>
              <w:jc w:val="left"/>
            </w:pPr>
            <w:r>
              <w:t xml:space="preserve">Block on the merger</w:t>
            </w:r>
          </w:p>
        </w:tc>
        <w:tc>
          <w:tcPr/>
          <w:p>
            <w:pPr>
              <w:pStyle w:val="Compact"/>
              <w:jc w:val="left"/>
            </w:pPr>
            <w:r>
              <w:rPr>
                <w:b/>
                <w:bCs/>
              </w:rPr>
              <w:t xml:space="preserve">Yes</w:t>
            </w:r>
            <w:r>
              <w:t xml:space="preserve"> </w:t>
            </w:r>
            <w:r>
              <w:t xml:space="preserve">— Ridgeline + Northbridge (8,700,000) exceed the 8,250,000 threshold.</w:t>
            </w:r>
          </w:p>
        </w:tc>
      </w:tr>
      <w:tr>
        <w:tc>
          <w:tcPr/>
          <w:p>
            <w:pPr>
              <w:pStyle w:val="Compact"/>
              <w:jc w:val="left"/>
            </w:pPr>
            <w:r>
              <w:rPr>
                <w:b/>
                <w:bCs/>
              </w:rPr>
              <w:t xml:space="preserve">Series C Director seat</w:t>
            </w:r>
          </w:p>
        </w:tc>
        <w:tc>
          <w:tcPr/>
          <w:p>
            <w:pPr>
              <w:pStyle w:val="Compact"/>
              <w:jc w:val="left"/>
            </w:pPr>
            <w:r>
              <w:t xml:space="preserve">VA §2.2(c)</w:t>
            </w:r>
          </w:p>
        </w:tc>
        <w:tc>
          <w:tcPr/>
          <w:p>
            <w:pPr>
              <w:pStyle w:val="Compact"/>
              <w:jc w:val="left"/>
            </w:pPr>
            <w:r>
              <w:t xml:space="preserve">Board participation / process influence</w:t>
            </w:r>
          </w:p>
        </w:tc>
        <w:tc>
          <w:tcPr/>
          <w:p>
            <w:pPr>
              <w:pStyle w:val="Compact"/>
              <w:jc w:val="left"/>
            </w:pPr>
            <w:r>
              <w:t xml:space="preserve">Terminates at closing (VA §7.1(b)); during the process, Trask’s votes have been outvoted but his objections are on the record.</w:t>
            </w:r>
          </w:p>
        </w:tc>
      </w:tr>
      <w:tr>
        <w:tc>
          <w:tcPr/>
          <w:p>
            <w:pPr>
              <w:pStyle w:val="Compact"/>
              <w:jc w:val="left"/>
            </w:pPr>
            <w:r>
              <w:rPr>
                <w:b/>
                <w:bCs/>
              </w:rPr>
              <w:t xml:space="preserve">Board observer right</w:t>
            </w:r>
          </w:p>
        </w:tc>
        <w:tc>
          <w:tcPr/>
          <w:p>
            <w:pPr>
              <w:pStyle w:val="Compact"/>
              <w:jc w:val="left"/>
            </w:pPr>
            <w:r>
              <w:t xml:space="preserve">VA §4</w:t>
            </w:r>
          </w:p>
        </w:tc>
        <w:tc>
          <w:tcPr/>
          <w:p>
            <w:pPr>
              <w:pStyle w:val="Compact"/>
              <w:jc w:val="left"/>
            </w:pPr>
            <w:r>
              <w:t xml:space="preserve">Information access / process oversight</w:t>
            </w:r>
          </w:p>
        </w:tc>
        <w:tc>
          <w:tcPr/>
          <w:p>
            <w:pPr>
              <w:pStyle w:val="Compact"/>
              <w:jc w:val="left"/>
            </w:pPr>
            <w:r>
              <w:t xml:space="preserve">Terminates at closing; during the process, the observer has attended most meetings (absent April 17, 2024).</w:t>
            </w:r>
          </w:p>
        </w:tc>
      </w:tr>
      <w:tr>
        <w:tc>
          <w:tcPr/>
          <w:p>
            <w:pPr>
              <w:pStyle w:val="Compact"/>
              <w:jc w:val="left"/>
            </w:pPr>
            <w:r>
              <w:rPr>
                <w:b/>
                <w:bCs/>
              </w:rPr>
              <w:t xml:space="preserve">Drag-along</w:t>
            </w:r>
            <w:r>
              <w:rPr>
                <w:b/>
                <w:bCs/>
              </w:rPr>
              <w:t xml:space="preserve"> </w:t>
            </w:r>
            <w:r>
              <w:rPr>
                <w:b/>
                <w:bCs/>
              </w:rPr>
              <w:t xml:space="preserve">“</w:t>
            </w:r>
            <w:r>
              <w:rPr>
                <w:b/>
                <w:bCs/>
              </w:rPr>
              <w:t xml:space="preserve">Investor prong</w:t>
            </w:r>
            <w:r>
              <w:rPr>
                <w:b/>
                <w:bCs/>
              </w:rPr>
              <w:t xml:space="preserve">”</w:t>
            </w:r>
          </w:p>
        </w:tc>
        <w:tc>
          <w:tcPr/>
          <w:p>
            <w:pPr>
              <w:pStyle w:val="Compact"/>
              <w:jc w:val="left"/>
            </w:pPr>
            <w:r>
              <w:t xml:space="preserve">SHA §3.1(a)(iii) (2 of 3 Investors)</w:t>
            </w:r>
          </w:p>
        </w:tc>
        <w:tc>
          <w:tcPr/>
          <w:p>
            <w:pPr>
              <w:pStyle w:val="Compact"/>
              <w:jc w:val="left"/>
            </w:pPr>
            <w:r>
              <w:t xml:space="preserve">Could block drag-along trigger if Stonemill were needed</w:t>
            </w:r>
          </w:p>
        </w:tc>
        <w:tc>
          <w:tcPr/>
          <w:p>
            <w:pPr>
              <w:pStyle w:val="Compact"/>
              <w:jc w:val="left"/>
            </w:pPr>
            <w:r>
              <w:rPr>
                <w:b/>
                <w:bCs/>
              </w:rPr>
              <w:t xml:space="preserve">Yes</w:t>
            </w:r>
            <w:r>
              <w:t xml:space="preserve"> </w:t>
            </w:r>
            <w:r>
              <w:t xml:space="preserve">— only 2 of 3 Investors required; Ridgeline + Northbridge suffice.</w:t>
            </w:r>
          </w:p>
        </w:tc>
      </w:tr>
      <w:tr>
        <w:tc>
          <w:tcPr/>
          <w:p>
            <w:pPr>
              <w:pStyle w:val="Compact"/>
              <w:jc w:val="left"/>
            </w:pPr>
            <w:r>
              <w:rPr>
                <w:b/>
                <w:bCs/>
              </w:rPr>
              <w:t xml:space="preserve">Drag-along</w:t>
            </w:r>
            <w:r>
              <w:rPr>
                <w:b/>
                <w:bCs/>
              </w:rPr>
              <w:t xml:space="preserve"> </w:t>
            </w:r>
            <w:r>
              <w:rPr>
                <w:b/>
                <w:bCs/>
              </w:rPr>
              <w:t xml:space="preserve">“</w:t>
            </w:r>
            <w:r>
              <w:rPr>
                <w:b/>
                <w:bCs/>
              </w:rPr>
              <w:t xml:space="preserve">Preferred prong</w:t>
            </w:r>
            <w:r>
              <w:rPr>
                <w:b/>
                <w:bCs/>
              </w:rPr>
              <w:t xml:space="preserve">”</w:t>
            </w:r>
          </w:p>
        </w:tc>
        <w:tc>
          <w:tcPr/>
          <w:p>
            <w:pPr>
              <w:pStyle w:val="Compact"/>
              <w:jc w:val="left"/>
            </w:pPr>
            <w:r>
              <w:t xml:space="preserve">SHA §3.1(a)(ii) (majority of Preferred)</w:t>
            </w:r>
          </w:p>
        </w:tc>
        <w:tc>
          <w:tcPr/>
          <w:p>
            <w:pPr>
              <w:pStyle w:val="Compact"/>
              <w:jc w:val="left"/>
            </w:pPr>
            <w:r>
              <w:t xml:space="preserve">Could block drag-along trigger</w:t>
            </w:r>
          </w:p>
        </w:tc>
        <w:tc>
          <w:tcPr/>
          <w:p>
            <w:pPr>
              <w:pStyle w:val="Compact"/>
              <w:jc w:val="left"/>
            </w:pPr>
            <w:r>
              <w:rPr>
                <w:b/>
                <w:bCs/>
              </w:rPr>
              <w:t xml:space="preserve">Yes</w:t>
            </w:r>
            <w:r>
              <w:t xml:space="preserve"> </w:t>
            </w:r>
            <w:r>
              <w:t xml:space="preserve">— Ridgeline + Northbridge (8,700,000) exceed majority.</w:t>
            </w:r>
          </w:p>
        </w:tc>
      </w:tr>
      <w:tr>
        <w:tc>
          <w:tcPr/>
          <w:p>
            <w:pPr>
              <w:pStyle w:val="Compact"/>
              <w:jc w:val="left"/>
            </w:pPr>
            <w:r>
              <w:rPr>
                <w:b/>
                <w:bCs/>
              </w:rPr>
              <w:t xml:space="preserve">Drag-along</w:t>
            </w:r>
            <w:r>
              <w:rPr>
                <w:b/>
                <w:bCs/>
              </w:rPr>
              <w:t xml:space="preserve"> </w:t>
            </w:r>
            <w:r>
              <w:rPr>
                <w:b/>
                <w:bCs/>
              </w:rPr>
              <w:t xml:space="preserve">“</w:t>
            </w:r>
            <w:r>
              <w:rPr>
                <w:b/>
                <w:bCs/>
              </w:rPr>
              <w:t xml:space="preserve">Common prong</w:t>
            </w:r>
            <w:r>
              <w:rPr>
                <w:b/>
                <w:bCs/>
              </w:rPr>
              <w:t xml:space="preserve">”</w:t>
            </w:r>
          </w:p>
        </w:tc>
        <w:tc>
          <w:tcPr/>
          <w:p>
            <w:pPr>
              <w:pStyle w:val="Compact"/>
              <w:jc w:val="left"/>
            </w:pPr>
            <w:r>
              <w:t xml:space="preserve">SHA §3.1(a)(i) (majority of Common, as-converted)</w:t>
            </w:r>
          </w:p>
        </w:tc>
        <w:tc>
          <w:tcPr/>
          <w:p>
            <w:pPr>
              <w:pStyle w:val="Compact"/>
              <w:jc w:val="left"/>
            </w:pPr>
            <w:r>
              <w:t xml:space="preserve">Could block drag-along trigger</w:t>
            </w:r>
          </w:p>
        </w:tc>
        <w:tc>
          <w:tcPr/>
          <w:p>
            <w:pPr>
              <w:pStyle w:val="Compact"/>
              <w:jc w:val="left"/>
            </w:pPr>
            <w:r>
              <w:rPr>
                <w:b/>
                <w:bCs/>
              </w:rPr>
              <w:t xml:space="preserve">Likely yes</w:t>
            </w:r>
            <w:r>
              <w:t xml:space="preserve">, subject to denominator interpretation; may require ~950,000 non-party common votes under a fully-diluted reading.</w:t>
            </w:r>
          </w:p>
        </w:tc>
      </w:tr>
      <w:tr>
        <w:tc>
          <w:tcPr/>
          <w:p>
            <w:pPr>
              <w:pStyle w:val="Compact"/>
              <w:jc w:val="left"/>
            </w:pPr>
            <w:r>
              <w:rPr>
                <w:b/>
                <w:bCs/>
              </w:rPr>
              <w:t xml:space="preserve">RRA termination consent</w:t>
            </w:r>
          </w:p>
        </w:tc>
        <w:tc>
          <w:tcPr/>
          <w:p>
            <w:pPr>
              <w:pStyle w:val="Compact"/>
              <w:jc w:val="left"/>
            </w:pPr>
            <w:r>
              <w:t xml:space="preserve">RRA §9 (majority of Registrable Securities)</w:t>
            </w:r>
          </w:p>
        </w:tc>
        <w:tc>
          <w:tcPr/>
          <w:p>
            <w:pPr>
              <w:pStyle w:val="Compact"/>
              <w:jc w:val="left"/>
            </w:pPr>
            <w:r>
              <w:t xml:space="preserve">Could block express RRA termination</w:t>
            </w:r>
          </w:p>
        </w:tc>
        <w:tc>
          <w:tcPr/>
          <w:p>
            <w:pPr>
              <w:pStyle w:val="Compact"/>
              <w:jc w:val="left"/>
            </w:pPr>
            <w:r>
              <w:rPr>
                <w:b/>
                <w:bCs/>
              </w:rPr>
              <w:t xml:space="preserve">Yes</w:t>
            </w:r>
            <w:r>
              <w:t xml:space="preserve"> </w:t>
            </w:r>
            <w:r>
              <w:t xml:space="preserve">— Ridgeline + Northbridge (53%) exceed majority; but Stonemill waiver preferred.</w:t>
            </w:r>
          </w:p>
        </w:tc>
      </w:tr>
      <w:tr>
        <w:tc>
          <w:tcPr/>
          <w:p>
            <w:pPr>
              <w:pStyle w:val="Compact"/>
              <w:jc w:val="left"/>
            </w:pPr>
            <w:r>
              <w:rPr>
                <w:b/>
                <w:bCs/>
              </w:rPr>
              <w:t xml:space="preserve">SHA amendment consent</w:t>
            </w:r>
          </w:p>
        </w:tc>
        <w:tc>
          <w:tcPr/>
          <w:p>
            <w:pPr>
              <w:pStyle w:val="Compact"/>
              <w:jc w:val="left"/>
            </w:pPr>
            <w:r>
              <w:t xml:space="preserve">SHA §7.4 (Company + Founders + majority of Investor shares)</w:t>
            </w:r>
          </w:p>
        </w:tc>
        <w:tc>
          <w:tcPr/>
          <w:p>
            <w:pPr>
              <w:pStyle w:val="Compact"/>
              <w:jc w:val="left"/>
            </w:pPr>
            <w:r>
              <w:t xml:space="preserve">Could block SHA amendment/waiver</w:t>
            </w:r>
          </w:p>
        </w:tc>
        <w:tc>
          <w:tcPr/>
          <w:p>
            <w:pPr>
              <w:pStyle w:val="Compact"/>
              <w:jc w:val="left"/>
            </w:pPr>
            <w:r>
              <w:rPr>
                <w:b/>
                <w:bCs/>
              </w:rPr>
              <w:t xml:space="preserve">Yes</w:t>
            </w:r>
            <w:r>
              <w:t xml:space="preserve"> </w:t>
            </w:r>
            <w:r>
              <w:t xml:space="preserve">— majority of Investor shares can be reached without Stonemill if Ridgeline + Northbridge agree; but drag-along amendments require each adversely affected Investor’s consent.</w:t>
            </w:r>
          </w:p>
        </w:tc>
      </w:tr>
      <w:tr>
        <w:tc>
          <w:tcPr/>
          <w:p>
            <w:pPr>
              <w:pStyle w:val="Compact"/>
              <w:jc w:val="left"/>
            </w:pPr>
            <w:r>
              <w:rPr>
                <w:b/>
                <w:bCs/>
              </w:rPr>
              <w:t xml:space="preserve">Fiduciary/process challenge</w:t>
            </w:r>
          </w:p>
        </w:tc>
        <w:tc>
          <w:tcPr/>
          <w:p>
            <w:pPr>
              <w:pStyle w:val="Compact"/>
              <w:jc w:val="left"/>
            </w:pPr>
            <w:r>
              <w:t xml:space="preserve">Delaware law</w:t>
            </w:r>
          </w:p>
        </w:tc>
        <w:tc>
          <w:tcPr/>
          <w:p>
            <w:pPr>
              <w:pStyle w:val="Compact"/>
              <w:jc w:val="left"/>
            </w:pPr>
            <w:r>
              <w:t xml:space="preserve">Litigation risk; potential entire-fairness review</w:t>
            </w:r>
          </w:p>
        </w:tc>
        <w:tc>
          <w:tcPr/>
          <w:p>
            <w:pPr>
              <w:pStyle w:val="Compact"/>
              <w:jc w:val="left"/>
            </w:pPr>
            <w:r>
              <w:t xml:space="preserve">Addressable via independent committee + majority-of-minority vote (MFW); Okafor issue must be fixed.</w:t>
            </w:r>
          </w:p>
        </w:tc>
      </w:tr>
      <w:tr>
        <w:tc>
          <w:tcPr/>
          <w:p>
            <w:pPr>
              <w:pStyle w:val="Compact"/>
              <w:jc w:val="left"/>
            </w:pPr>
            <w:r>
              <w:rPr>
                <w:b/>
                <w:bCs/>
              </w:rPr>
              <w:t xml:space="preserve">Economic leverage (preference)</w:t>
            </w:r>
          </w:p>
        </w:tc>
        <w:tc>
          <w:tcPr/>
          <w:p>
            <w:pPr>
              <w:pStyle w:val="Compact"/>
              <w:jc w:val="left"/>
            </w:pPr>
            <w:r>
              <w:t xml:space="preserve">Charter §4.3.2</w:t>
            </w:r>
          </w:p>
        </w:tc>
        <w:tc>
          <w:tcPr/>
          <w:p>
            <w:pPr>
              <w:pStyle w:val="Compact"/>
              <w:jc w:val="left"/>
            </w:pPr>
            <w:r>
              <w:t xml:space="preserve">Series C receives $18.50/share (full preference) — Stonemill is economically well-served by the deal</w:t>
            </w:r>
          </w:p>
        </w:tc>
        <w:tc>
          <w:tcPr/>
          <w:p>
            <w:pPr>
              <w:pStyle w:val="Compact"/>
              <w:jc w:val="left"/>
            </w:pPr>
            <w:r>
              <w:t xml:space="preserve">Suggests Stonemill’s opposition is about extracting</w:t>
            </w:r>
            <w:r>
              <w:t xml:space="preserve"> </w:t>
            </w:r>
            <w:r>
              <w:rPr>
                <w:i/>
                <w:iCs/>
              </w:rPr>
              <w:t xml:space="preserve">more</w:t>
            </w:r>
            <w:r>
              <w:t xml:space="preserve"> </w:t>
            </w:r>
            <w:r>
              <w:t xml:space="preserve">(side arrangements, post-closing rights, or leverage) rather than the base economics.</w:t>
            </w:r>
          </w:p>
        </w:tc>
      </w:tr>
    </w:tbl>
    <w:p>
      <w:pPr>
        <w:pStyle w:val="BodyText"/>
      </w:pPr>
      <w:r>
        <w:rPr>
          <w:b/>
          <w:bCs/>
        </w:rPr>
        <w:t xml:space="preserve">Assessment:</w:t>
      </w:r>
      <w:r>
        <w:t xml:space="preserve"> </w:t>
      </w:r>
      <w:r>
        <w:t xml:space="preserve">Stonemill’s only</w:t>
      </w:r>
      <w:r>
        <w:t xml:space="preserve"> </w:t>
      </w:r>
      <w:r>
        <w:rPr>
          <w:i/>
          <w:iCs/>
        </w:rPr>
        <w:t xml:space="preserve">absolute</w:t>
      </w:r>
      <w:r>
        <w:t xml:space="preserve"> </w:t>
      </w:r>
      <w:r>
        <w:t xml:space="preserve">blocking right is the Series C separate-class veto. Every other leverage point can be neutralized without Stonemill (with varying degrees of effort and legal risk). The transaction therefore turns on (a) obtaining Stonemill’s voluntary consent, or (b) successfully enforcing the drag-along to compel Stonemill’s Series C vote. The economic fact that Stonemill receives its full $18.50 preference under the deal suggests a negotiated resolution may be achievable — Stonemill’s upside from blocking is limited (it gets its preference either way), and its leverage is the delay/litigation cost it can impose, not a superior economic alternative.</w:t>
      </w:r>
    </w:p>
    <w:p>
      <w:r>
        <w:pict>
          <v:rect style="width:0;height:1.5pt" o:hralign="center" o:hrstd="t" o:hr="t"/>
        </w:pict>
      </w:r>
    </w:p>
    <w:bookmarkEnd w:id="82"/>
    <w:bookmarkStart w:id="83" w:name="xvi.-consent-approval-matrix"/>
    <w:p>
      <w:pPr>
        <w:pStyle w:val="Heading2"/>
      </w:pPr>
      <w:r>
        <w:t xml:space="preserve">XVI. Consent / Approval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Required Approval</w:t>
            </w:r>
          </w:p>
        </w:tc>
        <w:tc>
          <w:tcPr/>
          <w:p>
            <w:pPr>
              <w:pStyle w:val="Compact"/>
              <w:jc w:val="left"/>
            </w:pPr>
            <w:r>
              <w:t xml:space="preserve">Governing Provision</w:t>
            </w:r>
          </w:p>
        </w:tc>
        <w:tc>
          <w:tcPr/>
          <w:p>
            <w:pPr>
              <w:pStyle w:val="Compact"/>
              <w:jc w:val="left"/>
            </w:pPr>
            <w:r>
              <w:t xml:space="preserve">Threshold</w:t>
            </w:r>
          </w:p>
        </w:tc>
        <w:tc>
          <w:tcPr/>
          <w:p>
            <w:pPr>
              <w:pStyle w:val="Compact"/>
              <w:jc w:val="left"/>
            </w:pPr>
            <w:r>
              <w:t xml:space="preserve">Whose Consent/Vote</w:t>
            </w:r>
          </w:p>
        </w:tc>
        <w:tc>
          <w:tcPr/>
          <w:p>
            <w:pPr>
              <w:pStyle w:val="Compact"/>
              <w:jc w:val="left"/>
            </w:pPr>
            <w:r>
              <w:t xml:space="preserve">Current Status</w:t>
            </w:r>
          </w:p>
        </w:tc>
      </w:tr>
      <w:tr>
        <w:tc>
          <w:tcPr/>
          <w:p>
            <w:pPr>
              <w:pStyle w:val="Compact"/>
              <w:jc w:val="left"/>
            </w:pPr>
            <w:r>
              <w:t xml:space="preserve">1</w:t>
            </w:r>
          </w:p>
        </w:tc>
        <w:tc>
          <w:tcPr/>
          <w:p>
            <w:pPr>
              <w:pStyle w:val="Compact"/>
              <w:jc w:val="left"/>
            </w:pPr>
            <w:r>
              <w:t xml:space="preserve">Board approval of definitive merger agreement</w:t>
            </w:r>
          </w:p>
        </w:tc>
        <w:tc>
          <w:tcPr/>
          <w:p>
            <w:pPr>
              <w:pStyle w:val="Compact"/>
              <w:jc w:val="left"/>
            </w:pPr>
            <w:r>
              <w:t xml:space="preserve">DGCL §251(b); Bylaws §3.7</w:t>
            </w:r>
          </w:p>
        </w:tc>
        <w:tc>
          <w:tcPr/>
          <w:p>
            <w:pPr>
              <w:pStyle w:val="Compact"/>
              <w:jc w:val="left"/>
            </w:pPr>
            <w:r>
              <w:t xml:space="preserve">Majority of directors then in office (4 of 7)</w:t>
            </w:r>
          </w:p>
        </w:tc>
        <w:tc>
          <w:tcPr/>
          <w:p>
            <w:pPr>
              <w:pStyle w:val="Compact"/>
              <w:jc w:val="left"/>
            </w:pPr>
            <w:r>
              <w:t xml:space="preserve">Board of Directors</w:t>
            </w:r>
          </w:p>
        </w:tc>
        <w:tc>
          <w:tcPr/>
          <w:p>
            <w:pPr>
              <w:pStyle w:val="Compact"/>
              <w:jc w:val="left"/>
            </w:pPr>
            <w:r>
              <w:rPr>
                <w:b/>
                <w:bCs/>
              </w:rPr>
              <w:t xml:space="preserve">Partial</w:t>
            </w:r>
            <w:r>
              <w:t xml:space="preserve"> </w:t>
            </w:r>
            <w:r>
              <w:t xml:space="preserve">— Sept. 25, 2024 authorized negotiation only (6-1); final merger-agreement approval still required</w:t>
            </w:r>
          </w:p>
        </w:tc>
      </w:tr>
      <w:tr>
        <w:tc>
          <w:tcPr/>
          <w:p>
            <w:pPr>
              <w:pStyle w:val="Compact"/>
              <w:jc w:val="left"/>
            </w:pPr>
            <w:r>
              <w:t xml:space="preserve">2</w:t>
            </w:r>
          </w:p>
        </w:tc>
        <w:tc>
          <w:tcPr/>
          <w:p>
            <w:pPr>
              <w:pStyle w:val="Compact"/>
              <w:jc w:val="left"/>
            </w:pPr>
            <w:r>
              <w:t xml:space="preserve">Stockholder approval of merger</w:t>
            </w:r>
          </w:p>
        </w:tc>
        <w:tc>
          <w:tcPr/>
          <w:p>
            <w:pPr>
              <w:pStyle w:val="Compact"/>
              <w:jc w:val="left"/>
            </w:pPr>
            <w:r>
              <w:t xml:space="preserve">DGCL §251(d)</w:t>
            </w:r>
          </w:p>
        </w:tc>
        <w:tc>
          <w:tcPr/>
          <w:p>
            <w:pPr>
              <w:pStyle w:val="Compact"/>
              <w:jc w:val="left"/>
            </w:pPr>
            <w:r>
              <w:t xml:space="preserve">Majority of outstanding shares entitled to vote (as-converted, single class)</w:t>
            </w:r>
          </w:p>
        </w:tc>
        <w:tc>
          <w:tcPr/>
          <w:p>
            <w:pPr>
              <w:pStyle w:val="Compact"/>
              <w:jc w:val="left"/>
            </w:pPr>
            <w:r>
              <w:t xml:space="preserve">All stockholders (Common + Preferred as-converted)</w:t>
            </w:r>
          </w:p>
        </w:tc>
        <w:tc>
          <w:tcPr/>
          <w:p>
            <w:pPr>
              <w:pStyle w:val="Compact"/>
              <w:jc w:val="left"/>
            </w:pPr>
            <w:r>
              <w:rPr>
                <w:b/>
                <w:bCs/>
              </w:rPr>
              <w:t xml:space="preserve">Not obtained</w:t>
            </w:r>
            <w:r>
              <w:t xml:space="preserve"> </w:t>
            </w:r>
            <w:r>
              <w:t xml:space="preserve">— can likely be satisfied without Stonemill (Founders + Ridgeline + Northbridge + common); drag-along would compel parties</w:t>
            </w:r>
          </w:p>
        </w:tc>
      </w:tr>
      <w:tr>
        <w:tc>
          <w:tcPr/>
          <w:p>
            <w:pPr>
              <w:pStyle w:val="Compact"/>
              <w:jc w:val="left"/>
            </w:pPr>
            <w:r>
              <w:t xml:space="preserve">3</w:t>
            </w:r>
          </w:p>
        </w:tc>
        <w:tc>
          <w:tcPr/>
          <w:p>
            <w:pPr>
              <w:pStyle w:val="Compact"/>
              <w:jc w:val="left"/>
            </w:pPr>
            <w:r>
              <w:t xml:space="preserve">All-Preferred consent (Liquidation Event)</w:t>
            </w:r>
          </w:p>
        </w:tc>
        <w:tc>
          <w:tcPr/>
          <w:p>
            <w:pPr>
              <w:pStyle w:val="Compact"/>
              <w:jc w:val="left"/>
            </w:pPr>
            <w:r>
              <w:t xml:space="preserve">Charter §4.3.6(a)(vi)</w:t>
            </w:r>
          </w:p>
        </w:tc>
        <w:tc>
          <w:tcPr/>
          <w:p>
            <w:pPr>
              <w:pStyle w:val="Compact"/>
              <w:jc w:val="left"/>
            </w:pPr>
            <w:r>
              <w:t xml:space="preserve">Majority (&gt;50%) of Preferred, as-converted, single class (&gt;8,250,000 shares)</w:t>
            </w:r>
          </w:p>
        </w:tc>
        <w:tc>
          <w:tcPr/>
          <w:p>
            <w:pPr>
              <w:pStyle w:val="Compact"/>
              <w:jc w:val="left"/>
            </w:pPr>
            <w:r>
              <w:t xml:space="preserve">Preferred holders (Ridgeline, Northbridge, Stonemill)</w:t>
            </w:r>
          </w:p>
        </w:tc>
        <w:tc>
          <w:tcPr/>
          <w:p>
            <w:pPr>
              <w:pStyle w:val="Compact"/>
              <w:jc w:val="left"/>
            </w:pPr>
            <w:r>
              <w:rPr>
                <w:b/>
                <w:bCs/>
              </w:rPr>
              <w:t xml:space="preserve">Not obtained</w:t>
            </w:r>
            <w:r>
              <w:t xml:space="preserve"> </w:t>
            </w:r>
            <w:r>
              <w:t xml:space="preserve">—</w:t>
            </w:r>
            <w:r>
              <w:t xml:space="preserve"> </w:t>
            </w:r>
            <w:r>
              <w:rPr>
                <w:b/>
                <w:bCs/>
              </w:rPr>
              <w:t xml:space="preserve">can be satisfied without Stonemill</w:t>
            </w:r>
            <w:r>
              <w:t xml:space="preserve"> </w:t>
            </w:r>
            <w:r>
              <w:t xml:space="preserve">(Ridgeline + Northbridge = 8,700,000)</w:t>
            </w:r>
          </w:p>
        </w:tc>
      </w:tr>
      <w:tr>
        <w:tc>
          <w:tcPr/>
          <w:p>
            <w:pPr>
              <w:pStyle w:val="Compact"/>
              <w:jc w:val="left"/>
            </w:pPr>
            <w:r>
              <w:t xml:space="preserve">4</w:t>
            </w:r>
          </w:p>
        </w:tc>
        <w:tc>
          <w:tcPr/>
          <w:p>
            <w:pPr>
              <w:pStyle w:val="Compact"/>
              <w:jc w:val="left"/>
            </w:pPr>
            <w:r>
              <w:t xml:space="preserve">Series C separate-class consent (Liquidation Event)</w:t>
            </w:r>
          </w:p>
        </w:tc>
        <w:tc>
          <w:tcPr/>
          <w:p>
            <w:pPr>
              <w:pStyle w:val="Compact"/>
              <w:jc w:val="left"/>
            </w:pPr>
            <w:r>
              <w:t xml:space="preserve">Charter §4.3.6(b)(i)</w:t>
            </w:r>
          </w:p>
        </w:tc>
        <w:tc>
          <w:tcPr/>
          <w:p>
            <w:pPr>
              <w:pStyle w:val="Compact"/>
              <w:jc w:val="left"/>
            </w:pPr>
            <w:r>
              <w:t xml:space="preserve">66⅔% of Series C, separate class (≥5,200,000 Series C shares)</w:t>
            </w:r>
          </w:p>
        </w:tc>
        <w:tc>
          <w:tcPr/>
          <w:p>
            <w:pPr>
              <w:pStyle w:val="Compact"/>
              <w:jc w:val="left"/>
            </w:pPr>
            <w:r>
              <w:t xml:space="preserve">Series C holders (Stonemill only)</w:t>
            </w:r>
          </w:p>
        </w:tc>
        <w:tc>
          <w:tcPr/>
          <w:p>
            <w:pPr>
              <w:pStyle w:val="Compact"/>
              <w:jc w:val="left"/>
            </w:pPr>
            <w:r>
              <w:rPr>
                <w:b/>
                <w:bCs/>
              </w:rPr>
              <w:t xml:space="preserve">Not obtained — CANNOT be satisfied without Stonemill</w:t>
            </w:r>
            <w:r>
              <w:t xml:space="preserve"> </w:t>
            </w:r>
            <w:r>
              <w:t xml:space="preserve">(holds 100% of Series C). Hard block.</w:t>
            </w:r>
          </w:p>
        </w:tc>
      </w:tr>
      <w:tr>
        <w:tc>
          <w:tcPr/>
          <w:p>
            <w:pPr>
              <w:pStyle w:val="Compact"/>
              <w:jc w:val="left"/>
            </w:pPr>
            <w:r>
              <w:t xml:space="preserve">5</w:t>
            </w:r>
          </w:p>
        </w:tc>
        <w:tc>
          <w:tcPr/>
          <w:p>
            <w:pPr>
              <w:pStyle w:val="Compact"/>
              <w:jc w:val="left"/>
            </w:pPr>
            <w:r>
              <w:t xml:space="preserve">Charter-amendment consent (if merger amends charter adversely to Preferred)</w:t>
            </w:r>
          </w:p>
        </w:tc>
        <w:tc>
          <w:tcPr/>
          <w:p>
            <w:pPr>
              <w:pStyle w:val="Compact"/>
              <w:jc w:val="left"/>
            </w:pPr>
            <w:r>
              <w:t xml:space="preserve">Charter §4.3.6(a)(i)</w:t>
            </w:r>
          </w:p>
        </w:tc>
        <w:tc>
          <w:tcPr/>
          <w:p>
            <w:pPr>
              <w:pStyle w:val="Compact"/>
              <w:jc w:val="left"/>
            </w:pPr>
            <w:r>
              <w:t xml:space="preserve">Majority of Preferred, as-converted</w:t>
            </w:r>
          </w:p>
        </w:tc>
        <w:tc>
          <w:tcPr/>
          <w:p>
            <w:pPr>
              <w:pStyle w:val="Compact"/>
              <w:jc w:val="left"/>
            </w:pPr>
            <w:r>
              <w:t xml:space="preserve">Preferred holders</w:t>
            </w:r>
          </w:p>
        </w:tc>
        <w:tc>
          <w:tcPr/>
          <w:p>
            <w:pPr>
              <w:pStyle w:val="Compact"/>
              <w:jc w:val="left"/>
            </w:pPr>
            <w:r>
              <w:rPr>
                <w:b/>
                <w:bCs/>
              </w:rPr>
              <w:t xml:space="preserve">Unknown</w:t>
            </w:r>
            <w:r>
              <w:t xml:space="preserve"> </w:t>
            </w:r>
            <w:r>
              <w:t xml:space="preserve">— confirm whether merger effects an adverse charter amendment; likely subsumed by #3</w:t>
            </w:r>
          </w:p>
        </w:tc>
      </w:tr>
      <w:tr>
        <w:tc>
          <w:tcPr/>
          <w:p>
            <w:pPr>
              <w:pStyle w:val="Compact"/>
              <w:jc w:val="left"/>
            </w:pPr>
            <w:r>
              <w:t xml:space="preserve">6</w:t>
            </w:r>
          </w:p>
        </w:tc>
        <w:tc>
          <w:tcPr/>
          <w:p>
            <w:pPr>
              <w:pStyle w:val="Compact"/>
              <w:jc w:val="left"/>
            </w:pPr>
            <w:r>
              <w:t xml:space="preserve">Drag-along trigger (to compel all parties, incl. Stonemill)</w:t>
            </w:r>
          </w:p>
        </w:tc>
        <w:tc>
          <w:tcPr/>
          <w:p>
            <w:pPr>
              <w:pStyle w:val="Compact"/>
              <w:jc w:val="left"/>
            </w:pPr>
            <w:r>
              <w:t xml:space="preserve">SHA §3.1(a)</w:t>
            </w:r>
          </w:p>
        </w:tc>
        <w:tc>
          <w:tcPr/>
          <w:p>
            <w:pPr>
              <w:pStyle w:val="Compact"/>
              <w:jc w:val="left"/>
            </w:pPr>
            <w:r>
              <w:t xml:space="preserve">(i) majority of Common as-converted; (ii) majority of Preferred as-converted; (iii) 2 of 3 Investors</w:t>
            </w:r>
          </w:p>
        </w:tc>
        <w:tc>
          <w:tcPr/>
          <w:p>
            <w:pPr>
              <w:pStyle w:val="Compact"/>
              <w:jc w:val="left"/>
            </w:pPr>
            <w:r>
              <w:t xml:space="preserve">SHA parties + (for prong (i)) possibly non-party common</w:t>
            </w:r>
          </w:p>
        </w:tc>
        <w:tc>
          <w:tcPr/>
          <w:p>
            <w:pPr>
              <w:pStyle w:val="Compact"/>
              <w:jc w:val="left"/>
            </w:pPr>
            <w:r>
              <w:rPr>
                <w:b/>
                <w:bCs/>
              </w:rPr>
              <w:t xml:space="preserve">Not triggered</w:t>
            </w:r>
            <w:r>
              <w:t xml:space="preserve"> </w:t>
            </w:r>
            <w:r>
              <w:t xml:space="preserve">— can be triggered without Stonemill subject to Common-prong denominator interpretation; enforceability against Series C veto is the central legal question</w:t>
            </w:r>
          </w:p>
        </w:tc>
      </w:tr>
      <w:tr>
        <w:tc>
          <w:tcPr/>
          <w:p>
            <w:pPr>
              <w:pStyle w:val="Compact"/>
              <w:jc w:val="left"/>
            </w:pPr>
            <w:r>
              <w:t xml:space="preserve">7</w:t>
            </w:r>
          </w:p>
        </w:tc>
        <w:tc>
          <w:tcPr/>
          <w:p>
            <w:pPr>
              <w:pStyle w:val="Compact"/>
              <w:jc w:val="left"/>
            </w:pPr>
            <w:r>
              <w:t xml:space="preserve">Voting Agreement merger vote</w:t>
            </w:r>
          </w:p>
        </w:tc>
        <w:tc>
          <w:tcPr/>
          <w:p>
            <w:pPr>
              <w:pStyle w:val="Compact"/>
              <w:jc w:val="left"/>
            </w:pPr>
            <w:r>
              <w:t xml:space="preserve">VA §3.2</w:t>
            </w:r>
          </w:p>
        </w:tc>
        <w:tc>
          <w:tcPr/>
          <w:p>
            <w:pPr>
              <w:pStyle w:val="Compact"/>
              <w:jc w:val="left"/>
            </w:pPr>
            <w:r>
              <w:t xml:space="preserve">None — VA imposes no merger-voting obligation</w:t>
            </w:r>
          </w:p>
        </w:tc>
        <w:tc>
          <w:tcPr/>
          <w:p>
            <w:pPr>
              <w:pStyle w:val="Compact"/>
              <w:jc w:val="left"/>
            </w:pPr>
            <w:r>
              <w:t xml:space="preserve">n/a</w:t>
            </w:r>
          </w:p>
        </w:tc>
        <w:tc>
          <w:tcPr/>
          <w:p>
            <w:pPr>
              <w:pStyle w:val="Compact"/>
              <w:jc w:val="left"/>
            </w:pPr>
            <w:r>
              <w:rPr>
                <w:b/>
                <w:bCs/>
              </w:rPr>
              <w:t xml:space="preserve">N/A</w:t>
            </w:r>
            <w:r>
              <w:t xml:space="preserve"> </w:t>
            </w:r>
            <w:r>
              <w:t xml:space="preserve">— VA is neutral on the merger; terminates at closing (VA §7.1(b))</w:t>
            </w:r>
          </w:p>
        </w:tc>
      </w:tr>
      <w:tr>
        <w:tc>
          <w:tcPr/>
          <w:p>
            <w:pPr>
              <w:pStyle w:val="Compact"/>
              <w:jc w:val="left"/>
            </w:pPr>
            <w:r>
              <w:t xml:space="preserve">8</w:t>
            </w:r>
          </w:p>
        </w:tc>
        <w:tc>
          <w:tcPr/>
          <w:p>
            <w:pPr>
              <w:pStyle w:val="Compact"/>
              <w:jc w:val="left"/>
            </w:pPr>
            <w:r>
              <w:t xml:space="preserve">RRA termination</w:t>
            </w:r>
          </w:p>
        </w:tc>
        <w:tc>
          <w:tcPr/>
          <w:p>
            <w:pPr>
              <w:pStyle w:val="Compact"/>
              <w:jc w:val="left"/>
            </w:pPr>
            <w:r>
              <w:t xml:space="preserve">RRA §9</w:t>
            </w:r>
          </w:p>
        </w:tc>
        <w:tc>
          <w:tcPr/>
          <w:p>
            <w:pPr>
              <w:pStyle w:val="Compact"/>
              <w:jc w:val="left"/>
            </w:pPr>
            <w:r>
              <w:t xml:space="preserve">Majority of Registrable Securities + Company (or automatic via undefined</w:t>
            </w:r>
            <w:r>
              <w:t xml:space="preserve"> </w:t>
            </w:r>
            <w:r>
              <w:t xml:space="preserve">“</w:t>
            </w:r>
            <w:r>
              <w:t xml:space="preserve">Deemed Liquidation Event</w:t>
            </w:r>
            <w:r>
              <w:t xml:space="preserve">”</w:t>
            </w:r>
            <w:r>
              <w:t xml:space="preserve">)</w:t>
            </w:r>
          </w:p>
        </w:tc>
        <w:tc>
          <w:tcPr/>
          <w:p>
            <w:pPr>
              <w:pStyle w:val="Compact"/>
              <w:jc w:val="left"/>
            </w:pPr>
            <w:r>
              <w:t xml:space="preserve">Holders (Ridgeline, Northbridge, Stonemill) + Company</w:t>
            </w:r>
          </w:p>
        </w:tc>
        <w:tc>
          <w:tcPr/>
          <w:p>
            <w:pPr>
              <w:pStyle w:val="Compact"/>
              <w:jc w:val="left"/>
            </w:pPr>
            <w:r>
              <w:rPr>
                <w:b/>
                <w:bCs/>
              </w:rPr>
              <w:t xml:space="preserve">Not obtained</w:t>
            </w:r>
            <w:r>
              <w:t xml:space="preserve"> </w:t>
            </w:r>
            <w:r>
              <w:t xml:space="preserve">— recommend express termination at closing; majority consent achievable without Stonemill (Ridgeline + Northbridge = 53%)</w:t>
            </w:r>
          </w:p>
        </w:tc>
      </w:tr>
      <w:tr>
        <w:tc>
          <w:tcPr/>
          <w:p>
            <w:pPr>
              <w:pStyle w:val="Compact"/>
              <w:jc w:val="left"/>
            </w:pPr>
            <w:r>
              <w:t xml:space="preserve">9</w:t>
            </w:r>
          </w:p>
        </w:tc>
        <w:tc>
          <w:tcPr/>
          <w:p>
            <w:pPr>
              <w:pStyle w:val="Compact"/>
              <w:jc w:val="left"/>
            </w:pPr>
            <w:r>
              <w:t xml:space="preserve">SHA amendment/waiver (if needed for transfer-restriction clarity)</w:t>
            </w:r>
          </w:p>
        </w:tc>
        <w:tc>
          <w:tcPr/>
          <w:p>
            <w:pPr>
              <w:pStyle w:val="Compact"/>
              <w:jc w:val="left"/>
            </w:pPr>
            <w:r>
              <w:t xml:space="preserve">SHA §7.4</w:t>
            </w:r>
          </w:p>
        </w:tc>
        <w:tc>
          <w:tcPr/>
          <w:p>
            <w:pPr>
              <w:pStyle w:val="Compact"/>
              <w:jc w:val="left"/>
            </w:pPr>
            <w:r>
              <w:t xml:space="preserve">Company + Founders + majority of Investor shares</w:t>
            </w:r>
          </w:p>
        </w:tc>
        <w:tc>
          <w:tcPr/>
          <w:p>
            <w:pPr>
              <w:pStyle w:val="Compact"/>
              <w:jc w:val="left"/>
            </w:pPr>
            <w:r>
              <w:t xml:space="preserve">Company, Founders, Investor Stockholders</w:t>
            </w:r>
          </w:p>
        </w:tc>
        <w:tc>
          <w:tcPr/>
          <w:p>
            <w:pPr>
              <w:pStyle w:val="Compact"/>
              <w:jc w:val="left"/>
            </w:pPr>
            <w:r>
              <w:rPr>
                <w:b/>
                <w:bCs/>
              </w:rPr>
              <w:t xml:space="preserve">Not obtained</w:t>
            </w:r>
            <w:r>
              <w:t xml:space="preserve"> </w:t>
            </w:r>
            <w:r>
              <w:t xml:space="preserve">— obtain if not relying on drag-along for §2.1(c) carve-out</w:t>
            </w:r>
          </w:p>
        </w:tc>
      </w:tr>
      <w:tr>
        <w:tc>
          <w:tcPr/>
          <w:p>
            <w:pPr>
              <w:pStyle w:val="Compact"/>
              <w:jc w:val="left"/>
            </w:pPr>
            <w:r>
              <w:t xml:space="preserve">10</w:t>
            </w:r>
          </w:p>
        </w:tc>
        <w:tc>
          <w:tcPr/>
          <w:p>
            <w:pPr>
              <w:pStyle w:val="Compact"/>
              <w:jc w:val="left"/>
            </w:pPr>
            <w:r>
              <w:t xml:space="preserve">Clearfield term loan Preferred consent (curative)</w:t>
            </w:r>
          </w:p>
        </w:tc>
        <w:tc>
          <w:tcPr/>
          <w:p>
            <w:pPr>
              <w:pStyle w:val="Compact"/>
              <w:jc w:val="left"/>
            </w:pPr>
            <w:r>
              <w:t xml:space="preserve">Charter §4.3.6(a)(v)</w:t>
            </w:r>
          </w:p>
        </w:tc>
        <w:tc>
          <w:tcPr/>
          <w:p>
            <w:pPr>
              <w:pStyle w:val="Compact"/>
              <w:jc w:val="left"/>
            </w:pPr>
            <w:r>
              <w:t xml:space="preserve">Majority of Preferred, as-converted</w:t>
            </w:r>
          </w:p>
        </w:tc>
        <w:tc>
          <w:tcPr/>
          <w:p>
            <w:pPr>
              <w:pStyle w:val="Compact"/>
              <w:jc w:val="left"/>
            </w:pPr>
            <w:r>
              <w:t xml:space="preserve">Preferred holders</w:t>
            </w:r>
          </w:p>
        </w:tc>
        <w:tc>
          <w:tcPr/>
          <w:p>
            <w:pPr>
              <w:pStyle w:val="Compact"/>
              <w:jc w:val="left"/>
            </w:pPr>
            <w:r>
              <w:rPr>
                <w:b/>
                <w:bCs/>
              </w:rPr>
              <w:t xml:space="preserve">Not obtained (apparently never obtained)</w:t>
            </w:r>
            <w:r>
              <w:t xml:space="preserve"> </w:t>
            </w:r>
            <w:r>
              <w:t xml:space="preserve">— Significant; request consent records; consider ratification</w:t>
            </w:r>
          </w:p>
        </w:tc>
      </w:tr>
      <w:tr>
        <w:tc>
          <w:tcPr/>
          <w:p>
            <w:pPr>
              <w:pStyle w:val="Compact"/>
              <w:jc w:val="left"/>
            </w:pPr>
            <w:r>
              <w:t xml:space="preserve">11</w:t>
            </w:r>
          </w:p>
        </w:tc>
        <w:tc>
          <w:tcPr/>
          <w:p>
            <w:pPr>
              <w:pStyle w:val="Compact"/>
              <w:jc w:val="left"/>
            </w:pPr>
            <w:r>
              <w:t xml:space="preserve">Equity plan share-reserve increase stockholder approval (curative)</w:t>
            </w:r>
          </w:p>
        </w:tc>
        <w:tc>
          <w:tcPr/>
          <w:p>
            <w:pPr>
              <w:pStyle w:val="Compact"/>
              <w:jc w:val="left"/>
            </w:pPr>
            <w:r>
              <w:t xml:space="preserve">2021 Equity Incentive Plan (terms TBD)</w:t>
            </w:r>
          </w:p>
        </w:tc>
        <w:tc>
          <w:tcPr/>
          <w:p>
            <w:pPr>
              <w:pStyle w:val="Compact"/>
              <w:jc w:val="left"/>
            </w:pPr>
            <w:r>
              <w:t xml:space="preserve">Per plan terms (stockholder approval if required)</w:t>
            </w:r>
          </w:p>
        </w:tc>
        <w:tc>
          <w:tcPr/>
          <w:p>
            <w:pPr>
              <w:pStyle w:val="Compact"/>
              <w:jc w:val="left"/>
            </w:pPr>
            <w:r>
              <w:t xml:space="preserve">Stockholders</w:t>
            </w:r>
          </w:p>
        </w:tc>
        <w:tc>
          <w:tcPr/>
          <w:p>
            <w:pPr>
              <w:pStyle w:val="Compact"/>
              <w:jc w:val="left"/>
            </w:pPr>
            <w:r>
              <w:rPr>
                <w:b/>
                <w:bCs/>
              </w:rPr>
              <w:t xml:space="preserve">Unknown</w:t>
            </w:r>
            <w:r>
              <w:t xml:space="preserve"> </w:t>
            </w:r>
            <w:r>
              <w:t xml:space="preserve">— request Plan and consent records</w:t>
            </w:r>
          </w:p>
        </w:tc>
      </w:tr>
    </w:tbl>
    <w:p>
      <w:r>
        <w:pict>
          <v:rect style="width:0;height:1.5pt" o:hralign="center" o:hrstd="t" o:hr="t"/>
        </w:pict>
      </w:r>
    </w:p>
    <w:bookmarkEnd w:id="83"/>
    <w:bookmarkStart w:id="88" w:name="X9cf601d6abf5dfe1278a3f768c8e7c7ab5620cf"/>
    <w:p>
      <w:pPr>
        <w:pStyle w:val="Heading2"/>
      </w:pPr>
      <w:r>
        <w:t xml:space="preserve">XVII. Recommended Next Steps and Action Items</w:t>
      </w:r>
    </w:p>
    <w:bookmarkStart w:id="84" w:name="a.-immediate-time-sensitive"/>
    <w:p>
      <w:pPr>
        <w:pStyle w:val="Heading3"/>
      </w:pPr>
      <w:r>
        <w:t xml:space="preserve">A. Immediate / Time-Sensitive</w:t>
      </w:r>
    </w:p>
    <w:p>
      <w:pPr>
        <w:pStyle w:val="Compact"/>
        <w:numPr>
          <w:ilvl w:val="0"/>
          <w:numId w:val="1025"/>
        </w:numPr>
      </w:pPr>
      <w:r>
        <w:rPr>
          <w:b/>
          <w:bCs/>
        </w:rPr>
        <w:t xml:space="preserve">SensorLink exclusivity (Critical).</w:t>
      </w:r>
      <w:r>
        <w:t xml:space="preserve"> </w:t>
      </w:r>
      <w:r>
        <w:t xml:space="preserve">Flag to Jonathan Hsieh immediately. Request the SensorLink LOI and all related correspondence; confirm whether a termination notice was delivered before September 8, 2024; if not, direct the Company (through counsel) to deliver a termination notice promptly to terminate before the next renewal date (~December 7, 2024). Condition merger-agreement signing on resolution.</w:t>
      </w:r>
    </w:p>
    <w:p>
      <w:pPr>
        <w:pStyle w:val="Compact"/>
        <w:numPr>
          <w:ilvl w:val="0"/>
          <w:numId w:val="1025"/>
        </w:numPr>
      </w:pPr>
      <w:r>
        <w:rPr>
          <w:b/>
          <w:bCs/>
        </w:rPr>
        <w:t xml:space="preserve">Stonemill engagement strategy.</w:t>
      </w:r>
      <w:r>
        <w:t xml:space="preserve"> </w:t>
      </w:r>
      <w:r>
        <w:t xml:space="preserve">Develop a parallel-track approach: (i) negotiate Stonemill’s voluntary consent (leveraging the fact that Stonemill receives its full $18.50 preference under the deal), and (ii) prepare the drag-along enforcement strategy (trigger analysis, irrevocable-proxy mechanics, declaratory-judgment option). Coordinate with the M&amp;A team on merger-agreement conditions.</w:t>
      </w:r>
    </w:p>
    <w:p>
      <w:pPr>
        <w:pStyle w:val="Compact"/>
        <w:numPr>
          <w:ilvl w:val="0"/>
          <w:numId w:val="1025"/>
        </w:numPr>
      </w:pPr>
      <w:r>
        <w:rPr>
          <w:b/>
          <w:bCs/>
        </w:rPr>
        <w:t xml:space="preserve">Special Committee reconstitution (Significant).</w:t>
      </w:r>
      <w:r>
        <w:t xml:space="preserve"> </w:t>
      </w:r>
      <w:r>
        <w:t xml:space="preserve">Advise the client to consider reconstituting the Special Committee to exclude Okafor (or add an independent director), and to pursue MFW cleansing (independent committee + majority-of-minority vote). Address the VA §2.4 committee-composition requirement.</w:t>
      </w:r>
    </w:p>
    <w:bookmarkEnd w:id="84"/>
    <w:bookmarkStart w:id="85" w:name="Xca364fb4808b38e466926aa18ed2414ed200f8f"/>
    <w:p>
      <w:pPr>
        <w:pStyle w:val="Heading3"/>
      </w:pPr>
      <w:r>
        <w:t xml:space="preserve">B. Document Requests (to be routed through Jonathan Hsieh to Nathaniel Rourke, Avery, Pollard &amp; Glenn)</w:t>
      </w:r>
    </w:p>
    <w:p>
      <w:pPr>
        <w:pStyle w:val="Compact"/>
        <w:numPr>
          <w:ilvl w:val="0"/>
          <w:numId w:val="1026"/>
        </w:numPr>
      </w:pPr>
      <w:r>
        <w:t xml:space="preserve">2021 Equity Incentive Plan, as amended July 2023, and all individual award agreements (option agreements, RSU agreements) for all holders, including grant dates, exercise prices, vesting schedules, and any change-of-control/acceleration provisions.</w:t>
      </w:r>
    </w:p>
    <w:p>
      <w:pPr>
        <w:pStyle w:val="Compact"/>
        <w:numPr>
          <w:ilvl w:val="0"/>
          <w:numId w:val="1026"/>
        </w:numPr>
      </w:pPr>
      <w:r>
        <w:t xml:space="preserve">Full capitalization table (outstanding shares by class; option/RSU grants with exercise prices and vesting; any convertible notes, warrants, or other convertible securities).</w:t>
      </w:r>
    </w:p>
    <w:p>
      <w:pPr>
        <w:pStyle w:val="Compact"/>
        <w:numPr>
          <w:ilvl w:val="0"/>
          <w:numId w:val="1026"/>
        </w:numPr>
      </w:pPr>
      <w:r>
        <w:t xml:space="preserve">Stockholder written-consent records for: (a) the Clearfield National Bank $12 million term loan (October 2023); (b) the equity plan share-reserve increase (July 2023); and (c) any other actions taken by written consent since November 3, 2021.</w:t>
      </w:r>
    </w:p>
    <w:p>
      <w:pPr>
        <w:pStyle w:val="Compact"/>
        <w:numPr>
          <w:ilvl w:val="0"/>
          <w:numId w:val="1026"/>
        </w:numPr>
      </w:pPr>
      <w:r>
        <w:t xml:space="preserve">The SensorLink Technologies LOI (executed March 8, 2024) and all related correspondence, including any termination notices.</w:t>
      </w:r>
    </w:p>
    <w:p>
      <w:pPr>
        <w:pStyle w:val="Compact"/>
        <w:numPr>
          <w:ilvl w:val="0"/>
          <w:numId w:val="1026"/>
        </w:numPr>
      </w:pPr>
      <w:r>
        <w:t xml:space="preserve">Indemnification agreements with each director and officer (referenced in Bylaws §6.4).</w:t>
      </w:r>
    </w:p>
    <w:p>
      <w:pPr>
        <w:pStyle w:val="Compact"/>
        <w:numPr>
          <w:ilvl w:val="0"/>
          <w:numId w:val="1026"/>
        </w:numPr>
      </w:pPr>
      <w:r>
        <w:t xml:space="preserve">Confirmation of whether separate</w:t>
      </w:r>
      <w:r>
        <w:t xml:space="preserve"> </w:t>
      </w:r>
      <w:r>
        <w:t xml:space="preserve">“</w:t>
      </w:r>
      <w:r>
        <w:t xml:space="preserve">Investors’ Rights Agreement</w:t>
      </w:r>
      <w:r>
        <w:t xml:space="preserve">”</w:t>
      </w:r>
      <w:r>
        <w:t xml:space="preserve"> </w:t>
      </w:r>
      <w:r>
        <w:t xml:space="preserve">and/or</w:t>
      </w:r>
      <w:r>
        <w:t xml:space="preserve"> </w:t>
      </w:r>
      <w:r>
        <w:t xml:space="preserve">“</w:t>
      </w:r>
      <w:r>
        <w:t xml:space="preserve">Right of First Refusal and Co-Sale Agreement</w:t>
      </w:r>
      <w:r>
        <w:t xml:space="preserve">”</w:t>
      </w:r>
      <w:r>
        <w:t xml:space="preserve"> </w:t>
      </w:r>
      <w:r>
        <w:t xml:space="preserve">exist (as referenced in the Board minutes’ preamble), or whether the Stockholders’ Agreement is the sole operative agreement consolidating those subjects.</w:t>
      </w:r>
    </w:p>
    <w:p>
      <w:pPr>
        <w:pStyle w:val="Compact"/>
        <w:numPr>
          <w:ilvl w:val="0"/>
          <w:numId w:val="1026"/>
        </w:numPr>
      </w:pPr>
      <w:r>
        <w:t xml:space="preserve">The Clearfield National Bank loan agreements (term loan, security agreement, IP security agreement) and any officer certificates delivered in connection with closing, including any representations regarding required consents.</w:t>
      </w:r>
    </w:p>
    <w:p>
      <w:pPr>
        <w:pStyle w:val="Compact"/>
        <w:numPr>
          <w:ilvl w:val="0"/>
          <w:numId w:val="1026"/>
        </w:numPr>
      </w:pPr>
      <w:r>
        <w:t xml:space="preserve">The Company’s most recent 409A valuation report(s) (referenced in connection with the $14.30 exercise price).</w:t>
      </w:r>
    </w:p>
    <w:p>
      <w:pPr>
        <w:pStyle w:val="Compact"/>
        <w:numPr>
          <w:ilvl w:val="0"/>
          <w:numId w:val="1026"/>
        </w:numPr>
      </w:pPr>
      <w:r>
        <w:t xml:space="preserve">Thornbury &amp; Associates’ fairness/valuation analysis (when available) and Meridian Partners’ final waterfall analysis.</w:t>
      </w:r>
    </w:p>
    <w:p>
      <w:pPr>
        <w:pStyle w:val="Compact"/>
        <w:numPr>
          <w:ilvl w:val="0"/>
          <w:numId w:val="1026"/>
        </w:numPr>
      </w:pPr>
      <w:r>
        <w:t xml:space="preserve">Any stockholder correspondence with Stonemill (Trask) regarding the transaction, beyond the April 19, 2024 objection email.</w:t>
      </w:r>
    </w:p>
    <w:bookmarkEnd w:id="85"/>
    <w:bookmarkStart w:id="86" w:name="c.-legal-analysis-workstreams"/>
    <w:p>
      <w:pPr>
        <w:pStyle w:val="Heading3"/>
      </w:pPr>
      <w:r>
        <w:t xml:space="preserve">C. Legal Analysis / Workstreams</w:t>
      </w:r>
    </w:p>
    <w:p>
      <w:pPr>
        <w:pStyle w:val="Compact"/>
        <w:numPr>
          <w:ilvl w:val="0"/>
          <w:numId w:val="1027"/>
        </w:numPr>
      </w:pPr>
      <w:r>
        <w:rPr>
          <w:b/>
          <w:bCs/>
        </w:rPr>
        <w:t xml:space="preserve">Drag-along enforceability memo.</w:t>
      </w:r>
      <w:r>
        <w:t xml:space="preserve"> </w:t>
      </w:r>
      <w:r>
        <w:t xml:space="preserve">Prepare a focused Delaware-law analysis of whether the SHA drag-along (and irrevocable proxy) can compel Stonemill’s Series C vote to satisfy the §4.3.6(b)(i) separate-class protective provision, including the</w:t>
      </w:r>
      <w:r>
        <w:t xml:space="preserve"> </w:t>
      </w:r>
      <w:r>
        <w:t xml:space="preserve">“</w:t>
      </w:r>
      <w:r>
        <w:t xml:space="preserve">approved by</w:t>
      </w:r>
      <w:r>
        <w:t xml:space="preserve">”</w:t>
      </w:r>
      <w:r>
        <w:t xml:space="preserve"> </w:t>
      </w:r>
      <w:r>
        <w:t xml:space="preserve">circularity argument and the charter-vs.-voting-agreement hierarchy. Assess declaratory-judgment prospects.</w:t>
      </w:r>
    </w:p>
    <w:p>
      <w:pPr>
        <w:pStyle w:val="Compact"/>
        <w:numPr>
          <w:ilvl w:val="0"/>
          <w:numId w:val="1027"/>
        </w:numPr>
      </w:pPr>
      <w:r>
        <w:rPr>
          <w:b/>
          <w:bCs/>
        </w:rPr>
        <w:t xml:space="preserve">MFW / fiduciary-out analysis.</w:t>
      </w:r>
      <w:r>
        <w:t xml:space="preserve"> </w:t>
      </w:r>
      <w:r>
        <w:t xml:space="preserve">With the M&amp;A team, analyze whether the transaction can be structured to satisfy MFW (independent committee + majority-of-minority), and draft the fiduciary-out and special-committee provisions accordingly.</w:t>
      </w:r>
    </w:p>
    <w:p>
      <w:pPr>
        <w:pStyle w:val="Compact"/>
        <w:numPr>
          <w:ilvl w:val="0"/>
          <w:numId w:val="1027"/>
        </w:numPr>
      </w:pPr>
      <w:r>
        <w:rPr>
          <w:b/>
          <w:bCs/>
        </w:rPr>
        <w:t xml:space="preserve">Waterfall confirmation.</w:t>
      </w:r>
      <w:r>
        <w:t xml:space="preserve"> </w:t>
      </w:r>
      <w:r>
        <w:t xml:space="preserve">Confirm the final merger-consideration waterfall with Meridian/Thornbury and correct the Board minutes’</w:t>
      </w:r>
      <w:r>
        <w:t xml:space="preserve"> </w:t>
      </w:r>
      <w:r>
        <w:t xml:space="preserve">“</w:t>
      </w:r>
      <w:r>
        <w:t xml:space="preserve">all preferred receive more than preference on an as-converted basis</w:t>
      </w:r>
      <w:r>
        <w:t xml:space="preserve">”</w:t>
      </w:r>
      <w:r>
        <w:t xml:space="preserve"> </w:t>
      </w:r>
      <w:r>
        <w:t xml:space="preserve">statement. Ensure the per-class consideration figures used in the consent solicitation are accurate (Series C $18.50; Series A/B/Common ~$12.59, subject to final figures and option/RSU treatment).</w:t>
      </w:r>
    </w:p>
    <w:p>
      <w:pPr>
        <w:pStyle w:val="Compact"/>
        <w:numPr>
          <w:ilvl w:val="0"/>
          <w:numId w:val="1027"/>
        </w:numPr>
      </w:pPr>
      <w:r>
        <w:rPr>
          <w:b/>
          <w:bCs/>
        </w:rPr>
        <w:t xml:space="preserve">Acceleration quantification.</w:t>
      </w:r>
      <w:r>
        <w:t xml:space="preserve"> </w:t>
      </w:r>
      <w:r>
        <w:t xml:space="preserve">Once the Plan and award agreements are received, quantify the single-trigger vs. double-trigger acceleration exposure and its effect on the consideration waterfall and deal economics.</w:t>
      </w:r>
    </w:p>
    <w:p>
      <w:pPr>
        <w:pStyle w:val="Compact"/>
        <w:numPr>
          <w:ilvl w:val="0"/>
          <w:numId w:val="1027"/>
        </w:numPr>
      </w:pPr>
      <w:r>
        <w:rPr>
          <w:b/>
          <w:bCs/>
        </w:rPr>
        <w:t xml:space="preserve">RRA termination mechanics.</w:t>
      </w:r>
      <w:r>
        <w:t xml:space="preserve"> </w:t>
      </w:r>
      <w:r>
        <w:t xml:space="preserve">Draft the RRA termination/waiver provisions for the merger agreement and prepare the Holder termination consents (majority-of-Registrable-Securities or individual waivers).</w:t>
      </w:r>
    </w:p>
    <w:p>
      <w:pPr>
        <w:pStyle w:val="Compact"/>
        <w:numPr>
          <w:ilvl w:val="0"/>
          <w:numId w:val="1027"/>
        </w:numPr>
      </w:pPr>
      <w:r>
        <w:rPr>
          <w:b/>
          <w:bCs/>
        </w:rPr>
        <w:t xml:space="preserve">Clearfield loan consent cure.</w:t>
      </w:r>
      <w:r>
        <w:t xml:space="preserve"> </w:t>
      </w:r>
      <w:r>
        <w:t xml:space="preserve">Assess whether the missing Preferred consent for the Clearfield loan should be cured by ratification before closing, and how to address the related merger-agreement representations.</w:t>
      </w:r>
    </w:p>
    <w:bookmarkEnd w:id="86"/>
    <w:bookmarkStart w:id="87" w:name="d.-items-requiring-client-input"/>
    <w:p>
      <w:pPr>
        <w:pStyle w:val="Heading3"/>
      </w:pPr>
      <w:r>
        <w:t xml:space="preserve">D. Items Requiring Client Input</w:t>
      </w:r>
    </w:p>
    <w:p>
      <w:pPr>
        <w:pStyle w:val="Compact"/>
        <w:numPr>
          <w:ilvl w:val="0"/>
          <w:numId w:val="1028"/>
        </w:numPr>
      </w:pPr>
      <w:r>
        <w:rPr>
          <w:b/>
          <w:bCs/>
        </w:rPr>
        <w:t xml:space="preserve">Negotiation posture toward Stonemill.</w:t>
      </w:r>
      <w:r>
        <w:t xml:space="preserve"> </w:t>
      </w:r>
      <w:r>
        <w:t xml:space="preserve">Whether to pursue a negotiated resolution (and what concessions, if any, the client is willing to offer — e.g., consideration allocation, post-closing advisory role, expense reimbursement) versus a contested path (drag-along enforcement + litigation).</w:t>
      </w:r>
    </w:p>
    <w:p>
      <w:pPr>
        <w:pStyle w:val="Compact"/>
        <w:numPr>
          <w:ilvl w:val="0"/>
          <w:numId w:val="1028"/>
        </w:numPr>
      </w:pPr>
      <w:r>
        <w:rPr>
          <w:b/>
          <w:bCs/>
        </w:rPr>
        <w:t xml:space="preserve">Majority-of-minority vote.</w:t>
      </w:r>
      <w:r>
        <w:t xml:space="preserve"> </w:t>
      </w:r>
      <w:r>
        <w:t xml:space="preserve">Whether the client is willing to condition the merger on a majority-of-minority stockholder approval (for MFW cleansing), and how to define the</w:t>
      </w:r>
      <w:r>
        <w:t xml:space="preserve"> </w:t>
      </w:r>
      <w:r>
        <w:t xml:space="preserve">“</w:t>
      </w:r>
      <w:r>
        <w:t xml:space="preserve">minority</w:t>
      </w:r>
      <w:r>
        <w:t xml:space="preserve">”</w:t>
      </w:r>
      <w:r>
        <w:t xml:space="preserve"> </w:t>
      </w:r>
      <w:r>
        <w:t xml:space="preserve">given the preferred protective provisions.</w:t>
      </w:r>
    </w:p>
    <w:p>
      <w:pPr>
        <w:pStyle w:val="Compact"/>
        <w:numPr>
          <w:ilvl w:val="0"/>
          <w:numId w:val="1028"/>
        </w:numPr>
      </w:pPr>
      <w:r>
        <w:rPr>
          <w:b/>
          <w:bCs/>
        </w:rPr>
        <w:t xml:space="preserve">Risk tolerance for closing over Stonemill’s objection.</w:t>
      </w:r>
      <w:r>
        <w:t xml:space="preserve"> </w:t>
      </w:r>
      <w:r>
        <w:t xml:space="preserve">Whether the client is prepared to sign and close subject to drag-along enforcement risk, or whether Stonemill’s consent is a signing condition.</w:t>
      </w:r>
    </w:p>
    <w:p>
      <w:r>
        <w:pict>
          <v:rect style="width:0;height:1.5pt" o:hralign="center" o:hrstd="t" o:hr="t"/>
        </w:pict>
      </w:r>
    </w:p>
    <w:bookmarkEnd w:id="87"/>
    <w:bookmarkEnd w:id="88"/>
    <w:bookmarkStart w:id="89" w:name="xviii.-open-questions"/>
    <w:p>
      <w:pPr>
        <w:pStyle w:val="Heading2"/>
      </w:pPr>
      <w:r>
        <w:t xml:space="preserve">XVIII. Open Questions</w:t>
      </w:r>
    </w:p>
    <w:p>
      <w:pPr>
        <w:pStyle w:val="Compact"/>
        <w:numPr>
          <w:ilvl w:val="0"/>
          <w:numId w:val="1029"/>
        </w:numPr>
      </w:pPr>
      <w:r>
        <w:t xml:space="preserve">Was a written termination notice delivered to SensorLink before September 8, 2024? (Critical — time-sensitive.)</w:t>
      </w:r>
    </w:p>
    <w:p>
      <w:pPr>
        <w:pStyle w:val="Compact"/>
        <w:numPr>
          <w:ilvl w:val="0"/>
          <w:numId w:val="1029"/>
        </w:numPr>
      </w:pPr>
      <w:r>
        <w:t xml:space="preserve">Was Preferred Stockholder consent obtained for the Clearfield $12 million term loan? (Significant.)</w:t>
      </w:r>
    </w:p>
    <w:p>
      <w:pPr>
        <w:pStyle w:val="Compact"/>
        <w:numPr>
          <w:ilvl w:val="0"/>
          <w:numId w:val="1029"/>
        </w:numPr>
      </w:pPr>
      <w:r>
        <w:t xml:space="preserve">Was stockholder approval obtained for the July 2023 equity plan share-reserve increase, and does the Plan require it? (Significant.)</w:t>
      </w:r>
    </w:p>
    <w:p>
      <w:pPr>
        <w:pStyle w:val="Compact"/>
        <w:numPr>
          <w:ilvl w:val="0"/>
          <w:numId w:val="1029"/>
        </w:numPr>
      </w:pPr>
      <w:r>
        <w:t xml:space="preserve">Does the 2021 Equity Incentive Plan provide for single-trigger or double-trigger change-of-control acceleration, and what is the aggregate dollar exposure? (Significant.)</w:t>
      </w:r>
    </w:p>
    <w:p>
      <w:pPr>
        <w:pStyle w:val="Compact"/>
        <w:numPr>
          <w:ilvl w:val="0"/>
          <w:numId w:val="1029"/>
        </w:numPr>
      </w:pPr>
      <w:r>
        <w:t xml:space="preserve">Do separate</w:t>
      </w:r>
      <w:r>
        <w:t xml:space="preserve"> </w:t>
      </w:r>
      <w:r>
        <w:t xml:space="preserve">“</w:t>
      </w:r>
      <w:r>
        <w:t xml:space="preserve">Investors’ Rights Agreement</w:t>
      </w:r>
      <w:r>
        <w:t xml:space="preserve">”</w:t>
      </w:r>
      <w:r>
        <w:t xml:space="preserve"> </w:t>
      </w:r>
      <w:r>
        <w:t xml:space="preserve">and/or</w:t>
      </w:r>
      <w:r>
        <w:t xml:space="preserve"> </w:t>
      </w:r>
      <w:r>
        <w:t xml:space="preserve">“</w:t>
      </w:r>
      <w:r>
        <w:t xml:space="preserve">Right of First Refusal and Co-Sale Agreement</w:t>
      </w:r>
      <w:r>
        <w:t xml:space="preserve">”</w:t>
      </w:r>
      <w:r>
        <w:t xml:space="preserve"> </w:t>
      </w:r>
      <w:r>
        <w:t xml:space="preserve">exist, or is the Stockholders’ Agreement the sole operative agreement? (Moderate.)</w:t>
      </w:r>
    </w:p>
    <w:p>
      <w:pPr>
        <w:pStyle w:val="Compact"/>
        <w:numPr>
          <w:ilvl w:val="0"/>
          <w:numId w:val="1029"/>
        </w:numPr>
      </w:pPr>
      <w:r>
        <w:t xml:space="preserve">Does the merger agreement contemplate any amendment to the Restated Certificate that would be adverse to the Preferred (triggering §4.3.6(a)(i))? (To be confirmed with M&amp;A team.)</w:t>
      </w:r>
    </w:p>
    <w:p>
      <w:pPr>
        <w:pStyle w:val="Compact"/>
        <w:numPr>
          <w:ilvl w:val="0"/>
          <w:numId w:val="1029"/>
        </w:numPr>
      </w:pPr>
      <w:r>
        <w:t xml:space="preserve">What is the precise outstanding-voting-share count for the DGCL §251(d) vote (excluding unexercised options/unvested RSUs)? (Needed for consent-solicitation planning.)</w:t>
      </w:r>
    </w:p>
    <w:p>
      <w:pPr>
        <w:pStyle w:val="Compact"/>
        <w:numPr>
          <w:ilvl w:val="0"/>
          <w:numId w:val="1029"/>
        </w:numPr>
      </w:pPr>
      <w:r>
        <w:t xml:space="preserve">Has the Board minutes’ waterfall statement been corrected, and has Thornbury’s fairness analysis accounted for the Series C preference election? (Significant.)</w:t>
      </w:r>
    </w:p>
    <w:p>
      <w:r>
        <w:pict>
          <v:rect style="width:0;height:1.5pt" o:hralign="center" o:hrstd="t" o:hr="t"/>
        </w:pict>
      </w:r>
    </w:p>
    <w:p>
      <w:pPr>
        <w:pStyle w:val="FirstParagraph"/>
      </w:pPr>
      <w:r>
        <w:rPr>
          <w:i/>
          <w:iCs/>
        </w:rPr>
        <w:t xml:space="preserve">This memorandum is attorney work product and is privileged and confidential. It was prepared in anticipation of litigation and in connection with the proposed transaction. It should not be distributed outside Whitfield &amp; Crane LLP or to the client except as directed by Jonathan Hsieh or Elena Marchetti. Do not communicate directly with Avery, Pollard &amp; Glenn LLP or any Company representative; all document requests and clarifications should be routed through Jonathan Hsieh.</w:t>
      </w:r>
    </w:p>
    <w:p>
      <w:pPr>
        <w:pStyle w:val="BodyText"/>
      </w:pPr>
      <w:r>
        <w:rPr>
          <w:i/>
          <w:iCs/>
        </w:rPr>
        <w:t xml:space="preserve">Prepared by: [Associate], Whitfield &amp; Crane LLP</w:t>
      </w:r>
      <w:r>
        <w:t xml:space="preserve"> </w:t>
      </w:r>
      <w:r>
        <w:rPr>
          <w:i/>
          <w:iCs/>
        </w:rPr>
        <w:t xml:space="preserve">October 28, 2024</w:t>
      </w:r>
    </w:p>
    <w:bookmarkEnd w:id="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PRIVILEGED &amp; CONFIDENTIAL — ATTORNEY WORK PRODUCT</dc:title>
  <dc:creator/>
  <cp:keywords/>
  <dcterms:created xsi:type="dcterms:W3CDTF">2026-06-26T23:33:49Z</dcterms:created>
  <dcterms:modified xsi:type="dcterms:W3CDTF">2026-06-26T23:33:49Z</dcterms:modified>
</cp:coreProperties>
</file>

<file path=docProps/custom.xml><?xml version="1.0" encoding="utf-8"?>
<Properties xmlns="http://schemas.openxmlformats.org/officeDocument/2006/custom-properties" xmlns:vt="http://schemas.openxmlformats.org/officeDocument/2006/docPropsVTypes"/>
</file>