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9092779eae0ca57705dede95c2ab5939f8b8355"/>
    <w:p>
      <w:pPr>
        <w:pStyle w:val="Heading1"/>
      </w:pPr>
      <w:r>
        <w:t xml:space="preserve">PRIVILEGED &amp; CONFIDENTIAL — ATTORNEY WORK PRODUCT</w:t>
      </w:r>
    </w:p>
    <w:p>
      <w:pPr>
        <w:pStyle w:val="FirstParagraph"/>
      </w:pPr>
      <w:r>
        <w:rPr>
          <w:b/>
          <w:bCs/>
        </w:rPr>
        <w:t xml:space="preserve">PREPARED IN ANTICIPATION OF LITIGATION / FOR DEAL NEGOTIATION</w:t>
      </w:r>
    </w:p>
    <w:p>
      <w:r>
        <w:pict>
          <v:rect style="width:0;height:1.5pt" o:hralign="center" o:hrstd="t" o:hr="t"/>
        </w:pict>
      </w:r>
    </w:p>
    <w:bookmarkStart w:id="35" w:name="memorandum"/>
    <w:p>
      <w:pPr>
        <w:pStyle w:val="Heading2"/>
      </w:pPr>
      <w:r>
        <w:t xml:space="preserve">MEMORANDUM</w:t>
      </w:r>
    </w:p>
    <w:p>
      <w:pPr>
        <w:pStyle w:val="FirstParagraph"/>
      </w:pPr>
      <w:r>
        <w:rPr>
          <w:b/>
          <w:bCs/>
        </w:rPr>
        <w:t xml:space="preserve">TO:</w:t>
      </w:r>
      <w:r>
        <w:t xml:space="preserve"> </w:t>
      </w:r>
      <w:r>
        <w:t xml:space="preserve">Elena Marchetti; Jonathan Hsieh</w:t>
      </w:r>
      <w:r>
        <w:t xml:space="preserve"> </w:t>
      </w:r>
      <w:r>
        <w:rPr>
          <w:b/>
          <w:bCs/>
        </w:rPr>
        <w:t xml:space="preserve">FROM:</w:t>
      </w:r>
      <w:r>
        <w:t xml:space="preserve"> </w:t>
      </w:r>
      <w:r>
        <w:t xml:space="preserve">[Associate], Whitfield &amp; Crane LLP</w:t>
      </w:r>
      <w:r>
        <w:t xml:space="preserve"> </w:t>
      </w:r>
      <w:r>
        <w:rPr>
          <w:b/>
          <w:bCs/>
        </w:rPr>
        <w:t xml:space="preserve">DATE:</w:t>
      </w:r>
      <w:r>
        <w:t xml:space="preserve"> </w:t>
      </w:r>
      <w:r>
        <w:t xml:space="preserve">October 28, 2024</w:t>
      </w:r>
      <w:r>
        <w:t xml:space="preserve"> </w:t>
      </w:r>
      <w:r>
        <w:rPr>
          <w:b/>
          <w:bCs/>
        </w:rPr>
        <w:t xml:space="preserve">RE:</w:t>
      </w:r>
      <w:r>
        <w:t xml:space="preserve"> </w:t>
      </w:r>
      <w:r>
        <w:t xml:space="preserve">Governance Diligence — Proposed Acquisition of Terravox Systems, Inc. by Hargrove Capital Partners III, LP</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summarizes our review of the governance documents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of 100% of the Company’s outstanding equity by Hargrove Capital Partners III, LP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 structured as a reverse triangular merger at an enterprise value of $485 million (equity value approximately $473 million, net of approximately $12 million of outstanding indebtedness). The documents reviewed are: (i) the Third Amended and Restated Certificate of Incorporation, dated November 3, 2021 (the</w:t>
      </w:r>
      <w:r>
        <w:t xml:space="preserve"> </w:t>
      </w:r>
      <w:r>
        <w:t xml:space="preserve">“</w:t>
      </w:r>
      <w:r>
        <w:t xml:space="preserve">Restated Certificate</w:t>
      </w:r>
      <w:r>
        <w:t xml:space="preserve">”</w:t>
      </w:r>
      <w:r>
        <w:t xml:space="preserve"> </w:t>
      </w:r>
      <w:r>
        <w:t xml:space="preserve">or</w:t>
      </w:r>
      <w:r>
        <w:t xml:space="preserve"> </w:t>
      </w:r>
      <w:r>
        <w:t xml:space="preserve">“</w:t>
      </w:r>
      <w:r>
        <w:t xml:space="preserve">Charter</w:t>
      </w:r>
      <w:r>
        <w:t xml:space="preserve">”</w:t>
      </w:r>
      <w:r>
        <w:t xml:space="preserve">); (ii) the Amended and Restated Bylaws, effective November 3, 2021 (the</w:t>
      </w:r>
      <w:r>
        <w:t xml:space="preserve"> </w:t>
      </w:r>
      <w:r>
        <w:t xml:space="preserve">“</w:t>
      </w:r>
      <w:r>
        <w:t xml:space="preserve">Bylaws</w:t>
      </w:r>
      <w:r>
        <w:t xml:space="preserve">”</w:t>
      </w:r>
      <w:r>
        <w:t xml:space="preserve">); (iii) the Stockholders’ Agreement, dated November 3, 2021 (the</w:t>
      </w:r>
      <w:r>
        <w:t xml:space="preserve"> </w:t>
      </w:r>
      <w:r>
        <w:t xml:space="preserve">“</w:t>
      </w:r>
      <w:r>
        <w:t xml:space="preserve">Stockholders’ Agreement</w:t>
      </w:r>
      <w:r>
        <w:t xml:space="preserve">”</w:t>
      </w:r>
      <w:r>
        <w:t xml:space="preserve"> </w:t>
      </w:r>
      <w:r>
        <w:t xml:space="preserve">or</w:t>
      </w:r>
      <w:r>
        <w:t xml:space="preserve"> </w:t>
      </w:r>
      <w:r>
        <w:t xml:space="preserve">“</w:t>
      </w:r>
      <w:r>
        <w:t xml:space="preserve">SHA</w:t>
      </w:r>
      <w:r>
        <w:t xml:space="preserve">”</w:t>
      </w:r>
      <w:r>
        <w:t xml:space="preserve">); (iv) the Voting Agreement, dated November 3, 2021 (the</w:t>
      </w:r>
      <w:r>
        <w:t xml:space="preserve"> </w:t>
      </w:r>
      <w:r>
        <w:t xml:space="preserve">“</w:t>
      </w:r>
      <w:r>
        <w:t xml:space="preserve">Voting Agreement</w:t>
      </w:r>
      <w:r>
        <w:t xml:space="preserve">”</w:t>
      </w:r>
      <w:r>
        <w:t xml:space="preserve">); (v) the Registration Rights Agreement, dated November 3, 2021 (the</w:t>
      </w:r>
      <w:r>
        <w:t xml:space="preserve"> </w:t>
      </w:r>
      <w:r>
        <w:t xml:space="preserve">“</w:t>
      </w:r>
      <w:r>
        <w:t xml:space="preserve">RRA</w:t>
      </w:r>
      <w:r>
        <w:t xml:space="preserve">”</w:t>
      </w:r>
      <w:r>
        <w:t xml:space="preserve">); and (vi) Board minutes for eight meetings spanning January 2023 through September 2024 (the</w:t>
      </w:r>
      <w:r>
        <w:t xml:space="preserve"> </w:t>
      </w:r>
      <w:r>
        <w:t xml:space="preserve">“</w:t>
      </w:r>
      <w:r>
        <w:t xml:space="preserve">Board Minutes</w:t>
      </w:r>
      <w:r>
        <w:t xml:space="preserve">”</w:t>
      </w:r>
      <w:r>
        <w:t xml:space="preserve">).</w:t>
      </w:r>
    </w:p>
    <w:p>
      <w:pPr>
        <w:pStyle w:val="BodyText"/>
      </w:pPr>
      <w:r>
        <w:rPr>
          <w:b/>
          <w:bCs/>
        </w:rPr>
        <w:t xml:space="preserve">The central finding — and the client’s overriding concern — is that Stonemill Capital Partners Fund VI, LP (</w:t>
      </w:r>
      <w:r>
        <w:rPr>
          <w:b/>
          <w:bCs/>
        </w:rPr>
        <w:t xml:space="preserve">“</w:t>
      </w:r>
      <w:r>
        <w:rPr>
          <w:b/>
          <w:bCs/>
        </w:rPr>
        <w:t xml:space="preserve">Stonemill</w:t>
      </w:r>
      <w:r>
        <w:rPr>
          <w:b/>
          <w:bCs/>
        </w:rPr>
        <w:t xml:space="preserve">”</w:t>
      </w:r>
      <w:r>
        <w:rPr>
          <w:b/>
          <w:bCs/>
        </w:rPr>
        <w:t xml:space="preserve">) holds a hard, charter-level blocking right over the merger that cannot be satisfied without its affirmative consent.</w:t>
      </w:r>
      <w:r>
        <w:t xml:space="preserve"> </w:t>
      </w:r>
      <w:r>
        <w:t xml:space="preserve">Stonemill holds 100% of the outstanding Series C Preferred Stock (7,800,000 shares). The Charter’s Series C separate-class protective provision (Section 4.3.6(b)) requires the consent of holders of at least 66⅔% of the Series C Preferred Stock, voting as a separate class, to effect any</w:t>
      </w:r>
      <w:r>
        <w:t xml:space="preserve"> </w:t>
      </w:r>
      <w:r>
        <w:t xml:space="preserve">“</w:t>
      </w:r>
      <w:r>
        <w:t xml:space="preserve">Liquidation Event</w:t>
      </w:r>
      <w:r>
        <w:t xml:space="preserve">”</w:t>
      </w:r>
      <w:r>
        <w:t xml:space="preserve"> </w:t>
      </w:r>
      <w:r>
        <w:t xml:space="preserve">— and the reverse triangular merger squarely qualifies as a Liquidation Event. Because Stonemill is the</w:t>
      </w:r>
      <w:r>
        <w:t xml:space="preserve"> </w:t>
      </w:r>
      <w:r>
        <w:rPr>
          <w:i/>
          <w:iCs/>
        </w:rPr>
        <w:t xml:space="preserve">only</w:t>
      </w:r>
      <w:r>
        <w:t xml:space="preserve"> </w:t>
      </w:r>
      <w:r>
        <w:t xml:space="preserve">holder of Series C Preferred Stock, the 66⅔% threshold (at least 5,200,000 shares) cannot be reached without Stonemill. Julian Trask, Stonemill’s board designee, confirmed this on the record at the September 25, 2024 Board meeting. This is the single most important fact in the diligence record.</w:t>
      </w:r>
    </w:p>
    <w:p>
      <w:pPr>
        <w:pStyle w:val="BodyText"/>
      </w:pPr>
      <w:r>
        <w:rPr>
          <w:b/>
          <w:bCs/>
        </w:rPr>
        <w:t xml:space="preserve">A secondary, but critical, finding is that the Stockholders’ Agreement drag-along can be</w:t>
      </w:r>
      <w:r>
        <w:rPr>
          <w:b/>
          <w:bCs/>
        </w:rPr>
        <w:t xml:space="preserve"> </w:t>
      </w:r>
      <w:r>
        <w:rPr>
          <w:b/>
          <w:bCs/>
          <w:i/>
          <w:iCs/>
        </w:rPr>
        <w:t xml:space="preserve">triggered</w:t>
      </w:r>
      <w:r>
        <w:rPr>
          <w:b/>
          <w:bCs/>
        </w:rPr>
        <w:t xml:space="preserve"> </w:t>
      </w:r>
      <w:r>
        <w:rPr>
          <w:b/>
          <w:bCs/>
        </w:rPr>
        <w:t xml:space="preserve">without Stonemill, but whether it can</w:t>
      </w:r>
      <w:r>
        <w:rPr>
          <w:b/>
          <w:bCs/>
        </w:rPr>
        <w:t xml:space="preserve"> </w:t>
      </w:r>
      <w:r>
        <w:rPr>
          <w:b/>
          <w:bCs/>
          <w:i/>
          <w:iCs/>
        </w:rPr>
        <w:t xml:space="preserve">override</w:t>
      </w:r>
      <w:r>
        <w:rPr>
          <w:b/>
          <w:bCs/>
        </w:rPr>
        <w:t xml:space="preserve"> </w:t>
      </w:r>
      <w:r>
        <w:rPr>
          <w:b/>
          <w:bCs/>
        </w:rPr>
        <w:t xml:space="preserve">Stonemill’s charter veto is a contested question of Delaware law.</w:t>
      </w:r>
      <w:r>
        <w:t xml:space="preserve"> </w:t>
      </w:r>
      <w:r>
        <w:t xml:space="preserve">The drag-along’s three-pronged trigger can be satisfied with Ridgeline Ventures Fund II, LP (</w:t>
      </w:r>
      <w:r>
        <w:t xml:space="preserve">“</w:t>
      </w:r>
      <w:r>
        <w:t xml:space="preserve">Ridgeline</w:t>
      </w:r>
      <w:r>
        <w:t xml:space="preserve">”</w:t>
      </w:r>
      <w:r>
        <w:t xml:space="preserve">) and Northbridge Growth Equity Fund IV, LP (</w:t>
      </w:r>
      <w:r>
        <w:t xml:space="preserve">“</w:t>
      </w:r>
      <w:r>
        <w:t xml:space="preserve">Northbridge</w:t>
      </w:r>
      <w:r>
        <w:t xml:space="preserve">”</w:t>
      </w:r>
      <w:r>
        <w:t xml:space="preserve">) (and the common holders) alone — Stonemill’s participation is not required to reach the trigger thresholds. If validly triggered, the drag-along (reinforced by an irrevocable proxy) would purport to compel Stonemill to vote its Series C shares in favor of the merger, which would in turn satisfy the Series C separate-class vote. Delaware courts have enforced drag-along provisions against objecting stockholders (most notably</w:t>
      </w:r>
      <w:r>
        <w:t xml:space="preserve"> </w:t>
      </w:r>
      <w:r>
        <w:rPr>
          <w:i/>
          <w:iCs/>
        </w:rPr>
        <w:t xml:space="preserve">NHS Systems, Inc. v. Stericycle, Inc.</w:t>
      </w:r>
      <w:r>
        <w:t xml:space="preserve">, Del. Ch. 2020), but the specific question of whether a contractual drag-along can compel a stockholder to satisfy a charter-level separate-class veto has not been definitively resolved. Stonemill would almost certainly litigate and could seek injunctive relief that delays the targeted Q1 2025 closing.</w:t>
      </w:r>
      <w:r>
        <w:t xml:space="preserve"> </w:t>
      </w:r>
      <w:r>
        <w:rPr>
          <w:b/>
          <w:bCs/>
        </w:rPr>
        <w:t xml:space="preserve">We recommend that the client treat the Series C separate-class consent as a hard requirement and negotiate to obtain it, while preserving the drag-along as leverage and a fallback — not as the primary path to closing.</w:t>
      </w:r>
    </w:p>
    <w:p>
      <w:pPr>
        <w:pStyle w:val="BodyText"/>
      </w:pPr>
      <w:r>
        <w:rPr>
          <w:b/>
          <w:bCs/>
        </w:rPr>
        <w:t xml:space="preserve">Economically, Stonemill has little incentive to support a higher headline price.</w:t>
      </w:r>
      <w:r>
        <w:t xml:space="preserve"> </w:t>
      </w:r>
      <w:r>
        <w:t xml:space="preserve">The Series C Preferred Stock is non-participating with a liquidation preference of $18.50 per share ($144.3 million aggregate). At the implied equity value of approximately $473 million, the as-converted value of the Series C (approximately $13.95 per share on a simple average, and approximately $12.59 per share after payment of the Series C preference in the waterfall) is</w:t>
      </w:r>
      <w:r>
        <w:t xml:space="preserve"> </w:t>
      </w:r>
      <w:r>
        <w:rPr>
          <w:i/>
          <w:iCs/>
        </w:rPr>
        <w:t xml:space="preserve">below</w:t>
      </w:r>
      <w:r>
        <w:t xml:space="preserve"> </w:t>
      </w:r>
      <w:r>
        <w:t xml:space="preserve">the $18.50 preference. Stonemill therefore receives its $144.3 million preference regardless of price up to an enterprise value of approximately $639 million (the conversion</w:t>
      </w:r>
      <w:r>
        <w:t xml:space="preserve"> </w:t>
      </w:r>
      <w:r>
        <w:t xml:space="preserve">“</w:t>
      </w:r>
      <w:r>
        <w:t xml:space="preserve">crossover</w:t>
      </w:r>
      <w:r>
        <w:t xml:space="preserve">”</w:t>
      </w:r>
      <w:r>
        <w:t xml:space="preserve">). Within the current deal range, Stonemill captures no upside from a higher price. This explains why Hargrove’s intelligence indicates Stonemill may seek value</w:t>
      </w:r>
      <w:r>
        <w:t xml:space="preserve"> </w:t>
      </w:r>
      <w:r>
        <w:rPr>
          <w:i/>
          <w:iCs/>
        </w:rPr>
        <w:t xml:space="preserve">outside</w:t>
      </w:r>
      <w:r>
        <w:t xml:space="preserve"> </w:t>
      </w:r>
      <w:r>
        <w:t xml:space="preserve">the merger waterfall — a side arrangement, a higher allocation of consideration, or post-closing management rights — rather than simply a higher headline price. This economic profile should inform the negotiation strategy.</w:t>
      </w:r>
    </w:p>
    <w:p>
      <w:pPr>
        <w:pStyle w:val="BodyText"/>
      </w:pPr>
      <w:r>
        <w:rPr>
          <w:b/>
          <w:bCs/>
        </w:rPr>
        <w:t xml:space="preserve">Three additional issues require immediate attention:</w:t>
      </w:r>
    </w:p>
    <w:p>
      <w:pPr>
        <w:numPr>
          <w:ilvl w:val="0"/>
          <w:numId w:val="1001"/>
        </w:numPr>
      </w:pPr>
      <w:r>
        <w:rPr>
          <w:b/>
          <w:bCs/>
        </w:rPr>
        <w:t xml:space="preserve">SensorLink Technologies LOI — potential live exclusivity (CRITICAL, time-sensitive).</w:t>
      </w:r>
      <w:r>
        <w:t xml:space="preserve"> </w:t>
      </w:r>
      <w:r>
        <w:t xml:space="preserve">The SensorLink LOI (executed March 8, 2024) contained a mutual exclusivity provision with an initial six-month term expiring September 8, 2024, and an</w:t>
      </w:r>
      <w:r>
        <w:t xml:space="preserve"> </w:t>
      </w:r>
      <w:r>
        <w:rPr>
          <w:i/>
          <w:iCs/>
        </w:rPr>
        <w:t xml:space="preserve">automatic renewal</w:t>
      </w:r>
      <w:r>
        <w:t xml:space="preserve"> </w:t>
      </w:r>
      <w:r>
        <w:t xml:space="preserve">for successive 90-day periods unless either party delivered written termination notice at least 15 days before expiration. The September 25, 2024 Board minutes reflect that management was</w:t>
      </w:r>
      <w:r>
        <w:t xml:space="preserve"> </w:t>
      </w:r>
      <w:r>
        <w:rPr>
          <w:i/>
          <w:iCs/>
        </w:rPr>
        <w:t xml:space="preserve">uncertain whether a formal written termination notice was sent</w:t>
      </w:r>
      <w:r>
        <w:t xml:space="preserve"> </w:t>
      </w:r>
      <w:r>
        <w:t xml:space="preserve">before September 8, 2024. If no notice was sent, the exclusivity auto-renewed on September 8, 2024 and may remain live through approximately December 7, 2024 — potentially barring the Company from signing a definitive agreement with Hargrove. This must be confirmed and cured immediately.</w:t>
      </w:r>
    </w:p>
    <w:p>
      <w:pPr>
        <w:numPr>
          <w:ilvl w:val="0"/>
          <w:numId w:val="1001"/>
        </w:numPr>
      </w:pPr>
      <w:r>
        <w:rPr>
          <w:b/>
          <w:bCs/>
        </w:rPr>
        <w:t xml:space="preserve">Clearfield National Bank term loan — potential protective-provision violation (CRITICAL).</w:t>
      </w:r>
      <w:r>
        <w:t xml:space="preserve"> </w:t>
      </w:r>
      <w:r>
        <w:t xml:space="preserve">The $12 million term loan authorized in October 2023 exceeds the $5 million indebtedness threshold in Charter Section 4.3.6(a)(v) and is not within either stated exception (equipment financing/capital leases up to $2 million; trade payables). The Charter therefore required the prior consent of holders of a majority of the Preferred Stock. The Board minutes reflect Board approval (7-0) but are</w:t>
      </w:r>
      <w:r>
        <w:t xml:space="preserve"> </w:t>
      </w:r>
      <w:r>
        <w:rPr>
          <w:i/>
          <w:iCs/>
        </w:rPr>
        <w:t xml:space="preserve">silent</w:t>
      </w:r>
      <w:r>
        <w:t xml:space="preserve"> </w:t>
      </w:r>
      <w:r>
        <w:t xml:space="preserve">as to whether the required Preferred Stockholder consent was obtained. If the consent was not obtained, the loan was incurred in violation of the Charter protective provisions — a governance failure that Stonemill may exploit and that may affect the lender’s security position and the Company’s ability to assign/repay the facility at closing.</w:t>
      </w:r>
    </w:p>
    <w:p>
      <w:pPr>
        <w:numPr>
          <w:ilvl w:val="0"/>
          <w:numId w:val="1001"/>
        </w:numPr>
      </w:pPr>
      <w:r>
        <w:rPr>
          <w:b/>
          <w:bCs/>
        </w:rPr>
        <w:t xml:space="preserve">Missing equity plan and award agreements (SIGNIFICANT).</w:t>
      </w:r>
      <w:r>
        <w:t xml:space="preserve"> </w:t>
      </w:r>
      <w:r>
        <w:t xml:space="preserve">We have not received the 2021 Equity Incentive Plan or any individual option/RSU award agreements. Without these, we cannot determine whether the merger triggers change-of-control acceleration (single- or double-trigger), the aggregate dollar impact on deal economics, or whether the July 2023 share-reserve increase (8,000,000 → 9,500,000 shares) required stockholder approval that may not have been obtained.</w:t>
      </w:r>
    </w:p>
    <w:p>
      <w:pPr>
        <w:pStyle w:val="FirstParagraph"/>
      </w:pPr>
      <w:r>
        <w:rPr>
          <w:b/>
          <w:bCs/>
        </w:rPr>
        <w:t xml:space="preserve">Other significant findings</w:t>
      </w:r>
      <w:r>
        <w:t xml:space="preserve"> </w:t>
      </w:r>
      <w:r>
        <w:t xml:space="preserve">include: (a) the Special Committee includes Sandra Okafor, who is Northbridge’s board designee and a Principal at Northbridge — a non-independent director on a committee that should be disinterested for a sale-of-control transaction; (b) the RRA terminates on a</w:t>
      </w:r>
      <w:r>
        <w:t xml:space="preserve"> </w:t>
      </w:r>
      <w:r>
        <w:t xml:space="preserve">“</w:t>
      </w:r>
      <w:r>
        <w:t xml:space="preserve">Deemed Liquidation Event</w:t>
      </w:r>
      <w:r>
        <w:t xml:space="preserve">”</w:t>
      </w:r>
      <w:r>
        <w:t xml:space="preserve"> </w:t>
      </w:r>
      <w:r>
        <w:t xml:space="preserve">that is</w:t>
      </w:r>
      <w:r>
        <w:t xml:space="preserve"> </w:t>
      </w:r>
      <w:r>
        <w:rPr>
          <w:i/>
          <w:iCs/>
        </w:rPr>
        <w:t xml:space="preserve">never defined</w:t>
      </w:r>
      <w:r>
        <w:t xml:space="preserve"> </w:t>
      </w:r>
      <w:r>
        <w:t xml:space="preserve">in the RRA, creating ambiguity as to whether registration rights terminate on the merger; (c) the Board’s September 25, 2024 waterfall analysis appears to overstate the benefit to Series C by asserting that all preferred holders receive amounts</w:t>
      </w:r>
      <w:r>
        <w:t xml:space="preserve"> </w:t>
      </w:r>
      <w:r>
        <w:t xml:space="preserve">“</w:t>
      </w:r>
      <w:r>
        <w:t xml:space="preserve">in excess of</w:t>
      </w:r>
      <w:r>
        <w:t xml:space="preserve">”</w:t>
      </w:r>
      <w:r>
        <w:t xml:space="preserve"> </w:t>
      </w:r>
      <w:r>
        <w:t xml:space="preserve">their preferences</w:t>
      </w:r>
      <w:r>
        <w:t xml:space="preserve"> </w:t>
      </w:r>
      <w:r>
        <w:t xml:space="preserve">“</w:t>
      </w:r>
      <w:r>
        <w:t xml:space="preserve">on an as-converted basis</w:t>
      </w:r>
      <w:r>
        <w:t xml:space="preserve">”</w:t>
      </w:r>
      <w:r>
        <w:t xml:space="preserve"> </w:t>
      </w:r>
      <w:r>
        <w:t xml:space="preserve">— which is incorrect for Series C; and (d) several cross-document definitional inconsistencies among</w:t>
      </w:r>
      <w:r>
        <w:t xml:space="preserve"> </w:t>
      </w:r>
      <w:r>
        <w:t xml:space="preserve">“</w:t>
      </w:r>
      <w:r>
        <w:t xml:space="preserve">Liquidation Event,</w:t>
      </w:r>
      <w:r>
        <w:t xml:space="preserve">”</w:t>
      </w:r>
      <w:r>
        <w:t xml:space="preserve"> </w:t>
      </w:r>
      <w:r>
        <w:t xml:space="preserve">“</w:t>
      </w:r>
      <w:r>
        <w:t xml:space="preserve">Sale of the Company,</w:t>
      </w:r>
      <w:r>
        <w:t xml:space="preserve">”</w:t>
      </w:r>
      <w:r>
        <w:t xml:space="preserve"> </w:t>
      </w:r>
      <w:r>
        <w:t xml:space="preserve">and</w:t>
      </w:r>
      <w:r>
        <w:t xml:space="preserve"> </w:t>
      </w:r>
      <w:r>
        <w:t xml:space="preserve">“</w:t>
      </w:r>
      <w:r>
        <w:t xml:space="preserve">Deemed Liquidation Event.</w:t>
      </w:r>
      <w:r>
        <w:t xml:space="preserve">”</w:t>
      </w:r>
    </w:p>
    <w:p>
      <w:pPr>
        <w:pStyle w:val="BodyText"/>
      </w:pPr>
      <w:r>
        <w:t xml:space="preserve">A consolidated consent/approval matrix appears in Appendix A. A document-request list appears in Appendix B. A severity classification of all identified issues appears in Appendix C.</w:t>
      </w:r>
    </w:p>
    <w:p>
      <w:r>
        <w:pict>
          <v:rect style="width:0;height:1.5pt" o:hralign="center" o:hrstd="t" o:hr="t"/>
        </w:pict>
      </w:r>
    </w:p>
    <w:bookmarkEnd w:id="20"/>
    <w:bookmarkStart w:id="21" w:name="X6afac21897f16c01cf15feed86bf9e8d9e54e23"/>
    <w:p>
      <w:pPr>
        <w:pStyle w:val="Heading3"/>
      </w:pPr>
      <w:r>
        <w:t xml:space="preserve">II. CHANGE-OF-CONTROL CONSENT REQUIREMENTS</w:t>
      </w:r>
    </w:p>
    <w:p>
      <w:pPr>
        <w:pStyle w:val="FirstParagraph"/>
      </w:pPr>
      <w:r>
        <w:t xml:space="preserve">This section maps every consent and approval that must be satisfied to consummate the reverse triangular merger. The controlling analysis was confirmed by Terravox’s outside counsel, Nathaniel Rourke, at the September 25, 2024 Board meeting, and is consistent with our independent review of the Charter and governance agreements.</w:t>
      </w:r>
    </w:p>
    <w:p>
      <w:pPr>
        <w:pStyle w:val="BodyText"/>
      </w:pPr>
      <w:r>
        <w:rPr>
          <w:b/>
          <w:bCs/>
        </w:rPr>
        <w:t xml:space="preserve">A. DGCL Section 251 — Stockholder Approval of the Merger</w:t>
      </w:r>
    </w:p>
    <w:p>
      <w:pPr>
        <w:pStyle w:val="BodyText"/>
      </w:pPr>
      <w:r>
        <w:t xml:space="preserve">Under the Delaware General Corporation Law (the</w:t>
      </w:r>
      <w:r>
        <w:t xml:space="preserve"> </w:t>
      </w:r>
      <w:r>
        <w:t xml:space="preserve">“</w:t>
      </w:r>
      <w:r>
        <w:t xml:space="preserve">DGCL</w:t>
      </w:r>
      <w:r>
        <w:t xml:space="preserve">”</w:t>
      </w:r>
      <w:r>
        <w:t xml:space="preserve">), a merger requires the approval of the board of directors of each constituent corporation and, except in certain Section 251(f) situations, the approval of the stockholders of each constituent corporation entitled to vote. For the reverse triangular merger here, Merger Sub (a wholly-owned acquisition subsidiary of Hargrove) will be a constituent corporation whose sole stockholder (Hargrove) can act by written consent. Terravox, as the surviving corporation, will require stockholder approval. Although Section 251(f) can, in certain circumstances, permit a reverse triangular merger to proceed without a surviving-corporation stockholder vote, that exemption is unavailable here because (i) the Charter’s protective provisions independently require Preferred and Series C stockholder consent, and (ii) the merger effects a change of control that triggers the protective provisions. The required Terravox stockholder approval is a majority of the outstanding shares of capital stock entitled to vote, voting together as a single class on an as-converted-to-Common-Stock basis (the</w:t>
      </w:r>
      <w:r>
        <w:t xml:space="preserve"> </w:t>
      </w:r>
      <w:r>
        <w:t xml:space="preserve">“</w:t>
      </w:r>
      <w:r>
        <w:t xml:space="preserve">DGCL 251 Vote</w:t>
      </w:r>
      <w:r>
        <w:t xml:space="preserve">”</w:t>
      </w:r>
      <w:r>
        <w:t xml:space="preserve">). On a fully diluted basis of approximately 33,900,000 shares, this requires the affirmative vote of holders of more than 16,950,000 shares. The Bylaws (Section 2.6) and Charter (Section 6.2) permit stockholder action by written consent in lieu of a meeting, which can be used to obtain this approval efficiently.</w:t>
      </w:r>
    </w:p>
    <w:p>
      <w:pPr>
        <w:pStyle w:val="BodyText"/>
      </w:pPr>
      <w:r>
        <w:rPr>
          <w:b/>
          <w:bCs/>
        </w:rPr>
        <w:t xml:space="preserve">B. Charter Section 4.3.6(a) — All-Preferred Protective Provision (Liquidation Event)</w:t>
      </w:r>
    </w:p>
    <w:p>
      <w:pPr>
        <w:pStyle w:val="BodyText"/>
      </w:pPr>
      <w:r>
        <w:t xml:space="preserve">Charter Section 4.3.6(a)(vi) provides that, so long as any Preferred Stock remains outstanding, the Company shall not</w:t>
      </w:r>
      <w:r>
        <w:t xml:space="preserve"> </w:t>
      </w:r>
      <w:r>
        <w:t xml:space="preserve">“</w:t>
      </w:r>
      <w:r>
        <w:t xml:space="preserve">effect any Liquidation Event</w:t>
      </w:r>
      <w:r>
        <w:t xml:space="preserve">”</w:t>
      </w:r>
      <w:r>
        <w:t xml:space="preserve"> </w:t>
      </w:r>
      <w:r>
        <w:t xml:space="preserve">without the prior written consent or affirmative vote of holders of at least a majority (greater than 50%) of the then-outstanding shares of Preferred Stock, voting together as a single class on an as-converted basis. Based on the 16,500,000 shares of Preferred Stock currently outstanding (3,500,000 Series A; 5,200,000 Series B; 7,800,000 Series C), this requires the consent of holders of more than 8,250,000 shares of Preferred Stock.</w:t>
      </w:r>
      <w:r>
        <w:t xml:space="preserve"> </w:t>
      </w:r>
      <w:r>
        <w:rPr>
          <w:b/>
          <w:bCs/>
        </w:rPr>
        <w:t xml:space="preserve">This threshold can be satisfied without Stonemill</w:t>
      </w:r>
      <w:r>
        <w:t xml:space="preserve">: Ridgeline (3,500,000 Series A) and Northbridge (5,200,000 Series B) together hold 8,700,000 shares of Preferred Stock, which exceeds the 8,250,000-share threshold. The margin is thin (450,000 shares), so the consent of both Ridgeline and Northbridge is necessary, but Stonemill’s consent is</w:t>
      </w:r>
      <w:r>
        <w:t xml:space="preserve"> </w:t>
      </w:r>
      <w:r>
        <w:rPr>
          <w:i/>
          <w:iCs/>
        </w:rPr>
        <w:t xml:space="preserve">not</w:t>
      </w:r>
      <w:r>
        <w:t xml:space="preserve"> </w:t>
      </w:r>
      <w:r>
        <w:t xml:space="preserve">required for this provision.</w:t>
      </w:r>
    </w:p>
    <w:p>
      <w:pPr>
        <w:pStyle w:val="BodyText"/>
      </w:pPr>
      <w:r>
        <w:rPr>
          <w:b/>
          <w:bCs/>
        </w:rPr>
        <w:t xml:space="preserve">C. Charter Section 4.3.6(b) — Series C Separate-Class Protective Provision (Liquidation Event) — THE HARD BLOCK</w:t>
      </w:r>
    </w:p>
    <w:p>
      <w:pPr>
        <w:pStyle w:val="BodyText"/>
      </w:pPr>
      <w:r>
        <w:t xml:space="preserve">Charter Section 4.3.6(b)(i) provides that, so long as any Series C Preferred Stock remains outstanding, the Company shall not</w:t>
      </w:r>
      <w:r>
        <w:t xml:space="preserve"> </w:t>
      </w:r>
      <w:r>
        <w:t xml:space="preserve">“</w:t>
      </w:r>
      <w:r>
        <w:t xml:space="preserve">effect any Liquidation Event</w:t>
      </w:r>
      <w:r>
        <w:t xml:space="preserve">”</w:t>
      </w:r>
      <w:r>
        <w:t xml:space="preserve"> </w:t>
      </w:r>
      <w:r>
        <w:t xml:space="preserve">without the prior written consent or affirmative vote of holders of at least 66⅔% of the then-outstanding shares of Series C Preferred Stock, voting as a</w:t>
      </w:r>
      <w:r>
        <w:t xml:space="preserve"> </w:t>
      </w:r>
      <w:r>
        <w:rPr>
          <w:i/>
          <w:iCs/>
        </w:rPr>
        <w:t xml:space="preserve">separate class</w:t>
      </w:r>
      <w:r>
        <w:t xml:space="preserve">. Section 4.3.6(b) expressly states that this consent is</w:t>
      </w:r>
      <w:r>
        <w:t xml:space="preserve"> </w:t>
      </w:r>
      <w:r>
        <w:t xml:space="preserve">“</w:t>
      </w:r>
      <w:r>
        <w:t xml:space="preserve">separate from and in addition to</w:t>
      </w:r>
      <w:r>
        <w:t xml:space="preserve">”</w:t>
      </w:r>
      <w:r>
        <w:t xml:space="preserve"> </w:t>
      </w:r>
      <w:r>
        <w:t xml:space="preserve">the all-Preferred consent under Section 4.3.6(a), and that</w:t>
      </w:r>
      <w:r>
        <w:t xml:space="preserve"> </w:t>
      </w:r>
      <w:r>
        <w:t xml:space="preserve">“</w:t>
      </w:r>
      <w:r>
        <w:t xml:space="preserve">both consents must be independently obtained.</w:t>
      </w:r>
      <w:r>
        <w:t xml:space="preserve">”</w:t>
      </w:r>
      <w:r>
        <w:t xml:space="preserve"> </w:t>
      </w:r>
      <w:r>
        <w:t xml:space="preserve">Based on the 7,800,000 shares of Series C Preferred Stock outstanding, the 66⅔% threshold requires the consent of holders of at least 5,200,000 shares of Series C Preferred Stock.</w:t>
      </w:r>
      <w:r>
        <w:t xml:space="preserve"> </w:t>
      </w:r>
      <w:r>
        <w:rPr>
          <w:b/>
          <w:bCs/>
        </w:rPr>
        <w:t xml:space="preserve">Stonemill holds 100% of the outstanding Series C Preferred Stock (all 7,800,000 shares).</w:t>
      </w:r>
      <w:r>
        <w:t xml:space="preserve"> </w:t>
      </w:r>
      <w:r>
        <w:t xml:space="preserve">Accordingly, the Series C separate-class consent</w:t>
      </w:r>
      <w:r>
        <w:t xml:space="preserve"> </w:t>
      </w:r>
      <w:r>
        <w:rPr>
          <w:i/>
          <w:iCs/>
        </w:rPr>
        <w:t xml:space="preserve">cannot be obtained without Stonemill’s affirmative consent</w:t>
      </w:r>
      <w:r>
        <w:t xml:space="preserve">. There is no other holder of Series C Preferred Stock from whom any portion of the required 5,200,000 shares could be obtained. This is a hard, non-waivable (by other stockholders) blocking right. Mr. Trask confirmed this on the record at the September 25, 2024 Board meeting, stating that</w:t>
      </w:r>
      <w:r>
        <w:t xml:space="preserve"> </w:t>
      </w:r>
      <w:r>
        <w:t xml:space="preserve">“</w:t>
      </w:r>
      <w:r>
        <w:t xml:space="preserve">the Series C separate class vote … cannot be satisfied without Stonemill’s affirmative consent.</w:t>
      </w:r>
      <w:r>
        <w:t xml:space="preserve">”</w:t>
      </w:r>
    </w:p>
    <w:p>
      <w:pPr>
        <w:pStyle w:val="BodyText"/>
      </w:pPr>
      <w:r>
        <w:rPr>
          <w:b/>
          <w:bCs/>
        </w:rPr>
        <w:t xml:space="preserve">D. The Merger Is a</w:t>
      </w:r>
      <w:r>
        <w:rPr>
          <w:b/>
          <w:bCs/>
        </w:rPr>
        <w:t xml:space="preserve"> </w:t>
      </w:r>
      <w:r>
        <w:rPr>
          <w:b/>
          <w:bCs/>
        </w:rPr>
        <w:t xml:space="preserve">“</w:t>
      </w:r>
      <w:r>
        <w:rPr>
          <w:b/>
          <w:bCs/>
        </w:rPr>
        <w:t xml:space="preserve">Liquidation Event</w:t>
      </w:r>
      <w:r>
        <w:rPr>
          <w:b/>
          <w:bCs/>
        </w:rPr>
        <w:t xml:space="preserve">”</w:t>
      </w:r>
      <w:r>
        <w:rPr>
          <w:b/>
          <w:bCs/>
        </w:rPr>
        <w:t xml:space="preserve"> </w:t>
      </w:r>
      <w:r>
        <w:rPr>
          <w:b/>
          <w:bCs/>
        </w:rPr>
        <w:t xml:space="preserve">Under the Charter</w:t>
      </w:r>
    </w:p>
    <w:p>
      <w:pPr>
        <w:pStyle w:val="BodyText"/>
      </w:pPr>
      <w:r>
        <w:t xml:space="preserve">Charter Section 4.3.2(d) defines</w:t>
      </w:r>
      <w:r>
        <w:t xml:space="preserve"> </w:t>
      </w:r>
      <w:r>
        <w:t xml:space="preserve">“</w:t>
      </w:r>
      <w:r>
        <w:t xml:space="preserve">Liquidation Event</w:t>
      </w:r>
      <w:r>
        <w:t xml:space="preserve">”</w:t>
      </w:r>
      <w:r>
        <w:t xml:space="preserve"> </w:t>
      </w:r>
      <w:r>
        <w:t xml:space="preserve">to include, among other things: (i) any merger, consolidation, or other business combination of the Company with or into another entity (whether or not the Company is the surviving entity), other than a merger in which the Company’s pre-transaction stockholders continue to hold at least 50% of the voting power of the surviving or resulting entity; and (iii) any transaction or series of related transactions that results in the transfer or issuance of equity securities representing more than 50% of the voting power of the Company to any person or group (other than an equity financing transaction primarily for capital-raising purposes). The reverse triangular merger — in which Hargrove’s Merger Sub merges with and into Terravox, Terravox survives as a wholly-owned subsidiary, and all Terravox equity is cancelled for cash — satisfies both prongs (i) and (iii): the Company’s pre-transaction stockholders retain 0% of the voting power of the surviving entity, and the transaction results in the transfer of 100% of the Company’s voting power to Hargrove. The Charter expressly notes that the definition applies</w:t>
      </w:r>
      <w:r>
        <w:t xml:space="preserve"> </w:t>
      </w:r>
      <w:r>
        <w:t xml:space="preserve">“</w:t>
      </w:r>
      <w:r>
        <w:t xml:space="preserve">whether or not the Corporation is the surviving entity,</w:t>
      </w:r>
      <w:r>
        <w:t xml:space="preserve">”</w:t>
      </w:r>
      <w:r>
        <w:t xml:space="preserve"> </w:t>
      </w:r>
      <w:r>
        <w:t xml:space="preserve">confirming that a reverse triangular merger is captured. The merger therefore triggers both Section 4.3.6(a)(vi) and Section 4.3.6(b)(i).</w:t>
      </w:r>
    </w:p>
    <w:p>
      <w:pPr>
        <w:pStyle w:val="BodyText"/>
      </w:pPr>
      <w:r>
        <w:rPr>
          <w:b/>
          <w:bCs/>
        </w:rPr>
        <w:t xml:space="preserve">E. Stockholders’ Agreement — Drag-Along (Article 3)</w:t>
      </w:r>
    </w:p>
    <w:p>
      <w:pPr>
        <w:pStyle w:val="BodyText"/>
      </w:pPr>
      <w:r>
        <w:t xml:space="preserve">The SHA’s drag-along provisions (Section 3.1) impose obligations on all</w:t>
      </w:r>
      <w:r>
        <w:t xml:space="preserve"> </w:t>
      </w:r>
      <w:r>
        <w:t xml:space="preserve">“</w:t>
      </w:r>
      <w:r>
        <w:t xml:space="preserve">Restricted Stockholders</w:t>
      </w:r>
      <w:r>
        <w:t xml:space="preserve">”</w:t>
      </w:r>
      <w:r>
        <w:t xml:space="preserve"> </w:t>
      </w:r>
      <w:r>
        <w:t xml:space="preserve">(including Stonemill) to vote in favor of a</w:t>
      </w:r>
      <w:r>
        <w:t xml:space="preserve"> </w:t>
      </w:r>
      <w:r>
        <w:t xml:space="preserve">“</w:t>
      </w:r>
      <w:r>
        <w:t xml:space="preserve">Sale of the Company</w:t>
      </w:r>
      <w:r>
        <w:t xml:space="preserve">”</w:t>
      </w:r>
      <w:r>
        <w:t xml:space="preserve"> </w:t>
      </w:r>
      <w:r>
        <w:t xml:space="preserve">when a</w:t>
      </w:r>
      <w:r>
        <w:t xml:space="preserve"> </w:t>
      </w:r>
      <w:r>
        <w:t xml:space="preserve">“</w:t>
      </w:r>
      <w:r>
        <w:t xml:space="preserve">Drag-Along Approval</w:t>
      </w:r>
      <w:r>
        <w:t xml:space="preserve">”</w:t>
      </w:r>
      <w:r>
        <w:t xml:space="preserve"> </w:t>
      </w:r>
      <w:r>
        <w:t xml:space="preserve">is obtained. The drag-along is analyzed in detail in Section III below. For purposes of the consent map: the drag-along is not itself a separate</w:t>
      </w:r>
      <w:r>
        <w:t xml:space="preserve"> </w:t>
      </w:r>
      <w:r>
        <w:rPr>
          <w:i/>
          <w:iCs/>
        </w:rPr>
        <w:t xml:space="preserve">consent requirement</w:t>
      </w:r>
      <w:r>
        <w:t xml:space="preserve"> </w:t>
      </w:r>
      <w:r>
        <w:t xml:space="preserve">that must be satisfied to close; rather, it is a</w:t>
      </w:r>
      <w:r>
        <w:t xml:space="preserve"> </w:t>
      </w:r>
      <w:r>
        <w:rPr>
          <w:i/>
          <w:iCs/>
        </w:rPr>
        <w:t xml:space="preserve">mechanism</w:t>
      </w:r>
      <w:r>
        <w:t xml:space="preserve"> </w:t>
      </w:r>
      <w:r>
        <w:t xml:space="preserve">that, if validly triggered, compels objecting stockholders (potentially including Stonemill) to provide the votes/consents required by the Charter and the DGCL. The drag-along does not eliminate the need for the Series C separate-class consent — at most, it compels Stonemill to</w:t>
      </w:r>
      <w:r>
        <w:t xml:space="preserve"> </w:t>
      </w:r>
      <w:r>
        <w:rPr>
          <w:i/>
          <w:iCs/>
        </w:rPr>
        <w:t xml:space="preserve">provide</w:t>
      </w:r>
      <w:r>
        <w:t xml:space="preserve"> </w:t>
      </w:r>
      <w:r>
        <w:t xml:space="preserve">that consent.</w:t>
      </w:r>
    </w:p>
    <w:p>
      <w:pPr>
        <w:pStyle w:val="BodyText"/>
      </w:pPr>
      <w:r>
        <w:rPr>
          <w:b/>
          <w:bCs/>
        </w:rPr>
        <w:t xml:space="preserve">F. Board Approval of the Merger Agreement</w:t>
      </w:r>
    </w:p>
    <w:p>
      <w:pPr>
        <w:pStyle w:val="BodyText"/>
      </w:pPr>
      <w:r>
        <w:t xml:space="preserve">The Terravox Board must approve the definitive merger agreement. Under the Bylaws (Section 3.7), a majority of the total number of directors then in office (4 of 7) constitutes a quorum, and the act of a majority of directors present at a meeting at which a quorum is present is the act of the Board. The Board has already authorized management to negotiate definitive documentation (6-1, with Mr. Trask voting against, at the September 25, 2024 meeting). Final Board approval of the signed merger agreement will require a majority of the directors present at a duly noticed meeting with quorum. Mr. Trask is expected to oppose, but can be outvoted (the other six directors have consistently supported the process). Board approval is therefore obtainable but will be contested by Mr. Trask, which creates a documented record of dissent relevant to the fiduciary-duty analysis in Section X.</w:t>
      </w:r>
    </w:p>
    <w:p>
      <w:pPr>
        <w:pStyle w:val="BodyText"/>
      </w:pPr>
      <w:r>
        <w:rPr>
          <w:b/>
          <w:bCs/>
        </w:rPr>
        <w:t xml:space="preserve">G. Merger Sub Board and Stockholder Approval</w:t>
      </w:r>
    </w:p>
    <w:p>
      <w:pPr>
        <w:pStyle w:val="BodyText"/>
      </w:pPr>
      <w:r>
        <w:t xml:space="preserve">Merger Sub’s board (initially Hargrove designees) and sole stockholder (Hargrove) must approve the merger agreement. These approvals are entirely within Hargrove’s control and present no diligence concern.</w:t>
      </w:r>
    </w:p>
    <w:p>
      <w:pPr>
        <w:pStyle w:val="BodyText"/>
      </w:pPr>
      <w:r>
        <w:rPr>
          <w:b/>
          <w:bCs/>
        </w:rPr>
        <w:t xml:space="preserve">H. Third-Party Consents — Change-of-Control Provisions</w:t>
      </w:r>
    </w:p>
    <w:p>
      <w:pPr>
        <w:pStyle w:val="BodyText"/>
      </w:pPr>
      <w:r>
        <w:t xml:space="preserve">The merger will constitute a change of control of the Company. We have not yet reviewed the Company’s material commercial contracts for change-of-control or assignment provisions. Two contracts warrant particular attention: (i) the Clearfield National Bank term loan ($12 million), which is secured by substantially all of the Company’s assets (including intellectual property) and almost certainly contains change-of-control covenants that may require lender consent or trigger acceleration; and (ii) the Permian Basin Energy Co. master services agreement (up to $15 million over three years), which may contain change-of-control termination rights. These are flagged for document request and review. The reverse triangular merger structure (in which Terravox survives as a legal entity) may mitigate some assignment/consent issues, because the contracting entity continues to exist — but change-of-control provisions are typically triggered by the transfer of beneficial ownership regardless of entity continuity, so this mitigation is not assured.</w:t>
      </w:r>
    </w:p>
    <w:p>
      <w:pPr>
        <w:pStyle w:val="BodyText"/>
      </w:pPr>
      <w:r>
        <w:rPr>
          <w:b/>
          <w:bCs/>
        </w:rPr>
        <w:t xml:space="preserve">I. Consent Checklist Summary</w:t>
      </w:r>
    </w:p>
    <w:p>
      <w:pPr>
        <w:pStyle w:val="BodyText"/>
      </w:pPr>
      <w:r>
        <w:t xml:space="preserve">A consolidated consent/approval matrix, including current status, appears in Appendix A. The critical takeaway: the DGCL 251 Vote and the all-Preferred consent (Section 4.3.6(a)) can be obtained without Stonemill; the Series C separate-class consent (Section 4.3.6(b)) cannot. The Series C separate-class consent is the gating item.</w:t>
      </w:r>
    </w:p>
    <w:p>
      <w:pPr>
        <w:pStyle w:val="BodyText"/>
      </w:pPr>
      <w:r>
        <w:rPr>
          <w:b/>
        </w:rPr>
        <w:t>J. Charter Section 4.3.2(d) — Twenty-Day Liquidation Event Notice (Procedural Prerequisite)</w:t>
      </w:r>
    </w:p>
    <w:p>
      <w:pPr>
        <w:pStyle w:val="BodyText"/>
      </w:pPr>
      <w:r>
        <w:t>In addition to the consents above, the Charter imposes a procedural notice obligation that must be satisfied before closing. Section 4.3.2(d) provides that the Company “shall provide written notice of any proposed Liquidation Event to each holder of Preferred Stock not less than twenty (20) days prior to the anticipated closing date of such Liquidation Event,” which notice must set forth “in reasonable detail the material terms and conditions thereof, the anticipated closing date, and a good faith estimate of the per-share amounts expected to be distributable to the holders of each series of Preferred Stock and to the holders of Common Stock.” This 20-day notice is a distinct prerequisite to closing. It is not a consent right (it does not give Preferred holders a veto), but failure to provide timely, adequate notice could be raised by Stonemill as a procedural defect and could support an argument that the Liquidation Event was not properly effected under the Charter. The notice must be calendared so that it is delivered at least 20 days before the anticipated closing date, and the good-faith per-share estimates must be prepared and should accurately reflect the waterfall (including that Series C receives its $18.50 preference — see Section X.D). This item is reflected in the consent matrix in Appendix A.</w:t>
      </w:r>
    </w:p>
    <w:p>
      <w:pPr>
        <w:pStyle w:val="BodyText"/>
      </w:pPr>
      <w:r>
        <w:rPr>
          <w:b/>
        </w:rPr>
        <w:t>K. Charter Amendment Protective Provisions — Sections 4.3.6(a)(i) and (b)(ii)</w:t>
      </w:r>
    </w:p>
    <w:p>
      <w:pPr>
        <w:pStyle w:val="BodyText"/>
      </w:pPr>
      <w:r>
        <w:t>A separate question is whether the merger independently triggers the Charter’s amendment protective provisions in addition to the Liquidation Event provisions. Section 4.3.6(a)(i) requires the all-Preferred consent (majority, as-converted) to “amend, alter, or repeal any provision of this Restated Certificate or the Bylaws of the Corporation in a manner that adversely affects the powers, preferences, or special rights of the Preferred Stock.” Section 4.3.6(b)(ii) requires the Series C separate-class consent (66⅔%) to “amend, alter, or waive any provision of this Restated Certificate in a manner that adversely and disproportionately affects the powers, preferences, or special rights of the Series C Preferred Stock relative to the other series of Preferred Stock.” If the merger is effectuated through a certificate of merger that amends the surviving entity’s Charter (as is common where the surviving corporation’s charter is restated or modified in the merger), these amendment protective provisions are independently triggered. The all-Preferred consent for (a)(i) is the same consent required for (a)(vi) (the Liquidation Event) and is satisfiable without Stonemill. However, (b)(ii) requires the Series C separate-class consent — the same 66⅔% Series C vote that only Stonemill can provide. Thus, if the merger structure requires a Charter amendment that adversely and disproportionately affects Series C, Stonemill holds an additional, independent veto under (b)(ii) on top of the (b)(i) Liquidation Event veto. Even if the merger is structured to avoid a formal Charter amendment (e.g., by cancelling all stock without amending the charter), a counterparty could argue that the cancellation and elimination of the Preferred Stock’s rights “adversely affect” the Preferred within the meaning of (a)(i) and (b)(ii). We recommend confirming with the Company’s counsel whether the merger structure requires a Charter amendment and, if so, ensuring that (b)(ii) is addressed in the consent plan (it presents the same Series C veto as (b)(i)). This is reflected in the consent matrix in Appendix A.</w:t>
      </w:r>
    </w:p>
    <w:p>
      <w:r>
        <w:pict>
          <v:rect style="width:0;height:1.5pt" o:hralign="center" o:hrstd="t" o:hr="t"/>
        </w:pict>
      </w:r>
    </w:p>
    <w:bookmarkEnd w:id="21"/>
    <w:bookmarkStart w:id="22" w:name="iii.-drag-along-analysis"/>
    <w:p>
      <w:pPr>
        <w:pStyle w:val="Heading3"/>
      </w:pPr>
      <w:r>
        <w:t xml:space="preserve">III. DRAG-ALONG ANALYSIS</w:t>
      </w:r>
    </w:p>
    <w:p>
      <w:pPr>
        <w:pStyle w:val="FirstParagraph"/>
      </w:pPr>
      <w:r>
        <w:t xml:space="preserve">The SHA’s drag-along (Article 3) is the principal contractual mechanism by which the Company might close over Stonemill’s objection. This section analyzes (A) whether the drag-along can be</w:t>
      </w:r>
      <w:r>
        <w:t xml:space="preserve"> </w:t>
      </w:r>
      <w:r>
        <w:rPr>
          <w:i/>
          <w:iCs/>
        </w:rPr>
        <w:t xml:space="preserve">triggered</w:t>
      </w:r>
      <w:r>
        <w:t xml:space="preserve"> </w:t>
      </w:r>
      <w:r>
        <w:t xml:space="preserve">without Stonemill, and (B) whether, once triggered, it can</w:t>
      </w:r>
      <w:r>
        <w:t xml:space="preserve"> </w:t>
      </w:r>
      <w:r>
        <w:rPr>
          <w:i/>
          <w:iCs/>
        </w:rPr>
        <w:t xml:space="preserve">override</w:t>
      </w:r>
      <w:r>
        <w:t xml:space="preserve"> </w:t>
      </w:r>
      <w:r>
        <w:t xml:space="preserve">Stonemill’s charter-level Series C veto.</w:t>
      </w:r>
    </w:p>
    <w:p>
      <w:pPr>
        <w:pStyle w:val="BodyText"/>
      </w:pPr>
      <w:r>
        <w:rPr>
          <w:b/>
          <w:bCs/>
        </w:rPr>
        <w:t xml:space="preserve">A. The Three-Pronged Trigger — Can It Be Satisfied Without Stonemill?</w:t>
      </w:r>
    </w:p>
    <w:p>
      <w:pPr>
        <w:pStyle w:val="BodyText"/>
      </w:pPr>
      <w:r>
        <w:t xml:space="preserve">Section 3.1(a) provides that a</w:t>
      </w:r>
      <w:r>
        <w:t xml:space="preserve"> </w:t>
      </w:r>
      <w:r>
        <w:t xml:space="preserve">“</w:t>
      </w:r>
      <w:r>
        <w:t xml:space="preserve">Drag-Along Approval</w:t>
      </w:r>
      <w:r>
        <w:t xml:space="preserve">”</w:t>
      </w:r>
      <w:r>
        <w:t xml:space="preserve"> </w:t>
      </w:r>
      <w:r>
        <w:t xml:space="preserve">requires the satisfaction of</w:t>
      </w:r>
      <w:r>
        <w:t xml:space="preserve"> </w:t>
      </w:r>
      <w:r>
        <w:rPr>
          <w:i/>
          <w:iCs/>
        </w:rPr>
        <w:t xml:space="preserve">all three</w:t>
      </w:r>
      <w:r>
        <w:t xml:space="preserve"> </w:t>
      </w:r>
      <w:r>
        <w:t xml:space="preserve">of the following conditions:</w:t>
      </w:r>
    </w:p>
    <w:p>
      <w:pPr>
        <w:numPr>
          <w:ilvl w:val="0"/>
          <w:numId w:val="1002"/>
        </w:numPr>
      </w:pPr>
      <w:r>
        <w:rPr>
          <w:b/>
          <w:bCs/>
        </w:rPr>
        <w:t xml:space="preserve">Prong (i) — Majority of Common (as-converted).</w:t>
      </w:r>
      <w:r>
        <w:t xml:space="preserve"> </w:t>
      </w:r>
      <w:r>
        <w:t xml:space="preserve">Holders of at least a majority of the outstanding shares of Common Stock, calculated on an as-converted to Common Stock basis (treating each share of Preferred Stock as converted), must approve the Sale of the Company. This is, in substance, the same as the DGCL 251 Vote — a majority of all outstanding shares voting together as a single class on an as-converted basis. On a fully diluted basis of approximately 33,900,000 shares, this requires more than 16,950,000 shares.</w:t>
      </w:r>
    </w:p>
    <w:p>
      <w:pPr>
        <w:numPr>
          <w:ilvl w:val="0"/>
          <w:numId w:val="1002"/>
        </w:numPr>
      </w:pPr>
      <w:r>
        <w:rPr>
          <w:b/>
          <w:bCs/>
        </w:rPr>
        <w:t xml:space="preserve">Prong (ii) — Majority of Preferred (as-converted, single class).</w:t>
      </w:r>
      <w:r>
        <w:t xml:space="preserve"> </w:t>
      </w:r>
      <w:r>
        <w:t xml:space="preserve">Holders of at least a majority of the outstanding shares of Preferred Stock, calculated on an as-converted basis and voting together as a single class, must approve. This requires more than 8,250,000 of the 16,500,000 outstanding Preferred shares (as-converted).</w:t>
      </w:r>
    </w:p>
    <w:p>
      <w:pPr>
        <w:numPr>
          <w:ilvl w:val="0"/>
          <w:numId w:val="1002"/>
        </w:numPr>
      </w:pPr>
      <w:r>
        <w:rPr>
          <w:b/>
          <w:bCs/>
        </w:rPr>
        <w:t xml:space="preserve">Prong (iii) — At Least Two of Three Investor Stockholders.</w:t>
      </w:r>
      <w:r>
        <w:t xml:space="preserve"> </w:t>
      </w:r>
      <w:r>
        <w:t xml:space="preserve">At least two of the three Investor Stockholders (Ridgeline, Northbridge, Stonemill) must approve.</w:t>
      </w:r>
    </w:p>
    <w:p>
      <w:pPr>
        <w:pStyle w:val="FirstParagraph"/>
      </w:pPr>
      <w:r>
        <w:t xml:space="preserve">Running the numbers</w:t>
      </w:r>
      <w:r>
        <w:t xml:space="preserve"> </w:t>
      </w:r>
      <w:r>
        <w:rPr>
          <w:i/>
          <w:iCs/>
        </w:rPr>
        <w:t xml:space="preserve">without Stonemill’s participation</w:t>
      </w:r>
      <w:r>
        <w:t xml:space="preserve"> </w:t>
      </w:r>
      <w:r>
        <w:t xml:space="preserve">(i.e., assuming Stonemill votes against):</w:t>
      </w:r>
    </w:p>
    <w:p>
      <w:pPr>
        <w:numPr>
          <w:ilvl w:val="0"/>
          <w:numId w:val="1003"/>
        </w:numPr>
      </w:pPr>
      <w:r>
        <w:rPr>
          <w:b/>
          <w:bCs/>
        </w:rPr>
        <w:t xml:space="preserve">Prong (iii): SATISFIED.</w:t>
      </w:r>
      <w:r>
        <w:t xml:space="preserve"> </w:t>
      </w:r>
      <w:r>
        <w:t xml:space="preserve">Ridgeline and Northbridge together constitute two of the three Investor Stockholders. This prong is met without Stonemill.</w:t>
      </w:r>
    </w:p>
    <w:p>
      <w:pPr>
        <w:numPr>
          <w:ilvl w:val="0"/>
          <w:numId w:val="1003"/>
        </w:numPr>
      </w:pPr>
      <w:r>
        <w:rPr>
          <w:b/>
          <w:bCs/>
        </w:rPr>
        <w:t xml:space="preserve">Prong (ii): SATISFIED.</w:t>
      </w:r>
      <w:r>
        <w:t xml:space="preserve"> </w:t>
      </w:r>
      <w:r>
        <w:t xml:space="preserve">Ridgeline (3,500,000 Series A) and Northbridge (5,200,000 Series B) together hold 8,700,000 Preferred shares (as-converted), which exceeds the 8,250,000-share threshold. This prong is met without Stonemill, but only if</w:t>
      </w:r>
      <w:r>
        <w:t xml:space="preserve"> </w:t>
      </w:r>
      <w:r>
        <w:rPr>
          <w:i/>
          <w:iCs/>
        </w:rPr>
        <w:t xml:space="preserve">both</w:t>
      </w:r>
      <w:r>
        <w:t xml:space="preserve"> </w:t>
      </w:r>
      <w:r>
        <w:t xml:space="preserve">Ridgeline and Northbridge consent. The margin is 450,000 shares — there is no room for either Ridgeline or Northbridge to withhold.</w:t>
      </w:r>
    </w:p>
    <w:p>
      <w:pPr>
        <w:numPr>
          <w:ilvl w:val="0"/>
          <w:numId w:val="1003"/>
        </w:numPr>
      </w:pPr>
      <w:r>
        <w:rPr>
          <w:b/>
          <w:bCs/>
        </w:rPr>
        <w:t xml:space="preserve">Prong (i): SATISFIABLE, BUT DEPENDENT ON NON-PARTY COMMON HOLDERS.</w:t>
      </w:r>
      <w:r>
        <w:t xml:space="preserve"> </w:t>
      </w:r>
      <w:r>
        <w:t xml:space="preserve">The parties to the SHA (excluding Stonemill) — the Founders (Marcus Ellery and Priya Chandrasekaran, holding 7,300,000 Common shares collectively) plus Ridgeline (3,500,000) and Northbridge (5,200,000) — together hold 16,000,000 shares on an as-converted basis. This is</w:t>
      </w:r>
      <w:r>
        <w:t xml:space="preserve"> </w:t>
      </w:r>
      <w:r>
        <w:rPr>
          <w:i/>
          <w:iCs/>
        </w:rPr>
        <w:t xml:space="preserve">short</w:t>
      </w:r>
      <w:r>
        <w:t xml:space="preserve"> </w:t>
      </w:r>
      <w:r>
        <w:t xml:space="preserve">of the 16,950,000-share threshold by approximately 950,000 shares. The remaining approximately 10,100,000 shares (the</w:t>
      </w:r>
      <w:r>
        <w:t xml:space="preserve"> </w:t>
      </w:r>
      <w:r>
        <w:t xml:space="preserve">“</w:t>
      </w:r>
      <w:r>
        <w:t xml:space="preserve">Various Common Holders / Option Pool</w:t>
      </w:r>
      <w:r>
        <w:t xml:space="preserve">”</w:t>
      </w:r>
      <w:r>
        <w:t xml:space="preserve"> </w:t>
      </w:r>
      <w:r>
        <w:t xml:space="preserve">reflected in SHA Exhibit B) are</w:t>
      </w:r>
      <w:r>
        <w:t xml:space="preserve"> </w:t>
      </w:r>
      <w:r>
        <w:rPr>
          <w:i/>
          <w:iCs/>
        </w:rPr>
        <w:t xml:space="preserve">not</w:t>
      </w:r>
      <w:r>
        <w:t xml:space="preserve"> </w:t>
      </w:r>
      <w:r>
        <w:t xml:space="preserve">parties to the SHA (the SHA’s</w:t>
      </w:r>
      <w:r>
        <w:t xml:space="preserve"> </w:t>
      </w:r>
      <w:r>
        <w:t xml:space="preserve">“</w:t>
      </w:r>
      <w:r>
        <w:t xml:space="preserve">Key Holder</w:t>
      </w:r>
      <w:r>
        <w:t xml:space="preserve">”</w:t>
      </w:r>
      <w:r>
        <w:t xml:space="preserve"> </w:t>
      </w:r>
      <w:r>
        <w:t xml:space="preserve">definition permits joinder, but Exhibit B lists these holders as a separate, non-party category). Prong (i) therefore cannot be satisfied by the SHA parties alone; it requires the affirmative vote of at least approximately 950,000 shares held by non-party common/option holders. In a cash-out merger in which common holders receive approximately $12.59 per share (per the waterfall analysis in Section IX), holders with cost bases below that level (including RSU holders, who have no exercise price) have a strong economic incentive to support the transaction. We assess it as likely, but not certain, that sufficient non-party common support can be obtained.</w:t>
      </w:r>
      <w:r>
        <w:t xml:space="preserve"> </w:t>
      </w:r>
      <w:r>
        <w:rPr>
          <w:b/>
          <w:bCs/>
        </w:rPr>
        <w:t xml:space="preserve">This is a dependency that must be confirmed before relying on the drag-along.</w:t>
      </w:r>
    </w:p>
    <w:p>
      <w:pPr>
        <w:pStyle w:val="FirstParagraph"/>
      </w:pPr>
      <w:r>
        <w:rPr>
          <w:b/>
          <w:bCs/>
        </w:rPr>
        <w:t xml:space="preserve">Conclusion on trigger:</w:t>
      </w:r>
      <w:r>
        <w:t xml:space="preserve"> </w:t>
      </w:r>
      <w:r>
        <w:t xml:space="preserve">The drag-along</w:t>
      </w:r>
      <w:r>
        <w:t xml:space="preserve"> </w:t>
      </w:r>
      <w:r>
        <w:rPr>
          <w:i/>
          <w:iCs/>
        </w:rPr>
        <w:t xml:space="preserve">can</w:t>
      </w:r>
      <w:r>
        <w:t xml:space="preserve"> </w:t>
      </w:r>
      <w:r>
        <w:t xml:space="preserve">be triggered without Stonemill, provided that (a) both Ridgeline and Northbridge consent (necessary for prongs (ii) and (iii)), and (b) at least approximately 950,000 shares of non-party common/option holders vote in favor (necessary for prong (i)). If those conditions are met, the Drag-Along Approval is obtained and the drag-along obligations attach to all Restricted Stockholders, including Stonemill.</w:t>
      </w:r>
    </w:p>
    <w:p>
      <w:pPr>
        <w:pStyle w:val="BodyText"/>
      </w:pPr>
      <w:r>
        <w:rPr>
          <w:b/>
          <w:bCs/>
        </w:rPr>
        <w:t xml:space="preserve">B. Can the Drag-Along Override the Charter’s Series C Separate-Class Veto?</w:t>
      </w:r>
    </w:p>
    <w:p>
      <w:pPr>
        <w:pStyle w:val="BodyText"/>
      </w:pPr>
      <w:r>
        <w:t xml:space="preserve">This is the central legal question. If the drag-along is validly triggered, Section 3.1(a)(A) obligates each Restricted Stockholder — including Stonemill — to</w:t>
      </w:r>
      <w:r>
        <w:t xml:space="preserve"> </w:t>
      </w:r>
      <w:r>
        <w:t xml:space="preserve">“</w:t>
      </w:r>
      <w:r>
        <w:t xml:space="preserve">vote (in person, by proxy, or by written consent) all Shares held by such Restricted Stockholder in favor of such Sale of the Company and in favor of any other matter required to be approved in connection with such Sale of the Company.</w:t>
      </w:r>
      <w:r>
        <w:t xml:space="preserve">”</w:t>
      </w:r>
      <w:r>
        <w:t xml:space="preserve"> </w:t>
      </w:r>
      <w:r>
        <w:t xml:space="preserve">Section 3.3 reinforces this with an irrevocable proxy, coupled with an interest, granted to the holders constituting the Drag-Along Approval, to vote the dragged stockholder’s shares in favor of the Sale. Read literally, the drag-along would compel Stonemill to vote its 7,800,000 Series C shares in favor of the merger — which would constitute 100% of the Series C vote and would therefore</w:t>
      </w:r>
      <w:r>
        <w:t xml:space="preserve"> </w:t>
      </w:r>
      <w:r>
        <w:rPr>
          <w:i/>
          <w:iCs/>
        </w:rPr>
        <w:t xml:space="preserve">satisfy</w:t>
      </w:r>
      <w:r>
        <w:t xml:space="preserve"> </w:t>
      </w:r>
      <w:r>
        <w:t xml:space="preserve">(not</w:t>
      </w:r>
      <w:r>
        <w:t xml:space="preserve"> </w:t>
      </w:r>
      <w:r>
        <w:t xml:space="preserve">“</w:t>
      </w:r>
      <w:r>
        <w:t xml:space="preserve">override</w:t>
      </w:r>
      <w:r>
        <w:t xml:space="preserve">”</w:t>
      </w:r>
      <w:r>
        <w:t xml:space="preserve">) the 66⅔% Series C separate-class requirement under Charter Section 4.3.6(b).</w:t>
      </w:r>
    </w:p>
    <w:p>
      <w:pPr>
        <w:pStyle w:val="BodyText"/>
      </w:pPr>
      <w:r>
        <w:rPr>
          <w:b/>
          <w:bCs/>
        </w:rPr>
        <w:t xml:space="preserve">Arguments in favor of enforceability:</w:t>
      </w:r>
    </w:p>
    <w:p>
      <w:pPr>
        <w:numPr>
          <w:ilvl w:val="0"/>
          <w:numId w:val="1004"/>
        </w:numPr>
      </w:pPr>
      <w:r>
        <w:rPr>
          <w:b/>
          <w:bCs/>
        </w:rPr>
        <w:t xml:space="preserve">Delaware enforces drag-alongs.</w:t>
      </w:r>
      <w:r>
        <w:t xml:space="preserve"> </w:t>
      </w:r>
      <w:r>
        <w:t xml:space="preserve">Delaware courts have held that drag-along provisions are valid, enforceable contractual mechanisms by which stockholders pre-agree to vote in favor of a qualifying sale. In</w:t>
      </w:r>
      <w:r>
        <w:t xml:space="preserve"> </w:t>
      </w:r>
      <w:r>
        <w:rPr>
          <w:i/>
          <w:iCs/>
        </w:rPr>
        <w:t xml:space="preserve">NHS Systems, Inc. v. Stericycle, Inc.</w:t>
      </w:r>
      <w:r>
        <w:t xml:space="preserve">, C.A. No. 2019-0828-SG (Del. Ch. Jan. 14, 2020), the Court of Chancery enforced a drag-along to compel an objecting stockholder to vote in favor of a merger and rejected the argument that the dragged stockholder’s separate consent was still required. The court treated the drag-along as a valid pre-commitment to vote.</w:t>
      </w:r>
    </w:p>
    <w:p>
      <w:pPr>
        <w:numPr>
          <w:ilvl w:val="0"/>
          <w:numId w:val="1004"/>
        </w:numPr>
      </w:pPr>
      <w:r>
        <w:rPr>
          <w:b/>
          <w:bCs/>
        </w:rPr>
        <w:t xml:space="preserve">The drag-along does not</w:t>
      </w:r>
      <w:r>
        <w:rPr>
          <w:b/>
          <w:bCs/>
        </w:rPr>
        <w:t xml:space="preserve"> </w:t>
      </w:r>
      <w:r>
        <w:rPr>
          <w:b/>
          <w:bCs/>
        </w:rPr>
        <w:t xml:space="preserve">“</w:t>
      </w:r>
      <w:r>
        <w:rPr>
          <w:b/>
          <w:bCs/>
        </w:rPr>
        <w:t xml:space="preserve">waive</w:t>
      </w:r>
      <w:r>
        <w:rPr>
          <w:b/>
          <w:bCs/>
        </w:rPr>
        <w:t xml:space="preserve">”</w:t>
      </w:r>
      <w:r>
        <w:rPr>
          <w:b/>
          <w:bCs/>
        </w:rPr>
        <w:t xml:space="preserve"> </w:t>
      </w:r>
      <w:r>
        <w:rPr>
          <w:b/>
          <w:bCs/>
        </w:rPr>
        <w:t xml:space="preserve">the Charter right; it produces the vote that satisfies it.</w:t>
      </w:r>
      <w:r>
        <w:t xml:space="preserve"> </w:t>
      </w:r>
      <w:r>
        <w:t xml:space="preserve">The Series C separate-class provision requires 66⅔% of Series C to consent. If the drag-along compels Stonemill (holding 100% of Series C) to vote in favor, the 66⅔% threshold is met on the merits. The Charter protective provision is honored, not circumvented. Stonemill, as both a Series C holder and a party to the SHA, voluntarily agreed (via the drag-along) to be bound to vote in favor when the specified thresholds are met.</w:t>
      </w:r>
    </w:p>
    <w:p>
      <w:pPr>
        <w:numPr>
          <w:ilvl w:val="0"/>
          <w:numId w:val="1004"/>
        </w:numPr>
      </w:pPr>
      <w:r>
        <w:rPr>
          <w:b/>
          <w:bCs/>
        </w:rPr>
        <w:t xml:space="preserve">The irrevocable proxy is coupled with an interest.</w:t>
      </w:r>
      <w:r>
        <w:t xml:space="preserve"> </w:t>
      </w:r>
      <w:r>
        <w:t xml:space="preserve">Section 3.3’s irrevocable proxy, stated to be</w:t>
      </w:r>
      <w:r>
        <w:t xml:space="preserve"> </w:t>
      </w:r>
      <w:r>
        <w:t xml:space="preserve">“</w:t>
      </w:r>
      <w:r>
        <w:t xml:space="preserve">coupled with an interest,</w:t>
      </w:r>
      <w:r>
        <w:t xml:space="preserve">”</w:t>
      </w:r>
      <w:r>
        <w:t xml:space="preserve"> </w:t>
      </w:r>
      <w:r>
        <w:t xml:space="preserve">strengthens the enforceability of the voting obligation under Delaware law, which generally enforces irrevocable proxies that are coupled with an interest.</w:t>
      </w:r>
    </w:p>
    <w:p>
      <w:pPr>
        <w:pStyle w:val="BodyText"/>
      </w:pPr>
      <w:r>
        <w:t>A fourth consideration favoring enforceability — the SHA contains no charter-control clause. The Voting Agreement (Section 8.3) expressly provides that “in the event of any conflict between the terms of this Agreement and the Restated Certificate, the terms of the Restated Certificate shall control.” The SHA — which contains the drag-along — contains no such subordination clause; its entire-agreement provision (Section 7.3) lists the Restated Certificate among the integrated documents but does not state that the Charter controls in case of conflict. The absence of a charter-control clause in the SHA supports the argument that the SHA parties did not intend the Charter’s protective provisions to override the drag-along, and the presence of such a clause in the Voting Agreement shows the parties knew how to subordinate an agreement to the Charter when they wished to. This distinction cuts in favor of drag-along enforceability. (Caveat: the Voting Agreement’s charter-control clause governs the Voting Agreement’s voting obligations, not the SHA’s drag-along, so the argument is supportive rather than dispositive.)</w:t>
      </w:r>
    </w:p>
    <w:p>
      <w:pPr>
        <w:pStyle w:val="FirstParagraph"/>
      </w:pPr>
      <w:r>
        <w:rPr>
          <w:b/>
          <w:bCs/>
        </w:rPr>
        <w:t xml:space="preserve">Arguments Stonemill is likely to raise:</w:t>
      </w:r>
    </w:p>
    <w:p>
      <w:pPr>
        <w:numPr>
          <w:ilvl w:val="0"/>
          <w:numId w:val="1005"/>
        </w:numPr>
      </w:pPr>
      <w:r>
        <w:rPr>
          <w:b/>
          <w:bCs/>
        </w:rPr>
        <w:t xml:space="preserve">A stockholders’ agreement cannot override a Charter protective provision.</w:t>
      </w:r>
      <w:r>
        <w:t xml:space="preserve"> </w:t>
      </w:r>
      <w:r>
        <w:t xml:space="preserve">Stonemill will argue that the Charter is the supreme corporate document and that a contractual agreement among a subset of stockholders cannot be used to defeat a Charter-granted separate-class veto. The counter is that the drag-along does not defeat the veto — it supplies the votes the Charter requires — but this argument has not been definitively tested in the specific context of a Charter separate-class veto.</w:t>
      </w:r>
    </w:p>
    <w:p>
      <w:pPr>
        <w:numPr>
          <w:ilvl w:val="0"/>
          <w:numId w:val="1005"/>
        </w:numPr>
      </w:pPr>
      <w:r>
        <w:rPr>
          <w:b/>
          <w:bCs/>
        </w:rPr>
        <w:t xml:space="preserve">Circularity /</w:t>
      </w:r>
      <w:r>
        <w:rPr>
          <w:b/>
          <w:bCs/>
        </w:rPr>
        <w:t xml:space="preserve"> </w:t>
      </w:r>
      <w:r>
        <w:rPr>
          <w:b/>
          <w:bCs/>
        </w:rPr>
        <w:t xml:space="preserve">“</w:t>
      </w:r>
      <w:r>
        <w:rPr>
          <w:b/>
          <w:bCs/>
        </w:rPr>
        <w:t xml:space="preserve">approved</w:t>
      </w:r>
      <w:r>
        <w:rPr>
          <w:b/>
          <w:bCs/>
        </w:rPr>
        <w:t xml:space="preserve">”</w:t>
      </w:r>
      <w:r>
        <w:rPr>
          <w:b/>
          <w:bCs/>
        </w:rPr>
        <w:t xml:space="preserve"> </w:t>
      </w:r>
      <w:r>
        <w:rPr>
          <w:b/>
          <w:bCs/>
        </w:rPr>
        <w:t xml:space="preserve">ambiguity.</w:t>
      </w:r>
      <w:r>
        <w:t xml:space="preserve"> </w:t>
      </w:r>
      <w:r>
        <w:t xml:space="preserve">Section 3.1(a) conditions the drag-along on the Sale of the Company being</w:t>
      </w:r>
      <w:r>
        <w:t xml:space="preserve"> </w:t>
      </w:r>
      <w:r>
        <w:t xml:space="preserve">“</w:t>
      </w:r>
      <w:r>
        <w:t xml:space="preserve">approved by</w:t>
      </w:r>
      <w:r>
        <w:t xml:space="preserve">”</w:t>
      </w:r>
      <w:r>
        <w:t xml:space="preserve"> </w:t>
      </w:r>
      <w:r>
        <w:t xml:space="preserve">the three listed constituencies. Stonemill may argue that a Sale of the Company cannot be</w:t>
      </w:r>
      <w:r>
        <w:t xml:space="preserve"> </w:t>
      </w:r>
      <w:r>
        <w:t xml:space="preserve">“</w:t>
      </w:r>
      <w:r>
        <w:t xml:space="preserve">approved</w:t>
      </w:r>
      <w:r>
        <w:t xml:space="preserve">”</w:t>
      </w:r>
      <w:r>
        <w:t xml:space="preserve"> </w:t>
      </w:r>
      <w:r>
        <w:t xml:space="preserve">without the Series C separate-class consent (which only Stonemill can provide), creating a circularity: the drag-along cannot trigger until the Sale is approved, but the Sale cannot be approved until the drag-along compels Stonemill’s consent. The stronger reading is that</w:t>
      </w:r>
      <w:r>
        <w:t xml:space="preserve"> </w:t>
      </w:r>
      <w:r>
        <w:t xml:space="preserve">“</w:t>
      </w:r>
      <w:r>
        <w:t xml:space="preserve">approved by</w:t>
      </w:r>
      <w:r>
        <w:t xml:space="preserve">”</w:t>
      </w:r>
      <w:r>
        <w:t xml:space="preserve"> </w:t>
      </w:r>
      <w:r>
        <w:t xml:space="preserve">refers to the three enumerated thresholds in prongs (i)-(iii), not to full Charter approval — because a drag-along that required the objecting stockholder’s own consent before triggering would be self-defeating and meaningless. But this interpretive question is litigable.</w:t>
      </w:r>
    </w:p>
    <w:p>
      <w:pPr>
        <w:numPr>
          <w:ilvl w:val="0"/>
          <w:numId w:val="1005"/>
        </w:numPr>
      </w:pPr>
      <w:r>
        <w:rPr>
          <w:b/>
          <w:bCs/>
        </w:rPr>
        <w:t xml:space="preserve">Fiduciary limits.</w:t>
      </w:r>
      <w:r>
        <w:t xml:space="preserve"> </w:t>
      </w:r>
      <w:r>
        <w:t xml:space="preserve">Stonemill may argue that a drag-along cannot be used to force a stockholder to accept a transaction that is unfair or that was approved through a conflicted process. In a cash merger in which Series C receives its full liquidation preference, the fairness concern is moderated, but Stonemill could point to the Special Committee composition issues (Section X) and the narrow sale process to argue the transaction is not entirely fair.</w:t>
      </w:r>
    </w:p>
    <w:p>
      <w:pPr>
        <w:numPr>
          <w:ilvl w:val="0"/>
          <w:numId w:val="1005"/>
        </w:numPr>
      </w:pPr>
      <w:r>
        <w:rPr>
          <w:b/>
          <w:bCs/>
        </w:rPr>
        <w:t xml:space="preserve">Injunctive relief.</w:t>
      </w:r>
      <w:r>
        <w:t xml:space="preserve"> </w:t>
      </w:r>
      <w:r>
        <w:t xml:space="preserve">Even if the drag-along is ultimately enforceable, Stonemill can seek a preliminary injunction to prevent closing pending resolution, which would jeopardize the Q1 2025 target.</w:t>
      </w:r>
    </w:p>
    <w:p>
      <w:pPr>
        <w:pStyle w:val="FirstParagraph"/>
      </w:pPr>
      <w:r>
        <w:rPr>
          <w:b/>
          <w:bCs/>
        </w:rPr>
        <w:t xml:space="preserve">Our assessment:</w:t>
      </w:r>
      <w:r>
        <w:t xml:space="preserve"> </w:t>
      </w:r>
      <w:r>
        <w:t xml:space="preserve">The drag-along is</w:t>
      </w:r>
      <w:r>
        <w:t xml:space="preserve"> </w:t>
      </w:r>
      <w:r>
        <w:rPr>
          <w:i/>
          <w:iCs/>
        </w:rPr>
        <w:t xml:space="preserve">probably</w:t>
      </w:r>
      <w:r>
        <w:t xml:space="preserve"> </w:t>
      </w:r>
      <w:r>
        <w:t xml:space="preserve">enforceable to compel Stonemill’s Series C vote, consistent with the Delaware trend of enforcing drag-alongs (including</w:t>
      </w:r>
      <w:r>
        <w:t xml:space="preserve"> </w:t>
      </w:r>
      <w:r>
        <w:rPr>
          <w:i/>
          <w:iCs/>
        </w:rPr>
        <w:t xml:space="preserve">NHS Systems</w:t>
      </w:r>
      <w:r>
        <w:t xml:space="preserve">). However, the specific question of whether a contractual drag-along can compel a stockholder to satisfy a Charter-level separate-class veto is not definitively settled by Delaware authority, and the outcome would likely turn on the specific language, the fairness of the process, and the court’s view of the circularity argument.</w:t>
      </w:r>
      <w:r>
        <w:t xml:space="preserve"> </w:t>
      </w:r>
      <w:r>
        <w:rPr>
          <w:b/>
          <w:bCs/>
        </w:rPr>
        <w:t xml:space="preserve">This is not a clean, low-risk path to closing.</w:t>
      </w:r>
      <w:r>
        <w:t xml:space="preserve"> </w:t>
      </w:r>
      <w:r>
        <w:t xml:space="preserve">Litigation is probable, and injunctive relief could delay or derail the Q1 2025 timeline.</w:t>
      </w:r>
    </w:p>
    <w:p>
      <w:pPr>
        <w:pStyle w:val="BodyText"/>
      </w:pPr>
      <w:r>
        <w:rPr>
          <w:b/>
          <w:bCs/>
        </w:rPr>
        <w:t xml:space="preserve">Recommendation:</w:t>
      </w:r>
      <w:r>
        <w:t xml:space="preserve"> </w:t>
      </w:r>
      <w:r>
        <w:t xml:space="preserve">Do not rely on the drag-along as the primary path to closing. Instead: (i) negotiate to obtain Stonemill’s Series C separate-class consent as the cleanest path; (ii) use the existence of a validly-triggerable drag-along as leverage in those negotiations (the credible threat that Stonemill could be dragged, and would then receive only its $18.50 preference with no side benefit, may encourage a negotiated resolution); and (iii) preserve the drag-along as a fallback if negotiations fail, while building the record (fair process, full disclosure, fair price) to maximize the prospects of enforcement and defeat any injunction.</w:t>
      </w:r>
    </w:p>
    <w:p>
      <w:pPr>
        <w:pStyle w:val="BodyText"/>
      </w:pPr>
      <w:r>
        <w:rPr>
          <w:b/>
          <w:bCs/>
        </w:rPr>
        <w:t xml:space="preserve">C. Drag-Along Terms — Limitations Relevant to Negotiation</w:t>
      </w:r>
    </w:p>
    <w:p>
      <w:pPr>
        <w:pStyle w:val="BodyText"/>
      </w:pPr>
      <w:r>
        <w:t xml:space="preserve">Section 3.2 imposes several limitations on the drag-along that are favorable to dragged stockholders and relevant to deal structuring:</w:t>
      </w:r>
    </w:p>
    <w:p>
      <w:pPr>
        <w:numPr>
          <w:ilvl w:val="0"/>
          <w:numId w:val="1006"/>
        </w:numPr>
      </w:pPr>
      <w:r>
        <w:rPr>
          <w:b/>
          <w:bCs/>
        </w:rPr>
        <w:t xml:space="preserve">Pro rata consideration, subject to the waterfall.</w:t>
      </w:r>
      <w:r>
        <w:t xml:space="preserve"> </w:t>
      </w:r>
      <w:r>
        <w:t xml:space="preserve">Section 3.2(a) provides that each Restricted Stockholder receives the same form and amount of consideration per share (as-converted),</w:t>
      </w:r>
      <w:r>
        <w:t xml:space="preserve"> </w:t>
      </w:r>
      <w:r>
        <w:rPr>
          <w:i/>
          <w:iCs/>
        </w:rPr>
        <w:t xml:space="preserve">provided however</w:t>
      </w:r>
      <w:r>
        <w:t xml:space="preserve"> </w:t>
      </w:r>
      <w:r>
        <w:t xml:space="preserve">that consideration is distributed in accordance with the liquidation waterfall of the Charter</w:t>
      </w:r>
      <w:r>
        <w:t xml:space="preserve"> </w:t>
      </w:r>
      <w:r>
        <w:t xml:space="preserve">“</w:t>
      </w:r>
      <w:r>
        <w:t xml:space="preserve">as if the Sale of the Company were a Liquidation Event.</w:t>
      </w:r>
      <w:r>
        <w:t xml:space="preserve">”</w:t>
      </w:r>
      <w:r>
        <w:t xml:space="preserve"> </w:t>
      </w:r>
      <w:r>
        <w:t xml:space="preserve">This confirms that the merger consideration flows through the Charter’s preference waterfall — meaning Series C receives its $18.50 preference, and the residual is distributed to common (and converted Series B and Series A). The drag-along cannot be used to alter the waterfall allocation.</w:t>
      </w:r>
    </w:p>
    <w:p>
      <w:pPr>
        <w:numPr>
          <w:ilvl w:val="0"/>
          <w:numId w:val="1006"/>
        </w:numPr>
      </w:pPr>
      <w:r>
        <w:rPr>
          <w:b/>
          <w:bCs/>
        </w:rPr>
        <w:t xml:space="preserve">No non-competes / non-solicits.</w:t>
      </w:r>
      <w:r>
        <w:t xml:space="preserve"> </w:t>
      </w:r>
      <w:r>
        <w:t xml:space="preserve">Section 3.2(d)(i) provides that no Restricted Stockholder can be required to enter into a non-competition, non-solicitation, or similar restrictive covenant as a condition to closing. Founders and stockholders cannot be forced to accept restrictive covenants via the drag-along (though they may agree to them separately, e.g., in employment arrangements).</w:t>
      </w:r>
    </w:p>
    <w:p>
      <w:pPr>
        <w:numPr>
          <w:ilvl w:val="0"/>
          <w:numId w:val="1006"/>
        </w:numPr>
      </w:pPr>
      <w:r>
        <w:rPr>
          <w:b/>
          <w:bCs/>
        </w:rPr>
        <w:t xml:space="preserve">Indemnification cap.</w:t>
      </w:r>
      <w:r>
        <w:t xml:space="preserve"> </w:t>
      </w:r>
      <w:r>
        <w:t xml:space="preserve">Section 3.2(c) limits each stockholder’s indemnification to a several (not joint) basis, capped at the consideration received by that stockholder. Section 3.2(d)(ii) confirms no stockholder provides indemnification in excess of total consideration received (net of costs). This is favorable for limiting stockholder exposure in the merger agreement.</w:t>
      </w:r>
    </w:p>
    <w:p>
      <w:pPr>
        <w:numPr>
          <w:ilvl w:val="0"/>
          <w:numId w:val="1006"/>
        </w:numPr>
      </w:pPr>
      <w:r>
        <w:rPr>
          <w:b/>
          <w:bCs/>
        </w:rPr>
        <w:t xml:space="preserve">Cost-sharing.</w:t>
      </w:r>
      <w:r>
        <w:t xml:space="preserve"> </w:t>
      </w:r>
      <w:r>
        <w:t xml:space="preserve">Section 3.2(b) allocates sale costs (legal, advisory, escrow) pro rata based on consideration received, to the extent not paid by the Company or acquirer.</w:t>
      </w:r>
    </w:p>
    <w:p>
      <w:pPr>
        <w:pStyle w:val="FirstParagraph"/>
      </w:pPr>
      <w:r>
        <w:t xml:space="preserve">These terms should be reflected in the merger agreement’s stockholder support / drag-along implementation provisions.</w:t>
      </w:r>
    </w:p>
    <w:p>
      <w:r>
        <w:pict>
          <v:rect style="width:0;height:1.5pt" o:hralign="center" o:hrstd="t" o:hr="t"/>
        </w:pict>
      </w:r>
    </w:p>
    <w:bookmarkEnd w:id="22"/>
    <w:bookmarkStart w:id="23" w:name="X8ab698e62af510084d27aa0937965114d35f45a"/>
    <w:p>
      <w:pPr>
        <w:pStyle w:val="Heading3"/>
      </w:pPr>
      <w:r>
        <w:t xml:space="preserve">IV. IMPEDIMENTS TO CLOSING A REVERSE TRIANGULAR MERGER</w:t>
      </w:r>
    </w:p>
    <w:p>
      <w:pPr>
        <w:pStyle w:val="FirstParagraph"/>
      </w:pPr>
      <w:r>
        <w:rPr>
          <w:b/>
          <w:bCs/>
        </w:rPr>
        <w:t xml:space="preserve">A. The Reverse Triangular Merger Structure</w:t>
      </w:r>
    </w:p>
    <w:p>
      <w:pPr>
        <w:pStyle w:val="BodyText"/>
      </w:pPr>
      <w:r>
        <w:t xml:space="preserve">In the proposed structure, Hargrove forms a wholly-owned acquisition subsidiary (</w:t>
      </w:r>
      <w:r>
        <w:t xml:space="preserve">“</w:t>
      </w:r>
      <w:r>
        <w:t xml:space="preserve">Merger Sub</w:t>
      </w:r>
      <w:r>
        <w:t xml:space="preserve">”</w:t>
      </w:r>
      <w:r>
        <w:t xml:space="preserve">); Merger Sub merges with and into Terravox; Terravox survives as a wholly-owned subsidiary of Hargrove; and all outstanding Terravox equity is cancelled and converted into the right to receive cash merger consideration. This is a standard reverse triangular merger.</w:t>
      </w:r>
    </w:p>
    <w:p>
      <w:pPr>
        <w:pStyle w:val="BodyText"/>
      </w:pPr>
      <w:r>
        <w:rPr>
          <w:b/>
          <w:bCs/>
        </w:rPr>
        <w:t xml:space="preserve">B. Does the Structure Clearly Trigger the Governing Definitions?</w:t>
      </w:r>
    </w:p>
    <w:p>
      <w:pPr>
        <w:pStyle w:val="BodyText"/>
      </w:pPr>
      <w:r>
        <w:t xml:space="preserve">We confirmed that the reverse triangular merger is captured by each of the operative defined terms:</w:t>
      </w:r>
    </w:p>
    <w:p>
      <w:pPr>
        <w:numPr>
          <w:ilvl w:val="0"/>
          <w:numId w:val="1007"/>
        </w:numPr>
      </w:pPr>
      <w:r>
        <w:rPr>
          <w:b/>
          <w:bCs/>
        </w:rPr>
        <w:t xml:space="preserve">Charter</w:t>
      </w:r>
      <w:r>
        <w:rPr>
          <w:b/>
          <w:bCs/>
        </w:rPr>
        <w:t xml:space="preserve"> </w:t>
      </w:r>
      <w:r>
        <w:rPr>
          <w:b/>
          <w:bCs/>
        </w:rPr>
        <w:t xml:space="preserve">“</w:t>
      </w:r>
      <w:r>
        <w:rPr>
          <w:b/>
          <w:bCs/>
        </w:rPr>
        <w:t xml:space="preserve">Liquidation Event</w:t>
      </w:r>
      <w:r>
        <w:rPr>
          <w:b/>
          <w:bCs/>
        </w:rPr>
        <w:t xml:space="preserve">”</w:t>
      </w:r>
      <w:r>
        <w:rPr>
          <w:b/>
          <w:bCs/>
        </w:rPr>
        <w:t xml:space="preserve"> </w:t>
      </w:r>
      <w:r>
        <w:rPr>
          <w:b/>
          <w:bCs/>
        </w:rPr>
        <w:t xml:space="preserve">(Section 4.3.2(d)):</w:t>
      </w:r>
      <w:r>
        <w:t xml:space="preserve"> </w:t>
      </w:r>
      <w:r>
        <w:t xml:space="preserve">Prong (i) expressly covers a merger</w:t>
      </w:r>
      <w:r>
        <w:t xml:space="preserve"> </w:t>
      </w:r>
      <w:r>
        <w:t xml:space="preserve">“</w:t>
      </w:r>
      <w:r>
        <w:t xml:space="preserve">whether or not the Corporation is the surviving entity</w:t>
      </w:r>
      <w:r>
        <w:t xml:space="preserve">”</w:t>
      </w:r>
      <w:r>
        <w:t xml:space="preserve"> </w:t>
      </w:r>
      <w:r>
        <w:t xml:space="preserve">in which pre-transaction stockholders do not continue to hold at least 50% of the voting power of the surviving entity. The reverse triangular merger satisfies this (Terravox stockholders retain 0%). Prong (iii) (transfer of &gt;50% voting power) is also satisfied. The Charter definition is unambiguous and clearly captures the structure. No structural ambiguity here.</w:t>
      </w:r>
    </w:p>
    <w:p>
      <w:pPr>
        <w:numPr>
          <w:ilvl w:val="0"/>
          <w:numId w:val="1007"/>
        </w:numPr>
      </w:pPr>
      <w:r>
        <w:rPr>
          <w:b/>
          <w:bCs/>
        </w:rPr>
        <w:t xml:space="preserve">SHA</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(Section 1.1):</w:t>
      </w:r>
      <w:r>
        <w:t xml:space="preserve"> </w:t>
      </w:r>
      <w:r>
        <w:t xml:space="preserve">Prong (i) covers</w:t>
      </w:r>
      <w:r>
        <w:t xml:space="preserve"> </w:t>
      </w:r>
      <w:r>
        <w:t xml:space="preserve">“</w:t>
      </w:r>
      <w:r>
        <w:t xml:space="preserve">any merger, consolidation, or reorganization of the Company in which the stockholders of the Company immediately prior to such transaction do not retain a majority of the voting power of the surviving or resulting entity.</w:t>
      </w:r>
      <w:r>
        <w:t xml:space="preserve">”</w:t>
      </w:r>
      <w:r>
        <w:t xml:space="preserve"> </w:t>
      </w:r>
      <w:r>
        <w:t xml:space="preserve">In the reverse triangular merger, the surviving entity is Terravox, but Terravox’s pre-transaction stockholders hold 0% of Terravox post-merger (their shares are cancelled). They therefore do not retain a majority. The structure is captured. Prong (iii) (&gt;50% voting power transfer) is also satisfied.</w:t>
      </w:r>
    </w:p>
    <w:p>
      <w:pPr>
        <w:numPr>
          <w:ilvl w:val="0"/>
          <w:numId w:val="1007"/>
        </w:numPr>
      </w:pPr>
      <w:r>
        <w:rPr>
          <w:b/>
          <w:bCs/>
        </w:rPr>
        <w:t xml:space="preserve">Voting Agreement</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(Section 1):</w:t>
      </w:r>
      <w:r>
        <w:t xml:space="preserve"> </w:t>
      </w:r>
      <w:r>
        <w:t xml:space="preserve">Identical to the SHA definition. Captured.</w:t>
      </w:r>
    </w:p>
    <w:p>
      <w:pPr>
        <w:numPr>
          <w:ilvl w:val="0"/>
          <w:numId w:val="1007"/>
        </w:numPr>
      </w:pPr>
      <w:r>
        <w:rPr>
          <w:b/>
          <w:bCs/>
        </w:rPr>
        <w:t xml:space="preserve">RRA</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(Section 9(c)):</w:t>
      </w:r>
      <w:r>
        <w:t xml:space="preserve"> </w:t>
      </w:r>
      <w:r>
        <w:rPr>
          <w:i/>
          <w:iCs/>
        </w:rPr>
        <w:t xml:space="preserve">Undefined</w:t>
      </w:r>
      <w:r>
        <w:t xml:space="preserve"> </w:t>
      </w:r>
      <w:r>
        <w:t xml:space="preserve">— see Section VI.C and Section XI. This is the one definitional gap that creates structural ambiguity for the RRA’s termination.</w:t>
      </w:r>
    </w:p>
    <w:p>
      <w:pPr>
        <w:pStyle w:val="FirstParagraph"/>
      </w:pPr>
      <w:r>
        <w:rPr>
          <w:b/>
          <w:bCs/>
        </w:rPr>
        <w:t xml:space="preserve">C. Reverse Triangular Merger vs. Alternative Structures — Considerations</w:t>
      </w:r>
    </w:p>
    <w:p>
      <w:pPr>
        <w:pStyle w:val="BodyText"/>
      </w:pPr>
      <w:r>
        <w:t xml:space="preserve">The reverse triangular merger is generally advantageous for preserving the target’s legal entity continuity, which can reduce the need for consents under contracts that contain assignment-on-change-of-control provisions (because the contracting entity, Terravox, continues to exist). However, this advantage is limited: many change-of-control provisions are triggered by a change in beneficial ownership or control regardless of entity continuity, so the Permian Basin MSA, the Clearfield term loan, and other material contracts must still be reviewed for change-of-control triggers. The structure does not avoid the Charter protective provisions or the DGCL stockholder vote. We do not identify a structural reason to prefer a forward merger or stock purchase over the reverse triangular merger for governance purposes; the reverse triangular merger is appropriate. The principal governance impediment (the Series C veto) would apply equally under any acquisition structure that constitutes a Liquidation Event / Sale of the Company.</w:t>
      </w:r>
    </w:p>
    <w:p>
      <w:pPr>
        <w:pStyle w:val="BodyText"/>
      </w:pPr>
      <w:r>
        <w:rPr>
          <w:b/>
          <w:bCs/>
        </w:rPr>
        <w:t xml:space="preserve">D. Indebtedness Assumption / Repayment</w:t>
      </w:r>
    </w:p>
    <w:p>
      <w:pPr>
        <w:pStyle w:val="BodyText"/>
      </w:pPr>
      <w:r>
        <w:t xml:space="preserve">The $12 million Clearfield term loan will be repaid (or assumed and repaid) at closing, reducing equity value to approximately $473 million. The loan agreement must be reviewed for (i) change-of-control acceleration/consent provisions, (ii) prepayment penalties, and (iii) the lender’s consent to release its security interest (including the intellectual property security agreement). The potential protective-provision violation in connection with the original incurrence of this loan (Section IX.B) may complicate the lender’s position.</w:t>
      </w:r>
    </w:p>
    <w:p>
      <w:r>
        <w:pict>
          <v:rect style="width:0;height:1.5pt" o:hralign="center" o:hrstd="t" o:hr="t"/>
        </w:pict>
      </w:r>
    </w:p>
    <w:bookmarkEnd w:id="23"/>
    <w:bookmarkStart w:id="24" w:name="Xb6b03377102a7ce90ac7bd4db2aa8a0b3d67e35"/>
    <w:p>
      <w:pPr>
        <w:pStyle w:val="Heading3"/>
      </w:pPr>
      <w:r>
        <w:t xml:space="preserve">V. TRANSFER RESTRICTIONS (ROFR AND CO-SALE)</w:t>
      </w:r>
    </w:p>
    <w:p>
      <w:pPr>
        <w:pStyle w:val="FirstParagraph"/>
      </w:pPr>
      <w:r>
        <w:rPr>
          <w:b/>
          <w:bCs/>
        </w:rPr>
        <w:t xml:space="preserve">A. The ROFR and Co-Sale Provisions Do Not Impede the Merger</w:t>
      </w:r>
    </w:p>
    <w:p>
      <w:pPr>
        <w:pStyle w:val="BodyText"/>
      </w:pPr>
      <w:r>
        <w:t xml:space="preserve">The SHA imposes a right of first refusal (Section 2.2), a co-sale right (Section 2.3), and tag-along rights (Section 2.4) on Transfers of Shares by</w:t>
      </w:r>
      <w:r>
        <w:t xml:space="preserve"> </w:t>
      </w:r>
      <w:r>
        <w:t xml:space="preserve">“</w:t>
      </w:r>
      <w:r>
        <w:t xml:space="preserve">Restricted Stockholders.</w:t>
      </w:r>
      <w:r>
        <w:t xml:space="preserve">”</w:t>
      </w:r>
      <w:r>
        <w:t xml:space="preserve"> </w:t>
      </w:r>
      <w:r>
        <w:t xml:space="preserve">“</w:t>
      </w:r>
      <w:r>
        <w:t xml:space="preserve">Transfer</w:t>
      </w:r>
      <w:r>
        <w:t xml:space="preserve">”</w:t>
      </w:r>
      <w:r>
        <w:t xml:space="preserve"> </w:t>
      </w:r>
      <w:r>
        <w:t xml:space="preserve">is broadly defined (Section 1.1) to include any sale, assignment, transfer, pledge, or other disposition. However, the merger is</w:t>
      </w:r>
      <w:r>
        <w:t xml:space="preserve"> </w:t>
      </w:r>
      <w:r>
        <w:rPr>
          <w:i/>
          <w:iCs/>
        </w:rPr>
        <w:t xml:space="preserve">not</w:t>
      </w:r>
      <w:r>
        <w:t xml:space="preserve"> </w:t>
      </w:r>
      <w:r>
        <w:t xml:space="preserve">subject to these restrictions, for two independent reasons:</w:t>
      </w:r>
    </w:p>
    <w:p>
      <w:pPr>
        <w:numPr>
          <w:ilvl w:val="0"/>
          <w:numId w:val="1008"/>
        </w:numPr>
      </w:pPr>
      <w:r>
        <w:rPr>
          <w:b/>
          <w:bCs/>
        </w:rPr>
        <w:t xml:space="preserve">The Sale of the Company is an express exception to the general transfer restriction.</w:t>
      </w:r>
      <w:r>
        <w:t xml:space="preserve"> </w:t>
      </w:r>
      <w:r>
        <w:t xml:space="preserve">Section 2.1 provides that no Restricted Stockholder shall Transfer any Shares except (a) in compliance with Article 2, (b) pursuant to a Permitted Transfer, or (c)</w:t>
      </w:r>
      <w:r>
        <w:t xml:space="preserve"> </w:t>
      </w:r>
      <w:r>
        <w:t xml:space="preserve">“</w:t>
      </w:r>
      <w:r>
        <w:t xml:space="preserve">in connection with a Sale of the Company consummated in accordance with Article 3.</w:t>
      </w:r>
      <w:r>
        <w:t xml:space="preserve">”</w:t>
      </w:r>
      <w:r>
        <w:t xml:space="preserve"> </w:t>
      </w:r>
      <w:r>
        <w:t xml:space="preserve">The merger is a Sale of the Company (Section IV.B), and Article 3 governs Sales of the Company (including the drag-along). Transfers of Shares in the merger therefore fall within the Section 2.1(c) exception.</w:t>
      </w:r>
    </w:p>
    <w:p>
      <w:pPr>
        <w:numPr>
          <w:ilvl w:val="0"/>
          <w:numId w:val="1008"/>
        </w:numPr>
      </w:pPr>
      <w:r>
        <w:rPr>
          <w:b/>
          <w:bCs/>
        </w:rPr>
        <w:t xml:space="preserve">A Sale of the Company is a Permitted Transfer.</w:t>
      </w:r>
      <w:r>
        <w:t xml:space="preserve"> </w:t>
      </w:r>
      <w:r>
        <w:t xml:space="preserve">Section 2.7(e) defines</w:t>
      </w:r>
      <w:r>
        <w:t xml:space="preserve"> </w:t>
      </w:r>
      <w:r>
        <w:t xml:space="preserve">“</w:t>
      </w:r>
      <w:r>
        <w:t xml:space="preserve">Permitted Transfer</w:t>
      </w:r>
      <w:r>
        <w:t xml:space="preserve">”</w:t>
      </w:r>
      <w:r>
        <w:t xml:space="preserve"> </w:t>
      </w:r>
      <w:r>
        <w:t xml:space="preserve">to include</w:t>
      </w:r>
      <w:r>
        <w:t xml:space="preserve"> </w:t>
      </w:r>
      <w:r>
        <w:t xml:space="preserve">“</w:t>
      </w:r>
      <w:r>
        <w:t xml:space="preserve">Transfers in connection with a Sale of the Company consummated in accordance with Article 3.</w:t>
      </w:r>
      <w:r>
        <w:t xml:space="preserve">”</w:t>
      </w:r>
      <w:r>
        <w:t xml:space="preserve"> </w:t>
      </w:r>
      <w:r>
        <w:t xml:space="preserve">The co-sale right (Section 2.3) expressly does not apply to Permitted Transfers (Section 2.3(d)). The tag-along right (Section 2.4) applies only to</w:t>
      </w:r>
      <w:r>
        <w:t xml:space="preserve"> </w:t>
      </w:r>
      <w:r>
        <w:t xml:space="preserve">“</w:t>
      </w:r>
      <w:r>
        <w:t xml:space="preserve">Founder Transfers</w:t>
      </w:r>
      <w:r>
        <w:t xml:space="preserve">”</w:t>
      </w:r>
      <w:r>
        <w:t xml:space="preserve"> </w:t>
      </w:r>
      <w:r>
        <w:t xml:space="preserve">(a Founder transferring &gt;5% to a non-affiliate), not to a company-wide Sale. Accordingly, neither co-sale nor tag-along is triggered by the merger.</w:t>
      </w:r>
    </w:p>
    <w:p>
      <w:pPr>
        <w:pStyle w:val="FirstParagraph"/>
      </w:pPr>
      <w:r>
        <w:rPr>
          <w:b/>
          <w:bCs/>
        </w:rPr>
        <w:t xml:space="preserve">B. The Stockholders’ Agreement Terminates on the Sale of the Company</w:t>
      </w:r>
    </w:p>
    <w:p>
      <w:pPr>
        <w:pStyle w:val="BodyText"/>
      </w:pPr>
      <w:r>
        <w:t xml:space="preserve">Section 6.1(b) provides that the SHA terminates upon</w:t>
      </w:r>
      <w:r>
        <w:t xml:space="preserve"> </w:t>
      </w:r>
      <w:r>
        <w:t xml:space="preserve">“</w:t>
      </w:r>
      <w:r>
        <w:t xml:space="preserve">a Sale of the Company (as defined in Section 1.1).</w:t>
      </w:r>
      <w:r>
        <w:t xml:space="preserve">”</w:t>
      </w:r>
      <w:r>
        <w:t xml:space="preserve"> </w:t>
      </w:r>
      <w:r>
        <w:t xml:space="preserve">Because the merger is a Sale of the Company, the SHA terminates at closing. Upon termination, Section 6.3 provides that all transfer restrictions, ROFR, co-sale, tag-along, and drag-along rights</w:t>
      </w:r>
      <w:r>
        <w:t xml:space="preserve"> </w:t>
      </w:r>
      <w:r>
        <w:t xml:space="preserve">“</w:t>
      </w:r>
      <w:r>
        <w:t xml:space="preserve">shall cease to be of any further force and effect,</w:t>
      </w:r>
      <w:r>
        <w:t xml:space="preserve">”</w:t>
      </w:r>
      <w:r>
        <w:t xml:space="preserve"> </w:t>
      </w:r>
      <w:r>
        <w:t xml:space="preserve">and the Company must remove any legends referencing the SHA. The ROFR and co-sale are therefore pre-closing restrictions that do not apply to the merger itself, and they terminate at closing.</w:t>
      </w:r>
    </w:p>
    <w:p>
      <w:pPr>
        <w:pStyle w:val="BodyText"/>
      </w:pPr>
      <w:r>
        <w:rPr>
          <w:b/>
          <w:bCs/>
        </w:rPr>
        <w:t xml:space="preserve">C. One Ambiguity to Confirm</w:t>
      </w:r>
    </w:p>
    <w:p>
      <w:pPr>
        <w:pStyle w:val="BodyText"/>
      </w:pPr>
      <w:r>
        <w:t xml:space="preserve">Both the Section 2.1(c) exception and the Section 2.7(e) Permitted Transfer refer to a Sale of the Company</w:t>
      </w:r>
      <w:r>
        <w:t xml:space="preserve"> </w:t>
      </w:r>
      <w:r>
        <w:t xml:space="preserve">“</w:t>
      </w:r>
      <w:r>
        <w:t xml:space="preserve">consummated in accordance with Article 3.</w:t>
      </w:r>
      <w:r>
        <w:t xml:space="preserve">”</w:t>
      </w:r>
      <w:r>
        <w:t xml:space="preserve"> </w:t>
      </w:r>
      <w:r>
        <w:t xml:space="preserve">Article 3 is the drag-along. If the merger is consummated by unanimous or near-unanimous stockholder consent</w:t>
      </w:r>
      <w:r>
        <w:t xml:space="preserve"> </w:t>
      </w:r>
      <w:r>
        <w:rPr>
          <w:i/>
          <w:iCs/>
        </w:rPr>
        <w:t xml:space="preserve">without formally invoking the drag-along</w:t>
      </w:r>
      <w:r>
        <w:t xml:space="preserve">, a technical argument could be made that the Sale was not</w:t>
      </w:r>
      <w:r>
        <w:t xml:space="preserve"> </w:t>
      </w:r>
      <w:r>
        <w:t xml:space="preserve">“</w:t>
      </w:r>
      <w:r>
        <w:t xml:space="preserve">consummated in accordance with Article 3.</w:t>
      </w:r>
      <w:r>
        <w:t xml:space="preserve">”</w:t>
      </w:r>
      <w:r>
        <w:t xml:space="preserve"> </w:t>
      </w:r>
      <w:r>
        <w:t xml:space="preserve">We do not view this as a serious risk — Article 3 sets the framework for Sales of the Company, and a Sale consummated with all required consents is consistent with Article 3 (the drag-along simply is not needed) — but to eliminate any ambiguity, the merger agreement should either (i) formally invoke the drag-along in the support agreements, or (ii) obtain the SHA parties’ written acknowledgments that the merger is a Sale of the Company consummated in accordance with Article 3 and that ROFR/co-sale do not apply. Because the SHA terminates on the Sale in any event, the practical risk is low, but the cleanest approach is to address it expressly.</w:t>
      </w:r>
    </w:p>
    <w:p>
      <w:pPr>
        <w:pStyle w:val="BodyText"/>
      </w:pPr>
      <w:r>
        <w:rPr>
          <w:b/>
          <w:bCs/>
        </w:rPr>
        <w:t xml:space="preserve">D. Founder Lock-Up</w:t>
      </w:r>
    </w:p>
    <w:p>
      <w:pPr>
        <w:pStyle w:val="BodyText"/>
      </w:pPr>
      <w:r>
        <w:t xml:space="preserve">Section 2.5 imposes a 12-month lock-up on Founders from the November 3, 2021 SHA date. That lock-up expired on November 3, 2022 and is no longer relevant. Post-lock-up, Founder transfers are subject to ROFR/co-sale/tag-along, which (as discussed) do not apply to the merger.</w:t>
      </w:r>
    </w:p>
    <w:p>
      <w:pPr>
        <w:pStyle w:val="BodyText"/>
      </w:pPr>
      <w:r>
        <w:rPr>
          <w:b/>
        </w:rPr>
        <w:t>E. Other SHA Provisions — Information Rights and Amendment</w:t>
      </w:r>
    </w:p>
    <w:p>
      <w:pPr>
        <w:pStyle w:val="BodyText"/>
      </w:pPr>
      <w:r>
        <w:t>Information rights (Article 4). Each Major Investor — defined as a holder of at least 1,000,000 shares of Preferred (or Common issued upon conversion) — is entitled to (i) audited annual financial statements within 120 days of fiscal year-end, (ii) unaudited quarterly financial statements within 45 days of each of the first three fiscal quarters, (iii) an annual operating budget at least 30 days prior to fiscal year-end, and (iv) inspection and discussion rights (exercisable up to twice per calendar year), all subject to confidentiality (Sections 4.1–4.3). Each of Ridgeline, Northbridge, and Stonemill qualifies as a Major Investor. These information rights terminate upon the earliest of an IPO, a Sale of the Company, or when a Major Investor ceases to hold at least 1,000,000 shares (Section 4.4). Because the merger is a Sale of the Company, the information rights terminate at closing. Pre-closing, however, the information rights remain in effect and give Stonemill (and the other Investors) ongoing access to the Company’s financial statements and budget — overlapping with, and broader than, the Board observer’s access to Board materials (Section VI.D). This pre-closing information access is not a blocking right, but it gives Stonemill visibility into the Company’s finances and the deal economics throughout the process.</w:t>
      </w:r>
    </w:p>
    <w:p>
      <w:pPr>
        <w:pStyle w:val="BodyText"/>
      </w:pPr>
      <w:r>
        <w:t>Amendment (Section 7.4). The SHA may be amended only by a written instrument signed by the Company, the Founders, and holders of a majority of the Shares held by the Investor Stockholders (as-converted). Critically, Section 7.4 adds that “any amendment to Article 3 (Drag-Along Rights) shall require the consent of each Investor Stockholder that would be adversely affected by such amendment.” Accordingly, the drag-along’s terms cannot be modified to facilitate the merger — for example, to lower the trigger thresholds, to alter the three-pronged test, or to add a mechanism that more clearly overrides the Charter veto — without Stonemill’s consent if Stonemill would be adversely affected. The drag-along must therefore be invoked as currently written; the Company cannot “fix” it over Stonemill’s objection. This is relevant to strategy: the existing drag-along terms are fixed, and any attempt to amend them adversely to Stonemill would itself require Stonemill’s consent. A parallel provision appears in the Voting Agreement: Section 8.4 requires, for any amendment, the Company, a majority of the Founder Common, and a majority of the Investor Preferred (as-converted, single class), and provides that any amendment “that would adversely and disproportionately affect the rights of any Party … shall require the prior written consent of such affected Party.” Thus Stonemill can likewise block Voting Agreement amendments that adversely affect it (e.g., amendments to its designation right or observer right).</w:t>
      </w:r>
    </w:p>
    <w:p>
      <w:r>
        <w:pict>
          <v:rect style="width:0;height:1.5pt" o:hralign="center" o:hrstd="t" o:hr="t"/>
        </w:pict>
      </w:r>
    </w:p>
    <w:bookmarkEnd w:id="24"/>
    <w:bookmarkStart w:id="25" w:name="X6bb3ef602d53a5584b7184f59fdecfc2cb361f0"/>
    <w:p>
      <w:pPr>
        <w:pStyle w:val="Heading3"/>
      </w:pPr>
      <w:r>
        <w:t xml:space="preserve">VI. BOARD COMPOSITION — POST-CLOSING IMPLICATIONS</w:t>
      </w:r>
    </w:p>
    <w:p>
      <w:pPr>
        <w:pStyle w:val="FirstParagraph"/>
      </w:pPr>
      <w:r>
        <w:rPr>
          <w:b/>
          <w:bCs/>
        </w:rPr>
        <w:t xml:space="preserve">A. Current Board Composition Under the Voting Agreement</w:t>
      </w:r>
    </w:p>
    <w:p>
      <w:pPr>
        <w:pStyle w:val="BodyText"/>
      </w:pPr>
      <w:r>
        <w:t xml:space="preserve">Voting Agreement Section 2.2 fixes the Board at seven members, composed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Designator</w:t>
            </w:r>
          </w:p>
        </w:tc>
        <w:tc>
          <w:tcPr/>
          <w:p>
            <w:pPr>
              <w:pStyle w:val="Compact"/>
              <w:jc w:val="left"/>
            </w:pPr>
            <w:r>
              <w:t xml:space="preserve">Current Director</w:t>
            </w:r>
          </w:p>
        </w:tc>
      </w:tr>
      <w:tr>
        <w:tc>
          <w:tcPr/>
          <w:p>
            <w:pPr>
              <w:pStyle w:val="Compact"/>
              <w:jc w:val="left"/>
            </w:pPr>
            <w:r>
              <w:t xml:space="preserve">Series A Director</w:t>
            </w:r>
          </w:p>
        </w:tc>
        <w:tc>
          <w:tcPr/>
          <w:p>
            <w:pPr>
              <w:pStyle w:val="Compact"/>
              <w:jc w:val="left"/>
            </w:pPr>
            <w:r>
              <w:t xml:space="preserve">Ridgeline (so long as it holds ≥1,000,000 Series A or converted Common)</w:t>
            </w:r>
          </w:p>
        </w:tc>
        <w:tc>
          <w:tcPr/>
          <w:p>
            <w:pPr>
              <w:pStyle w:val="Compact"/>
              <w:jc w:val="left"/>
            </w:pPr>
            <w:r>
              <w:t xml:space="preserve">David Kleinhans</w:t>
            </w:r>
          </w:p>
        </w:tc>
      </w:tr>
      <w:tr>
        <w:tc>
          <w:tcPr/>
          <w:p>
            <w:pPr>
              <w:pStyle w:val="Compact"/>
              <w:jc w:val="left"/>
            </w:pPr>
            <w:r>
              <w:t xml:space="preserve">Series B Director</w:t>
            </w:r>
          </w:p>
        </w:tc>
        <w:tc>
          <w:tcPr/>
          <w:p>
            <w:pPr>
              <w:pStyle w:val="Compact"/>
              <w:jc w:val="left"/>
            </w:pPr>
            <w:r>
              <w:t xml:space="preserve">Northbridge (so long as it holds ≥1,000,000 Series B or converted Common)</w:t>
            </w:r>
          </w:p>
        </w:tc>
        <w:tc>
          <w:tcPr/>
          <w:p>
            <w:pPr>
              <w:pStyle w:val="Compact"/>
              <w:jc w:val="left"/>
            </w:pPr>
            <w:r>
              <w:t xml:space="preserve">Sandra Okafor</w:t>
            </w:r>
          </w:p>
        </w:tc>
      </w:tr>
      <w:tr>
        <w:tc>
          <w:tcPr/>
          <w:p>
            <w:pPr>
              <w:pStyle w:val="Compact"/>
              <w:jc w:val="left"/>
            </w:pPr>
            <w:r>
              <w:t xml:space="preserve">Series C Director</w:t>
            </w:r>
          </w:p>
        </w:tc>
        <w:tc>
          <w:tcPr/>
          <w:p>
            <w:pPr>
              <w:pStyle w:val="Compact"/>
              <w:jc w:val="left"/>
            </w:pPr>
            <w:r>
              <w:t xml:space="preserve">Stonemill (so long as it holds ≥1,000,000 Series C or converted Common)</w:t>
            </w:r>
          </w:p>
        </w:tc>
        <w:tc>
          <w:tcPr/>
          <w:p>
            <w:pPr>
              <w:pStyle w:val="Compact"/>
              <w:jc w:val="left"/>
            </w:pPr>
            <w:r>
              <w:t xml:space="preserve">Julian Trask</w:t>
            </w:r>
          </w:p>
        </w:tc>
      </w:tr>
      <w:tr>
        <w:tc>
          <w:tcPr/>
          <w:p>
            <w:pPr>
              <w:pStyle w:val="Compact"/>
              <w:jc w:val="left"/>
            </w:pPr>
            <w:r>
              <w:t xml:space="preserve">CEO Director</w:t>
            </w:r>
          </w:p>
        </w:tc>
        <w:tc>
          <w:tcPr/>
          <w:p>
            <w:pPr>
              <w:pStyle w:val="Compact"/>
              <w:jc w:val="left"/>
            </w:pPr>
            <w:r>
              <w:t xml:space="preserve">The Company’s CEO</w:t>
            </w:r>
          </w:p>
        </w:tc>
        <w:tc>
          <w:tcPr/>
          <w:p>
            <w:pPr>
              <w:pStyle w:val="Compact"/>
              <w:jc w:val="left"/>
            </w:pPr>
            <w:r>
              <w:t xml:space="preserve">Marcus Ellery</w:t>
            </w:r>
          </w:p>
        </w:tc>
      </w:tr>
      <w:tr>
        <w:tc>
          <w:tcPr/>
          <w:p>
            <w:pPr>
              <w:pStyle w:val="Compact"/>
              <w:jc w:val="left"/>
            </w:pPr>
            <w:r>
              <w:t xml:space="preserve">Founder Director</w:t>
            </w:r>
          </w:p>
        </w:tc>
        <w:tc>
          <w:tcPr/>
          <w:p>
            <w:pPr>
              <w:pStyle w:val="Compact"/>
              <w:jc w:val="left"/>
            </w:pPr>
            <w:r>
              <w:t xml:space="preserve">The Founders (other than the CEO)</w:t>
            </w:r>
          </w:p>
        </w:tc>
        <w:tc>
          <w:tcPr/>
          <w:p>
            <w:pPr>
              <w:pStyle w:val="Compact"/>
              <w:jc w:val="left"/>
            </w:pPr>
            <w:r>
              <w:t xml:space="preserve">Priya Chandrasekaran</w:t>
            </w:r>
          </w:p>
        </w:tc>
      </w:tr>
      <w:tr>
        <w:tc>
          <w:tcPr/>
          <w:p>
            <w:pPr>
              <w:pStyle w:val="Compact"/>
              <w:jc w:val="left"/>
            </w:pPr>
            <w:r>
              <w:t xml:space="preserve">Independent Director #1</w:t>
            </w:r>
          </w:p>
        </w:tc>
        <w:tc>
          <w:tcPr/>
          <w:p>
            <w:pPr>
              <w:pStyle w:val="Compact"/>
              <w:jc w:val="left"/>
            </w:pPr>
            <w:r>
              <w:t xml:space="preserve">Mutually agreed by CEO Director + majority of Investor Stockholders</w:t>
            </w:r>
          </w:p>
        </w:tc>
        <w:tc>
          <w:tcPr/>
          <w:p>
            <w:pPr>
              <w:pStyle w:val="Compact"/>
              <w:jc w:val="left"/>
            </w:pPr>
            <w:r>
              <w:t xml:space="preserve">Rebecca Lau</w:t>
            </w:r>
          </w:p>
        </w:tc>
      </w:tr>
      <w:tr>
        <w:tc>
          <w:tcPr/>
          <w:p>
            <w:pPr>
              <w:pStyle w:val="Compact"/>
              <w:jc w:val="left"/>
            </w:pPr>
            <w:r>
              <w:t xml:space="preserve">Independent Director #2</w:t>
            </w:r>
          </w:p>
        </w:tc>
        <w:tc>
          <w:tcPr/>
          <w:p>
            <w:pPr>
              <w:pStyle w:val="Compact"/>
              <w:jc w:val="left"/>
            </w:pPr>
            <w:r>
              <w:t xml:space="preserve">Mutually agreed by CEO Director + majority of Investor Stockholders</w:t>
            </w:r>
          </w:p>
        </w:tc>
        <w:tc>
          <w:tcPr/>
          <w:p>
            <w:pPr>
              <w:pStyle w:val="Compact"/>
              <w:jc w:val="left"/>
            </w:pPr>
            <w:r>
              <w:t xml:space="preserve">Thomas Garrett</w:t>
            </w:r>
          </w:p>
        </w:tc>
      </w:tr>
    </w:tbl>
    <w:p>
      <w:pPr>
        <w:pStyle w:val="BodyText"/>
      </w:pPr>
      <w:r>
        <w:t xml:space="preserve">Section 2.1 provides that no Party shall increase or decrease the Board size without the prior written consent of a majority of the Investor Stockholders. Section 2.3 provides that a designated director may be removed only upon the written request of the designating Party, and vacancies are filled by a new designee of the designating Party. Section 2.4 provides that, unless otherwise agreed by the Investor Stockholders, each Board committee must include at least one Investor Stockholder designee.</w:t>
      </w:r>
    </w:p>
    <w:p>
      <w:pPr>
        <w:pStyle w:val="BodyText"/>
      </w:pPr>
      <w:r>
        <w:rPr>
          <w:b/>
          <w:bCs/>
        </w:rPr>
        <w:t xml:space="preserve">B. Termination of the Voting Agreement on the Merger</w:t>
      </w:r>
    </w:p>
    <w:p>
      <w:pPr>
        <w:pStyle w:val="BodyText"/>
      </w:pPr>
      <w:r>
        <w:t xml:space="preserve">Voting Agreement Section 7.1 provides that the agreement terminates upon the earliest of: (a) an IPO (≥$75 million gross proceeds); (b)</w:t>
      </w:r>
      <w:r>
        <w:t xml:space="preserve"> </w:t>
      </w:r>
      <w:r>
        <w:t xml:space="preserve">“</w:t>
      </w:r>
      <w:r>
        <w:t xml:space="preserve">the consummation of a Sale of the Company (as defined in Section 1)</w:t>
      </w:r>
      <w:r>
        <w:t xml:space="preserve">”</w:t>
      </w:r>
      <w:r>
        <w:t xml:space="preserve">; (c) written consent of the Company, a majority of the Common held by parties, and a majority of each series of Preferred held by parties (voting as separate classes); or (d) November 3, 2026 (the fifth anniversary).</w:t>
      </w:r>
    </w:p>
    <w:p>
      <w:pPr>
        <w:pStyle w:val="BodyText"/>
      </w:pPr>
      <w:r>
        <w:t xml:space="preserve">Because the merger is a Sale of the Company under the Voting Agreement’s Section 1 definition (Section IV.B), the Voting Agreement terminates upon consummation of the merger (Section 7.1(b)). Upon termination, all designation rights, voting obligations, and the Board observer right cease. Post-closing, Terravox will be a wholly-owned subsidiary of Hargrove, and Hargrove (as sole stockholder) will have full authority to appoint and remove directors and to manage the subsidiary’s governance (subject to any provisions in the merger agreement, such as retained director indemnification or a transition services arrangement).</w:t>
      </w:r>
    </w:p>
    <w:p>
      <w:pPr>
        <w:pStyle w:val="BodyText"/>
      </w:pPr>
      <w:r>
        <w:rPr>
          <w:b/>
          <w:bCs/>
        </w:rPr>
        <w:t xml:space="preserve">C. The November 3, 2026 Sunset — Fallback Risk</w:t>
      </w:r>
    </w:p>
    <w:p>
      <w:pPr>
        <w:pStyle w:val="BodyText"/>
      </w:pPr>
      <w:r>
        <w:t xml:space="preserve">If the Voting Agreement did</w:t>
      </w:r>
      <w:r>
        <w:t xml:space="preserve"> </w:t>
      </w:r>
      <w:r>
        <w:rPr>
          <w:i/>
          <w:iCs/>
        </w:rPr>
        <w:t xml:space="preserve">not</w:t>
      </w:r>
      <w:r>
        <w:t xml:space="preserve"> </w:t>
      </w:r>
      <w:r>
        <w:t xml:space="preserve">clearly terminate on the merger — for example, if there were a dispute over whether the reverse triangular merger satisfies the</w:t>
      </w:r>
      <w:r>
        <w:t xml:space="preserve"> </w:t>
      </w:r>
      <w:r>
        <w:t xml:space="preserve">“</w:t>
      </w:r>
      <w:r>
        <w:t xml:space="preserve">Sale of the Company</w:t>
      </w:r>
      <w:r>
        <w:t xml:space="preserve">”</w:t>
      </w:r>
      <w:r>
        <w:t xml:space="preserve"> </w:t>
      </w:r>
      <w:r>
        <w:t xml:space="preserve">definition — the agreement would continue in force until the November 3, 2026 sunset (Section 7.1(d)). In that scenario, the Investor Stockholders’ designation rights (including Stonemill’s Series C Director seat) and the Board observer right could theoretically survive the closing, creating post-closing governance entanglement with Hargrove’s wholly-owned subsidiary. We do not believe this is a serious risk, because the merger unambiguously satisfies the</w:t>
      </w:r>
      <w:r>
        <w:t xml:space="preserve"> </w:t>
      </w:r>
      <w:r>
        <w:t xml:space="preserve">“</w:t>
      </w:r>
      <w:r>
        <w:t xml:space="preserve">Sale of the Company</w:t>
      </w:r>
      <w:r>
        <w:t xml:space="preserve">”</w:t>
      </w:r>
      <w:r>
        <w:t xml:space="preserve"> </w:t>
      </w:r>
      <w:r>
        <w:t xml:space="preserve">definition (Terravox stockholders retain 0% voting power). However, the existence of the sunset creates a theoretical tail risk.</w:t>
      </w:r>
      <w:r>
        <w:t xml:space="preserve"> </w:t>
      </w:r>
      <w:r>
        <w:rPr>
          <w:b/>
          <w:bCs/>
        </w:rPr>
        <w:t xml:space="preserve">Recommendation:</w:t>
      </w:r>
      <w:r>
        <w:t xml:space="preserve"> </w:t>
      </w:r>
      <w:r>
        <w:t xml:space="preserve">Include an express termination/waiver of the Voting Agreement in the merger agreement (or obtain the parties’ written consent to terminate under Section 7.1(c)) to eliminate any ambiguity.</w:t>
      </w:r>
    </w:p>
    <w:p>
      <w:pPr>
        <w:pStyle w:val="BodyText"/>
      </w:pPr>
      <w:r>
        <w:rPr>
          <w:b/>
          <w:bCs/>
        </w:rPr>
        <w:t xml:space="preserve">D. Stonemill’s Board Observer Right — Survival Analysis</w:t>
      </w:r>
    </w:p>
    <w:p>
      <w:pPr>
        <w:pStyle w:val="BodyText"/>
      </w:pPr>
      <w:r>
        <w:t xml:space="preserve">Voting Agreement Section 4.1 grants Stonemill the right to appoint one non-voting Board observer (the</w:t>
      </w:r>
      <w:r>
        <w:t xml:space="preserve"> </w:t>
      </w:r>
      <w:r>
        <w:t xml:space="preserve">“</w:t>
      </w:r>
      <w:r>
        <w:t xml:space="preserve">Observer</w:t>
      </w:r>
      <w:r>
        <w:t xml:space="preserve">”</w:t>
      </w:r>
      <w:r>
        <w:t xml:space="preserve">), for so long as Stonemill holds at least 1,000,000 shares of Series C Preferred Stock (or converted Common). The Observer receives all Board materials and may attend all Board and committee meetings, subject to the Company’s right to exclude the Observer to preserve attorney-client privilege or address a bona fide conflict (Section 4.2), and subject to a confidentiality agreement (Section 4.3).</w:t>
      </w:r>
    </w:p>
    <w:p>
      <w:pPr>
        <w:pStyle w:val="BodyText"/>
      </w:pPr>
      <w:r>
        <w:t xml:space="preserve">The Observer right terminates upon: (i) the termination of the Voting Agreement (which occurs on the Sale of the Company, per Section 7.1(b)); and/or (ii) Stonemill ceasing to hold at least 1,000,000 Series C shares (Section 7.3). On the merger, Stonemill’s Series C shares are cancelled, so Stonemill ceases to hold the requisite shares, and the Voting Agreement terminates. The Observer right therefore terminates at closing.</w:t>
      </w:r>
      <w:r>
        <w:t xml:space="preserve"> </w:t>
      </w:r>
      <w:r>
        <w:rPr>
          <w:b/>
          <w:bCs/>
        </w:rPr>
        <w:t xml:space="preserve">Recommendation:</w:t>
      </w:r>
      <w:r>
        <w:t xml:space="preserve"> </w:t>
      </w:r>
      <w:r>
        <w:t xml:space="preserve">Confirm termination expressly in the merger agreement. Note that during the pre-closing period, the Observer right remains in effect, and the Observer (a Stonemill representative) is entitled to all Board materials — including materials relating to the Hargrove transaction. The Company’s ability to exclude the Observer is limited to attorney-client privilege and bona fide conflicts; the Company cannot exclude the Observer simply because Stonemill opposes the transaction. This means Stonemill has ongoing information access through closing, which it may use to monitor and potentially challenge the process. The Board should be advised to manage privileged communications carefully and to document any Observer exclusions with counsel’s advice.</w:t>
      </w:r>
    </w:p>
    <w:p>
      <w:pPr>
        <w:pStyle w:val="BodyText"/>
      </w:pPr>
      <w:r>
        <w:rPr>
          <w:b/>
          <w:bCs/>
        </w:rPr>
        <w:t xml:space="preserve">E. Individual Designation Rights — Expiration on Threshold Drop</w:t>
      </w:r>
    </w:p>
    <w:p>
      <w:pPr>
        <w:pStyle w:val="BodyText"/>
      </w:pPr>
      <w:r>
        <w:t xml:space="preserve">Section 7.3 provides that an Investor Stockholder’s designation right terminates if it ceases to hold the minimum shares for its designation (1,000,000 shares of the applicable series or converted Common). This is relevant only if an Investor Stockholder reduces its position pre-closing; it does not affect the merger analysis directly.</w:t>
      </w:r>
    </w:p>
    <w:p>
      <w:r>
        <w:pict>
          <v:rect style="width:0;height:1.5pt" o:hralign="center" o:hrstd="t" o:hr="t"/>
        </w:pict>
      </w:r>
    </w:p>
    <w:bookmarkEnd w:id="25"/>
    <w:bookmarkStart w:id="26" w:name="Xf1a8f1f37484dc5a2610eb2a6298a796b7f46ba"/>
    <w:p>
      <w:pPr>
        <w:pStyle w:val="Heading3"/>
      </w:pPr>
      <w:r>
        <w:t xml:space="preserve">VII. CROSS-DOCUMENT DEFINITIONAL INCONSISTENCIES</w:t>
      </w:r>
    </w:p>
    <w:p>
      <w:pPr>
        <w:pStyle w:val="FirstParagraph"/>
      </w:pPr>
      <w:r>
        <w:t xml:space="preserve">The five governance documents use three related but</w:t>
      </w:r>
      <w:r>
        <w:t xml:space="preserve"> </w:t>
      </w:r>
      <w:r>
        <w:rPr>
          <w:i/>
          <w:iCs/>
        </w:rPr>
        <w:t xml:space="preserve">not identical</w:t>
      </w:r>
      <w:r>
        <w:t xml:space="preserve"> </w:t>
      </w:r>
      <w:r>
        <w:t xml:space="preserve">defined terms to describe change-of-control transactions. The inconsistencies are summarized below and create ambiguity about which agreements terminate, which provisions are triggered, and at what threshold.</w:t>
      </w:r>
    </w:p>
    <w:p>
      <w:pPr>
        <w:pStyle w:val="BodyText"/>
      </w:pPr>
      <w:r>
        <w:rPr>
          <w:b/>
          <w:bCs/>
        </w:rPr>
        <w:t xml:space="preserve">A.</w:t>
      </w:r>
      <w:r>
        <w:rPr>
          <w:b/>
          <w:bCs/>
        </w:rPr>
        <w:t xml:space="preserve"> </w:t>
      </w:r>
      <w:r>
        <w:rPr>
          <w:b/>
          <w:bCs/>
        </w:rPr>
        <w:t xml:space="preserve">“</w:t>
      </w:r>
      <w:r>
        <w:rPr>
          <w:b/>
          <w:bCs/>
        </w:rPr>
        <w:t xml:space="preserve">Liquidation Event</w:t>
      </w:r>
      <w:r>
        <w:rPr>
          <w:b/>
          <w:bCs/>
        </w:rPr>
        <w:t xml:space="preserve">”</w:t>
      </w:r>
      <w:r>
        <w:rPr>
          <w:b/>
          <w:bCs/>
        </w:rPr>
        <w:t xml:space="preserve"> </w:t>
      </w:r>
      <w:r>
        <w:rPr>
          <w:b/>
          <w:bCs/>
        </w:rPr>
        <w:t xml:space="preserve">(Charter, Section 4.3.2(d))</w:t>
      </w:r>
    </w:p>
    <w:p>
      <w:pPr>
        <w:pStyle w:val="BodyText"/>
      </w:pPr>
      <w:r>
        <w:t xml:space="preserve">The Charter defines</w:t>
      </w:r>
      <w:r>
        <w:t xml:space="preserve"> </w:t>
      </w:r>
      <w:r>
        <w:t xml:space="preserve">“</w:t>
      </w:r>
      <w:r>
        <w:t xml:space="preserve">Liquidation Event</w:t>
      </w:r>
      <w:r>
        <w:t xml:space="preserve">”</w:t>
      </w:r>
      <w:r>
        <w:t xml:space="preserve"> </w:t>
      </w:r>
      <w:r>
        <w:t xml:space="preserve">with four sub-prongs: (i) a merger/consolidation/business combination (whether or not the Company is the surviving entity) in which pre-transaction stockholders do not continue to hold</w:t>
      </w:r>
      <w:r>
        <w:t xml:space="preserve"> </w:t>
      </w:r>
      <w:r>
        <w:rPr>
          <w:i/>
          <w:iCs/>
        </w:rPr>
        <w:t xml:space="preserve">at least 50%</w:t>
      </w:r>
      <w:r>
        <w:t xml:space="preserve"> </w:t>
      </w:r>
      <w:r>
        <w:t xml:space="preserve">of the voting power of the surviving/resulting entity; (ii) a sale, lease, transfer,</w:t>
      </w:r>
      <w:r>
        <w:t xml:space="preserve"> </w:t>
      </w:r>
      <w:r>
        <w:rPr>
          <w:i/>
          <w:iCs/>
        </w:rPr>
        <w:t xml:space="preserve">exclusive license</w:t>
      </w:r>
      <w:r>
        <w:t xml:space="preserve">, or other disposition of all or substantially all assets; (iii) any transaction or series of transactions resulting in the transfer/issuance of equity representing</w:t>
      </w:r>
      <w:r>
        <w:t xml:space="preserve"> </w:t>
      </w:r>
      <w:r>
        <w:rPr>
          <w:i/>
          <w:iCs/>
        </w:rPr>
        <w:t xml:space="preserve">more than 50%</w:t>
      </w:r>
      <w:r>
        <w:t xml:space="preserve"> </w:t>
      </w:r>
      <w:r>
        <w:t xml:space="preserve">of the voting power to any person or group,</w:t>
      </w:r>
      <w:r>
        <w:t xml:space="preserve"> </w:t>
      </w:r>
      <w:r>
        <w:rPr>
          <w:i/>
          <w:iCs/>
        </w:rPr>
        <w:t xml:space="preserve">other than an equity financing transaction primarily for capital-raising purposes</w:t>
      </w:r>
      <w:r>
        <w:t xml:space="preserve">; and (iv) any voluntary or involuntary liquidation, dissolution, or winding up.</w:t>
      </w:r>
    </w:p>
    <w:p>
      <w:pPr>
        <w:pStyle w:val="BodyText"/>
      </w:pPr>
      <w:r>
        <w:rPr>
          <w:b/>
          <w:bCs/>
        </w:rPr>
        <w:t xml:space="preserve">B.</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(SHA Section 1.1; Voting Agreement Section 1)</w:t>
      </w:r>
    </w:p>
    <w:p>
      <w:pPr>
        <w:pStyle w:val="BodyText"/>
      </w:pPr>
      <w:r>
        <w:t xml:space="preserve">Both the SHA and the Voting Agreement define</w:t>
      </w:r>
      <w:r>
        <w:t xml:space="preserve"> </w:t>
      </w:r>
      <w:r>
        <w:t xml:space="preserve">“</w:t>
      </w:r>
      <w:r>
        <w:t xml:space="preserve">Sale of the Company</w:t>
      </w:r>
      <w:r>
        <w:t xml:space="preserve">”</w:t>
      </w:r>
      <w:r>
        <w:t xml:space="preserve"> </w:t>
      </w:r>
      <w:r>
        <w:t xml:space="preserve">with three sub-prongs: (i) a merger/consolidation/reorganization in which pre-transaction stockholders do not retain a</w:t>
      </w:r>
      <w:r>
        <w:t xml:space="preserve"> </w:t>
      </w:r>
      <w:r>
        <w:rPr>
          <w:i/>
          <w:iCs/>
        </w:rPr>
        <w:t xml:space="preserve">majority</w:t>
      </w:r>
      <w:r>
        <w:t xml:space="preserve"> </w:t>
      </w:r>
      <w:r>
        <w:t xml:space="preserve">of the voting power of the surviving/resulting entity; (ii) a sale, lease,</w:t>
      </w:r>
      <w:r>
        <w:t xml:space="preserve"> </w:t>
      </w:r>
      <w:r>
        <w:rPr>
          <w:i/>
          <w:iCs/>
        </w:rPr>
        <w:t xml:space="preserve">exclusive license</w:t>
      </w:r>
      <w:r>
        <w:t xml:space="preserve">, or other disposition of all or substantially all assets; and (iii) any transaction or series of transactions resulting in the transfer of</w:t>
      </w:r>
      <w:r>
        <w:t xml:space="preserve"> </w:t>
      </w:r>
      <w:r>
        <w:rPr>
          <w:i/>
          <w:iCs/>
        </w:rPr>
        <w:t xml:space="preserve">more than 50%</w:t>
      </w:r>
      <w:r>
        <w:t xml:space="preserve"> </w:t>
      </w:r>
      <w:r>
        <w:t xml:space="preserve">of the outstanding voting power.</w:t>
      </w:r>
    </w:p>
    <w:p>
      <w:pPr>
        <w:pStyle w:val="BodyText"/>
      </w:pPr>
      <w:r>
        <w:rPr>
          <w:b/>
          <w:bCs/>
        </w:rPr>
        <w:t xml:space="preserve">C.</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(RRA Section 9(c)) — UNDEFINED</w:t>
      </w:r>
    </w:p>
    <w:p>
      <w:pPr>
        <w:pStyle w:val="BodyText"/>
      </w:pPr>
      <w:r>
        <w:t xml:space="preserve">The RRA’s termination provision (Section 9) provides that registration rights terminate upon</w:t>
      </w:r>
      <w:r>
        <w:t xml:space="preserve"> </w:t>
      </w:r>
      <w:r>
        <w:t xml:space="preserve">“</w:t>
      </w:r>
      <w:r>
        <w:t xml:space="preserve">(c) a Deemed Liquidation Event.</w:t>
      </w:r>
      <w:r>
        <w:t xml:space="preserve">”</w:t>
      </w:r>
      <w:r>
        <w:t xml:space="preserve"> </w:t>
      </w:r>
      <w:r>
        <w:t xml:space="preserve">However, the RRA’s definitions section (Section 1) does</w:t>
      </w:r>
      <w:r>
        <w:t xml:space="preserve"> </w:t>
      </w:r>
      <w:r>
        <w:rPr>
          <w:i/>
          <w:iCs/>
        </w:rPr>
        <w:t xml:space="preserve">not</w:t>
      </w:r>
      <w:r>
        <w:t xml:space="preserve"> </w:t>
      </w:r>
      <w:r>
        <w:t xml:space="preserve">define</w:t>
      </w:r>
      <w:r>
        <w:t xml:space="preserve"> </w:t>
      </w:r>
      <w:r>
        <w:t xml:space="preserve">“</w:t>
      </w:r>
      <w:r>
        <w:t xml:space="preserve">Deemed Liquidation Event,</w:t>
      </w:r>
      <w:r>
        <w:t xml:space="preserve">”</w:t>
      </w:r>
      <w:r>
        <w:t xml:space="preserve"> </w:t>
      </w:r>
      <w:r>
        <w:t xml:space="preserve">and the RRA does not cross-reference the Charter’s</w:t>
      </w:r>
      <w:r>
        <w:t xml:space="preserve"> </w:t>
      </w:r>
      <w:r>
        <w:t xml:space="preserve">“</w:t>
      </w:r>
      <w:r>
        <w:t xml:space="preserve">Liquidation Event</w:t>
      </w:r>
      <w:r>
        <w:t xml:space="preserve">”</w:t>
      </w:r>
      <w:r>
        <w:t xml:space="preserve"> </w:t>
      </w:r>
      <w:r>
        <w:t xml:space="preserve">definition. This is a definitional gap.</w:t>
      </w:r>
      <w:r>
        <w:t xml:space="preserve"> </w:t>
      </w:r>
      <w:r>
        <w:t xml:space="preserve">“</w:t>
      </w:r>
      <w:r>
        <w:t xml:space="preserve">Deemed Liquidation Event</w:t>
      </w:r>
      <w:r>
        <w:t xml:space="preserve">”</w:t>
      </w:r>
      <w:r>
        <w:t xml:space="preserve"> </w:t>
      </w:r>
      <w:r>
        <w:t xml:space="preserve">is a term commonly used in NVCA-model documents to refer to a change-of-control transaction treated as a liquidation for Charter purposes, and it would typically map to the Charter’s</w:t>
      </w:r>
      <w:r>
        <w:t xml:space="preserve"> </w:t>
      </w:r>
      <w:r>
        <w:t xml:space="preserve">“</w:t>
      </w:r>
      <w:r>
        <w:t xml:space="preserve">Liquidation Event</w:t>
      </w:r>
      <w:r>
        <w:t xml:space="preserve">”</w:t>
      </w:r>
      <w:r>
        <w:t xml:space="preserve"> </w:t>
      </w:r>
      <w:r>
        <w:t xml:space="preserve">definition. But because the RRA does not say so, there is ambiguity about whether the merger terminates the RRA. This is addressed further in Section XI.</w:t>
      </w:r>
    </w:p>
    <w:p>
      <w:pPr>
        <w:pStyle w:val="BodyText"/>
      </w:pPr>
      <w:r>
        <w:rPr>
          <w:b/>
          <w:bCs/>
        </w:rPr>
        <w:t xml:space="preserve">D. Specific Inconsistencies Identified</w:t>
      </w:r>
    </w:p>
    <w:p>
      <w:pPr>
        <w:numPr>
          <w:ilvl w:val="0"/>
          <w:numId w:val="1009"/>
        </w:numPr>
      </w:pPr>
      <w:r>
        <w:rPr>
          <w:b/>
          <w:bCs/>
        </w:rPr>
        <w:t xml:space="preserve">50% vs. </w:t>
      </w:r>
      <w:r>
        <w:rPr>
          <w:b/>
          <w:bCs/>
        </w:rPr>
        <w:t xml:space="preserve">“</w:t>
      </w:r>
      <w:r>
        <w:rPr>
          <w:b/>
          <w:bCs/>
        </w:rPr>
        <w:t xml:space="preserve">majority</w:t>
      </w:r>
      <w:r>
        <w:rPr>
          <w:b/>
          <w:bCs/>
        </w:rPr>
        <w:t xml:space="preserve">”</w:t>
      </w:r>
      <w:r>
        <w:rPr>
          <w:b/>
          <w:bCs/>
        </w:rPr>
        <w:t xml:space="preserve"> </w:t>
      </w:r>
      <w:r>
        <w:rPr>
          <w:b/>
          <w:bCs/>
        </w:rPr>
        <w:t xml:space="preserve">threshold (sub-prong (i)).</w:t>
      </w:r>
      <w:r>
        <w:t xml:space="preserve"> </w:t>
      </w:r>
      <w:r>
        <w:t xml:space="preserve">The Charter’s Liquidation Event is triggered when pre-transaction stockholders hold</w:t>
      </w:r>
      <w:r>
        <w:t xml:space="preserve"> </w:t>
      </w:r>
      <w:r>
        <w:rPr>
          <w:i/>
          <w:iCs/>
        </w:rPr>
        <w:t xml:space="preserve">less than 50%</w:t>
      </w:r>
      <w:r>
        <w:t xml:space="preserve"> </w:t>
      </w:r>
      <w:r>
        <w:t xml:space="preserve">of the surviving entity’s voting power (the exception is</w:t>
      </w:r>
      <w:r>
        <w:t xml:space="preserve"> </w:t>
      </w:r>
      <w:r>
        <w:t xml:space="preserve">“</w:t>
      </w:r>
      <w:r>
        <w:t xml:space="preserve">at least 50%</w:t>
      </w:r>
      <w:r>
        <w:t xml:space="preserve">”</w:t>
      </w:r>
      <w:r>
        <w:t xml:space="preserve">). The SHA/Voting Agreement</w:t>
      </w:r>
      <w:r>
        <w:t xml:space="preserve"> </w:t>
      </w:r>
      <w:r>
        <w:t xml:space="preserve">“</w:t>
      </w:r>
      <w:r>
        <w:t xml:space="preserve">Sale of the Company</w:t>
      </w:r>
      <w:r>
        <w:t xml:space="preserve">”</w:t>
      </w:r>
      <w:r>
        <w:t xml:space="preserve"> </w:t>
      </w:r>
      <w:r>
        <w:t xml:space="preserve">is triggered when stockholders do</w:t>
      </w:r>
      <w:r>
        <w:t xml:space="preserve"> </w:t>
      </w:r>
      <w:r>
        <w:rPr>
          <w:i/>
          <w:iCs/>
        </w:rPr>
        <w:t xml:space="preserve">not retain a majority</w:t>
      </w:r>
      <w:r>
        <w:t xml:space="preserve"> </w:t>
      </w:r>
      <w:r>
        <w:t xml:space="preserve">(i.e., hold 50% or less). These thresholds differ at the margin: a transaction in which stockholders retain</w:t>
      </w:r>
      <w:r>
        <w:t xml:space="preserve"> </w:t>
      </w:r>
      <w:r>
        <w:rPr>
          <w:i/>
          <w:iCs/>
        </w:rPr>
        <w:t xml:space="preserve">exactly 50%</w:t>
      </w:r>
      <w:r>
        <w:t xml:space="preserve"> </w:t>
      </w:r>
      <w:r>
        <w:t xml:space="preserve">would</w:t>
      </w:r>
      <w:r>
        <w:t xml:space="preserve"> </w:t>
      </w:r>
      <w:r>
        <w:rPr>
          <w:i/>
          <w:iCs/>
        </w:rPr>
        <w:t xml:space="preserve">not</w:t>
      </w:r>
      <w:r>
        <w:t xml:space="preserve"> </w:t>
      </w:r>
      <w:r>
        <w:t xml:space="preserve">be a Liquidation Event under the Charter (they hold</w:t>
      </w:r>
      <w:r>
        <w:t xml:space="preserve"> </w:t>
      </w:r>
      <w:r>
        <w:t xml:space="preserve">“</w:t>
      </w:r>
      <w:r>
        <w:t xml:space="preserve">at least 50%</w:t>
      </w:r>
      <w:r>
        <w:t xml:space="preserve">”</w:t>
      </w:r>
      <w:r>
        <w:t xml:space="preserve">) but</w:t>
      </w:r>
      <w:r>
        <w:t xml:space="preserve"> </w:t>
      </w:r>
      <w:r>
        <w:rPr>
          <w:i/>
          <w:iCs/>
        </w:rPr>
        <w:t xml:space="preserve">would</w:t>
      </w:r>
      <w:r>
        <w:t xml:space="preserve"> </w:t>
      </w:r>
      <w:r>
        <w:t xml:space="preserve">be a Sale of the Company under the SHA/Voting Agreement (they do not retain a</w:t>
      </w:r>
      <w:r>
        <w:t xml:space="preserve"> </w:t>
      </w:r>
      <w:r>
        <w:t xml:space="preserve">“</w:t>
      </w:r>
      <w:r>
        <w:t xml:space="preserve">majority,</w:t>
      </w:r>
      <w:r>
        <w:t xml:space="preserve">”</w:t>
      </w:r>
      <w:r>
        <w:t xml:space="preserve"> </w:t>
      </w:r>
      <w:r>
        <w:t xml:space="preserve">i.e., &gt;50%). For the Hargrove merger (stockholders retain 0%), both definitions are triggered, so this inconsistency does not affect</w:t>
      </w:r>
      <w:r>
        <w:t xml:space="preserve"> </w:t>
      </w:r>
      <w:r>
        <w:rPr>
          <w:i/>
          <w:iCs/>
        </w:rPr>
        <w:t xml:space="preserve">this</w:t>
      </w:r>
      <w:r>
        <w:t xml:space="preserve"> </w:t>
      </w:r>
      <w:r>
        <w:t xml:space="preserve">deal. But it is a latent inconsistency that could matter in a future transaction (e.g., a partial roll-over structure) and should be noted.</w:t>
      </w:r>
    </w:p>
    <w:p>
      <w:pPr>
        <w:numPr>
          <w:ilvl w:val="0"/>
          <w:numId w:val="1009"/>
        </w:numPr>
      </w:pPr>
      <w:r>
        <w:rPr>
          <w:b/>
          <w:bCs/>
        </w:rPr>
        <w:t xml:space="preserve">Equity-financing carve-out.</w:t>
      </w:r>
      <w:r>
        <w:t xml:space="preserve"> </w:t>
      </w:r>
      <w:r>
        <w:t xml:space="preserve">The Charter’s Liquidation Event sub-prong (iii) expressly</w:t>
      </w:r>
      <w:r>
        <w:t xml:space="preserve"> </w:t>
      </w:r>
      <w:r>
        <w:rPr>
          <w:i/>
          <w:iCs/>
        </w:rPr>
        <w:t xml:space="preserve">excludes</w:t>
      </w:r>
      <w:r>
        <w:t xml:space="preserve"> </w:t>
      </w:r>
      <w:r>
        <w:t xml:space="preserve">“</w:t>
      </w:r>
      <w:r>
        <w:t xml:space="preserve">an equity financing transaction primarily for capital-raising purposes.</w:t>
      </w:r>
      <w:r>
        <w:t xml:space="preserve">”</w:t>
      </w:r>
      <w:r>
        <w:t xml:space="preserve"> </w:t>
      </w:r>
      <w:r>
        <w:t xml:space="preserve">Neither the SHA nor the Voting Agreement</w:t>
      </w:r>
      <w:r>
        <w:t xml:space="preserve"> </w:t>
      </w:r>
      <w:r>
        <w:t xml:space="preserve">“</w:t>
      </w:r>
      <w:r>
        <w:t xml:space="preserve">Sale of the Company</w:t>
      </w:r>
      <w:r>
        <w:t xml:space="preserve">”</w:t>
      </w:r>
      <w:r>
        <w:t xml:space="preserve"> </w:t>
      </w:r>
      <w:r>
        <w:t xml:space="preserve">definition contains this carve-out. Accordingly, an equity financing that transfers more than 50% of the voting power would</w:t>
      </w:r>
      <w:r>
        <w:t xml:space="preserve"> </w:t>
      </w:r>
      <w:r>
        <w:rPr>
          <w:i/>
          <w:iCs/>
        </w:rPr>
        <w:t xml:space="preserve">not</w:t>
      </w:r>
      <w:r>
        <w:t xml:space="preserve"> </w:t>
      </w:r>
      <w:r>
        <w:t xml:space="preserve">be a Liquidation Event (no Charter preference/protective-provision consequences) but</w:t>
      </w:r>
      <w:r>
        <w:t xml:space="preserve"> </w:t>
      </w:r>
      <w:r>
        <w:rPr>
          <w:i/>
          <w:iCs/>
        </w:rPr>
        <w:t xml:space="preserve">would</w:t>
      </w:r>
      <w:r>
        <w:t xml:space="preserve"> </w:t>
      </w:r>
      <w:r>
        <w:t xml:space="preserve">be a Sale of the Company (triggering SHA drag-along/termination and Voting Agreement termination). This is a meaningful inconsistency.</w:t>
      </w:r>
    </w:p>
    <w:p>
      <w:pPr>
        <w:numPr>
          <w:ilvl w:val="0"/>
          <w:numId w:val="1009"/>
        </w:numPr>
      </w:pPr>
      <w:r>
        <w:rPr>
          <w:b/>
          <w:bCs/>
        </w:rPr>
        <w:t xml:space="preserve">“</w:t>
      </w:r>
      <w:r>
        <w:rPr>
          <w:b/>
          <w:bCs/>
        </w:rPr>
        <w:t xml:space="preserve">Deemed Liquidation Event</w:t>
      </w:r>
      <w:r>
        <w:rPr>
          <w:b/>
          <w:bCs/>
        </w:rPr>
        <w:t xml:space="preserve">”</w:t>
      </w:r>
      <w:r>
        <w:rPr>
          <w:b/>
          <w:bCs/>
        </w:rPr>
        <w:t xml:space="preserve"> </w:t>
      </w:r>
      <w:r>
        <w:rPr>
          <w:b/>
          <w:bCs/>
        </w:rPr>
        <w:t xml:space="preserve">undefined in the RRA.</w:t>
      </w:r>
      <w:r>
        <w:t xml:space="preserve"> </w:t>
      </w:r>
      <w:r>
        <w:t xml:space="preserve">As noted, the RRA uses an undefined term as its termination trigger. This is the most consequential gap because it creates uncertainty about whether the RRA terminates on the merger.</w:t>
      </w:r>
    </w:p>
    <w:p>
      <w:pPr>
        <w:numPr>
          <w:ilvl w:val="0"/>
          <w:numId w:val="1009"/>
        </w:numPr>
      </w:pPr>
      <w:r>
        <w:rPr>
          <w:b/>
          <w:bCs/>
        </w:rPr>
        <w:t xml:space="preserve">Number of sub-prongs / liquidation &amp; dissolution.</w:t>
      </w:r>
      <w:r>
        <w:t xml:space="preserve"> </w:t>
      </w:r>
      <w:r>
        <w:t xml:space="preserve">The Charter’s Liquidation Event includes a fourth sub-prong (voluntary/involuntary liquidation, dissolution, or winding up). The SHA/Voting Agreement</w:t>
      </w:r>
      <w:r>
        <w:t xml:space="preserve"> </w:t>
      </w:r>
      <w:r>
        <w:t xml:space="preserve">“</w:t>
      </w:r>
      <w:r>
        <w:t xml:space="preserve">Sale of the Company</w:t>
      </w:r>
      <w:r>
        <w:t xml:space="preserve">”</w:t>
      </w:r>
      <w:r>
        <w:t xml:space="preserve"> </w:t>
      </w:r>
      <w:r>
        <w:t xml:space="preserve">has no equivalent standalone sub-prong (though asset disposition under sub-prong (ii) could overlap in a winding-up context). Minor difference.</w:t>
      </w:r>
    </w:p>
    <w:p>
      <w:pPr>
        <w:numPr>
          <w:ilvl w:val="0"/>
          <w:numId w:val="1009"/>
        </w:numPr>
      </w:pPr>
      <w:r>
        <w:rPr>
          <w:b/>
          <w:bCs/>
        </w:rPr>
        <w:t xml:space="preserve">“</w:t>
      </w:r>
      <w:r>
        <w:rPr>
          <w:b/>
          <w:bCs/>
        </w:rPr>
        <w:t xml:space="preserve">Exclusive license</w:t>
      </w:r>
      <w:r>
        <w:rPr>
          <w:b/>
          <w:bCs/>
        </w:rPr>
        <w:t xml:space="preserve">”</w:t>
      </w:r>
      <w:r>
        <w:rPr>
          <w:b/>
          <w:bCs/>
        </w:rPr>
        <w:t xml:space="preserve"> </w:t>
      </w:r>
      <w:r>
        <w:rPr>
          <w:b/>
          <w:bCs/>
        </w:rPr>
        <w:t xml:space="preserve">inclusion — consistent.</w:t>
      </w:r>
      <w:r>
        <w:t xml:space="preserve"> </w:t>
      </w:r>
      <w:r>
        <w:t xml:space="preserve">All three definitions (Charter, SHA, Voting Agreement) include</w:t>
      </w:r>
      <w:r>
        <w:t xml:space="preserve"> </w:t>
      </w:r>
      <w:r>
        <w:t xml:space="preserve">“</w:t>
      </w:r>
      <w:r>
        <w:t xml:space="preserve">exclusive license</w:t>
      </w:r>
      <w:r>
        <w:t xml:space="preserve">”</w:t>
      </w:r>
      <w:r>
        <w:t xml:space="preserve"> </w:t>
      </w:r>
      <w:r>
        <w:t xml:space="preserve">within the asset-disposition prong. This is consistent across documents. (The RRA does not define its term, so no comparison is possible.)</w:t>
      </w:r>
    </w:p>
    <w:p>
      <w:pPr>
        <w:pStyle w:val="FirstParagraph"/>
      </w:pPr>
      <w:r>
        <w:rPr>
          <w:b/>
          <w:bCs/>
        </w:rPr>
        <w:t xml:space="preserve">E. Practical Implications for the Merger</w:t>
      </w:r>
    </w:p>
    <w:p>
      <w:pPr>
        <w:pStyle w:val="BodyText"/>
      </w:pPr>
      <w:r>
        <w:t xml:space="preserve">For the Hargrove merger, the inconsistencies in items (1) and (2) do not change the outcome (the merger triggers all definitions). The critical issue is item (3): the RRA’s undefined</w:t>
      </w:r>
      <w:r>
        <w:t xml:space="preserve"> </w:t>
      </w:r>
      <w:r>
        <w:t xml:space="preserve">“</w:t>
      </w:r>
      <w:r>
        <w:t xml:space="preserve">Deemed Liquidation Event.</w:t>
      </w:r>
      <w:r>
        <w:t xml:space="preserve">”</w:t>
      </w:r>
      <w:r>
        <w:t xml:space="preserve"> </w:t>
      </w:r>
      <w:r>
        <w:t xml:space="preserve">If a court were to interpret</w:t>
      </w:r>
      <w:r>
        <w:t xml:space="preserve"> </w:t>
      </w:r>
      <w:r>
        <w:t xml:space="preserve">“</w:t>
      </w:r>
      <w:r>
        <w:t xml:space="preserve">Deemed Liquidation Event</w:t>
      </w:r>
      <w:r>
        <w:t xml:space="preserve">”</w:t>
      </w:r>
      <w:r>
        <w:t xml:space="preserve"> </w:t>
      </w:r>
      <w:r>
        <w:t xml:space="preserve">by reference to the Charter’s</w:t>
      </w:r>
      <w:r>
        <w:t xml:space="preserve"> </w:t>
      </w:r>
      <w:r>
        <w:t xml:space="preserve">“</w:t>
      </w:r>
      <w:r>
        <w:t xml:space="preserve">Liquidation Event</w:t>
      </w:r>
      <w:r>
        <w:t xml:space="preserve">”</w:t>
      </w:r>
      <w:r>
        <w:t xml:space="preserve"> </w:t>
      </w:r>
      <w:r>
        <w:t xml:space="preserve">(the most natural reading, given the term’s conventional usage), the RRA terminates on the merger. If the term is interpreted more narrowly or found ambiguous, the RRA could survive. Because the merger cancels all Preferred Stock (and thus eliminates all</w:t>
      </w:r>
      <w:r>
        <w:t xml:space="preserve"> </w:t>
      </w:r>
      <w:r>
        <w:t xml:space="preserve">“</w:t>
      </w:r>
      <w:r>
        <w:t xml:space="preserve">Registrable Securities,</w:t>
      </w:r>
      <w:r>
        <w:t xml:space="preserve">”</w:t>
      </w:r>
      <w:r>
        <w:t xml:space="preserve"> </w:t>
      </w:r>
      <w:r>
        <w:t xml:space="preserve">which are defined as Common issued/issuable upon conversion of Preferred), the practical consequence of RRA survival is limited — there would be no Registrable Securities to register post-closing. However, survival could leave residual obligations (e.g., indemnification, expense reimbursement) and create post-closing administrative burden.</w:t>
      </w:r>
      <w:r>
        <w:t xml:space="preserve"> </w:t>
      </w:r>
      <w:r>
        <w:rPr>
          <w:b/>
          <w:bCs/>
        </w:rPr>
        <w:t xml:space="preserve">Recommendation:</w:t>
      </w:r>
      <w:r>
        <w:t xml:space="preserve"> </w:t>
      </w:r>
      <w:r>
        <w:t xml:space="preserve">Do not rely on the</w:t>
      </w:r>
      <w:r>
        <w:t xml:space="preserve"> </w:t>
      </w:r>
      <w:r>
        <w:t xml:space="preserve">“</w:t>
      </w:r>
      <w:r>
        <w:t xml:space="preserve">Deemed Liquidation Event</w:t>
      </w:r>
      <w:r>
        <w:t xml:space="preserve">”</w:t>
      </w:r>
      <w:r>
        <w:t xml:space="preserve"> </w:t>
      </w:r>
      <w:r>
        <w:t xml:space="preserve">trigger; include an express termination and release of the RRA in the merger agreement, with the Investors’ written confirmations.</w:t>
      </w:r>
    </w:p>
    <w:p>
      <w:r>
        <w:pict>
          <v:rect style="width:0;height:1.5pt" o:hralign="center" o:hrstd="t" o:hr="t"/>
        </w:pict>
      </w:r>
    </w:p>
    <w:bookmarkEnd w:id="26"/>
    <w:bookmarkStart w:id="27" w:name="X3e7e816b4616917bd4c60bceb4f5dadf0137e02"/>
    <w:p>
      <w:pPr>
        <w:pStyle w:val="Heading3"/>
      </w:pPr>
      <w:r>
        <w:t xml:space="preserve">VIII. OUTSTANDING EQUITY AWARDS AND CHANGE-OF-CONTROL ACCELERATION</w:t>
      </w:r>
    </w:p>
    <w:p>
      <w:pPr>
        <w:pStyle w:val="FirstParagraph"/>
      </w:pPr>
      <w:r>
        <w:rPr>
          <w:b/>
          <w:bCs/>
        </w:rPr>
        <w:t xml:space="preserve">A. Awards Identified in the Board Minutes</w:t>
      </w:r>
    </w:p>
    <w:p>
      <w:pPr>
        <w:pStyle w:val="BodyText"/>
      </w:pPr>
      <w:r>
        <w:t xml:space="preserve">The Board Minutes reference the following equity awards:</w:t>
      </w:r>
    </w:p>
    <w:p>
      <w:pPr>
        <w:numPr>
          <w:ilvl w:val="0"/>
          <w:numId w:val="1010"/>
        </w:numPr>
      </w:pPr>
      <w:r>
        <w:rPr>
          <w:b/>
          <w:bCs/>
        </w:rPr>
        <w:t xml:space="preserve">Raj Malhotra (VP of Engineering):</w:t>
      </w:r>
      <w:r>
        <w:t xml:space="preserve"> </w:t>
      </w:r>
      <w:r>
        <w:t xml:space="preserve">350,000 stock options granted April 12, 2023, under the 2021 Equity Incentive Plan (the</w:t>
      </w:r>
      <w:r>
        <w:t xml:space="preserve"> </w:t>
      </w:r>
      <w:r>
        <w:t xml:space="preserve">“</w:t>
      </w:r>
      <w:r>
        <w:t xml:space="preserve">Plan</w:t>
      </w:r>
      <w:r>
        <w:t xml:space="preserve">”</w:t>
      </w:r>
      <w:r>
        <w:t xml:space="preserve">), at an exercise price of $14.30 per share (based on a 409A valuation), vesting over four years with a one-year cliff (25% on the first anniversary, monthly thereafter over 36 months), subject to continued service.</w:t>
      </w:r>
    </w:p>
    <w:p>
      <w:pPr>
        <w:numPr>
          <w:ilvl w:val="0"/>
          <w:numId w:val="1010"/>
        </w:numPr>
      </w:pPr>
      <w:r>
        <w:rPr>
          <w:b/>
          <w:bCs/>
        </w:rPr>
        <w:t xml:space="preserve">Linda Yeung (CFO):</w:t>
      </w:r>
      <w:r>
        <w:t xml:space="preserve"> </w:t>
      </w:r>
      <w:r>
        <w:t xml:space="preserve">200,000 restricted stock units (</w:t>
      </w:r>
      <w:r>
        <w:t xml:space="preserve">“</w:t>
      </w:r>
      <w:r>
        <w:t xml:space="preserve">RSUs</w:t>
      </w:r>
      <w:r>
        <w:t xml:space="preserve">”</w:t>
      </w:r>
      <w:r>
        <w:t xml:space="preserve">) granted April 17, 2024, under the Plan (as amended), vesting over three years (one-third per anniversary), subject to continued service. Fair market value of $14.30 per share (409A valuation).</w:t>
      </w:r>
    </w:p>
    <w:p>
      <w:pPr>
        <w:pStyle w:val="FirstParagraph"/>
      </w:pPr>
      <w:r>
        <w:t xml:space="preserve">The Plan was adopted November 3, 2021. The Plan’s share reserve was increased from 8,000,000 to 9,500,000 shares at the July 19, 2023 Board meeting (see Section IX.C). SHA Exhibit B reflects approximately 10,100,000 shares in the</w:t>
      </w:r>
      <w:r>
        <w:t xml:space="preserve"> </w:t>
      </w:r>
      <w:r>
        <w:t xml:space="preserve">“</w:t>
      </w:r>
      <w:r>
        <w:t xml:space="preserve">Various Common Holders / Option Pool</w:t>
      </w:r>
      <w:r>
        <w:t xml:space="preserve">”</w:t>
      </w:r>
      <w:r>
        <w:t xml:space="preserve"> </w:t>
      </w:r>
      <w:r>
        <w:t xml:space="preserve">category on a fully diluted basis.</w:t>
      </w:r>
    </w:p>
    <w:p>
      <w:pPr>
        <w:pStyle w:val="BodyText"/>
      </w:pPr>
      <w:r>
        <w:rPr>
          <w:b/>
          <w:bCs/>
        </w:rPr>
        <w:t xml:space="preserve">B. Document Gap — Plan and Award Agreements Not Received</w:t>
      </w:r>
    </w:p>
    <w:p>
      <w:pPr>
        <w:pStyle w:val="BodyText"/>
      </w:pPr>
      <w:r>
        <w:t xml:space="preserve">We have</w:t>
      </w:r>
      <w:r>
        <w:t xml:space="preserve"> </w:t>
      </w:r>
      <w:r>
        <w:rPr>
          <w:i/>
          <w:iCs/>
        </w:rPr>
        <w:t xml:space="preserve">not</w:t>
      </w:r>
      <w:r>
        <w:t xml:space="preserve"> </w:t>
      </w:r>
      <w:r>
        <w:t xml:space="preserve">received the Plan (or any amendment), nor any individual option or RSU award agreements. This is a significant document gap that must be remedied before we can complete the analysis. The following questions cannot be answered without these documents:</w:t>
      </w:r>
    </w:p>
    <w:p>
      <w:pPr>
        <w:numPr>
          <w:ilvl w:val="0"/>
          <w:numId w:val="1011"/>
        </w:numPr>
      </w:pPr>
      <w:r>
        <w:rPr>
          <w:b/>
          <w:bCs/>
        </w:rPr>
        <w:t xml:space="preserve">Does the merger constitute a</w:t>
      </w:r>
      <w:r>
        <w:rPr>
          <w:b/>
          <w:bCs/>
        </w:rPr>
        <w:t xml:space="preserve"> </w:t>
      </w:r>
      <w:r>
        <w:rPr>
          <w:b/>
          <w:bCs/>
        </w:rPr>
        <w:t xml:space="preserve">“</w:t>
      </w:r>
      <w:r>
        <w:rPr>
          <w:b/>
          <w:bCs/>
        </w:rPr>
        <w:t xml:space="preserve">change of control</w:t>
      </w:r>
      <w:r>
        <w:rPr>
          <w:b/>
          <w:bCs/>
        </w:rPr>
        <w:t xml:space="preserve">”</w:t>
      </w:r>
      <w:r>
        <w:rPr>
          <w:b/>
          <w:bCs/>
        </w:rPr>
        <w:t xml:space="preserve"> </w:t>
      </w:r>
      <w:r>
        <w:rPr>
          <w:b/>
          <w:bCs/>
        </w:rPr>
        <w:t xml:space="preserve">under the Plan?</w:t>
      </w:r>
      <w:r>
        <w:t xml:space="preserve"> </w:t>
      </w:r>
      <w:r>
        <w:t xml:space="preserve">The Plan’s definition of</w:t>
      </w:r>
      <w:r>
        <w:t xml:space="preserve"> </w:t>
      </w:r>
      <w:r>
        <w:t xml:space="preserve">“</w:t>
      </w:r>
      <w:r>
        <w:t xml:space="preserve">change of control</w:t>
      </w:r>
      <w:r>
        <w:t xml:space="preserve">”</w:t>
      </w:r>
      <w:r>
        <w:t xml:space="preserve"> </w:t>
      </w:r>
      <w:r>
        <w:t xml:space="preserve">(or</w:t>
      </w:r>
      <w:r>
        <w:t xml:space="preserve"> </w:t>
      </w:r>
      <w:r>
        <w:t xml:space="preserve">“</w:t>
      </w:r>
      <w:r>
        <w:t xml:space="preserve">change in control</w:t>
      </w:r>
      <w:r>
        <w:t xml:space="preserve">”</w:t>
      </w:r>
      <w:r>
        <w:t xml:space="preserve"> </w:t>
      </w:r>
      <w:r>
        <w:t xml:space="preserve">or similar) may differ from the Charter’s</w:t>
      </w:r>
      <w:r>
        <w:t xml:space="preserve"> </w:t>
      </w:r>
      <w:r>
        <w:t xml:space="preserve">“</w:t>
      </w:r>
      <w:r>
        <w:t xml:space="preserve">Liquidation Event</w:t>
      </w:r>
      <w:r>
        <w:t xml:space="preserve">”</w:t>
      </w:r>
      <w:r>
        <w:t xml:space="preserve"> </w:t>
      </w:r>
      <w:r>
        <w:t xml:space="preserve">or the SHA’s</w:t>
      </w:r>
      <w:r>
        <w:t xml:space="preserve"> </w:t>
      </w:r>
      <w:r>
        <w:t xml:space="preserve">“</w:t>
      </w:r>
      <w:r>
        <w:t xml:space="preserve">Sale of the Company.</w:t>
      </w:r>
      <w:r>
        <w:t xml:space="preserve">”</w:t>
      </w:r>
      <w:r>
        <w:t xml:space="preserve"> </w:t>
      </w:r>
      <w:r>
        <w:t xml:space="preserve">We need the Plan definition to confirm the merger triggers it.</w:t>
      </w:r>
    </w:p>
    <w:p>
      <w:pPr>
        <w:numPr>
          <w:ilvl w:val="0"/>
          <w:numId w:val="1011"/>
        </w:numPr>
      </w:pPr>
      <w:r>
        <w:rPr>
          <w:b/>
          <w:bCs/>
        </w:rPr>
        <w:t xml:space="preserve">Single-trigger or double-trigger acceleration?</w:t>
      </w:r>
      <w:r>
        <w:t xml:space="preserve"> </w:t>
      </w:r>
      <w:r>
        <w:t xml:space="preserve">This is the most economically consequential question. Under a</w:t>
      </w:r>
      <w:r>
        <w:t xml:space="preserve"> </w:t>
      </w:r>
      <w:r>
        <w:rPr>
          <w:i/>
          <w:iCs/>
        </w:rPr>
        <w:t xml:space="preserve">single-trigger</w:t>
      </w:r>
      <w:r>
        <w:t xml:space="preserve"> </w:t>
      </w:r>
      <w:r>
        <w:t xml:space="preserve">provision, all unvested awards vest in full upon the change of control (regardless of continued employment). Under a</w:t>
      </w:r>
      <w:r>
        <w:t xml:space="preserve"> </w:t>
      </w:r>
      <w:r>
        <w:rPr>
          <w:i/>
          <w:iCs/>
        </w:rPr>
        <w:t xml:space="preserve">double-trigger</w:t>
      </w:r>
      <w:r>
        <w:t xml:space="preserve"> </w:t>
      </w:r>
      <w:r>
        <w:t xml:space="preserve">provision, unvested awards vest only upon a change of control</w:t>
      </w:r>
      <w:r>
        <w:t xml:space="preserve"> </w:t>
      </w:r>
      <w:r>
        <w:rPr>
          <w:i/>
          <w:iCs/>
        </w:rPr>
        <w:t xml:space="preserve">followed by</w:t>
      </w:r>
      <w:r>
        <w:t xml:space="preserve"> </w:t>
      </w:r>
      <w:r>
        <w:t xml:space="preserve">a qualifying termination of employment (typically within 12-18 months). The difference can be material: single-trigger acceleration cashes out all unvested awards at closing (increasing the effective purchase price and potentially triggering excise taxes /</w:t>
      </w:r>
      <w:r>
        <w:t xml:space="preserve"> </w:t>
      </w:r>
      <w:r>
        <w:t xml:space="preserve">“</w:t>
      </w:r>
      <w:r>
        <w:t xml:space="preserve">gross-ups</w:t>
      </w:r>
      <w:r>
        <w:t xml:space="preserve">”</w:t>
      </w:r>
      <w:r>
        <w:t xml:space="preserve">), while double-trigger defers vesting and ties it to post-closing termination. The Plan and/or the individual award agreements will specify the trigger.</w:t>
      </w:r>
    </w:p>
    <w:p>
      <w:pPr>
        <w:numPr>
          <w:ilvl w:val="0"/>
          <w:numId w:val="1011"/>
        </w:numPr>
      </w:pPr>
      <w:r>
        <w:rPr>
          <w:b/>
          <w:bCs/>
        </w:rPr>
        <w:t xml:space="preserve">Aggregate dollar impact of acceleration.</w:t>
      </w:r>
      <w:r>
        <w:t xml:space="preserve"> </w:t>
      </w:r>
      <w:r>
        <w:t xml:space="preserve">Once we know the acceleration terms and the vesting status of all awards, we can compute the aggregate cash-out cost. Preliminarily: (i) Malhotra’s options have a $14.30 exercise price, while the implied common share value in the waterfall is approximately $12.59 per share (Section IX) — meaning Malhotra’s options are</w:t>
      </w:r>
      <w:r>
        <w:t xml:space="preserve"> </w:t>
      </w:r>
      <w:r>
        <w:rPr>
          <w:i/>
          <w:iCs/>
        </w:rPr>
        <w:t xml:space="preserve">underwater</w:t>
      </w:r>
      <w:r>
        <w:t xml:space="preserve"> </w:t>
      </w:r>
      <w:r>
        <w:t xml:space="preserve">(out of the money) at the deal price, so they would likely be cancelled for no payment (and acceleration would have no incremental cost, assuming the merger agreement cashes out options at the greater of zero and the spread). (ii) Yeung’s RSUs have no exercise price, so each vested (or accelerated) RSU is worth approximately $12.59, implying approximately $2.5 million for the full 200,000 RSUs if fully accelerated. These are preliminary estimates only; the actual figures depend on the Plan/award terms, the precise common-share value in the merger agreement, and the vesting status at closing.</w:t>
      </w:r>
    </w:p>
    <w:p>
      <w:pPr>
        <w:numPr>
          <w:ilvl w:val="0"/>
          <w:numId w:val="1011"/>
        </w:numPr>
      </w:pPr>
      <w:r>
        <w:rPr>
          <w:b/>
          <w:bCs/>
        </w:rPr>
        <w:t xml:space="preserve">Treatment of underwater options.</w:t>
      </w:r>
      <w:r>
        <w:t xml:space="preserve"> </w:t>
      </w:r>
      <w:r>
        <w:t xml:space="preserve">The merger agreement should specify whether underwater options are cancelled for no consideration or cashed out at zero. The Plan may address this.</w:t>
      </w:r>
    </w:p>
    <w:p>
      <w:pPr>
        <w:numPr>
          <w:ilvl w:val="0"/>
          <w:numId w:val="1011"/>
        </w:numPr>
      </w:pPr>
      <w:r>
        <w:rPr>
          <w:b/>
          <w:bCs/>
        </w:rPr>
        <w:t xml:space="preserve">Assumption vs. cash-out.</w:t>
      </w:r>
      <w:r>
        <w:t xml:space="preserve"> </w:t>
      </w:r>
      <w:r>
        <w:t xml:space="preserve">The Plan/award agreements may permit or require the Company to either cash out awards or arrange for the acquirer to assume/convert them. In a reverse triangular merger where Terravox survives as a subsidiary, assumption by the surviving entity is structurally possible, but Hargrove (a PE buyer) will likely prefer to cash out awards at closing.</w:t>
      </w:r>
    </w:p>
    <w:p>
      <w:pPr>
        <w:pStyle w:val="FirstParagraph"/>
      </w:pPr>
      <w:r>
        <w:rPr>
          <w:b/>
          <w:bCs/>
        </w:rPr>
        <w:t xml:space="preserve">C. Share-Reserve Increase — Stockholder Approval Question</w:t>
      </w:r>
    </w:p>
    <w:p>
      <w:pPr>
        <w:pStyle w:val="BodyText"/>
      </w:pPr>
      <w:r>
        <w:t xml:space="preserve">At the July 19, 2023 Board meeting, the Board approved an amendment to the Plan increasing the share reserve from 8,000,000 to 9,500,000 shares (a 1,500,000-share increase). The minutes reflect that outside counsel (Mr. Rourke)</w:t>
      </w:r>
      <w:r>
        <w:t xml:space="preserve"> </w:t>
      </w:r>
      <w:r>
        <w:t xml:space="preserve">“</w:t>
      </w:r>
      <w:r>
        <w:t xml:space="preserve">noted that the amendment required Board approval.</w:t>
      </w:r>
      <w:r>
        <w:t xml:space="preserve">”</w:t>
      </w:r>
      <w:r>
        <w:t xml:space="preserve"> </w:t>
      </w:r>
      <w:r>
        <w:t xml:space="preserve">The minutes do</w:t>
      </w:r>
      <w:r>
        <w:t xml:space="preserve"> </w:t>
      </w:r>
      <w:r>
        <w:rPr>
          <w:i/>
          <w:iCs/>
        </w:rPr>
        <w:t xml:space="preserve">not</w:t>
      </w:r>
      <w:r>
        <w:t xml:space="preserve"> </w:t>
      </w:r>
      <w:r>
        <w:t xml:space="preserve">reflect that stockholder approval was sought or obtained, and there is no reference to Preferred Stockholder consent.</w:t>
      </w:r>
    </w:p>
    <w:p>
      <w:pPr>
        <w:pStyle w:val="BodyText"/>
      </w:pPr>
      <w:r>
        <w:t xml:space="preserve">Whether stockholder approval was required turns on provisions we cannot yet verify (the Plan itself) and on applicable law:</w:t>
      </w:r>
    </w:p>
    <w:p>
      <w:pPr>
        <w:numPr>
          <w:ilvl w:val="0"/>
          <w:numId w:val="1012"/>
        </w:numPr>
      </w:pPr>
      <w:r>
        <w:rPr>
          <w:b/>
          <w:bCs/>
        </w:rPr>
        <w:t xml:space="preserve">DGCL Section 157:</w:t>
      </w:r>
      <w:r>
        <w:t xml:space="preserve"> </w:t>
      </w:r>
      <w:r>
        <w:t xml:space="preserve">The board may adopt and amend a stock incentive plan without stockholder approval, unless stockholder approval is required by (a) the Charter, (b) the Plan itself, (c) stock-exchange listing rules (inapplicable; Terravox is private), or (d) tax requirements (e.g., incentive stock options under Section 422 of the Internal Revenue Code require stockholder approval of the plan within 12 months of adoption). If the Plan provides that share-reserve increases require stockholder approval, the increase may be invalid without it.</w:t>
      </w:r>
    </w:p>
    <w:p>
      <w:pPr>
        <w:numPr>
          <w:ilvl w:val="0"/>
          <w:numId w:val="1012"/>
        </w:numPr>
      </w:pPr>
      <w:r>
        <w:rPr>
          <w:b/>
          <w:bCs/>
        </w:rPr>
        <w:t xml:space="preserve">Charter protective provisions:</w:t>
      </w:r>
      <w:r>
        <w:t xml:space="preserve"> </w:t>
      </w:r>
      <w:r>
        <w:t xml:space="preserve">The increase did not increase the</w:t>
      </w:r>
      <w:r>
        <w:t xml:space="preserve"> </w:t>
      </w:r>
      <w:r>
        <w:rPr>
          <w:i/>
          <w:iCs/>
        </w:rPr>
        <w:t xml:space="preserve">authorized</w:t>
      </w:r>
      <w:r>
        <w:t xml:space="preserve"> </w:t>
      </w:r>
      <w:r>
        <w:t xml:space="preserve">shares of Common Stock (50,000,000 authorized; only approximately 34,000,000 issued/reserved), so Charter Section 4.3.6(a)(ii) (increase/decrease of authorized shares) was not triggered. The anti-dilution provision (Section 4.3.4) expressly</w:t>
      </w:r>
      <w:r>
        <w:t xml:space="preserve"> </w:t>
      </w:r>
      <w:r>
        <w:rPr>
          <w:i/>
          <w:iCs/>
        </w:rPr>
        <w:t xml:space="preserve">exempts</w:t>
      </w:r>
      <w:r>
        <w:t xml:space="preserve"> </w:t>
      </w:r>
      <w:r>
        <w:t xml:space="preserve">shares issued under a Board-approved equity incentive plan that includes at least one director elected by Preferred holders (Section 4.3.4(b)(i)) — and the Board includes Preferred designees (Kleinhans, Okafor, Trask). So no anti-dilution adjustment and no separate Preferred consent appear to have been required for the increase itself. However, this conclusion is tentative pending review of the Plan.</w:t>
      </w:r>
    </w:p>
    <w:p>
      <w:pPr>
        <w:numPr>
          <w:ilvl w:val="0"/>
          <w:numId w:val="1012"/>
        </w:numPr>
      </w:pPr>
      <w:r>
        <w:rPr>
          <w:b/>
          <w:bCs/>
        </w:rPr>
        <w:t xml:space="preserve">Stockholders’ Agreement Section 5.2:</w:t>
      </w:r>
      <w:r>
        <w:t xml:space="preserve"> </w:t>
      </w:r>
      <w:r>
        <w:t xml:space="preserve">This section provides that all equity awards are subject to Board-approved vesting schedules and that shares issued upon exercise/settlement are subject to the Company’s repurchase rights and the SHA’s transfer restrictions. It does not impose a separate consent requirement for share-reserve increases.</w:t>
      </w:r>
    </w:p>
    <w:p>
      <w:pPr>
        <w:pStyle w:val="FirstParagraph"/>
      </w:pPr>
      <w:r>
        <w:rPr>
          <w:b/>
          <w:bCs/>
        </w:rPr>
        <w:t xml:space="preserve">Recommendation:</w:t>
      </w:r>
      <w:r>
        <w:t xml:space="preserve"> </w:t>
      </w:r>
      <w:r>
        <w:t xml:space="preserve">Request the Plan (and all amendments), all individual award agreements, the 409A valuation reports, and any stockholder consent records relating to the Plan adoption or the July 2023 amendment. Confirm whether stockholder approval was required and, if so, whether it was obtained. If the increase was effected without required stockholder approval, the validity of awards granted from the additional 1,500,000-share reserve could be challenged — a potential issue Stonemill could raise.</w:t>
      </w:r>
    </w:p>
    <w:p>
      <w:r>
        <w:pict>
          <v:rect style="width:0;height:1.5pt" o:hralign="center" o:hrstd="t" o:hr="t"/>
        </w:pict>
      </w:r>
    </w:p>
    <w:bookmarkEnd w:id="27"/>
    <w:bookmarkStart w:id="28" w:name="X44b10be29ba4b1f2261fc35c1a095bf07920e6f"/>
    <w:p>
      <w:pPr>
        <w:pStyle w:val="Heading3"/>
      </w:pPr>
      <w:r>
        <w:t xml:space="preserve">IX. AUTHORIZATION OF CORPORATE ACTIONS — BOARD MINUTES REVIEW</w:t>
      </w:r>
    </w:p>
    <w:p>
      <w:pPr>
        <w:pStyle w:val="FirstParagraph"/>
      </w:pPr>
      <w:r>
        <w:t xml:space="preserve">We reviewed all eight sets of Board minutes (January 18, 2023 through September 25, 2024). For each significant corporate action, we assessed whether proper Board approval was obtained and whether stockholder or Preferred Stockholder consent was required and obtained. Three items require particular attention.</w:t>
      </w:r>
    </w:p>
    <w:p>
      <w:pPr>
        <w:pStyle w:val="BodyText"/>
      </w:pPr>
      <w:r>
        <w:rPr>
          <w:b/>
          <w:bCs/>
        </w:rPr>
        <w:t xml:space="preserve">A. SensorLink Technologies LOI — Potential Live Exclusivity (CRITICAL, Time-Sensitive)</w:t>
      </w:r>
    </w:p>
    <w:p>
      <w:pPr>
        <w:numPr>
          <w:ilvl w:val="0"/>
          <w:numId w:val="1013"/>
        </w:numPr>
      </w:pPr>
      <w:r>
        <w:rPr>
          <w:b/>
          <w:bCs/>
        </w:rPr>
        <w:t xml:space="preserve">January 24, 2024 (Meeting 5):</w:t>
      </w:r>
      <w:r>
        <w:t xml:space="preserve"> </w:t>
      </w:r>
      <w:r>
        <w:t xml:space="preserve">The Board authorized the CEO to explore an acquisition of SensorLink Technologies, Inc. (</w:t>
      </w:r>
      <w:r>
        <w:t xml:space="preserve">“</w:t>
      </w:r>
      <w:r>
        <w:t xml:space="preserve">SensorLink</w:t>
      </w:r>
      <w:r>
        <w:t xml:space="preserve">”</w:t>
      </w:r>
      <w:r>
        <w:t xml:space="preserve">) for up to $22 million and to negotiate and execute a non-binding letter of intent, with definitive documentation to be brought back to the Board. Approved 7-0.</w:t>
      </w:r>
    </w:p>
    <w:p>
      <w:pPr>
        <w:numPr>
          <w:ilvl w:val="0"/>
          <w:numId w:val="1013"/>
        </w:numPr>
      </w:pPr>
      <w:r>
        <w:rPr>
          <w:b/>
          <w:bCs/>
        </w:rPr>
        <w:t xml:space="preserve">March 8, 2024 (per Meeting 8):</w:t>
      </w:r>
      <w:r>
        <w:t xml:space="preserve"> </w:t>
      </w:r>
      <w:r>
        <w:t xml:space="preserve">The SensorLink LOI was executed. Per the September 25, 2024 minutes, the LOI</w:t>
      </w:r>
      <w:r>
        <w:t xml:space="preserve"> </w:t>
      </w:r>
      <w:r>
        <w:t xml:space="preserve">“</w:t>
      </w:r>
      <w:r>
        <w:t xml:space="preserve">contemplated a potential acquisition of 100% of SensorLink’s equity interests for aggregate consideration of up to $22,000,000 and contained a mutual exclusivity provision with an initial term of six months expiring on September 8, 2024.</w:t>
      </w:r>
      <w:r>
        <w:t xml:space="preserve">”</w:t>
      </w:r>
    </w:p>
    <w:p>
      <w:pPr>
        <w:numPr>
          <w:ilvl w:val="0"/>
          <w:numId w:val="1013"/>
        </w:numPr>
      </w:pPr>
      <w:r>
        <w:rPr>
          <w:b/>
          <w:bCs/>
        </w:rPr>
        <w:t xml:space="preserve">September 25, 2024 (Meeting 8):</w:t>
      </w:r>
      <w:r>
        <w:t xml:space="preserve"> </w:t>
      </w:r>
      <w:r>
        <w:t xml:space="preserve">CEO Ellery reported that the Company had not advanced the SensorLink acquisition and</w:t>
      </w:r>
      <w:r>
        <w:t xml:space="preserve"> </w:t>
      </w:r>
      <w:r>
        <w:t xml:space="preserve">“</w:t>
      </w:r>
      <w:r>
        <w:t xml:space="preserve">believed the matter had concluded,</w:t>
      </w:r>
      <w:r>
        <w:t xml:space="preserve">”</w:t>
      </w:r>
      <w:r>
        <w:t xml:space="preserve"> </w:t>
      </w:r>
      <w:r>
        <w:t xml:space="preserve">stating that the exclusivity period</w:t>
      </w:r>
      <w:r>
        <w:t xml:space="preserve"> </w:t>
      </w:r>
      <w:r>
        <w:t xml:space="preserve">“</w:t>
      </w:r>
      <w:r>
        <w:t xml:space="preserve">had expired by its own terms on September 8, 2024.</w:t>
      </w:r>
      <w:r>
        <w:t xml:space="preserve">”</w:t>
      </w:r>
      <w:r>
        <w:t xml:space="preserve"> </w:t>
      </w:r>
      <w:r>
        <w:t xml:space="preserve">However, outside counsel Rourke observed that the LOI</w:t>
      </w:r>
      <w:r>
        <w:t xml:space="preserve"> </w:t>
      </w:r>
      <w:r>
        <w:t xml:space="preserve">“</w:t>
      </w:r>
      <w:r>
        <w:t xml:space="preserve">contained an automatic renewal provision with respect to the exclusivity period</w:t>
      </w:r>
      <w:r>
        <w:t xml:space="preserve">”</w:t>
      </w:r>
      <w:r>
        <w:t xml:space="preserve"> </w:t>
      </w:r>
      <w:r>
        <w:t xml:space="preserve">— specifically, the exclusivity</w:t>
      </w:r>
      <w:r>
        <w:t xml:space="preserve"> </w:t>
      </w:r>
      <w:r>
        <w:t xml:space="preserve">“</w:t>
      </w:r>
      <w:r>
        <w:t xml:space="preserve">would be automatically extended for successive ninety (90)-day periods unless either party provided written notice of termination to the other party at least fifteen (15) days prior to the expiration of the then-current exclusivity period.</w:t>
      </w:r>
      <w:r>
        <w:t xml:space="preserve">”</w:t>
      </w:r>
      <w:r>
        <w:t xml:space="preserve"> </w:t>
      </w:r>
      <w:r>
        <w:t xml:space="preserve">Mr. Rourke asked whether a written termination notice had been sent before September 8, 2024.</w:t>
      </w:r>
      <w:r>
        <w:t xml:space="preserve"> </w:t>
      </w:r>
      <w:r>
        <w:rPr>
          <w:b/>
          <w:bCs/>
        </w:rPr>
        <w:t xml:space="preserve">Mr. Ellery acknowledged that he was</w:t>
      </w:r>
      <w:r>
        <w:rPr>
          <w:b/>
          <w:bCs/>
        </w:rPr>
        <w:t xml:space="preserve"> </w:t>
      </w:r>
      <w:r>
        <w:rPr>
          <w:b/>
          <w:bCs/>
        </w:rPr>
        <w:t xml:space="preserve">“</w:t>
      </w:r>
      <w:r>
        <w:rPr>
          <w:b/>
          <w:bCs/>
        </w:rPr>
        <w:t xml:space="preserve">not certain whether a formal written termination notice had been delivered.</w:t>
      </w:r>
      <w:r>
        <w:rPr>
          <w:b/>
          <w:bCs/>
        </w:rPr>
        <w:t xml:space="preserve">”</w:t>
      </w:r>
      <w:r>
        <w:t xml:space="preserve"> </w:t>
      </w:r>
      <w:r>
        <w:t xml:space="preserve">The Chairman directed the CFO and outside counsel to investigate and confirm the status and to take any necessary steps to terminate.</w:t>
      </w:r>
    </w:p>
    <w:p>
      <w:pPr>
        <w:pStyle w:val="FirstParagraph"/>
      </w:pPr>
      <w:r>
        <w:rPr>
          <w:b/>
          <w:bCs/>
        </w:rPr>
        <w:t xml:space="preserve">Assessment:</w:t>
      </w:r>
      <w:r>
        <w:t xml:space="preserve"> </w:t>
      </w:r>
      <w:r>
        <w:t xml:space="preserve">This is a CRITICAL, time-sensitive issue. If no written termination notice was delivered at least 15 days before September 8, 2024, the exclusivity</w:t>
      </w:r>
      <w:r>
        <w:t xml:space="preserve"> </w:t>
      </w:r>
      <w:r>
        <w:rPr>
          <w:i/>
          <w:iCs/>
        </w:rPr>
        <w:t xml:space="preserve">auto-renewed</w:t>
      </w:r>
      <w:r>
        <w:t xml:space="preserve"> </w:t>
      </w:r>
      <w:r>
        <w:t xml:space="preserve">on September 8, 2024 for a successive 90-day period (through approximately December 7, 2024). If the exclusivity is live, the Company may be contractually obligated to negotiate exclusively with SensorLink and may be</w:t>
      </w:r>
      <w:r>
        <w:t xml:space="preserve"> </w:t>
      </w:r>
      <w:r>
        <w:rPr>
          <w:i/>
          <w:iCs/>
        </w:rPr>
        <w:t xml:space="preserve">prohibited from signing a definitive merger agreement with Hargrove</w:t>
      </w:r>
      <w:r>
        <w:t xml:space="preserve"> </w:t>
      </w:r>
      <w:r>
        <w:t xml:space="preserve">during the exclusivity period — directly conflicting with the Hargrove transaction. Even if the LOI is</w:t>
      </w:r>
      <w:r>
        <w:t xml:space="preserve"> </w:t>
      </w:r>
      <w:r>
        <w:t xml:space="preserve">“</w:t>
      </w:r>
      <w:r>
        <w:t xml:space="preserve">non-binding</w:t>
      </w:r>
      <w:r>
        <w:t xml:space="preserve">”</w:t>
      </w:r>
      <w:r>
        <w:t xml:space="preserve"> </w:t>
      </w:r>
      <w:r>
        <w:t xml:space="preserve">as to the acquisition, exclusivity provisions are typically</w:t>
      </w:r>
      <w:r>
        <w:t xml:space="preserve"> </w:t>
      </w:r>
      <w:r>
        <w:rPr>
          <w:i/>
          <w:iCs/>
        </w:rPr>
        <w:t xml:space="preserve">binding</w:t>
      </w:r>
      <w:r>
        <w:t xml:space="preserve">, and a breach could expose the Company to damages and create a basis for SensorLink to seek injunctive relief.</w:t>
      </w:r>
    </w:p>
    <w:p>
      <w:pPr>
        <w:pStyle w:val="BodyText"/>
      </w:pPr>
      <w:r>
        <w:rPr>
          <w:b/>
          <w:bCs/>
        </w:rPr>
        <w:t xml:space="preserve">Recommended immediate action:</w:t>
      </w:r>
      <w:r>
        <w:t xml:space="preserve"> </w:t>
      </w:r>
      <w:r>
        <w:t xml:space="preserve">(i) Obtain and review the executed SensorLink LOI immediately; (ii) confirm whether a written termination notice was delivered before September 8, 2024 (request the notice and any delivery confirmation from the Company); (iii) if no notice was sent, deliver a written termination notice immediately — but note that under the auto-renewal provision, notice delivered now would be effective 15 days before the</w:t>
      </w:r>
      <w:r>
        <w:t xml:space="preserve"> </w:t>
      </w:r>
      <w:r>
        <w:rPr>
          <w:i/>
          <w:iCs/>
        </w:rPr>
        <w:t xml:space="preserve">next</w:t>
      </w:r>
      <w:r>
        <w:t xml:space="preserve"> </w:t>
      </w:r>
      <w:r>
        <w:t xml:space="preserve">expiration (approximately December 7, 2024), meaning the exclusivity may remain live until approximately late November 2024; (iv) assess whether the LOI’s exclusivity is mutual (it appears to be) and whether SensorLink has taken any action suggesting it considers the exclusivity live; and (v) consider whether the merger agreement can be signed notwithstanding a live SensorLink exclusivity (likely not, if the exclusivity is binding and broad). This item should be flagged to Jonathan Hsieh immediately, as it could be a deal-breaker or a timing obstacle.</w:t>
      </w:r>
    </w:p>
    <w:p>
      <w:pPr>
        <w:pStyle w:val="BodyText"/>
      </w:pPr>
      <w:r>
        <w:rPr>
          <w:b/>
          <w:bCs/>
        </w:rPr>
        <w:t xml:space="preserve">B. Clearfield National Bank Term Loan — Potential Protective-Provision Violation (CRITICAL)</w:t>
      </w:r>
    </w:p>
    <w:p>
      <w:pPr>
        <w:pStyle w:val="Compact"/>
        <w:numPr>
          <w:ilvl w:val="0"/>
          <w:numId w:val="1014"/>
        </w:numPr>
      </w:pPr>
      <w:r>
        <w:rPr>
          <w:b/>
          <w:bCs/>
        </w:rPr>
        <w:t xml:space="preserve">October 11, 2023 (Meeting 4):</w:t>
      </w:r>
      <w:r>
        <w:t xml:space="preserve"> </w:t>
      </w:r>
      <w:r>
        <w:t xml:space="preserve">The Board approved the Company’s entry into a secured term loan facility with Clearfield National Bank, N.A. in the aggregate principal amount of $12,000,000, secured by substantially all of the Company’s assets (accounts receivable, inventory, equipment, and intellectual property), with a five-year term, SOFR + 3.50% interest, quarterly amortization, and customary financial covenants. Approved 7-0.</w:t>
      </w:r>
    </w:p>
    <w:p>
      <w:pPr>
        <w:pStyle w:val="FirstParagraph"/>
      </w:pPr>
      <w:r>
        <w:rPr>
          <w:b/>
          <w:bCs/>
        </w:rPr>
        <w:t xml:space="preserve">Assessment:</w:t>
      </w:r>
      <w:r>
        <w:t xml:space="preserve"> </w:t>
      </w:r>
      <w:r>
        <w:t xml:space="preserve">Charter Section 4.3.6(a)(v) provides that the Company shall not</w:t>
      </w:r>
      <w:r>
        <w:t xml:space="preserve"> </w:t>
      </w:r>
      <w:r>
        <w:t xml:space="preserve">“</w:t>
      </w:r>
      <w:r>
        <w:t xml:space="preserve">incur, assume, guarantee, or otherwise become liable for any indebtedness for borrowed money in excess of $5,000,000 in the aggregate outstanding at any time</w:t>
      </w:r>
      <w:r>
        <w:t xml:space="preserve">”</w:t>
      </w:r>
      <w:r>
        <w:t xml:space="preserve"> </w:t>
      </w:r>
      <w:r>
        <w:t xml:space="preserve">without the prior written consent or affirmative vote of holders of a majority of the then-outstanding Preferred Stock (voting as a single class on an as-converted basis),</w:t>
      </w:r>
      <w:r>
        <w:t xml:space="preserve"> </w:t>
      </w:r>
      <w:r>
        <w:rPr>
          <w:i/>
          <w:iCs/>
        </w:rPr>
        <w:t xml:space="preserve">other than</w:t>
      </w:r>
      <w:r>
        <w:t xml:space="preserve"> </w:t>
      </w:r>
      <w:r>
        <w:t xml:space="preserve">(A) equipment financing or capital leases incurred in the ordinary course up to $2,000,000 and (B) trade payables incurred in the ordinary course. The $12 million term loan: (i) is indebtedness for borrowed money; (ii) exceeds $5,000,000; and (iii) is not equipment financing/capital leases (it is a general secured term loan used for working capital, capex, and general corporate purposes) and is not trade payables. The protective provision therefore</w:t>
      </w:r>
      <w:r>
        <w:t xml:space="preserve"> </w:t>
      </w:r>
      <w:r>
        <w:rPr>
          <w:i/>
          <w:iCs/>
        </w:rPr>
        <w:t xml:space="preserve">applied</w:t>
      </w:r>
      <w:r>
        <w:t xml:space="preserve">, and the prior consent of holders of a majority of the Preferred Stock (more than 8,250,000 shares) was required</w:t>
      </w:r>
      <w:r>
        <w:t xml:space="preserve"> </w:t>
      </w:r>
      <w:r>
        <w:rPr>
          <w:i/>
          <w:iCs/>
        </w:rPr>
        <w:t xml:space="preserve">before</w:t>
      </w:r>
      <w:r>
        <w:t xml:space="preserve"> </w:t>
      </w:r>
      <w:r>
        <w:t xml:space="preserve">the Company incurred the indebtedness.</w:t>
      </w:r>
    </w:p>
    <w:p>
      <w:pPr>
        <w:pStyle w:val="BodyText"/>
      </w:pPr>
      <w:r>
        <w:t xml:space="preserve">The Board minutes reflect Board approval (7-0) but are</w:t>
      </w:r>
      <w:r>
        <w:t xml:space="preserve"> </w:t>
      </w:r>
      <w:r>
        <w:rPr>
          <w:i/>
          <w:iCs/>
        </w:rPr>
        <w:t xml:space="preserve">silent</w:t>
      </w:r>
      <w:r>
        <w:t xml:space="preserve"> </w:t>
      </w:r>
      <w:r>
        <w:t xml:space="preserve">as to whether the required Preferred Stockholder consent was obtained. Board approval — even unanimous Board approval that includes the Preferred designees (Kleinhans, Okafor, Trask) voting as directors — is</w:t>
      </w:r>
      <w:r>
        <w:t xml:space="preserve"> </w:t>
      </w:r>
      <w:r>
        <w:rPr>
          <w:i/>
          <w:iCs/>
        </w:rPr>
        <w:t xml:space="preserve">not</w:t>
      </w:r>
      <w:r>
        <w:t xml:space="preserve"> </w:t>
      </w:r>
      <w:r>
        <w:t xml:space="preserve">the same as the Preferred Stockholder consent required by Section 4.3.6(a). The protective provision requires a</w:t>
      </w:r>
      <w:r>
        <w:t xml:space="preserve"> </w:t>
      </w:r>
      <w:r>
        <w:rPr>
          <w:i/>
          <w:iCs/>
        </w:rPr>
        <w:t xml:space="preserve">stockholder</w:t>
      </w:r>
      <w:r>
        <w:t xml:space="preserve"> </w:t>
      </w:r>
      <w:r>
        <w:t xml:space="preserve">vote or written consent, not a Board vote. If the Preferred Stockholder consent was not obtained, the incurrence of the $12 million term loan violated the Charter protective provisions.</w:t>
      </w:r>
    </w:p>
    <w:p>
      <w:pPr>
        <w:pStyle w:val="BodyText"/>
      </w:pPr>
      <w:r>
        <w:rPr>
          <w:b/>
          <w:bCs/>
        </w:rPr>
        <w:t xml:space="preserve">Potential consequences:</w:t>
      </w:r>
    </w:p>
    <w:p>
      <w:pPr>
        <w:numPr>
          <w:ilvl w:val="0"/>
          <w:numId w:val="1015"/>
        </w:numPr>
      </w:pPr>
      <w:r>
        <w:rPr>
          <w:b/>
          <w:bCs/>
        </w:rPr>
        <w:t xml:space="preserve">Stonemill leverage.</w:t>
      </w:r>
      <w:r>
        <w:t xml:space="preserve"> </w:t>
      </w:r>
      <w:r>
        <w:t xml:space="preserve">A protective-provision violation gives Stonemill (and other Preferred holders) an argument that the Company breached the Charter, which Stonemill could use as leverage in merger negotiations (e.g., conditioning its Series C consent on a waiver/release of claims relating to the loan).</w:t>
      </w:r>
    </w:p>
    <w:p>
      <w:pPr>
        <w:numPr>
          <w:ilvl w:val="0"/>
          <w:numId w:val="1015"/>
        </w:numPr>
      </w:pPr>
      <w:r>
        <w:rPr>
          <w:b/>
          <w:bCs/>
        </w:rPr>
        <w:t xml:space="preserve">Validity/enforceability of the loan.</w:t>
      </w:r>
      <w:r>
        <w:t xml:space="preserve"> </w:t>
      </w:r>
      <w:r>
        <w:t xml:space="preserve">Under Delaware law, a transaction effected in violation of a Charter protective provision may be void or voidable. The lender (Clearfield) may have relied on the Company’s representations as to corporate authority, but if the protective provision was violated, the Company’s authority to incur the debt could be challenged. This could affect the lender’s security interest (including the intellectual property security agreement) and the Company’s ability to repay or assign the loan at closing.</w:t>
      </w:r>
    </w:p>
    <w:p>
      <w:pPr>
        <w:numPr>
          <w:ilvl w:val="0"/>
          <w:numId w:val="1015"/>
        </w:numPr>
      </w:pPr>
      <w:r>
        <w:rPr>
          <w:b/>
          <w:bCs/>
        </w:rPr>
        <w:t xml:space="preserve">Closing mechanics.</w:t>
      </w:r>
      <w:r>
        <w:t xml:space="preserve"> </w:t>
      </w:r>
      <w:r>
        <w:t xml:space="preserve">The $12 million loan is to be repaid at closing (reducing equity value to ~$473 million). The loan agreement must be reviewed for change-of-control acceleration/consent provisions. If the loan was incurred in violation of the Charter, the lender’s cooperation in releasing its liens at closing could be complicated.</w:t>
      </w:r>
    </w:p>
    <w:p>
      <w:pPr>
        <w:pStyle w:val="FirstParagraph"/>
      </w:pPr>
      <w:r>
        <w:rPr>
          <w:b/>
          <w:bCs/>
        </w:rPr>
        <w:t xml:space="preserve">Recommended action:</w:t>
      </w:r>
      <w:r>
        <w:t xml:space="preserve"> </w:t>
      </w:r>
      <w:r>
        <w:t xml:space="preserve">(i) Request and review the executed Clearfield term loan documents (loan agreement, promissory note, security agreement, IP security agreement); (ii) request all Preferred Stockholder written consent records from 2023, specifically any consent relating to the Clearfield term loan; (iii) if no consent was obtained, assess the consequences with the Company’s counsel and consider whether a curative Preferred consent can be obtained now (note: a curative consent would itself require the all-Preferred majority, which can be obtained without Stonemill, but Stonemill could object); and (iv) review the loan agreement for change-of-control provisions and prepayment penalties. This item should be flagged to Jonathan Hsieh.</w:t>
      </w:r>
    </w:p>
    <w:p>
      <w:pPr>
        <w:pStyle w:val="BodyText"/>
      </w:pPr>
      <w:r>
        <w:rPr>
          <w:b/>
          <w:bCs/>
        </w:rPr>
        <w:t xml:space="preserve">C. Equity Plan Share-Reserve Increase — Stockholder Approval (SIGNIFICANT)</w:t>
      </w:r>
    </w:p>
    <w:p>
      <w:pPr>
        <w:pStyle w:val="BodyText"/>
      </w:pPr>
      <w:r>
        <w:t xml:space="preserve">As detailed in Section VIII.C, the July 19, 2023 Board meeting approved an increase in the Plan’s share reserve from 8,000,000 to 9,500,000 shares. The minutes reflect Board approval (7-0) and counsel’s statement that</w:t>
      </w:r>
      <w:r>
        <w:t xml:space="preserve"> </w:t>
      </w:r>
      <w:r>
        <w:t xml:space="preserve">“</w:t>
      </w:r>
      <w:r>
        <w:t xml:space="preserve">the amendment required Board approval,</w:t>
      </w:r>
      <w:r>
        <w:t xml:space="preserve">”</w:t>
      </w:r>
      <w:r>
        <w:t xml:space="preserve"> </w:t>
      </w:r>
      <w:r>
        <w:t xml:space="preserve">but do not reflect stockholder approval. Whether stockholder approval was required (under the Plan or for ISO/Section 422 purposes) cannot be determined without the Plan. This is a Significant open item. Request the Plan, all amendments, and any stockholder consent records.</w:t>
      </w:r>
    </w:p>
    <w:p>
      <w:pPr>
        <w:pStyle w:val="BodyText"/>
      </w:pPr>
      <w:r>
        <w:rPr>
          <w:b/>
          <w:bCs/>
        </w:rPr>
        <w:t xml:space="preserve">D. Other Board Actions — Summary Review</w:t>
      </w:r>
    </w:p>
    <w:p>
      <w:pPr>
        <w:numPr>
          <w:ilvl w:val="0"/>
          <w:numId w:val="1016"/>
        </w:numPr>
      </w:pPr>
      <w:r>
        <w:rPr>
          <w:b/>
          <w:bCs/>
        </w:rPr>
        <w:t xml:space="preserve">January 18, 2023 (Meeting 1):</w:t>
      </w:r>
      <w:r>
        <w:t xml:space="preserve"> </w:t>
      </w:r>
      <w:r>
        <w:t xml:space="preserve">FY2023 operating budget approved (7-0); Permian Basin Energy Co. MSA (up to $15 million) authorized (7-0); Meridian Partners engaged as financial advisor to explore strategic alternatives (7-0). Quorum present (7 of 7). No protective-provision issues identified (budget and commercial contracts are ordinary course; the Meridian engagement is advisory). The strategic-alternatives discussion was appropriately authorized.</w:t>
      </w:r>
    </w:p>
    <w:p>
      <w:pPr>
        <w:numPr>
          <w:ilvl w:val="0"/>
          <w:numId w:val="1016"/>
        </w:numPr>
      </w:pPr>
      <w:r>
        <w:rPr>
          <w:b/>
          <w:bCs/>
        </w:rPr>
        <w:t xml:space="preserve">April 12, 2023 (Meeting 2):</w:t>
      </w:r>
      <w:r>
        <w:t xml:space="preserve"> </w:t>
      </w:r>
      <w:r>
        <w:t xml:space="preserve">Meridian strategic-alternatives update; Special Committee formed (Lau, Garrett, Okafor) (7-0); Malhotra option grant (350,000 @ $14.30) (7-0). Quorum present. The Special Committee composition is addressed in Section X. The option grant appears exempt from anti-dilution under Charter Section 4.3.4(b)(i) (Board-approved plan with Preferred-elected directors). No separate Preferred consent appears required for the grant.</w:t>
      </w:r>
    </w:p>
    <w:p>
      <w:pPr>
        <w:numPr>
          <w:ilvl w:val="0"/>
          <w:numId w:val="1016"/>
        </w:numPr>
      </w:pPr>
      <w:r>
        <w:rPr>
          <w:b/>
          <w:bCs/>
        </w:rPr>
        <w:t xml:space="preserve">July 19, 2023 (Meeting 3):</w:t>
      </w:r>
      <w:r>
        <w:t xml:space="preserve"> </w:t>
      </w:r>
      <w:r>
        <w:t xml:space="preserve">Q2 2023 financials; Special Committee recommended 45-day exclusivity with</w:t>
      </w:r>
      <w:r>
        <w:t xml:space="preserve"> </w:t>
      </w:r>
      <w:r>
        <w:t xml:space="preserve">“</w:t>
      </w:r>
      <w:r>
        <w:t xml:space="preserve">Beta</w:t>
      </w:r>
      <w:r>
        <w:t xml:space="preserve">”</w:t>
      </w:r>
      <w:r>
        <w:t xml:space="preserve"> </w:t>
      </w:r>
      <w:r>
        <w:t xml:space="preserve">(approved 6-1, Trask against); Plan share-reserve increase (7-0). Quorum present. Mr. Trask voted against the Beta exclusivity, stating the process was</w:t>
      </w:r>
      <w:r>
        <w:t xml:space="preserve"> </w:t>
      </w:r>
      <w:r>
        <w:t xml:space="preserve">“</w:t>
      </w:r>
      <w:r>
        <w:t xml:space="preserve">insufficiently broad</w:t>
      </w:r>
      <w:r>
        <w:t xml:space="preserve">”</w:t>
      </w:r>
      <w:r>
        <w:t xml:space="preserve"> </w:t>
      </w:r>
      <w:r>
        <w:t xml:space="preserve">and that Stonemill preferred a wider auction. This dissent is relevant to the sale-process analysis (Section X).</w:t>
      </w:r>
    </w:p>
    <w:p>
      <w:pPr>
        <w:numPr>
          <w:ilvl w:val="0"/>
          <w:numId w:val="1016"/>
        </w:numPr>
      </w:pPr>
      <w:r>
        <w:rPr>
          <w:b/>
          <w:bCs/>
        </w:rPr>
        <w:t xml:space="preserve">October 11, 2023 (Meeting 4):</w:t>
      </w:r>
      <w:r>
        <w:t xml:space="preserve"> </w:t>
      </w:r>
      <w:r>
        <w:t xml:space="preserve">Q3 2023 financials; strategic alternatives paused (Beta terminated); Clearfield term loan (7-0) — see Section IX.B; outside counsel retention confirmed. Quorum present.</w:t>
      </w:r>
    </w:p>
    <w:p>
      <w:pPr>
        <w:numPr>
          <w:ilvl w:val="0"/>
          <w:numId w:val="1016"/>
        </w:numPr>
      </w:pPr>
      <w:r>
        <w:rPr>
          <w:b/>
          <w:bCs/>
        </w:rPr>
        <w:t xml:space="preserve">January 24, 2024 (Meeting 5):</w:t>
      </w:r>
      <w:r>
        <w:t xml:space="preserve"> </w:t>
      </w:r>
      <w:r>
        <w:t xml:space="preserve">FY2024 budget (7-0); FY2023 audited results (clean opinion, Bancroft Keene &amp; Associates); SensorLink LOI authorized (7-0). Quorum present.</w:t>
      </w:r>
    </w:p>
    <w:p>
      <w:pPr>
        <w:numPr>
          <w:ilvl w:val="0"/>
          <w:numId w:val="1016"/>
        </w:numPr>
      </w:pPr>
      <w:r>
        <w:rPr>
          <w:b/>
          <w:bCs/>
        </w:rPr>
        <w:t xml:space="preserve">April 17, 2024 (Meeting 6):</w:t>
      </w:r>
      <w:r>
        <w:t xml:space="preserve"> </w:t>
      </w:r>
      <w:r>
        <w:t xml:space="preserve">Special Committee reported Hargrove inbound interest; Board authorized engagement with Hargrove and data-room access (5-0, Trask and Garrett absent); Yeung RSU grant (200,000) (5-0); Trask objection appended (email dated April 19, 2024). Quorum present (5 of 7; quorum is 4). Mr. Trask’s absence and subsequent objection are addressed in Section X.</w:t>
      </w:r>
    </w:p>
    <w:p>
      <w:pPr>
        <w:numPr>
          <w:ilvl w:val="0"/>
          <w:numId w:val="1016"/>
        </w:numPr>
      </w:pPr>
      <w:r>
        <w:rPr>
          <w:b/>
          <w:bCs/>
        </w:rPr>
        <w:t xml:space="preserve">July 10, 2024 (Meeting 7):</w:t>
      </w:r>
      <w:r>
        <w:t xml:space="preserve"> </w:t>
      </w:r>
      <w:r>
        <w:t xml:space="preserve">Hargrove IOI ($475-500 million EV, reverse triangular merger); 60-day exclusivity with Hargrove authorized (6-1, Trask against); Thornbury &amp; Associates engaged as valuation advisor (7-0). Quorum present. Mr. Trask</w:t>
      </w:r>
      <w:r>
        <w:t xml:space="preserve"> </w:t>
      </w:r>
      <w:r>
        <w:t xml:space="preserve">“</w:t>
      </w:r>
      <w:r>
        <w:t xml:space="preserve">reserved all rights</w:t>
      </w:r>
      <w:r>
        <w:t xml:space="preserve">”</w:t>
      </w:r>
      <w:r>
        <w:t xml:space="preserve"> </w:t>
      </w:r>
      <w:r>
        <w:t xml:space="preserve">under the Charter and SHA.</w:t>
      </w:r>
    </w:p>
    <w:p>
      <w:pPr>
        <w:numPr>
          <w:ilvl w:val="0"/>
          <w:numId w:val="1016"/>
        </w:numPr>
      </w:pPr>
      <w:r>
        <w:rPr>
          <w:b/>
          <w:bCs/>
        </w:rPr>
        <w:t xml:space="preserve">September 25, 2024 (Meeting 8):</w:t>
      </w:r>
      <w:r>
        <w:t xml:space="preserve"> </w:t>
      </w:r>
      <w:r>
        <w:t xml:space="preserve">Hargrove revised IOI ($485 million EV); Board authorized negotiation of definitive documentation (6-1, Trask against); counsel summarized stockholder consent requirements; SensorLink LOI status discussed (see Section IX.A). Quorum present. Mr. Trask confirmed on the record that Stonemill holds 100% of Series C and that the Series C separate-class vote cannot be satisfied without Stonemill’s consent.</w:t>
      </w:r>
    </w:p>
    <w:p>
      <w:pPr>
        <w:pStyle w:val="FirstParagraph"/>
      </w:pPr>
      <w:r>
        <w:rPr>
          <w:b/>
          <w:bCs/>
        </w:rPr>
        <w:t xml:space="preserve">E. Quorum and Voting — Observations</w:t>
      </w:r>
    </w:p>
    <w:p>
      <w:pPr>
        <w:pStyle w:val="BodyText"/>
      </w:pPr>
      <w:r>
        <w:t xml:space="preserve">All meetings had a quorum (majority of the 7 directors then in office, i.e., at least 4). The April 17, 2024 meeting proceeded with 5 of 7 directors (Trask and Garrett absent), which satisfied quorum. The Bylaws (Section 3.7) permit the Board to act by a majority of directors present at a quorum meeting, so the 5-0 votes at that meeting were validly adopted. However, the absence of Mr. Trask (Stonemill’s designee) from the meeting at which the Board first authorized engagement with Hargrove is a process vulnerability addressed in Section X.</w:t>
      </w:r>
    </w:p>
    <w:p>
      <w:pPr>
        <w:pStyle w:val="BodyText"/>
      </w:pPr>
      <w:r>
        <w:rPr>
          <w:b/>
        </w:rPr>
        <w:t>F. Governance Document Naming Discrepancy in the Minutes</w:t>
      </w:r>
    </w:p>
    <w:p>
      <w:pPr>
        <w:pStyle w:val="BodyText"/>
      </w:pPr>
      <w:r>
        <w:t>The Board Minutes compilation header and introductory note refer to the Company’s governance agreements as the “Investors’ Rights Agreement, the Voting Agreement, the Right of First Refusal and Co-Sale Agreement, and the Stockholders’ Agreement (collectively, the ‘Governance Agreements’).” The documents provided to us, however, are the Stockholders’ Agreement (which itself covers ROFR, co-sale, drag-along, tag-along, and information rights), the Voting Agreement, and the Registration Rights Agreement. The minutes’ references to a separate “Investors’ Rights Agreement” and a separate “Right of First Refusal and Co-Sale Agreement” do not precisely match the documents received. Under the NVCA model, an “Investors’ Rights Agreement” typically covers information rights, registration rights, and preemptive rights, and a “Right of First Refusal and Co-Sale Agreement” covers ROFR and co-sale — but here those subjects appear to be consolidated into the Stockholders’ Agreement (ROFR/co-sale/drag/tag/information rights) and the Registration Rights Agreement. This naming discrepancy creates a potential document gap that must be confirmed: either (i) the minutes are using NVCA-standard names for the documents we have received (i.e., the “Right of First Refusal and Co-Sale Agreement” is the Stockholders’ Agreement, and the “Investors’ Rights Agreement” is the Registration Rights Agreement and/or the information-rights portion of the Stockholders’ Agreement), or (ii) there are additional or different governance agreements — for example, a separate Investors’ Rights Agreement containing preemptive rights or additional consent rights — that have not been provided. If a separate Investors’ Rights Agreement (or any other governance agreement) exists and contains additional consent, preemptive, or approval rights, those could affect the consent map and the closing analysis. We recommend confirming with the Company which governance agreements are currently in effect and requesting any agreement not yet provided. This is added to the document request list in Appendix B.</w:t>
      </w:r>
    </w:p>
    <w:p>
      <w:r>
        <w:pict>
          <v:rect style="width:0;height:1.5pt" o:hralign="center" o:hrstd="t" o:hr="t"/>
        </w:pict>
      </w:r>
    </w:p>
    <w:bookmarkEnd w:id="28"/>
    <w:bookmarkStart w:id="29" w:name="X60d1c4bf9b0af39edba11f15eae495106cb4477"/>
    <w:p>
      <w:pPr>
        <w:pStyle w:val="Heading3"/>
      </w:pPr>
      <w:r>
        <w:t xml:space="preserve">X. FIDUCIARY DUTY AND SALE-PROCESS CONCERNS</w:t>
      </w:r>
    </w:p>
    <w:p>
      <w:pPr>
        <w:pStyle w:val="FirstParagraph"/>
      </w:pPr>
      <w:r>
        <w:rPr>
          <w:b/>
          <w:bCs/>
        </w:rPr>
        <w:t xml:space="preserve">A. Special Committee Composition — Sandra Okafor’s Independence (SIGNIFICANT)</w:t>
      </w:r>
    </w:p>
    <w:p>
      <w:pPr>
        <w:pStyle w:val="BodyText"/>
      </w:pPr>
      <w:r>
        <w:t xml:space="preserve">The Special Committee, formed April 12, 2023, consists of Rebecca Lau (Chair), Thomas Garrett, and Sandra Okafor. Ms. Lau and Mr. Garrett are the Independent Directors under the Voting Agreement (Section 2.2(f)) and appear genuinely independent.</w:t>
      </w:r>
      <w:r>
        <w:t xml:space="preserve"> </w:t>
      </w:r>
      <w:r>
        <w:rPr>
          <w:b/>
          <w:bCs/>
        </w:rPr>
        <w:t xml:space="preserve">Ms. Okafor, however, is not independent.</w:t>
      </w:r>
      <w:r>
        <w:t xml:space="preserve"> </w:t>
      </w:r>
      <w:r>
        <w:t xml:space="preserve">She is (i) the Series B Director designated by Northbridge pursuant to Voting Agreement Section 2.2(b), and (ii) a Principal at Northbridge Growth Advisors, LLC (the advisor to Northbridge Growth Equity Fund IV, LP). Northbridge holds 5,200,000 shares of Series B Preferred Stock with a liquidation preference of $48.1 million ($9.25 per share). The April 12, 2023 minutes expressly note Ms. Okafor’s Northbridge designation.</w:t>
      </w:r>
    </w:p>
    <w:p>
      <w:pPr>
        <w:pStyle w:val="BodyText"/>
      </w:pPr>
      <w:r>
        <w:t xml:space="preserve">Under Delaware law, a special committee formed to evaluate a sale-of-control transaction should be composed of disinterested and independent directors to ensure the committee can effectively discharge the Board’s Revlon duties and, where applicable, invoke protective standards (e.g., the</w:t>
      </w:r>
      <w:r>
        <w:t xml:space="preserve"> </w:t>
      </w:r>
      <w:r>
        <w:rPr>
          <w:i/>
          <w:iCs/>
        </w:rPr>
        <w:t xml:space="preserve">MFW Corp. v. Brookfield Asset Management</w:t>
      </w:r>
      <w:r>
        <w:t xml:space="preserve"> </w:t>
      </w:r>
      <w:r>
        <w:t xml:space="preserve">framework for controller transactions, or the</w:t>
      </w:r>
      <w:r>
        <w:t xml:space="preserve"> </w:t>
      </w:r>
      <w:r>
        <w:rPr>
          <w:i/>
          <w:iCs/>
        </w:rPr>
        <w:t xml:space="preserve">Corwin v. KKR Financial</w:t>
      </w:r>
      <w:r>
        <w:t xml:space="preserve"> </w:t>
      </w:r>
      <w:r>
        <w:t xml:space="preserve">cleansing effect for arm’s-length third-party mergers). Ms. Okafor’s affiliation with Northbridge — a significant stockholder with material economic interests in the transaction — compromises the committee’s independence. While Ms. Okafor owes fiduciary duties to all stockholders (not just Northbridge), her structural affiliation with a stockholder that benefits from the merger creates at least an appearance of conflict.</w:t>
      </w:r>
    </w:p>
    <w:p>
      <w:pPr>
        <w:pStyle w:val="BodyText"/>
      </w:pPr>
      <w:r>
        <w:rPr>
          <w:b/>
          <w:bCs/>
        </w:rPr>
        <w:t xml:space="preserve">Practical implications:</w:t>
      </w:r>
    </w:p>
    <w:p>
      <w:pPr>
        <w:numPr>
          <w:ilvl w:val="0"/>
          <w:numId w:val="1017"/>
        </w:numPr>
      </w:pPr>
      <w:r>
        <w:rPr>
          <w:b/>
          <w:bCs/>
        </w:rPr>
        <w:t xml:space="preserve">Cleansing risk.</w:t>
      </w:r>
      <w:r>
        <w:t xml:space="preserve"> </w:t>
      </w:r>
      <w:r>
        <w:t xml:space="preserve">This is an arm’s-length, third-party merger (Hargrove is not a controlling stockholder), so the</w:t>
      </w:r>
      <w:r>
        <w:t xml:space="preserve"> </w:t>
      </w:r>
      <w:r>
        <w:rPr>
          <w:i/>
          <w:iCs/>
        </w:rPr>
        <w:t xml:space="preserve">Corwin</w:t>
      </w:r>
      <w:r>
        <w:t xml:space="preserve"> </w:t>
      </w:r>
      <w:r>
        <w:t xml:space="preserve">cleansing effect (business judgment review upon a fully informed, uncoerced stockholder vote) is potentially available. However, a stockholder vote challenged as uninformed or coerced — or a process attacked as conflicted — could defeat</w:t>
      </w:r>
      <w:r>
        <w:t xml:space="preserve"> </w:t>
      </w:r>
      <w:r>
        <w:rPr>
          <w:i/>
          <w:iCs/>
        </w:rPr>
        <w:t xml:space="preserve">Corwin</w:t>
      </w:r>
      <w:r>
        <w:t xml:space="preserve"> </w:t>
      </w:r>
      <w:r>
        <w:t xml:space="preserve">cleansing and subject the transaction to entire-fairness review. Ms. Okafor’s presence on the Special Committee is a vulnerability that Stonemill could exploit to argue the process was conflicted.</w:t>
      </w:r>
    </w:p>
    <w:p>
      <w:pPr>
        <w:numPr>
          <w:ilvl w:val="0"/>
          <w:numId w:val="1017"/>
        </w:numPr>
      </w:pPr>
      <w:r>
        <w:rPr>
          <w:b/>
          <w:bCs/>
        </w:rPr>
        <w:t xml:space="preserve">Stonemill ammunition.</w:t>
      </w:r>
      <w:r>
        <w:t xml:space="preserve"> </w:t>
      </w:r>
      <w:r>
        <w:t xml:space="preserve">Stonemill can argue that the Special Committee — the body charged with overseeing the sale process and recommending the transaction — included a director affiliated with a stockholder (Northbridge) that stands to gain from the merger. This undermines the committee’s ability to provide a credible independent check on the process.</w:t>
      </w:r>
    </w:p>
    <w:p>
      <w:pPr>
        <w:numPr>
          <w:ilvl w:val="0"/>
          <w:numId w:val="1017"/>
        </w:numPr>
      </w:pPr>
      <w:r>
        <w:rPr>
          <w:b/>
          <w:bCs/>
        </w:rPr>
        <w:t xml:space="preserve">Mitigation.</w:t>
      </w:r>
      <w:r>
        <w:t xml:space="preserve"> </w:t>
      </w:r>
      <w:r>
        <w:t xml:space="preserve">The deal is recommended by a financial advisor (Meridian Partners) and a valuation advisor (Thornbury &amp; Associates), and the price ($485 million EV) is within the range of the initial indications of interest (Beta: $450-525 million). These provide some substantive support for fairness. But the committee-composition issue remains a process vulnerability.</w:t>
      </w:r>
    </w:p>
    <w:p>
      <w:pPr>
        <w:pStyle w:val="FirstParagraph"/>
      </w:pPr>
      <w:r>
        <w:rPr>
          <w:b/>
          <w:bCs/>
        </w:rPr>
        <w:t xml:space="preserve">Recommendation:</w:t>
      </w:r>
      <w:r>
        <w:t xml:space="preserve"> </w:t>
      </w:r>
      <w:r>
        <w:t xml:space="preserve">Consider whether Ms. Okafor should recuse from Special Committee deliberations on the Hargrove transaction, or whether the committee should be reconstituted to exclude her (leaving Lau and Garrett, a two-director committee of independents). Document the committee’s independence analysis carefully. Ensure the Thornbury fairness analysis and Meridian fairness opinion are robust and address the waterfall allocation to all classes.</w:t>
      </w:r>
    </w:p>
    <w:p>
      <w:pPr>
        <w:pStyle w:val="BodyText"/>
      </w:pPr>
      <w:r>
        <w:t>Compounding the independence concern, Voting Agreement Section 2.4 provides that, unless otherwise agreed in writing by the Investor Stockholders, each committee of the Board must include at least one Investor Stockholder designee. The Special Committee was therefore structurally required (under the Voting Agreement) to include an Investor designee — which is precisely what compromises its independence for fiduciary purposes. This creates a direct tension between the Voting Agreement’s committee-composition mandate and Delaware’s independence requirement for a sale-of-control special committee. The Company could have sought the Investor Stockholders’ written agreement to waive the Section 2.4 requirement for the Special Committee (permitting a committee of only the two independent directors, Lau and Garrett), but the minutes do not reflect any such waiver. This structural tension is a distinct vulnerability that Stonemill can emphasize: not only did the committee include a non-independent director, but the governing stockholder agreement effectively required it.</w:t>
      </w:r>
    </w:p>
    <w:p>
      <w:pPr>
        <w:pStyle w:val="BodyText"/>
      </w:pPr>
      <w:r>
        <w:rPr>
          <w:b/>
          <w:bCs/>
        </w:rPr>
        <w:t xml:space="preserve">B. Trask’s Absence and Objection — Process Vulnerability (SIGNIFICANT)</w:t>
      </w:r>
    </w:p>
    <w:p>
      <w:pPr>
        <w:pStyle w:val="BodyText"/>
      </w:pPr>
      <w:r>
        <w:t xml:space="preserve">At the April 17, 2024 meeting — the meeting at which the Board first authorized engagement with Hargrove — Mr. Trask (Stonemill’s designee) was absent (having notified the Chairman on April 15, 2024 of a scheduling conflict) and did not provide a proxy or written consent. Mr. Garrett was also absent (family medical matter). The Board proceeded with 5 of 7 directors and authorized engagement with Hargrove (5-0). On April 19, 2024, Mr. Trask emailed the Company objecting that the Board had authorized engagement</w:t>
      </w:r>
      <w:r>
        <w:t xml:space="preserve"> </w:t>
      </w:r>
      <w:r>
        <w:t xml:space="preserve">“</w:t>
      </w:r>
      <w:r>
        <w:t xml:space="preserve">without the full Board’s consideration and without Stonemill’s input,</w:t>
      </w:r>
      <w:r>
        <w:t xml:space="preserve">”</w:t>
      </w:r>
      <w:r>
        <w:t xml:space="preserve"> </w:t>
      </w:r>
      <w:r>
        <w:t xml:space="preserve">asserting that</w:t>
      </w:r>
      <w:r>
        <w:t xml:space="preserve"> </w:t>
      </w:r>
      <w:r>
        <w:t xml:space="preserve">“</w:t>
      </w:r>
      <w:r>
        <w:t xml:space="preserve">Stonemill’s perspectives should have been sought before authorizing engagement with a potential acquirer,</w:t>
      </w:r>
      <w:r>
        <w:t xml:space="preserve">”</w:t>
      </w:r>
      <w:r>
        <w:t xml:space="preserve"> </w:t>
      </w:r>
      <w:r>
        <w:t xml:space="preserve">and requesting that</w:t>
      </w:r>
      <w:r>
        <w:t xml:space="preserve"> </w:t>
      </w:r>
      <w:r>
        <w:t xml:space="preserve">“</w:t>
      </w:r>
      <w:r>
        <w:t xml:space="preserve">no further substantive steps be taken regarding a potential Hargrove transaction without Stonemill’s participation.</w:t>
      </w:r>
      <w:r>
        <w:t xml:space="preserve">”</w:t>
      </w:r>
      <w:r>
        <w:t xml:space="preserve"> </w:t>
      </w:r>
      <w:r>
        <w:t xml:space="preserve">This objection was appended to the April 17, 2024 minutes.</w:t>
      </w:r>
    </w:p>
    <w:p>
      <w:pPr>
        <w:pStyle w:val="BodyText"/>
      </w:pPr>
      <w:r>
        <w:t xml:space="preserve">While the Board satisfied quorum and acted validly under the Bylaws, the decision to authorize engagement with the eventual acquirer</w:t>
      </w:r>
      <w:r>
        <w:t xml:space="preserve"> </w:t>
      </w:r>
      <w:r>
        <w:rPr>
          <w:i/>
          <w:iCs/>
        </w:rPr>
        <w:t xml:space="preserve">without the participation of Stonemill’s designee</w:t>
      </w:r>
      <w:r>
        <w:t xml:space="preserve"> </w:t>
      </w:r>
      <w:r>
        <w:t xml:space="preserve">is a process vulnerability. Stonemill can argue it was excluded from a critical early-stage decision in the sale process. This narrative — that the sale process was conducted over Stonemill’s objection and without its input — is consistent with Mr. Trask’s broader objections (the July 2023 objection to the</w:t>
      </w:r>
      <w:r>
        <w:t xml:space="preserve"> </w:t>
      </w:r>
      <w:r>
        <w:t xml:space="preserve">“</w:t>
      </w:r>
      <w:r>
        <w:t xml:space="preserve">insufficiently broad</w:t>
      </w:r>
      <w:r>
        <w:t xml:space="preserve">”</w:t>
      </w:r>
      <w:r>
        <w:t xml:space="preserve"> </w:t>
      </w:r>
      <w:r>
        <w:t xml:space="preserve">Beta exclusivity, the July 2024 and September 2024 votes against the Hargrove exclusivity and definitive-documentation authorization). Together, these create a record from which Stonemill can argue the process was designed to favor a particular outcome and to marginalize Stonemill.</w:t>
      </w:r>
    </w:p>
    <w:p>
      <w:pPr>
        <w:pStyle w:val="BodyText"/>
      </w:pPr>
      <w:r>
        <w:rPr>
          <w:b/>
          <w:bCs/>
        </w:rPr>
        <w:t xml:space="preserve">C. Sale-Process Breadth — Revlon Considerations (MODERATE-to-SIGNIFICANT)</w:t>
      </w:r>
    </w:p>
    <w:p>
      <w:pPr>
        <w:pStyle w:val="BodyText"/>
      </w:pPr>
      <w:r>
        <w:t xml:space="preserve">The sale process proceeded as follows: January 2023 (Meridian engaged); April 2023 (three indications of interest —</w:t>
      </w:r>
      <w:r>
        <w:t xml:space="preserve"> </w:t>
      </w:r>
      <w:r>
        <w:t xml:space="preserve">“</w:t>
      </w:r>
      <w:r>
        <w:t xml:space="preserve">Alpha</w:t>
      </w:r>
      <w:r>
        <w:t xml:space="preserve">”</w:t>
      </w:r>
      <w:r>
        <w:t xml:space="preserve"> </w:t>
      </w:r>
      <w:r>
        <w:t xml:space="preserve">$350-400 million,</w:t>
      </w:r>
      <w:r>
        <w:t xml:space="preserve"> </w:t>
      </w:r>
      <w:r>
        <w:t xml:space="preserve">“</w:t>
      </w:r>
      <w:r>
        <w:t xml:space="preserve">Beta</w:t>
      </w:r>
      <w:r>
        <w:t xml:space="preserve">”</w:t>
      </w:r>
      <w:r>
        <w:t xml:space="preserve"> </w:t>
      </w:r>
      <w:r>
        <w:t xml:space="preserve">$450-525 million,</w:t>
      </w:r>
      <w:r>
        <w:t xml:space="preserve"> </w:t>
      </w:r>
      <w:r>
        <w:t xml:space="preserve">“</w:t>
      </w:r>
      <w:r>
        <w:t xml:space="preserve">Gamma</w:t>
      </w:r>
      <w:r>
        <w:t xml:space="preserve">”</w:t>
      </w:r>
      <w:r>
        <w:t xml:space="preserve"> </w:t>
      </w:r>
      <w:r>
        <w:t xml:space="preserve">$380-420 million); July 2023 (45-day exclusivity with Beta, Trask objecting to the narrow process); October 2023 (Beta exclusivity terminated, process paused, Meridian retained on standby); April 2024 (inbound Hargrove interest); July 2024 (Hargrove IOI $475-500 million, 60-day exclusivity); September 2024 (Hargrove revised IOI $485 million, definitive-documentation authorization).</w:t>
      </w:r>
    </w:p>
    <w:p>
      <w:pPr>
        <w:pStyle w:val="BodyText"/>
      </w:pPr>
      <w:r>
        <w:t xml:space="preserve">The process was a</w:t>
      </w:r>
      <w:r>
        <w:t xml:space="preserve"> </w:t>
      </w:r>
      <w:r>
        <w:rPr>
          <w:i/>
          <w:iCs/>
        </w:rPr>
        <w:t xml:space="preserve">limited</w:t>
      </w:r>
      <w:r>
        <w:t xml:space="preserve"> </w:t>
      </w:r>
      <w:r>
        <w:t xml:space="preserve">auction (three initial parties) that narrowed to a single party (Beta), failed, paused, and then resumed on an inbound basis with Hargrove. Mr. Trask repeatedly objected that the process was insufficiently broad. Under</w:t>
      </w:r>
      <w:r>
        <w:t xml:space="preserve"> </w:t>
      </w:r>
      <w:r>
        <w:rPr>
          <w:i/>
          <w:iCs/>
        </w:rPr>
        <w:t xml:space="preserve">Revlon</w:t>
      </w:r>
      <w:r>
        <w:t xml:space="preserve"> </w:t>
      </w:r>
      <w:r>
        <w:t xml:space="preserve">and its progeny, the Board’s duty in a sale-of-control context is to obtain the highest value reasonably available for the stockholders. A limited auction that produces a price within the range of initial indications ($485 million is within Beta’s $450-525 million range) is defensible, particularly with a financial advisor and a (putatively) independent committee. But the narrowness is a vulnerability, and Stonemill can argue a broader auction might have yielded a higher price — particularly relevant because, as noted in the Executive Summary, Stonemill is economically indifferent to the headline price within the current range (it receives its $18.50 preference either way), so its</w:t>
      </w:r>
      <w:r>
        <w:t xml:space="preserve"> </w:t>
      </w:r>
      <w:r>
        <w:t xml:space="preserve">“</w:t>
      </w:r>
      <w:r>
        <w:t xml:space="preserve">process</w:t>
      </w:r>
      <w:r>
        <w:t xml:space="preserve">”</w:t>
      </w:r>
      <w:r>
        <w:t xml:space="preserve"> </w:t>
      </w:r>
      <w:r>
        <w:t xml:space="preserve">objections are more about leverage than genuine price concern.</w:t>
      </w:r>
    </w:p>
    <w:p>
      <w:pPr>
        <w:pStyle w:val="BodyText"/>
      </w:pPr>
      <w:r>
        <w:rPr>
          <w:b/>
          <w:bCs/>
        </w:rPr>
        <w:t xml:space="preserve">D. Board Waterfall Analysis — Apparent Error re: Series C (SIGNIFICANT)</w:t>
      </w:r>
    </w:p>
    <w:p>
      <w:pPr>
        <w:pStyle w:val="BodyText"/>
      </w:pPr>
      <w:r>
        <w:t xml:space="preserve">The September 25, 2024 minutes state that</w:t>
      </w:r>
      <w:r>
        <w:t xml:space="preserve"> </w:t>
      </w:r>
      <w:r>
        <w:t xml:space="preserve">“</w:t>
      </w:r>
      <w:r>
        <w:t xml:space="preserve">based on Meridian’s preliminary waterfall analysis, all holders of Preferred Stock would receive amounts in excess of their respective liquidation preferences on an as-converted basis, suggesting that participation on an as-converted basis would be economically favorable for all preferred holders.</w:t>
      </w:r>
      <w:r>
        <w:t xml:space="preserve">”</w:t>
      </w:r>
      <w:r>
        <w:t xml:space="preserve"> </w:t>
      </w:r>
      <w:r>
        <w:t xml:space="preserve">This statement appears</w:t>
      </w:r>
      <w:r>
        <w:t xml:space="preserve"> </w:t>
      </w:r>
      <w:r>
        <w:rPr>
          <w:i/>
          <w:iCs/>
        </w:rPr>
        <w:t xml:space="preserve">incorrect as to Series C</w:t>
      </w:r>
      <w:r>
        <w:t xml:space="preserve">. The Series C liquidation preference is $18.50 per share. The as-converted value of the Series C is approximately $13.95 per share on a simple-average basis ($473 million ÷ 33,900,000 shares) and approximately $12.59 per share after payment of the Series C preference in the waterfall (the residual $328.7 million ÷ 26,100,000 common-equivalent shares). Both figures are</w:t>
      </w:r>
      <w:r>
        <w:t xml:space="preserve"> </w:t>
      </w:r>
      <w:r>
        <w:rPr>
          <w:i/>
          <w:iCs/>
        </w:rPr>
        <w:t xml:space="preserve">below</w:t>
      </w:r>
      <w:r>
        <w:t xml:space="preserve"> </w:t>
      </w:r>
      <w:r>
        <w:t xml:space="preserve">the $18.50 preference. Series C is therefore</w:t>
      </w:r>
      <w:r>
        <w:t xml:space="preserve"> </w:t>
      </w:r>
      <w:r>
        <w:rPr>
          <w:i/>
          <w:iCs/>
        </w:rPr>
        <w:t xml:space="preserve">better off taking its preference</w:t>
      </w:r>
      <w:r>
        <w:t xml:space="preserve"> </w:t>
      </w:r>
      <w:r>
        <w:t xml:space="preserve">($18.50) than converting ($13.95 or $12.59). The statement that all preferred holders receive amounts</w:t>
      </w:r>
      <w:r>
        <w:t xml:space="preserve"> </w:t>
      </w:r>
      <w:r>
        <w:t xml:space="preserve">“</w:t>
      </w:r>
      <w:r>
        <w:t xml:space="preserve">in excess of</w:t>
      </w:r>
      <w:r>
        <w:t xml:space="preserve">”</w:t>
      </w:r>
      <w:r>
        <w:t xml:space="preserve"> </w:t>
      </w:r>
      <w:r>
        <w:t xml:space="preserve">their preferences</w:t>
      </w:r>
      <w:r>
        <w:t xml:space="preserve"> </w:t>
      </w:r>
      <w:r>
        <w:t xml:space="preserve">“</w:t>
      </w:r>
      <w:r>
        <w:t xml:space="preserve">on an as-converted basis</w:t>
      </w:r>
      <w:r>
        <w:t xml:space="preserve">”</w:t>
      </w:r>
      <w:r>
        <w:t xml:space="preserve"> </w:t>
      </w:r>
      <w:r>
        <w:t xml:space="preserve">is true for Series B (preference $9.25; as-converted ~$12.59) and Series A (preference $4.00; as-converted ~$12.59), but</w:t>
      </w:r>
      <w:r>
        <w:t xml:space="preserve"> </w:t>
      </w:r>
      <w:r>
        <w:rPr>
          <w:i/>
          <w:iCs/>
        </w:rPr>
        <w:t xml:space="preserve">not</w:t>
      </w:r>
      <w:r>
        <w:t xml:space="preserve"> </w:t>
      </w:r>
      <w:r>
        <w:t xml:space="preserve">for Series C.</w:t>
      </w:r>
    </w:p>
    <w:p>
      <w:pPr>
        <w:pStyle w:val="BodyText"/>
      </w:pPr>
      <w:r>
        <w:t xml:space="preserve">This apparent error is significant for two reasons: (i) it suggests the Board’s understanding of the waterfall — and thus of the fairness of the consideration to Series C — may be flawed, which could affect the adequacy of the Board’s disclosure to stockholders and the Thornbury fairness analysis; and (ii) it obscures the key economic fact that Series C (Stonemill) is at its preference floor and captures no upside from the current price, which is central to understanding Stonemill’s incentives.</w:t>
      </w:r>
      <w:r>
        <w:t xml:space="preserve"> </w:t>
      </w:r>
      <w:r>
        <w:rPr>
          <w:b/>
          <w:bCs/>
        </w:rPr>
        <w:t xml:space="preserve">Recommendation:</w:t>
      </w:r>
      <w:r>
        <w:t xml:space="preserve"> </w:t>
      </w:r>
      <w:r>
        <w:t xml:space="preserve">Request Meridian’s and Thornbury’s waterfall analyses; verify the correct waterfall; and ensure that any stockholder disclosure accurately describes the per-class consideration (including that Series C receives its $18.50 preference, not an as-converted amount in excess of its preference).</w:t>
      </w:r>
    </w:p>
    <w:p>
      <w:pPr>
        <w:pStyle w:val="BodyText"/>
      </w:pPr>
      <w:r>
        <w:t>Two additional Charter provisions bear on the waterfall analysis. First, under Section 4.3.2(b), in the absence of an affirmative written election by a Preferred holder, the holder is “deemed to have elected whichever option (receipt of the Liquidation Preference or conversion to Common Stock and participation on an as-converted basis) yields the greater per-share return.” For Series C, the preference ($18.50) exceeds the as-converted value (~$12.59), so Series C is deemed to elect the preference — confirming that Series C receives $18.50 per share ($144.3 million aggregate) rather than an as-converted amount. Second, the Liquidation Preference under Section 4.3.2(a) is the Original Issue Price “plus any dividends declared but unpaid on such shares.” The Preferred dividend is non-cumulative (8% per annum, payable only when and as declared by the Board — Section 4.3.1), and the Board minutes reflect no declaration of Preferred dividends, so the declared-but-unpaid dividend component is expected to be zero. The Series C Liquidation Preference is therefore $18.50 per share. These provisions should be confirmed against the final waterfall and reflected in the merger consideration allocation and stockholder disclosure.</w:t>
      </w:r>
    </w:p>
    <w:p>
      <w:pPr>
        <w:pStyle w:val="BodyText"/>
      </w:pPr>
      <w:r>
        <w:rPr>
          <w:b/>
          <w:bCs/>
        </w:rPr>
        <w:t xml:space="preserve">E. Indemnification and D&amp;O Insurance — Post-Closing</w:t>
      </w:r>
    </w:p>
    <w:p>
      <w:pPr>
        <w:pStyle w:val="BodyText"/>
      </w:pPr>
      <w:r>
        <w:t xml:space="preserve">The Bylaws (Article VI) and Charter (Article VII) provide broad indemnification and advancement rights for directors and officers. Bylaws Section 6.4 states the Company</w:t>
      </w:r>
      <w:r>
        <w:t xml:space="preserve"> </w:t>
      </w:r>
      <w:r>
        <w:t xml:space="preserve">“</w:t>
      </w:r>
      <w:r>
        <w:t xml:space="preserve">has entered into individual indemnification agreements with each of its directors.</w:t>
      </w:r>
      <w:r>
        <w:t xml:space="preserve">”</w:t>
      </w:r>
      <w:r>
        <w:t xml:space="preserve"> </w:t>
      </w:r>
      <w:r>
        <w:t xml:space="preserve">SHA Section 5.3 requires D&amp;O insurance of at least $5 million per occurrence. In the merger, the surviving entity (Terravox, as a Hargrove subsidiary) should maintain indemnification and D&amp;O insurance (including tail coverage) for the pre-closing directors and officers. The merger agreement should include customary indemnification survival and a six-year D&amp;O tail policy. Request the individual indemnification agreements to confirm the scope.</w:t>
      </w:r>
    </w:p>
    <w:p>
      <w:pPr>
        <w:pStyle w:val="BodyText"/>
      </w:pPr>
      <w:r>
        <w:rPr>
          <w:b/>
        </w:rPr>
        <w:t>F. Exclusive Forum — Delaware Court of Chancery</w:t>
      </w:r>
    </w:p>
    <w:p>
      <w:pPr>
        <w:pStyle w:val="BodyText"/>
      </w:pPr>
      <w:r>
        <w:t>The Bylaws (Article VIII) provide that, unless the Company consents in writing to an alternative forum, the Court of Chancery of the State of Delaware (or, if it lacks jurisdiction, the federal district court for the District of Delaware) is the sole and exclusive forum for (a) derivative actions, (b) actions asserting breach of fiduciary duty by any director, officer, or employee, (c) actions asserting a claim under the DGCL, the Charter, or the Bylaws, and (d) actions governed by the internal affairs doctrine; the Bylaws further provide a federal forum for Securities Act claims. Any challenge Stonemill brings — whether to enforce or resist the drag-along, to challenge the sale process on fiduciary-duty grounds, or to contest the Series C consent regime — would therefore be litigated in the Delaware Court of Chancery (Stonemill’s claims would be fiduciary-duty, charter, or DGCL claims, not Securities Act claims). This is favorable to the Buyer and the Company: Delaware law governs the governance documents, Delaware courts have enforced drag-along provisions (see Section III.B, citing NHS Systems v. Stericycle), and the Court of Chancery is experienced with these issues. The exclusive-forum clause thus channels any Stonemill litigation into a favorable forum and supports a strategy of seeking swift adjudication of any drag-along enforcement action. Two related points: (i) the forum clause would not prevent Stonemill from seeking a preliminary injunction in Chancery, so the timing risk remains; and (ii) Stonemill cannot unilaterally call a special stockholder meeting to oppose the merger, because Bylaws Section 2.2 permits special meetings to be called by holders of at least 25% of the outstanding voting stock, and Stonemill holds approximately 23% of the voting power on an as-converted basis (7,800,000 of approximately 33,900,000 shares) — below the 25% threshold. The merger will in any event proceed by written consent, but the inability of Stonemill to force a meeting is a favorable procedural point.</w:t>
      </w:r>
    </w:p>
    <w:p>
      <w:r>
        <w:pict>
          <v:rect style="width:0;height:1.5pt" o:hralign="center" o:hrstd="t" o:hr="t"/>
        </w:pict>
      </w:r>
    </w:p>
    <w:bookmarkEnd w:id="29"/>
    <w:bookmarkStart w:id="30" w:name="xi.-registration-rights-post-transaction"/>
    <w:p>
      <w:pPr>
        <w:pStyle w:val="Heading3"/>
      </w:pPr>
      <w:r>
        <w:t xml:space="preserve">XI. REGISTRATION RIGHTS POST-TRANSACTION</w:t>
      </w:r>
    </w:p>
    <w:p>
      <w:pPr>
        <w:pStyle w:val="FirstParagraph"/>
      </w:pPr>
      <w:r>
        <w:rPr>
          <w:b/>
          <w:bCs/>
        </w:rPr>
        <w:t xml:space="preserve">A. RRA Termination Provisions</w:t>
      </w:r>
    </w:p>
    <w:p>
      <w:pPr>
        <w:pStyle w:val="BodyText"/>
      </w:pPr>
      <w:r>
        <w:t xml:space="preserve">RRA Section 9 provides that the registration rights granted under the RRA terminate with respect to any particular Holder upon the earliest of: (a) the date on which such Holder can sell all of its Registrable Securities in a single three-month period pursuant to Rule 144 without volume or manner-of-sale restrictions and without the current-public-information requirement; (b) the fifth anniversary of the closing of the Company’s IPO; or (c)</w:t>
      </w:r>
      <w:r>
        <w:t xml:space="preserve"> </w:t>
      </w:r>
      <w:r>
        <w:t xml:space="preserve">“</w:t>
      </w:r>
      <w:r>
        <w:t xml:space="preserve">a Deemed Liquidation Event.</w:t>
      </w:r>
      <w:r>
        <w:t xml:space="preserve">”</w:t>
      </w:r>
      <w:r>
        <w:t xml:space="preserve"> </w:t>
      </w:r>
      <w:r>
        <w:t xml:space="preserve">The RRA terminates in its entirety upon the earliest of (i) termination as to all Holders under (a), (b), or (c), or (ii) the written consent of the Company and Holders of a majority of the then-outstanding Registrable Securities.</w:t>
      </w:r>
    </w:p>
    <w:p>
      <w:pPr>
        <w:pStyle w:val="BodyText"/>
      </w:pPr>
      <w:r>
        <w:rPr>
          <w:b/>
          <w:bCs/>
        </w:rPr>
        <w:t xml:space="preserve">B. The</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Problem</w:t>
      </w:r>
    </w:p>
    <w:p>
      <w:pPr>
        <w:pStyle w:val="BodyText"/>
      </w:pPr>
      <w:r>
        <w:t xml:space="preserve">As detailed in Section VII.C, the RRA uses the term</w:t>
      </w:r>
      <w:r>
        <w:t xml:space="preserve"> </w:t>
      </w:r>
      <w:r>
        <w:t xml:space="preserve">“</w:t>
      </w:r>
      <w:r>
        <w:t xml:space="preserve">Deemed Liquidation Event</w:t>
      </w:r>
      <w:r>
        <w:t xml:space="preserve">”</w:t>
      </w:r>
      <w:r>
        <w:t xml:space="preserve"> </w:t>
      </w:r>
      <w:r>
        <w:t xml:space="preserve">as a termination trigger but</w:t>
      </w:r>
      <w:r>
        <w:t xml:space="preserve"> </w:t>
      </w:r>
      <w:r>
        <w:rPr>
          <w:i/>
          <w:iCs/>
        </w:rPr>
        <w:t xml:space="preserve">does not define it</w:t>
      </w:r>
      <w:r>
        <w:t xml:space="preserve"> </w:t>
      </w:r>
      <w:r>
        <w:t xml:space="preserve">and does not cross-reference the Charter’s</w:t>
      </w:r>
      <w:r>
        <w:t xml:space="preserve"> </w:t>
      </w:r>
      <w:r>
        <w:t xml:space="preserve">“</w:t>
      </w:r>
      <w:r>
        <w:t xml:space="preserve">Liquidation Event</w:t>
      </w:r>
      <w:r>
        <w:t xml:space="preserve">”</w:t>
      </w:r>
      <w:r>
        <w:t xml:space="preserve"> </w:t>
      </w:r>
      <w:r>
        <w:t xml:space="preserve">definition. This creates ambiguity about whether the merger terminates the RRA:</w:t>
      </w:r>
    </w:p>
    <w:p>
      <w:pPr>
        <w:numPr>
          <w:ilvl w:val="0"/>
          <w:numId w:val="1018"/>
        </w:numPr>
      </w:pPr>
      <w:r>
        <w:rPr>
          <w:b/>
          <w:bCs/>
        </w:rPr>
        <w:t xml:space="preserve">If</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 Charter</w:t>
      </w:r>
      <w:r>
        <w:rPr>
          <w:b/>
          <w:bCs/>
        </w:rPr>
        <w:t xml:space="preserve"> </w:t>
      </w:r>
      <w:r>
        <w:rPr>
          <w:b/>
          <w:bCs/>
        </w:rPr>
        <w:t xml:space="preserve">“</w:t>
      </w:r>
      <w:r>
        <w:rPr>
          <w:b/>
          <w:bCs/>
        </w:rPr>
        <w:t xml:space="preserve">Liquidation Event</w:t>
      </w:r>
      <w:r>
        <w:rPr>
          <w:b/>
          <w:bCs/>
        </w:rPr>
        <w:t xml:space="preserve">”</w:t>
      </w:r>
      <w:r>
        <w:rPr>
          <w:b/>
          <w:bCs/>
        </w:rPr>
        <w:t xml:space="preserve">:</w:t>
      </w:r>
      <w:r>
        <w:t xml:space="preserve"> </w:t>
      </w:r>
      <w:r>
        <w:t xml:space="preserve">The merger (a Liquidation Event) terminates the RRA. This is the most natural reading, given the term’s conventional usage in venture documents, but it is not expressed in the RRA.</w:t>
      </w:r>
    </w:p>
    <w:p>
      <w:pPr>
        <w:numPr>
          <w:ilvl w:val="0"/>
          <w:numId w:val="1018"/>
        </w:numPr>
      </w:pPr>
      <w:r>
        <w:rPr>
          <w:b/>
          <w:bCs/>
        </w:rPr>
        <w:t xml:space="preserve">If</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is ambiguous or interpreted narrowly:</w:t>
      </w:r>
      <w:r>
        <w:t xml:space="preserve"> </w:t>
      </w:r>
      <w:r>
        <w:t xml:space="preserve">The RRA may not clearly terminate on the merger, and registration rights could survive.</w:t>
      </w:r>
    </w:p>
    <w:p>
      <w:pPr>
        <w:pStyle w:val="FirstParagraph"/>
      </w:pPr>
      <w:r>
        <w:rPr>
          <w:b/>
          <w:bCs/>
        </w:rPr>
        <w:t xml:space="preserve">C. Practical Impact of RRA Survival</w:t>
      </w:r>
    </w:p>
    <w:p>
      <w:pPr>
        <w:pStyle w:val="BodyText"/>
      </w:pPr>
      <w:r>
        <w:t xml:space="preserve">Even if the RRA technically survives the merger, the practical impact is likely limited because</w:t>
      </w:r>
      <w:r>
        <w:t xml:space="preserve"> </w:t>
      </w:r>
      <w:r>
        <w:t xml:space="preserve">“</w:t>
      </w:r>
      <w:r>
        <w:t xml:space="preserve">Registrable Securities</w:t>
      </w:r>
      <w:r>
        <w:t xml:space="preserve">”</w:t>
      </w:r>
      <w:r>
        <w:t xml:space="preserve"> </w:t>
      </w:r>
      <w:r>
        <w:t xml:space="preserve">are defined (Section 1) as shares of Common Stock issued or issuable upon conversion of the Preferred Stock held by the Holders (and dividends/distributions/exchanges therefor). On the merger, all Preferred Stock is cancelled and converted into the right to receive cash merger consideration. Post-closing, there is no outstanding Preferred Stock and therefore no Registrable Securities. With no Registrable Securities, there is nothing for the Holders to register, and the demand, piggyback, and S-3 registration rights become moot. However, survival could leave residual obligations (e.g., the Company’s indemnification obligations under Section 7, expense obligations under Section 6, and the obligation to maintain current public information under Section 8), and the existence of a surviving RRA could create post-closing administrative burden and a technical default risk if the Company (now a private subsidiary) ceases to comply with reporting-related covenants.</w:t>
      </w:r>
    </w:p>
    <w:p>
      <w:pPr>
        <w:pStyle w:val="BodyText"/>
      </w:pPr>
      <w:r>
        <w:rPr>
          <w:b/>
          <w:bCs/>
        </w:rPr>
        <w:t xml:space="preserve">D. Recommendation</w:t>
      </w:r>
    </w:p>
    <w:p>
      <w:pPr>
        <w:pStyle w:val="BodyText"/>
      </w:pPr>
      <w:r>
        <w:t xml:space="preserve">Do not rely on the</w:t>
      </w:r>
      <w:r>
        <w:t xml:space="preserve"> </w:t>
      </w:r>
      <w:r>
        <w:t xml:space="preserve">“</w:t>
      </w:r>
      <w:r>
        <w:t xml:space="preserve">Deemed Liquidation Event</w:t>
      </w:r>
      <w:r>
        <w:t xml:space="preserve">”</w:t>
      </w:r>
      <w:r>
        <w:t xml:space="preserve"> </w:t>
      </w:r>
      <w:r>
        <w:t xml:space="preserve">trigger to terminate the RRA. The merger agreement should include: (i) an express termination of the RRA at closing, effective upon the consummation of the merger; (ii) written confirmations from each Investor (Ridgeline, Northbridge, Stonemill) acknowledging termination of the RRA and releasing the Company from registration obligations; and (iii) if any Investor withholds cooperation, reliance on the written-consent termination mechanism (Section 9, requiring the Company and Holders of a majority of Registrable Securities) — though note that obtaining a majority of Registrable Securities without Stonemill’s cooperation may be difficult (Stonemill holds 7,800,000 of 16,500,000 Registrable Securities, or 47.3%, which is less than a majority, so Ridgeline + Northbridge (52.7%) can constitute a majority without Stonemill). Confirm the arithmetic: Ridgeline (3,500,000) + Northbridge (5,200,000) = 8,700,000, which is 52.7% of the 16,500,000 total Registrable Securities — a majority. The RRA can therefore be terminated by written consent of the Company and Ridgeline + Northbridge, even over Stonemill’s objection. This is a useful fallback.</w:t>
      </w:r>
    </w:p>
    <w:p>
      <w:pPr>
        <w:pStyle w:val="BodyText"/>
      </w:pPr>
      <w:r>
        <w:rPr>
          <w:b/>
        </w:rPr>
        <w:t>E. Demand Registration Rights — Timing Consideration</w:t>
      </w:r>
    </w:p>
    <w:p>
      <w:pPr>
        <w:pStyle w:val="BodyText"/>
      </w:pPr>
      <w:r>
        <w:t>A timing point warrants attention. Under RRA Section 2.1(a), the Investors’ demand registration rights become exercisable on November 3, 2024 — three years after the November 3, 2021 RRA date. As of the date of this memo (October 28, 2024), demand registration is not yet available, but it becomes available in approximately one week. Holders of at least 30% of the then-outstanding Registrable Securities (i.e., at least 4,950,000 shares) may request a Demand Registration on Form S-1 (or S-3 if available), and the Company is obligated to effect up to two Demand Registrations in the aggregate (Section 2.1(b)). Stonemill alone holds 7,800,000 Registrable Securities (47.3% of the 16,500,000 total), which exceeds the 30% threshold, so Stonemill could unilaterally demand a registration on or after November 3, 2024. If the merger does not close promptly, the Investors (including Stonemill) could exercise demand registration rights, which would require the Company to file a registration statement, incur Registration Expenses (Section 6), and divert management attention — a potential source of leverage for Stonemill during the pre-closing period and a potential distraction from the transaction. (The Company’s Deferral Right under Section 2.1(d) could defer a demand for up to 120 days, but only once per 12 months and subject to conditions.) This timing consideration reinforces the recommendation to terminate the RRA expressly at closing and to move efficiently toward signing and closing.</w:t>
      </w:r>
    </w:p>
    <w:p>
      <w:r>
        <w:pict>
          <v:rect style="width:0;height:1.5pt" o:hralign="center" o:hrstd="t" o:hr="t"/>
        </w:pict>
      </w:r>
    </w:p>
    <w:bookmarkEnd w:id="30"/>
    <w:bookmarkStart w:id="31" w:name="X9938f9aad1ea9a1c689bd77dd1c16a0035e756d"/>
    <w:p>
      <w:pPr>
        <w:pStyle w:val="Heading3"/>
      </w:pPr>
      <w:r>
        <w:t xml:space="preserve">XII. RECOMMENDED NEXT STEPS AND ACTION ITEMS</w:t>
      </w:r>
    </w:p>
    <w:p>
      <w:pPr>
        <w:pStyle w:val="FirstParagraph"/>
      </w:pPr>
      <w:r>
        <w:rPr>
          <w:b/>
          <w:bCs/>
        </w:rPr>
        <w:t xml:space="preserve">A. Immediate / Time-Sensitive (Flag to Jonathan Hsieh Now)</w:t>
      </w:r>
    </w:p>
    <w:p>
      <w:pPr>
        <w:numPr>
          <w:ilvl w:val="0"/>
          <w:numId w:val="1019"/>
        </w:numPr>
      </w:pPr>
      <w:r>
        <w:rPr>
          <w:b/>
          <w:bCs/>
        </w:rPr>
        <w:t xml:space="preserve">SensorLink LOI exclusivity (CRITICAL).</w:t>
      </w:r>
      <w:r>
        <w:t xml:space="preserve"> </w:t>
      </w:r>
      <w:r>
        <w:t xml:space="preserve">Obtain and review the executed SensorLink LOI; confirm whether a written termination notice was delivered before September 8, 2024; if not, deliver a termination notice immediately and assess the period during which exclusivity may remain live; determine whether a live exclusivity would prevent signing the Hargrove merger agreement.</w:t>
      </w:r>
      <w:r>
        <w:t xml:space="preserve"> </w:t>
      </w:r>
      <w:r>
        <w:rPr>
          <w:i/>
          <w:iCs/>
        </w:rPr>
        <w:t xml:space="preserve">This could be a deal-breaker or timing obstacle and should be flagged immediately.</w:t>
      </w:r>
    </w:p>
    <w:p>
      <w:pPr>
        <w:numPr>
          <w:ilvl w:val="0"/>
          <w:numId w:val="1019"/>
        </w:numPr>
      </w:pPr>
      <w:r>
        <w:rPr>
          <w:b/>
          <w:bCs/>
        </w:rPr>
        <w:t xml:space="preserve">Clearfield term loan protective-provision consent (CRITICAL).</w:t>
      </w:r>
      <w:r>
        <w:t xml:space="preserve"> </w:t>
      </w:r>
      <w:r>
        <w:t xml:space="preserve">Request and review the executed Clearfield loan documents and all 2023 Preferred Stockholder written-consent records; determine whether the required all-Preferred consent (Section 4.3.6(a)(v)) was obtained before the $12 million loan was incurred; if not, assess consequences and curative options.</w:t>
      </w:r>
      <w:r>
        <w:t xml:space="preserve"> </w:t>
      </w:r>
      <w:r>
        <w:rPr>
          <w:i/>
          <w:iCs/>
        </w:rPr>
        <w:t xml:space="preserve">Flag immediately.</w:t>
      </w:r>
    </w:p>
    <w:p>
      <w:pPr>
        <w:numPr>
          <w:ilvl w:val="0"/>
          <w:numId w:val="1019"/>
        </w:numPr>
      </w:pPr>
      <w:r>
        <w:rPr>
          <w:b/>
          <w:bCs/>
        </w:rPr>
        <w:t xml:space="preserve">Stonemill Series C veto (CRITICAL).</w:t>
      </w:r>
      <w:r>
        <w:t xml:space="preserve"> </w:t>
      </w:r>
      <w:r>
        <w:t xml:space="preserve">Confirm the client’s understanding that the Series C separate-class consent (Section 4.3.6(b)) is a hard block that cannot be satisfied without Stonemill. Develop a negotiation strategy to obtain Stonemill’s consent, informed by the economic analysis (Stonemill is at its preference floor; its leverage is the veto and the prospect of side concessions). Preserve the drag-along as leverage/fallback.</w:t>
      </w:r>
    </w:p>
    <w:p>
      <w:pPr>
        <w:pStyle w:val="FirstParagraph"/>
      </w:pPr>
      <w:r>
        <w:rPr>
          <w:b/>
          <w:bCs/>
        </w:rPr>
        <w:t xml:space="preserve">B. Document Requests (to be routed through Jonathan Hsieh to Nathaniel Rourke at Avery, Pollard &amp; Glenn)</w:t>
      </w:r>
    </w:p>
    <w:p>
      <w:pPr>
        <w:pStyle w:val="Compact"/>
        <w:numPr>
          <w:ilvl w:val="0"/>
          <w:numId w:val="1020"/>
        </w:numPr>
      </w:pPr>
      <w:r>
        <w:t xml:space="preserve">The 2021 Equity Incentive Plan, as adopted November 3, 2021, and all amendments (including the July 2023 share-reserve increase amendment).</w:t>
      </w:r>
    </w:p>
    <w:p>
      <w:pPr>
        <w:pStyle w:val="Compact"/>
        <w:numPr>
          <w:ilvl w:val="0"/>
          <w:numId w:val="1020"/>
        </w:numPr>
      </w:pPr>
      <w:r>
        <w:t xml:space="preserve">All individual equity award agreements (option agreements, RSU agreements, restricted stock agreements) for all grantees, including Raj Malhotra and Linda Yeung, and a complete cap table / award schedule showing grant date, exercise price, vesting schedule, and vested/unvested status as of a current date.</w:t>
      </w:r>
    </w:p>
    <w:p>
      <w:pPr>
        <w:pStyle w:val="Compact"/>
        <w:numPr>
          <w:ilvl w:val="0"/>
          <w:numId w:val="1020"/>
        </w:numPr>
      </w:pPr>
      <w:r>
        <w:t xml:space="preserve">The 409A valuation reports referenced in connection with the Malhotra option grant and the Yeung RSU grant (and any subsequent 409A reports).</w:t>
      </w:r>
    </w:p>
    <w:p>
      <w:pPr>
        <w:pStyle w:val="Compact"/>
        <w:numPr>
          <w:ilvl w:val="0"/>
          <w:numId w:val="1020"/>
        </w:numPr>
      </w:pPr>
      <w:r>
        <w:t xml:space="preserve">All stockholder written-consent records from 2023 and 2024, specifically including any consent relating to (i) the Clearfield National Bank term loan (October 2023) and (ii) the Plan share-reserve increase (July 2023).</w:t>
      </w:r>
    </w:p>
    <w:p>
      <w:pPr>
        <w:pStyle w:val="Compact"/>
        <w:numPr>
          <w:ilvl w:val="0"/>
          <w:numId w:val="1020"/>
        </w:numPr>
      </w:pPr>
      <w:r>
        <w:t xml:space="preserve">The executed SensorLink Technologies LOI (dated March 8, 2024) and any termination notices or correspondence with SensorLink.</w:t>
      </w:r>
    </w:p>
    <w:p>
      <w:pPr>
        <w:pStyle w:val="Compact"/>
        <w:numPr>
          <w:ilvl w:val="0"/>
          <w:numId w:val="1020"/>
        </w:numPr>
      </w:pPr>
      <w:r>
        <w:t xml:space="preserve">The Clearfield National Bank term loan documents (loan agreement, promissory note, security agreement, intellectual property security agreement, and any amendments or compliance certificates).</w:t>
      </w:r>
    </w:p>
    <w:p>
      <w:pPr>
        <w:pStyle w:val="Compact"/>
        <w:numPr>
          <w:ilvl w:val="0"/>
          <w:numId w:val="1020"/>
        </w:numPr>
      </w:pPr>
      <w:r>
        <w:t xml:space="preserve">The Permian Basin Energy Co. master services agreement and any other top customer contracts (to review change-of-control/assignment provisions).</w:t>
      </w:r>
    </w:p>
    <w:p>
      <w:pPr>
        <w:pStyle w:val="Compact"/>
        <w:numPr>
          <w:ilvl w:val="0"/>
          <w:numId w:val="1020"/>
        </w:numPr>
      </w:pPr>
      <w:r>
        <w:t xml:space="preserve">The individual indemnification agreements between the Company and each director (referenced in Bylaws Section 6.4).</w:t>
      </w:r>
    </w:p>
    <w:p>
      <w:pPr>
        <w:pStyle w:val="Compact"/>
        <w:numPr>
          <w:ilvl w:val="0"/>
          <w:numId w:val="1020"/>
        </w:numPr>
      </w:pPr>
      <w:r>
        <w:t xml:space="preserve">The Series C Preferred Stock Purchase Agreement (referenced in the RRA recitals) and the prior Registration Rights Agreement dated August 9, 2017 (as amended February 22, 2019) (to confirm supersession).</w:t>
      </w:r>
    </w:p>
    <w:p>
      <w:pPr>
        <w:pStyle w:val="Compact"/>
        <w:numPr>
          <w:ilvl w:val="0"/>
          <w:numId w:val="1020"/>
        </w:numPr>
      </w:pPr>
      <w:r>
        <w:t xml:space="preserve">The Meridian Partners engagement letter and any process materials (contact logs, indications of interest, exclusivity agreements with</w:t>
      </w:r>
      <w:r>
        <w:t xml:space="preserve"> </w:t>
      </w:r>
      <w:r>
        <w:t xml:space="preserve">“</w:t>
      </w:r>
      <w:r>
        <w:t xml:space="preserve">Beta</w:t>
      </w:r>
      <w:r>
        <w:t xml:space="preserve">”</w:t>
      </w:r>
      <w:r>
        <w:t xml:space="preserve">) relevant to the sale-process analysis.</w:t>
      </w:r>
    </w:p>
    <w:p>
      <w:pPr>
        <w:pStyle w:val="Compact"/>
        <w:numPr>
          <w:ilvl w:val="0"/>
          <w:numId w:val="1020"/>
        </w:numPr>
      </w:pPr>
      <w:r>
        <w:t xml:space="preserve">The Thornbury &amp; Associates fairness analysis/valuation report (when available).</w:t>
      </w:r>
    </w:p>
    <w:p>
      <w:pPr>
        <w:pStyle w:val="Compact"/>
        <w:numPr>
          <w:ilvl w:val="0"/>
          <w:numId w:val="1020"/>
        </w:numPr>
      </w:pPr>
      <w:r>
        <w:t xml:space="preserve">The Company’s current capitalization table and any schedule of outstanding warrants, convertible notes, or other convertible securities.</w:t>
      </w:r>
    </w:p>
    <w:p>
      <w:pPr>
        <w:pStyle w:val="FirstParagraph"/>
      </w:pPr>
      <w:r>
        <w:rPr>
          <w:b/>
          <w:bCs/>
        </w:rPr>
        <w:t xml:space="preserve">C. Open Legal Questions Requiring Further Analysis</w:t>
      </w:r>
    </w:p>
    <w:p>
      <w:pPr>
        <w:pStyle w:val="Compact"/>
        <w:numPr>
          <w:ilvl w:val="0"/>
          <w:numId w:val="1021"/>
        </w:numPr>
      </w:pPr>
      <w:r>
        <w:rPr>
          <w:b/>
          <w:bCs/>
        </w:rPr>
        <w:t xml:space="preserve">Drag-along vs. Charter veto.</w:t>
      </w:r>
      <w:r>
        <w:t xml:space="preserve"> </w:t>
      </w:r>
      <w:r>
        <w:t xml:space="preserve">Confirm our preliminary assessment that the drag-along is</w:t>
      </w:r>
      <w:r>
        <w:t xml:space="preserve"> </w:t>
      </w:r>
      <w:r>
        <w:rPr>
          <w:i/>
          <w:iCs/>
        </w:rPr>
        <w:t xml:space="preserve">probably</w:t>
      </w:r>
      <w:r>
        <w:t xml:space="preserve"> </w:t>
      </w:r>
      <w:r>
        <w:t xml:space="preserve">enforceable to compel Stonemill’s Series C vote (consistent with</w:t>
      </w:r>
      <w:r>
        <w:t xml:space="preserve"> </w:t>
      </w:r>
      <w:r>
        <w:rPr>
          <w:i/>
          <w:iCs/>
        </w:rPr>
        <w:t xml:space="preserve">NHS Systems v. Stericycle</w:t>
      </w:r>
      <w:r>
        <w:t xml:space="preserve">) but is not a low-risk path; assess the circularity argument and the prospects for/against a preliminary injunction; consider whether a declaratory judgment action could be useful.</w:t>
      </w:r>
    </w:p>
    <w:p>
      <w:pPr>
        <w:pStyle w:val="Compact"/>
        <w:numPr>
          <w:ilvl w:val="0"/>
          <w:numId w:val="1021"/>
        </w:numPr>
      </w:pPr>
      <w:r>
        <w:rPr>
          <w:b/>
          <w:bCs/>
        </w:rPr>
        <w:t xml:space="preserve">“</w:t>
      </w:r>
      <w:r>
        <w:rPr>
          <w:b/>
          <w:bCs/>
        </w:rPr>
        <w:t xml:space="preserve">Deemed Liquidation Event</w:t>
      </w:r>
      <w:r>
        <w:rPr>
          <w:b/>
          <w:bCs/>
        </w:rPr>
        <w:t xml:space="preserve">”</w:t>
      </w:r>
      <w:r>
        <w:rPr>
          <w:b/>
          <w:bCs/>
        </w:rPr>
        <w:t xml:space="preserve"> </w:t>
      </w:r>
      <w:r>
        <w:rPr>
          <w:b/>
          <w:bCs/>
        </w:rPr>
        <w:t xml:space="preserve">interpretation.</w:t>
      </w:r>
      <w:r>
        <w:t xml:space="preserve"> </w:t>
      </w:r>
      <w:r>
        <w:t xml:space="preserve">Assess the risk that the RRA does not clearly terminate on the merger and confirm the written-consent termination fallback (Ridgeline + Northbridge = 52.7% of Registrable Securities).</w:t>
      </w:r>
    </w:p>
    <w:p>
      <w:pPr>
        <w:pStyle w:val="Compact"/>
        <w:numPr>
          <w:ilvl w:val="0"/>
          <w:numId w:val="1021"/>
        </w:numPr>
      </w:pPr>
      <w:r>
        <w:rPr>
          <w:b/>
          <w:bCs/>
        </w:rPr>
        <w:t xml:space="preserve">Clearfield loan validity.</w:t>
      </w:r>
      <w:r>
        <w:t xml:space="preserve"> </w:t>
      </w:r>
      <w:r>
        <w:t xml:space="preserve">If the protective-provision consent was not obtained, assess the consequences for the loan’s validity, the lender’s security interest, and the closing mechanics.</w:t>
      </w:r>
    </w:p>
    <w:p>
      <w:pPr>
        <w:pStyle w:val="Compact"/>
        <w:numPr>
          <w:ilvl w:val="0"/>
          <w:numId w:val="1021"/>
        </w:numPr>
      </w:pPr>
      <w:r>
        <w:rPr>
          <w:b/>
          <w:bCs/>
        </w:rPr>
        <w:t xml:space="preserve">Plan stockholder-approval requirement.</w:t>
      </w:r>
      <w:r>
        <w:t xml:space="preserve"> </w:t>
      </w:r>
      <w:r>
        <w:t xml:space="preserve">Once the Plan is received, confirm whether the July 2023 share-reserve increase required stockholder approval and whether it was obtained; assess the validity of awards granted from the additional reserve.</w:t>
      </w:r>
    </w:p>
    <w:p>
      <w:pPr>
        <w:pStyle w:val="Compact"/>
        <w:numPr>
          <w:ilvl w:val="0"/>
          <w:numId w:val="1021"/>
        </w:numPr>
      </w:pPr>
      <w:r>
        <w:rPr>
          <w:b/>
          <w:bCs/>
        </w:rPr>
        <w:t xml:space="preserve">Special Committee independence.</w:t>
      </w:r>
      <w:r>
        <w:t xml:space="preserve"> </w:t>
      </w:r>
      <w:r>
        <w:t xml:space="preserve">Assess whether Ms. Okafor’s participation creates</w:t>
      </w:r>
      <w:r>
        <w:t xml:space="preserve"> </w:t>
      </w:r>
      <w:r>
        <w:rPr>
          <w:i/>
          <w:iCs/>
        </w:rPr>
        <w:t xml:space="preserve">Corwin</w:t>
      </w:r>
      <w:r>
        <w:t xml:space="preserve"> </w:t>
      </w:r>
      <w:r>
        <w:t xml:space="preserve">cleansing risk and whether recusal or reconstitution is advisable.</w:t>
      </w:r>
    </w:p>
    <w:p>
      <w:pPr>
        <w:pStyle w:val="Compact"/>
        <w:numPr>
          <w:ilvl w:val="0"/>
          <w:numId w:val="1021"/>
        </w:numPr>
      </w:pPr>
      <w:r>
        <w:rPr>
          <w:b/>
          <w:bCs/>
        </w:rPr>
        <w:t xml:space="preserve">Change-of-control consents.</w:t>
      </w:r>
      <w:r>
        <w:t xml:space="preserve"> </w:t>
      </w:r>
      <w:r>
        <w:t xml:space="preserve">Once material contracts are received, map all change-of-control/assignment consent requirements and assess timing.</w:t>
      </w:r>
    </w:p>
    <w:p>
      <w:pPr>
        <w:pStyle w:val="FirstParagraph"/>
      </w:pPr>
      <w:r>
        <w:rPr>
          <w:b/>
          <w:bCs/>
        </w:rPr>
        <w:t xml:space="preserve">D. Merger Agreement Provisions to Address Governance Issues</w:t>
      </w:r>
    </w:p>
    <w:p>
      <w:pPr>
        <w:pStyle w:val="Compact"/>
        <w:numPr>
          <w:ilvl w:val="0"/>
          <w:numId w:val="1022"/>
        </w:numPr>
      </w:pPr>
      <w:r>
        <w:rPr>
          <w:b/>
          <w:bCs/>
        </w:rPr>
        <w:t xml:space="preserve">Stockholder support agreements.</w:t>
      </w:r>
      <w:r>
        <w:t xml:space="preserve"> </w:t>
      </w:r>
      <w:r>
        <w:t xml:space="preserve">Obtain support agreements from the Founders, Ridgeline, and Northbridge committing to vote in favor of the merger and to deliver written consents (DGCL 251 Vote, all-Preferred consent, and drag-along trigger).</w:t>
      </w:r>
    </w:p>
    <w:p>
      <w:pPr>
        <w:pStyle w:val="Compact"/>
        <w:numPr>
          <w:ilvl w:val="0"/>
          <w:numId w:val="1022"/>
        </w:numPr>
      </w:pPr>
      <w:r>
        <w:rPr>
          <w:b/>
          <w:bCs/>
        </w:rPr>
        <w:t xml:space="preserve">Stonemill consent.</w:t>
      </w:r>
      <w:r>
        <w:t xml:space="preserve"> </w:t>
      </w:r>
      <w:r>
        <w:t xml:space="preserve">Negotiate Stonemill’s Series C separate-class consent as a closing condition; if not obtainable, assess the drag-along path.</w:t>
      </w:r>
    </w:p>
    <w:p>
      <w:pPr>
        <w:pStyle w:val="Compact"/>
        <w:numPr>
          <w:ilvl w:val="0"/>
          <w:numId w:val="1022"/>
        </w:numPr>
      </w:pPr>
      <w:r>
        <w:rPr>
          <w:b/>
          <w:bCs/>
        </w:rPr>
        <w:t xml:space="preserve">Express terminations.</w:t>
      </w:r>
      <w:r>
        <w:t xml:space="preserve"> </w:t>
      </w:r>
      <w:r>
        <w:t xml:space="preserve">Include express termination of the SHA, Voting Agreement, and RRA at closing, with written confirmations from the parties.</w:t>
      </w:r>
    </w:p>
    <w:p>
      <w:pPr>
        <w:pStyle w:val="Compact"/>
        <w:numPr>
          <w:ilvl w:val="0"/>
          <w:numId w:val="1022"/>
        </w:numPr>
      </w:pPr>
      <w:r>
        <w:rPr>
          <w:b/>
          <w:bCs/>
        </w:rPr>
        <w:t xml:space="preserve">Waterfall allocation.</w:t>
      </w:r>
      <w:r>
        <w:t xml:space="preserve"> </w:t>
      </w:r>
      <w:r>
        <w:t xml:space="preserve">Ensure the merger consideration is allocated through the Charter’s liquidation waterfall (per SHA Section 3.2(a)) and that the per-class consideration is accurately disclosed.</w:t>
      </w:r>
    </w:p>
    <w:p>
      <w:pPr>
        <w:pStyle w:val="Compact"/>
        <w:numPr>
          <w:ilvl w:val="0"/>
          <w:numId w:val="1022"/>
        </w:numPr>
      </w:pPr>
      <w:r>
        <w:rPr>
          <w:b/>
          <w:bCs/>
        </w:rPr>
        <w:t xml:space="preserve">Equity award treatment.</w:t>
      </w:r>
      <w:r>
        <w:t xml:space="preserve"> </w:t>
      </w:r>
      <w:r>
        <w:t xml:space="preserve">Specify the treatment of all outstanding options and RSUs (cash-out at spread, cancellation of underwater options, acceleration terms per the Plan/award agreements).</w:t>
      </w:r>
    </w:p>
    <w:p>
      <w:pPr>
        <w:pStyle w:val="Compact"/>
        <w:numPr>
          <w:ilvl w:val="0"/>
          <w:numId w:val="1022"/>
        </w:numPr>
      </w:pPr>
      <w:r>
        <w:rPr>
          <w:b/>
          <w:bCs/>
        </w:rPr>
        <w:t xml:space="preserve">D&amp;O indemnification and tail insurance.</w:t>
      </w:r>
      <w:r>
        <w:t xml:space="preserve"> </w:t>
      </w:r>
      <w:r>
        <w:t xml:space="preserve">Include customary indemnification survival and a six-year D&amp;O tail policy; confirm the individual indemnification agreements survive.</w:t>
      </w:r>
    </w:p>
    <w:p>
      <w:pPr>
        <w:pStyle w:val="Compact"/>
        <w:numPr>
          <w:ilvl w:val="0"/>
          <w:numId w:val="1022"/>
        </w:numPr>
      </w:pPr>
      <w:r>
        <w:rPr>
          <w:b/>
          <w:bCs/>
        </w:rPr>
        <w:t xml:space="preserve">Clearfield loan payoff.</w:t>
      </w:r>
      <w:r>
        <w:t xml:space="preserve"> </w:t>
      </w:r>
      <w:r>
        <w:t xml:space="preserve">Provide for repayment/release of the Clearfield loan at closing, with lender cooperation on lien release.</w:t>
      </w:r>
    </w:p>
    <w:p>
      <w:pPr>
        <w:pStyle w:val="Compact"/>
        <w:numPr>
          <w:ilvl w:val="0"/>
          <w:numId w:val="1022"/>
        </w:numPr>
      </w:pPr>
      <w:r>
        <w:rPr>
          <w:b/>
          <w:bCs/>
        </w:rPr>
        <w:t xml:space="preserve">SensorLink.</w:t>
      </w:r>
      <w:r>
        <w:t xml:space="preserve"> </w:t>
      </w:r>
      <w:r>
        <w:t xml:space="preserve">Confirm resolution of the SensorLink exclusivity before signing.</w:t>
      </w:r>
    </w:p>
    <w:p>
      <w:r>
        <w:pict>
          <v:rect style="width:0;height:1.5pt" o:hralign="center" o:hrstd="t" o:hr="t"/>
        </w:pict>
      </w:r>
    </w:p>
    <w:bookmarkEnd w:id="31"/>
    <w:bookmarkStart w:id="32" w:name="appendix-a-consent-approval-matrix"/>
    <w:p>
      <w:pPr>
        <w:pStyle w:val="Heading3"/>
      </w:pPr>
      <w:r>
        <w:t xml:space="preserve">APPENDIX A — CONSENT / APPROVAL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 / Approval</w:t>
            </w:r>
          </w:p>
        </w:tc>
        <w:tc>
          <w:tcPr/>
          <w:p>
            <w:pPr>
              <w:pStyle w:val="Compact"/>
              <w:jc w:val="left"/>
            </w:pPr>
            <w:r>
              <w:t xml:space="preserve">Source</w:t>
            </w:r>
          </w:p>
        </w:tc>
        <w:tc>
          <w:tcPr/>
          <w:p>
            <w:pPr>
              <w:pStyle w:val="Compact"/>
              <w:jc w:val="left"/>
            </w:pPr>
            <w:r>
              <w:t xml:space="preserve">Threshold</w:t>
            </w:r>
          </w:p>
        </w:tc>
        <w:tc>
          <w:tcPr/>
          <w:p>
            <w:pPr>
              <w:pStyle w:val="Compact"/>
              <w:jc w:val="left"/>
            </w:pPr>
            <w:r>
              <w:t xml:space="preserve">Parties Whose Consent Is Required</w:t>
            </w:r>
          </w:p>
        </w:tc>
        <w:tc>
          <w:tcPr/>
          <w:p>
            <w:pPr>
              <w:pStyle w:val="Compact"/>
              <w:jc w:val="left"/>
            </w:pPr>
            <w:r>
              <w:t xml:space="preserve">Can Be Met Without Stonemill?</w:t>
            </w:r>
          </w:p>
        </w:tc>
        <w:tc>
          <w:tcPr/>
          <w:p>
            <w:pPr>
              <w:pStyle w:val="Compact"/>
              <w:jc w:val="left"/>
            </w:pPr>
            <w:r>
              <w:t xml:space="preserve">Current Status</w:t>
            </w:r>
          </w:p>
        </w:tc>
      </w:tr>
      <w:tr>
        <w:tc>
          <w:tcPr/>
          <w:p>
            <w:pPr>
              <w:pStyle w:val="Compact"/>
              <w:jc w:val="left"/>
            </w:pPr>
            <w:r>
              <w:t xml:space="preserve">1</w:t>
            </w:r>
          </w:p>
        </w:tc>
        <w:tc>
          <w:tcPr/>
          <w:p>
            <w:pPr>
              <w:pStyle w:val="Compact"/>
              <w:jc w:val="left"/>
            </w:pPr>
            <w:r>
              <w:t xml:space="preserve">DGCL §251 stockholder approval of merger</w:t>
            </w:r>
          </w:p>
        </w:tc>
        <w:tc>
          <w:tcPr/>
          <w:p>
            <w:pPr>
              <w:pStyle w:val="Compact"/>
              <w:jc w:val="left"/>
            </w:pPr>
            <w:r>
              <w:t xml:space="preserve">DGCL §251; Bylaws §2.5; Charter §4.2.1, §4.3.5</w:t>
            </w:r>
          </w:p>
        </w:tc>
        <w:tc>
          <w:tcPr/>
          <w:p>
            <w:pPr>
              <w:pStyle w:val="Compact"/>
              <w:jc w:val="left"/>
            </w:pPr>
            <w:r>
              <w:t xml:space="preserve">Majority of outstanding shares entitled to vote, as-converted, single class (&gt;16,950,000 of ~33,900,000)</w:t>
            </w:r>
          </w:p>
        </w:tc>
        <w:tc>
          <w:tcPr/>
          <w:p>
            <w:pPr>
              <w:pStyle w:val="Compact"/>
              <w:jc w:val="left"/>
            </w:pPr>
            <w:r>
              <w:t xml:space="preserve">Terravox stockholders (all classes voting together)</w:t>
            </w:r>
          </w:p>
        </w:tc>
        <w:tc>
          <w:tcPr/>
          <w:p>
            <w:pPr>
              <w:pStyle w:val="Compact"/>
              <w:jc w:val="left"/>
            </w:pPr>
            <w:r>
              <w:t xml:space="preserve">Yes (non-Stonemill holders = ~26,100,000)</w:t>
            </w:r>
          </w:p>
        </w:tc>
        <w:tc>
          <w:tcPr/>
          <w:p>
            <w:pPr>
              <w:pStyle w:val="Compact"/>
              <w:jc w:val="left"/>
            </w:pPr>
            <w:r>
              <w:t xml:space="preserve">Not yet obtained</w:t>
            </w:r>
          </w:p>
        </w:tc>
      </w:tr>
      <w:tr>
        <w:tc>
          <w:tcPr/>
          <w:p>
            <w:pPr>
              <w:pStyle w:val="Compact"/>
              <w:jc w:val="left"/>
            </w:pPr>
            <w:r>
              <w:t xml:space="preserve">2</w:t>
            </w:r>
          </w:p>
        </w:tc>
        <w:tc>
          <w:tcPr/>
          <w:p>
            <w:pPr>
              <w:pStyle w:val="Compact"/>
              <w:jc w:val="left"/>
            </w:pPr>
            <w:r>
              <w:t xml:space="preserve">All-Preferred protective provision — Liquidation Event</w:t>
            </w:r>
          </w:p>
        </w:tc>
        <w:tc>
          <w:tcPr/>
          <w:p>
            <w:pPr>
              <w:pStyle w:val="Compact"/>
              <w:jc w:val="left"/>
            </w:pPr>
            <w:r>
              <w:t xml:space="preserve">Charter §4.3.6(a)(vi)</w:t>
            </w:r>
          </w:p>
        </w:tc>
        <w:tc>
          <w:tcPr/>
          <w:p>
            <w:pPr>
              <w:pStyle w:val="Compact"/>
              <w:jc w:val="left"/>
            </w:pPr>
            <w:r>
              <w:t xml:space="preserve">Majority (&gt;50%) of Preferred, as-converted, single class (&gt;8,250,000 of 16,500,000)</w:t>
            </w:r>
          </w:p>
        </w:tc>
        <w:tc>
          <w:tcPr/>
          <w:p>
            <w:pPr>
              <w:pStyle w:val="Compact"/>
              <w:jc w:val="left"/>
            </w:pPr>
            <w:r>
              <w:t xml:space="preserve">Preferred holders (Ridgeline, Northbridge, Stonemill)</w:t>
            </w:r>
          </w:p>
        </w:tc>
        <w:tc>
          <w:tcPr/>
          <w:p>
            <w:pPr>
              <w:pStyle w:val="Compact"/>
              <w:jc w:val="left"/>
            </w:pPr>
            <w:r>
              <w:t xml:space="preserve">Yes (Ridgeline + Northbridge = 8,700,000 &gt; 8,250,000; margin 450,000)</w:t>
            </w:r>
          </w:p>
        </w:tc>
        <w:tc>
          <w:tcPr/>
          <w:p>
            <w:pPr>
              <w:pStyle w:val="Compact"/>
              <w:jc w:val="left"/>
            </w:pPr>
            <w:r>
              <w:t xml:space="preserve">Not yet obtained</w:t>
            </w:r>
          </w:p>
        </w:tc>
      </w:tr>
      <w:tr>
        <w:tc>
          <w:tcPr/>
          <w:p>
            <w:pPr>
              <w:pStyle w:val="Compact"/>
              <w:jc w:val="left"/>
            </w:pPr>
            <w:r>
              <w:t xml:space="preserve">3</w:t>
            </w:r>
          </w:p>
        </w:tc>
        <w:tc>
          <w:tcPr/>
          <w:p>
            <w:pPr>
              <w:pStyle w:val="Compact"/>
              <w:jc w:val="left"/>
            </w:pPr>
            <w:r>
              <w:t xml:space="preserve">Series C separate-class protective provision — Liquidation Event</w:t>
            </w:r>
          </w:p>
        </w:tc>
        <w:tc>
          <w:tcPr/>
          <w:p>
            <w:pPr>
              <w:pStyle w:val="Compact"/>
              <w:jc w:val="left"/>
            </w:pPr>
            <w:r>
              <w:t xml:space="preserve">Charter §4.3.6(b)(i)</w:t>
            </w:r>
          </w:p>
        </w:tc>
        <w:tc>
          <w:tcPr/>
          <w:p>
            <w:pPr>
              <w:pStyle w:val="Compact"/>
              <w:jc w:val="left"/>
            </w:pPr>
            <w:r>
              <w:t xml:space="preserve">66⅔% of Series C, separate class (≥5,200,000 of 7,800,000)</w:t>
            </w:r>
          </w:p>
        </w:tc>
        <w:tc>
          <w:tcPr/>
          <w:p>
            <w:pPr>
              <w:pStyle w:val="Compact"/>
              <w:jc w:val="left"/>
            </w:pPr>
            <w:r>
              <w:t xml:space="preserve">Series C holders (Stonemill only)</w:t>
            </w:r>
          </w:p>
        </w:tc>
        <w:tc>
          <w:tcPr/>
          <w:p>
            <w:pPr>
              <w:pStyle w:val="Compact"/>
              <w:jc w:val="left"/>
            </w:pPr>
            <w:r>
              <w:rPr>
                <w:b/>
                <w:bCs/>
              </w:rPr>
              <w:t xml:space="preserve">NO — Stonemill holds 100% of Series C; hard block</w:t>
            </w:r>
          </w:p>
        </w:tc>
        <w:tc>
          <w:tcPr/>
          <w:p>
            <w:pPr>
              <w:pStyle w:val="Compact"/>
              <w:jc w:val="left"/>
            </w:pPr>
            <w:r>
              <w:t xml:space="preserve">Not yet obtained; cannot be obtained without Stonemill</w:t>
            </w:r>
          </w:p>
        </w:tc>
      </w:tr>
      <w:tr>
        <w:tc>
          <w:tcPr/>
          <w:p>
            <w:pPr>
              <w:pStyle w:val="Compact"/>
              <w:jc w:val="left"/>
            </w:pPr>
            <w:r>
              <w:t xml:space="preserve">4</w:t>
            </w:r>
          </w:p>
        </w:tc>
        <w:tc>
          <w:tcPr/>
          <w:p>
            <w:pPr>
              <w:pStyle w:val="Compact"/>
              <w:jc w:val="left"/>
            </w:pPr>
            <w:r>
              <w:t xml:space="preserve">Board approval of definitive merger agreement</w:t>
            </w:r>
          </w:p>
        </w:tc>
        <w:tc>
          <w:tcPr/>
          <w:p>
            <w:pPr>
              <w:pStyle w:val="Compact"/>
              <w:jc w:val="left"/>
            </w:pPr>
            <w:r>
              <w:t xml:space="preserve">Bylaws §3.7; Charter §5.3</w:t>
            </w:r>
          </w:p>
        </w:tc>
        <w:tc>
          <w:tcPr/>
          <w:p>
            <w:pPr>
              <w:pStyle w:val="Compact"/>
              <w:jc w:val="left"/>
            </w:pPr>
            <w:r>
              <w:t xml:space="preserve">Majority of directors present at quorum meeting (quorum = 4 of 7)</w:t>
            </w:r>
          </w:p>
        </w:tc>
        <w:tc>
          <w:tcPr/>
          <w:p>
            <w:pPr>
              <w:pStyle w:val="Compact"/>
              <w:jc w:val="left"/>
            </w:pPr>
            <w:r>
              <w:t xml:space="preserve">Terravox Board</w:t>
            </w:r>
          </w:p>
        </w:tc>
        <w:tc>
          <w:tcPr/>
          <w:p>
            <w:pPr>
              <w:pStyle w:val="Compact"/>
              <w:jc w:val="left"/>
            </w:pPr>
            <w:r>
              <w:t xml:space="preserve">Yes (Trask can be outvoted 6-1)</w:t>
            </w:r>
          </w:p>
        </w:tc>
        <w:tc>
          <w:tcPr/>
          <w:p>
            <w:pPr>
              <w:pStyle w:val="Compact"/>
              <w:jc w:val="left"/>
            </w:pPr>
            <w:r>
              <w:t xml:space="preserve">Not yet obtained (negotiation authorized 6-1 on Sept 25, 2024)</w:t>
            </w:r>
          </w:p>
        </w:tc>
      </w:tr>
      <w:tr>
        <w:tc>
          <w:tcPr/>
          <w:p>
            <w:pPr>
              <w:pStyle w:val="Compact"/>
              <w:jc w:val="left"/>
            </w:pPr>
            <w:r>
              <w:t xml:space="preserve">5</w:t>
            </w:r>
          </w:p>
        </w:tc>
        <w:tc>
          <w:tcPr/>
          <w:p>
            <w:pPr>
              <w:pStyle w:val="Compact"/>
              <w:jc w:val="left"/>
            </w:pPr>
            <w:r>
              <w:t xml:space="preserve">Merger Sub board + stockholder approval</w:t>
            </w:r>
          </w:p>
        </w:tc>
        <w:tc>
          <w:tcPr/>
          <w:p>
            <w:pPr>
              <w:pStyle w:val="Compact"/>
              <w:jc w:val="left"/>
            </w:pPr>
            <w:r>
              <w:t xml:space="preserve">DGCL §251</w:t>
            </w:r>
          </w:p>
        </w:tc>
        <w:tc>
          <w:tcPr/>
          <w:p>
            <w:pPr>
              <w:pStyle w:val="Compact"/>
              <w:jc w:val="left"/>
            </w:pPr>
            <w:r>
              <w:t xml:space="preserve">Board approval + sole stockholder (Hargrove) consent</w:t>
            </w:r>
          </w:p>
        </w:tc>
        <w:tc>
          <w:tcPr/>
          <w:p>
            <w:pPr>
              <w:pStyle w:val="Compact"/>
              <w:jc w:val="left"/>
            </w:pPr>
            <w:r>
              <w:t xml:space="preserve">Hargrove</w:t>
            </w:r>
          </w:p>
        </w:tc>
        <w:tc>
          <w:tcPr/>
          <w:p>
            <w:pPr>
              <w:pStyle w:val="Compact"/>
              <w:jc w:val="left"/>
            </w:pPr>
            <w:r>
              <w:t xml:space="preserve">N/A (within Hargrove’s control)</w:t>
            </w:r>
          </w:p>
        </w:tc>
        <w:tc>
          <w:tcPr/>
          <w:p>
            <w:pPr>
              <w:pStyle w:val="Compact"/>
              <w:jc w:val="left"/>
            </w:pPr>
            <w:r>
              <w:t xml:space="preserve">To be obtained at signing</w:t>
            </w:r>
          </w:p>
        </w:tc>
      </w:tr>
      <w:tr>
        <w:tc>
          <w:tcPr/>
          <w:p>
            <w:pPr>
              <w:pStyle w:val="Compact"/>
              <w:jc w:val="left"/>
            </w:pPr>
            <w:r>
              <w:t xml:space="preserve">6</w:t>
            </w:r>
          </w:p>
        </w:tc>
        <w:tc>
          <w:tcPr/>
          <w:p>
            <w:pPr>
              <w:pStyle w:val="Compact"/>
              <w:jc w:val="left"/>
            </w:pPr>
            <w:r>
              <w:t xml:space="preserve">Drag-along trigger (mechanism to compel votes)</w:t>
            </w:r>
          </w:p>
        </w:tc>
        <w:tc>
          <w:tcPr/>
          <w:p>
            <w:pPr>
              <w:pStyle w:val="Compact"/>
              <w:jc w:val="left"/>
            </w:pPr>
            <w:r>
              <w:t xml:space="preserve">SHA §3.1(a)</w:t>
            </w:r>
          </w:p>
        </w:tc>
        <w:tc>
          <w:tcPr/>
          <w:p>
            <w:pPr>
              <w:pStyle w:val="Compact"/>
              <w:jc w:val="left"/>
            </w:pPr>
            <w:r>
              <w:t xml:space="preserve">(i) Common majority as-converted (&gt;16,950,000); (ii) Preferred majority as-converted (&gt;8,250,000); (iii) ≥2 of 3 Investor Stockholders — all three required</w:t>
            </w:r>
          </w:p>
        </w:tc>
        <w:tc>
          <w:tcPr/>
          <w:p>
            <w:pPr>
              <w:pStyle w:val="Compact"/>
              <w:jc w:val="left"/>
            </w:pPr>
            <w:r>
              <w:t xml:space="preserve">Founders + Investors + non-party common holders</w:t>
            </w:r>
          </w:p>
        </w:tc>
        <w:tc>
          <w:tcPr/>
          <w:p>
            <w:pPr>
              <w:pStyle w:val="Compact"/>
              <w:jc w:val="left"/>
            </w:pPr>
            <w:r>
              <w:t xml:space="preserve">Yes, if Ridgeline + Northbridge consent AND ~950,000+ non-party common shares vote in favor</w:t>
            </w:r>
          </w:p>
        </w:tc>
        <w:tc>
          <w:tcPr/>
          <w:p>
            <w:pPr>
              <w:pStyle w:val="Compact"/>
              <w:jc w:val="left"/>
            </w:pPr>
            <w:r>
              <w:t xml:space="preserve">Not yet invoked</w:t>
            </w:r>
          </w:p>
        </w:tc>
      </w:tr>
      <w:tr>
        <w:tc>
          <w:tcPr/>
          <w:p>
            <w:pPr>
              <w:pStyle w:val="Compact"/>
              <w:jc w:val="left"/>
            </w:pPr>
            <w:r>
              <w:t xml:space="preserve">7</w:t>
            </w:r>
          </w:p>
        </w:tc>
        <w:tc>
          <w:tcPr/>
          <w:p>
            <w:pPr>
              <w:pStyle w:val="Compact"/>
              <w:jc w:val="left"/>
            </w:pPr>
            <w:r>
              <w:t xml:space="preserve">Drag-along enforcement vs. Series C veto</w:t>
            </w:r>
          </w:p>
        </w:tc>
        <w:tc>
          <w:tcPr/>
          <w:p>
            <w:pPr>
              <w:pStyle w:val="Compact"/>
              <w:jc w:val="left"/>
            </w:pPr>
            <w:r>
              <w:t xml:space="preserve">SHA §3.1(a)(A), §3.3</w:t>
            </w:r>
          </w:p>
        </w:tc>
        <w:tc>
          <w:tcPr/>
          <w:p>
            <w:pPr>
              <w:pStyle w:val="Compact"/>
              <w:jc w:val="left"/>
            </w:pPr>
            <w:r>
              <w:t xml:space="preserve">Valid Drag-Along Approval + enforceability of irrevocable proxy</w:t>
            </w:r>
          </w:p>
        </w:tc>
        <w:tc>
          <w:tcPr/>
          <w:p>
            <w:pPr>
              <w:pStyle w:val="Compact"/>
              <w:jc w:val="left"/>
            </w:pPr>
            <w:r>
              <w:t xml:space="preserve">N/A (compels Stonemill to vote)</w:t>
            </w:r>
          </w:p>
        </w:tc>
        <w:tc>
          <w:tcPr/>
          <w:p>
            <w:pPr>
              <w:pStyle w:val="Compact"/>
              <w:jc w:val="left"/>
            </w:pPr>
            <w:r>
              <w:t xml:space="preserve">Contested under Delaware law; litigation risk; possible injunction</w:t>
            </w:r>
          </w:p>
        </w:tc>
        <w:tc>
          <w:tcPr/>
          <w:p>
            <w:pPr>
              <w:pStyle w:val="Compact"/>
              <w:jc w:val="left"/>
            </w:pPr>
            <w:r>
              <w:t xml:space="preserve">Open legal question</w:t>
            </w:r>
          </w:p>
        </w:tc>
      </w:tr>
      <w:tr>
        <w:tc>
          <w:tcPr/>
          <w:p>
            <w:pPr>
              <w:pStyle w:val="Compact"/>
              <w:jc w:val="left"/>
            </w:pPr>
            <w:r>
              <w:t xml:space="preserve">8</w:t>
            </w:r>
          </w:p>
        </w:tc>
        <w:tc>
          <w:tcPr/>
          <w:p>
            <w:pPr>
              <w:pStyle w:val="Compact"/>
              <w:jc w:val="left"/>
            </w:pPr>
            <w:r>
              <w:t xml:space="preserve">Charter amendment (if any required)</w:t>
            </w:r>
          </w:p>
        </w:tc>
        <w:tc>
          <w:tcPr/>
          <w:p>
            <w:pPr>
              <w:pStyle w:val="Compact"/>
              <w:jc w:val="left"/>
            </w:pPr>
            <w:r>
              <w:t xml:space="preserve">Charter §8.1</w:t>
            </w:r>
          </w:p>
        </w:tc>
        <w:tc>
          <w:tcPr/>
          <w:p>
            <w:pPr>
              <w:pStyle w:val="Compact"/>
              <w:jc w:val="left"/>
            </w:pPr>
            <w:r>
              <w:t xml:space="preserve">Board + majority of outstanding capital stock + Preferred/Series C consents per §4.3.6</w:t>
            </w:r>
          </w:p>
        </w:tc>
        <w:tc>
          <w:tcPr/>
          <w:p>
            <w:pPr>
              <w:pStyle w:val="Compact"/>
              <w:jc w:val="left"/>
            </w:pPr>
            <w:r>
              <w:t xml:space="preserve">Board + stockholders + Preferred + Series C</w:t>
            </w:r>
          </w:p>
        </w:tc>
        <w:tc>
          <w:tcPr/>
          <w:p>
            <w:pPr>
              <w:pStyle w:val="Compact"/>
              <w:jc w:val="left"/>
            </w:pPr>
            <w:r>
              <w:t xml:space="preserve">Depends on whether amendment needed</w:t>
            </w:r>
          </w:p>
        </w:tc>
        <w:tc>
          <w:tcPr/>
          <w:p>
            <w:pPr>
              <w:pStyle w:val="Compact"/>
              <w:jc w:val="left"/>
            </w:pPr>
            <w:r>
              <w:t xml:space="preserve">Not applicable unless charter amendment required for merger</w:t>
            </w:r>
          </w:p>
        </w:tc>
      </w:tr>
      <w:tr>
        <w:tc>
          <w:tcPr/>
          <w:p>
            <w:pPr>
              <w:pStyle w:val="Compact"/>
              <w:jc w:val="left"/>
            </w:pPr>
            <w:r>
              <w:t xml:space="preserve">9</w:t>
            </w:r>
          </w:p>
        </w:tc>
        <w:tc>
          <w:tcPr/>
          <w:p>
            <w:pPr>
              <w:pStyle w:val="Compact"/>
              <w:jc w:val="left"/>
            </w:pPr>
            <w:r>
              <w:t xml:space="preserve">Clearfield term loan — change-of-control consent / payoff</w:t>
            </w:r>
          </w:p>
        </w:tc>
        <w:tc>
          <w:tcPr/>
          <w:p>
            <w:pPr>
              <w:pStyle w:val="Compact"/>
              <w:jc w:val="left"/>
            </w:pPr>
            <w:r>
              <w:t xml:space="preserve">Loan agreement (not yet reviewed)</w:t>
            </w:r>
          </w:p>
        </w:tc>
        <w:tc>
          <w:tcPr/>
          <w:p>
            <w:pPr>
              <w:pStyle w:val="Compact"/>
              <w:jc w:val="left"/>
            </w:pPr>
            <w:r>
              <w:t xml:space="preserve">Per loan agreement (likely lender consent or payoff at closing)</w:t>
            </w:r>
          </w:p>
        </w:tc>
        <w:tc>
          <w:tcPr/>
          <w:p>
            <w:pPr>
              <w:pStyle w:val="Compact"/>
              <w:jc w:val="left"/>
            </w:pPr>
            <w:r>
              <w:t xml:space="preserve">Clearfield National Bank</w:t>
            </w:r>
          </w:p>
        </w:tc>
        <w:tc>
          <w:tcPr/>
          <w:p>
            <w:pPr>
              <w:pStyle w:val="Compact"/>
              <w:jc w:val="left"/>
            </w:pPr>
            <w:r>
              <w:t xml:space="preserve">N/A</w:t>
            </w:r>
          </w:p>
        </w:tc>
        <w:tc>
          <w:tcPr/>
          <w:p>
            <w:pPr>
              <w:pStyle w:val="Compact"/>
              <w:jc w:val="left"/>
            </w:pPr>
            <w:r>
              <w:t xml:space="preserve">Unknown — request loan documents</w:t>
            </w:r>
          </w:p>
        </w:tc>
      </w:tr>
      <w:tr>
        <w:tc>
          <w:tcPr/>
          <w:p>
            <w:pPr>
              <w:pStyle w:val="Compact"/>
              <w:jc w:val="left"/>
            </w:pPr>
            <w:r>
              <w:t xml:space="preserve">10</w:t>
            </w:r>
          </w:p>
        </w:tc>
        <w:tc>
          <w:tcPr/>
          <w:p>
            <w:pPr>
              <w:pStyle w:val="Compact"/>
              <w:jc w:val="left"/>
            </w:pPr>
            <w:r>
              <w:t xml:space="preserve">Material contract change-of-control consents (Permian Basin MSA, others)</w:t>
            </w:r>
          </w:p>
        </w:tc>
        <w:tc>
          <w:tcPr/>
          <w:p>
            <w:pPr>
              <w:pStyle w:val="Compact"/>
              <w:jc w:val="left"/>
            </w:pPr>
            <w:r>
              <w:t xml:space="preserve">Respective contracts (not yet reviewed)</w:t>
            </w:r>
          </w:p>
        </w:tc>
        <w:tc>
          <w:tcPr/>
          <w:p>
            <w:pPr>
              <w:pStyle w:val="Compact"/>
              <w:jc w:val="left"/>
            </w:pPr>
            <w:r>
              <w:t xml:space="preserve">Per contract terms</w:t>
            </w:r>
          </w:p>
        </w:tc>
        <w:tc>
          <w:tcPr/>
          <w:p>
            <w:pPr>
              <w:pStyle w:val="Compact"/>
              <w:jc w:val="left"/>
            </w:pPr>
            <w:r>
              <w:t xml:space="preserve">Counterparties</w:t>
            </w:r>
          </w:p>
        </w:tc>
        <w:tc>
          <w:tcPr/>
          <w:p>
            <w:pPr>
              <w:pStyle w:val="Compact"/>
              <w:jc w:val="left"/>
            </w:pPr>
            <w:r>
              <w:t xml:space="preserve">N/A</w:t>
            </w:r>
          </w:p>
        </w:tc>
        <w:tc>
          <w:tcPr/>
          <w:p>
            <w:pPr>
              <w:pStyle w:val="Compact"/>
              <w:jc w:val="left"/>
            </w:pPr>
            <w:r>
              <w:t xml:space="preserve">Unknown — request contracts</w:t>
            </w:r>
          </w:p>
        </w:tc>
      </w:tr>
      <w:tr>
        <w:tc>
          <w:tcPr/>
          <w:p>
            <w:pPr>
              <w:pStyle w:val="Compact"/>
              <w:jc w:val="left"/>
            </w:pPr>
            <w:r>
              <w:t xml:space="preserve">11</w:t>
            </w:r>
          </w:p>
        </w:tc>
        <w:tc>
          <w:tcPr/>
          <w:p>
            <w:pPr>
              <w:pStyle w:val="Compact"/>
              <w:jc w:val="left"/>
            </w:pPr>
            <w:r>
              <w:t xml:space="preserve">SHA termination</w:t>
            </w:r>
          </w:p>
        </w:tc>
        <w:tc>
          <w:tcPr/>
          <w:p>
            <w:pPr>
              <w:pStyle w:val="Compact"/>
              <w:jc w:val="left"/>
            </w:pPr>
            <w:r>
              <w:t xml:space="preserve">SHA §6.1(b)</w:t>
            </w:r>
          </w:p>
        </w:tc>
        <w:tc>
          <w:tcPr/>
          <w:p>
            <w:pPr>
              <w:pStyle w:val="Compact"/>
              <w:jc w:val="left"/>
            </w:pPr>
            <w:r>
              <w:t xml:space="preserve">Automatic on Sale of the Company</w:t>
            </w:r>
          </w:p>
        </w:tc>
        <w:tc>
          <w:tcPr/>
          <w:p>
            <w:pPr>
              <w:pStyle w:val="Compact"/>
              <w:jc w:val="left"/>
            </w:pPr>
            <w:r>
              <w:t xml:space="preserve">N/A (automatic)</w:t>
            </w:r>
          </w:p>
        </w:tc>
        <w:tc>
          <w:tcPr/>
          <w:p>
            <w:pPr>
              <w:pStyle w:val="Compact"/>
              <w:jc w:val="left"/>
            </w:pPr>
            <w:r>
              <w:t xml:space="preserve">N/A</w:t>
            </w:r>
          </w:p>
        </w:tc>
        <w:tc>
          <w:tcPr/>
          <w:p>
            <w:pPr>
              <w:pStyle w:val="Compact"/>
              <w:jc w:val="left"/>
            </w:pPr>
            <w:r>
              <w:t xml:space="preserve">Will terminate at closing</w:t>
            </w:r>
          </w:p>
        </w:tc>
      </w:tr>
      <w:tr>
        <w:tc>
          <w:tcPr/>
          <w:p>
            <w:pPr>
              <w:pStyle w:val="Compact"/>
              <w:jc w:val="left"/>
            </w:pPr>
            <w:r>
              <w:t xml:space="preserve">12</w:t>
            </w:r>
          </w:p>
        </w:tc>
        <w:tc>
          <w:tcPr/>
          <w:p>
            <w:pPr>
              <w:pStyle w:val="Compact"/>
              <w:jc w:val="left"/>
            </w:pPr>
            <w:r>
              <w:t xml:space="preserve">Voting Agreement termination</w:t>
            </w:r>
          </w:p>
        </w:tc>
        <w:tc>
          <w:tcPr/>
          <w:p>
            <w:pPr>
              <w:pStyle w:val="Compact"/>
              <w:jc w:val="left"/>
            </w:pPr>
            <w:r>
              <w:t xml:space="preserve">Voting Agreement §7.1(b)</w:t>
            </w:r>
          </w:p>
        </w:tc>
        <w:tc>
          <w:tcPr/>
          <w:p>
            <w:pPr>
              <w:pStyle w:val="Compact"/>
              <w:jc w:val="left"/>
            </w:pPr>
            <w:r>
              <w:t xml:space="preserve">Automatic on Sale of the Company</w:t>
            </w:r>
          </w:p>
        </w:tc>
        <w:tc>
          <w:tcPr/>
          <w:p>
            <w:pPr>
              <w:pStyle w:val="Compact"/>
              <w:jc w:val="left"/>
            </w:pPr>
            <w:r>
              <w:t xml:space="preserve">N/A (automatic)</w:t>
            </w:r>
          </w:p>
        </w:tc>
        <w:tc>
          <w:tcPr/>
          <w:p>
            <w:pPr>
              <w:pStyle w:val="Compact"/>
              <w:jc w:val="left"/>
            </w:pPr>
            <w:r>
              <w:t xml:space="preserve">N/A</w:t>
            </w:r>
          </w:p>
        </w:tc>
        <w:tc>
          <w:tcPr/>
          <w:p>
            <w:pPr>
              <w:pStyle w:val="Compact"/>
              <w:jc w:val="left"/>
            </w:pPr>
            <w:r>
              <w:t xml:space="preserve">Will terminate at closing; recommend express confirmation</w:t>
            </w:r>
          </w:p>
        </w:tc>
      </w:tr>
      <w:tr>
        <w:tc>
          <w:tcPr/>
          <w:p>
            <w:pPr>
              <w:pStyle w:val="Compact"/>
              <w:jc w:val="left"/>
            </w:pPr>
            <w:r>
              <w:t xml:space="preserve">13</w:t>
            </w:r>
          </w:p>
        </w:tc>
        <w:tc>
          <w:tcPr/>
          <w:p>
            <w:pPr>
              <w:pStyle w:val="Compact"/>
              <w:jc w:val="left"/>
            </w:pPr>
            <w:r>
              <w:t xml:space="preserve">RRA termination</w:t>
            </w:r>
          </w:p>
        </w:tc>
        <w:tc>
          <w:tcPr/>
          <w:p>
            <w:pPr>
              <w:pStyle w:val="Compact"/>
              <w:jc w:val="left"/>
            </w:pPr>
            <w:r>
              <w:t xml:space="preserve">RRA §9(c) (</w:t>
            </w:r>
            <w:r>
              <w:t xml:space="preserve">“</w:t>
            </w:r>
            <w:r>
              <w:t xml:space="preserve">Deemed Liquidation Event</w:t>
            </w:r>
            <w:r>
              <w:t xml:space="preserve">”</w:t>
            </w:r>
            <w:r>
              <w:t xml:space="preserve"> </w:t>
            </w:r>
            <w:r>
              <w:t xml:space="preserve">— undefined)</w:t>
            </w:r>
          </w:p>
        </w:tc>
        <w:tc>
          <w:tcPr/>
          <w:p>
            <w:pPr>
              <w:pStyle w:val="Compact"/>
              <w:jc w:val="left"/>
            </w:pPr>
            <w:r>
              <w:t xml:space="preserve">Automatic on</w:t>
            </w:r>
            <w:r>
              <w:t xml:space="preserve"> </w:t>
            </w:r>
            <w:r>
              <w:t xml:space="preserve">“</w:t>
            </w:r>
            <w:r>
              <w:t xml:space="preserve">Deemed Liquidation Event</w:t>
            </w:r>
            <w:r>
              <w:t xml:space="preserve">”</w:t>
            </w:r>
            <w:r>
              <w:t xml:space="preserve"> </w:t>
            </w:r>
            <w:r>
              <w:t xml:space="preserve">(ambiguous)</w:t>
            </w:r>
          </w:p>
        </w:tc>
        <w:tc>
          <w:tcPr/>
          <w:p>
            <w:pPr>
              <w:pStyle w:val="Compact"/>
              <w:jc w:val="left"/>
            </w:pPr>
            <w:r>
              <w:t xml:space="preserve">N/A (automatic if triggered)</w:t>
            </w:r>
          </w:p>
        </w:tc>
        <w:tc>
          <w:tcPr/>
          <w:p>
            <w:pPr>
              <w:pStyle w:val="Compact"/>
              <w:jc w:val="left"/>
            </w:pPr>
            <w:r>
              <w:t xml:space="preserve">Ambiguous; recommend express termination + written consent fallback (Ridgeline + Northbridge = 52.7% of Registrable Securities)</w:t>
            </w:r>
          </w:p>
        </w:tc>
        <w:tc>
          <w:tcPr/>
          <w:p>
            <w:pPr>
              <w:pStyle w:val="Compact"/>
              <w:jc w:val="left"/>
            </w:pPr>
            <w:r>
              <w:t xml:space="preserve">Ambiguous — recommend express termination in merger agreement</w:t>
            </w:r>
          </w:p>
        </w:tc>
      </w:tr>
      <w:tr>
        <w:tc>
          <w:tcPr/>
          <w:p>
            <w:pPr>
              <w:pStyle w:val="Compact"/>
              <w:jc w:val="left"/>
            </w:pPr>
            <w:r>
              <w:t xml:space="preserve">14</w:t>
            </w:r>
          </w:p>
        </w:tc>
        <w:tc>
          <w:tcPr/>
          <w:p>
            <w:pPr>
              <w:pStyle w:val="Compact"/>
              <w:jc w:val="left"/>
            </w:pPr>
            <w:r>
              <w:t xml:space="preserve">Equity award change-of-control treatment</w:t>
            </w:r>
          </w:p>
        </w:tc>
        <w:tc>
          <w:tcPr/>
          <w:p>
            <w:pPr>
              <w:pStyle w:val="Compact"/>
              <w:jc w:val="left"/>
            </w:pPr>
            <w:r>
              <w:t xml:space="preserve">Plan + award agreements (not yet received)</w:t>
            </w:r>
          </w:p>
        </w:tc>
        <w:tc>
          <w:tcPr/>
          <w:p>
            <w:pPr>
              <w:pStyle w:val="Compact"/>
              <w:jc w:val="left"/>
            </w:pPr>
            <w:r>
              <w:t xml:space="preserve">Per Plan/award terms (single- or double-trigger)</w:t>
            </w:r>
          </w:p>
        </w:tc>
        <w:tc>
          <w:tcPr/>
          <w:p>
            <w:pPr>
              <w:pStyle w:val="Compact"/>
              <w:jc w:val="left"/>
            </w:pPr>
            <w:r>
              <w:t xml:space="preserve">N/A (Plan-governed)</w:t>
            </w:r>
          </w:p>
        </w:tc>
        <w:tc>
          <w:tcPr/>
          <w:p>
            <w:pPr>
              <w:pStyle w:val="Compact"/>
              <w:jc w:val="left"/>
            </w:pPr>
            <w:r>
              <w:t xml:space="preserve">N/A</w:t>
            </w:r>
          </w:p>
        </w:tc>
        <w:tc>
          <w:tcPr/>
          <w:p>
            <w:pPr>
              <w:pStyle w:val="Compact"/>
              <w:jc w:val="left"/>
            </w:pPr>
            <w:r>
              <w:t xml:space="preserve">Unknown — request Plan and award agreements</w:t>
            </w:r>
          </w:p>
        </w:tc>
      </w:tr>
      <w:tr>
        <w:tc>
          <w:tcPr>
            <w:tcW w:type="dxa" w:w="1131"/>
          </w:tcPr>
          <w:p>
            <w:r>
              <w:t>15</w:t>
            </w:r>
          </w:p>
        </w:tc>
        <w:tc>
          <w:tcPr>
            <w:tcW w:type="dxa" w:w="1131"/>
          </w:tcPr>
          <w:p>
            <w:r>
              <w:t>Liquidation Event 20-day notice (procedural prerequisite)</w:t>
            </w:r>
          </w:p>
        </w:tc>
        <w:tc>
          <w:tcPr>
            <w:tcW w:type="dxa" w:w="1131"/>
          </w:tcPr>
          <w:p>
            <w:r>
              <w:t>Charter §4.3.2(d)</w:t>
            </w:r>
          </w:p>
        </w:tc>
        <w:tc>
          <w:tcPr>
            <w:tcW w:type="dxa" w:w="1131"/>
          </w:tcPr>
          <w:p>
            <w:r>
              <w:t>≥20 days’ written notice to each Preferred holder before anticipated closing, with material terms and good-faith per-share estimates</w:t>
            </w:r>
          </w:p>
        </w:tc>
        <w:tc>
          <w:tcPr>
            <w:tcW w:type="dxa" w:w="1131"/>
          </w:tcPr>
          <w:p>
            <w:r>
              <w:t>Company (notice to Preferred holders)</w:t>
            </w:r>
          </w:p>
        </w:tc>
        <w:tc>
          <w:tcPr>
            <w:tcW w:type="dxa" w:w="1131"/>
          </w:tcPr>
          <w:p>
            <w:r>
              <w:t>N/A (procedural; not a consent right)</w:t>
            </w:r>
          </w:p>
        </w:tc>
        <w:tc>
          <w:tcPr>
            <w:tcW w:type="dxa" w:w="1131"/>
          </w:tcPr>
          <w:p>
            <w:r>
              <w:t>Not yet given; must be delivered ≥20 days before closing</w:t>
            </w:r>
          </w:p>
        </w:tc>
      </w:tr>
      <w:tr>
        <w:tc>
          <w:tcPr>
            <w:tcW w:type="dxa" w:w="1131"/>
          </w:tcPr>
          <w:p>
            <w:r>
              <w:t>16</w:t>
            </w:r>
          </w:p>
        </w:tc>
        <w:tc>
          <w:tcPr>
            <w:tcW w:type="dxa" w:w="1131"/>
          </w:tcPr>
          <w:p>
            <w:r>
              <w:t>Charter amendment protective provisions (if merger amends Charter)</w:t>
            </w:r>
          </w:p>
        </w:tc>
        <w:tc>
          <w:tcPr>
            <w:tcW w:type="dxa" w:w="1131"/>
          </w:tcPr>
          <w:p>
            <w:r>
              <w:t>Charter §4.3.6(a)(i), (b)(ii)</w:t>
            </w:r>
          </w:p>
        </w:tc>
        <w:tc>
          <w:tcPr>
            <w:tcW w:type="dxa" w:w="1131"/>
          </w:tcPr>
          <w:p>
            <w:r>
              <w:t>All-Preferred majority (§4.3.6(a)(i)); Series C 66⅔% separate class (§4.3.6(b)(ii))</w:t>
            </w:r>
          </w:p>
        </w:tc>
        <w:tc>
          <w:tcPr>
            <w:tcW w:type="dxa" w:w="1131"/>
          </w:tcPr>
          <w:p>
            <w:r>
              <w:t>Preferred holders; Series C holders (Stonemill)</w:t>
            </w:r>
          </w:p>
        </w:tc>
        <w:tc>
          <w:tcPr>
            <w:tcW w:type="dxa" w:w="1131"/>
          </w:tcPr>
          <w:p>
            <w:r>
              <w:t>(b)(ii): NO — second Series C veto if triggered</w:t>
            </w:r>
          </w:p>
        </w:tc>
        <w:tc>
          <w:tcPr>
            <w:tcW w:type="dxa" w:w="1131"/>
          </w:tcPr>
          <w:p>
            <w:r>
              <w:t>Depends on merger structure; confirm whether Charter amendment required</w:t>
            </w:r>
          </w:p>
        </w:tc>
      </w:tr>
    </w:tbl>
    <w:p>
      <w:r>
        <w:pict>
          <v:rect style="width:0;height:1.5pt" o:hralign="center" o:hrstd="t" o:hr="t"/>
        </w:pict>
      </w:r>
    </w:p>
    <w:bookmarkEnd w:id="32"/>
    <w:bookmarkStart w:id="33" w:name="appendix-b-document-request-list"/>
    <w:p>
      <w:pPr>
        <w:pStyle w:val="Heading3"/>
      </w:pPr>
      <w:r>
        <w:t xml:space="preserve">APPENDIX B — DOCUMENT REQUEST LIST</w:t>
      </w:r>
    </w:p>
    <w:p>
      <w:pPr>
        <w:pStyle w:val="FirstParagraph"/>
      </w:pPr>
      <w:r>
        <w:t xml:space="preserve">The following documents should be requested from Nathaniel Rourke at Avery, Pollard &amp; Glenn LLP (to be routed through Jonathan Hsieh; no direct communication with Company counsel or representatives):</w:t>
      </w:r>
    </w:p>
    <w:p>
      <w:pPr>
        <w:pStyle w:val="Compact"/>
        <w:numPr>
          <w:ilvl w:val="0"/>
          <w:numId w:val="1023"/>
        </w:numPr>
      </w:pPr>
      <w:r>
        <w:t xml:space="preserve">2021 Equity Incentive Plan, as adopted November 3, 2021, and all amendments (including the July 19, 2023 share-reserve increase amendment).</w:t>
      </w:r>
    </w:p>
    <w:p>
      <w:pPr>
        <w:pStyle w:val="Compact"/>
        <w:numPr>
          <w:ilvl w:val="0"/>
          <w:numId w:val="1023"/>
        </w:numPr>
      </w:pPr>
      <w:r>
        <w:t xml:space="preserve">All individual equity award agreements (options, RSUs, restricted stock) for all grantees, including Raj Malhotra and Linda Yeung.</w:t>
      </w:r>
    </w:p>
    <w:p>
      <w:pPr>
        <w:pStyle w:val="Compact"/>
        <w:numPr>
          <w:ilvl w:val="0"/>
          <w:numId w:val="1023"/>
        </w:numPr>
      </w:pPr>
      <w:r>
        <w:t xml:space="preserve">Complete, current capitalization table and award schedule (grant date, exercise price, vesting schedule, vested/unvested status).</w:t>
      </w:r>
    </w:p>
    <w:p>
      <w:pPr>
        <w:pStyle w:val="Compact"/>
        <w:numPr>
          <w:ilvl w:val="0"/>
          <w:numId w:val="1023"/>
        </w:numPr>
      </w:pPr>
      <w:r>
        <w:t xml:space="preserve">409A valuation reports (including those referenced for the Malhotra and Yeung grants).</w:t>
      </w:r>
    </w:p>
    <w:p>
      <w:pPr>
        <w:pStyle w:val="Compact"/>
        <w:numPr>
          <w:ilvl w:val="0"/>
          <w:numId w:val="1023"/>
        </w:numPr>
      </w:pPr>
      <w:r>
        <w:t xml:space="preserve">All stockholder written-consent records from 2023-2024, specifically any consent relating to (i) the Clearfield National Bank term loan and (ii) the Plan share-reserve increase.</w:t>
      </w:r>
    </w:p>
    <w:p>
      <w:pPr>
        <w:pStyle w:val="Compact"/>
        <w:numPr>
          <w:ilvl w:val="0"/>
          <w:numId w:val="1023"/>
        </w:numPr>
      </w:pPr>
      <w:r>
        <w:t xml:space="preserve">Executed SensorLink Technologies LOI (March 8, 2024) and all related correspondence, including any termination notices.</w:t>
      </w:r>
    </w:p>
    <w:p>
      <w:pPr>
        <w:pStyle w:val="Compact"/>
        <w:numPr>
          <w:ilvl w:val="0"/>
          <w:numId w:val="1023"/>
        </w:numPr>
      </w:pPr>
      <w:r>
        <w:t xml:space="preserve">Clearfield National Bank term loan documents (loan agreement, promissory note, security agreement, IP security agreement, amendments, compliance certificates).</w:t>
      </w:r>
    </w:p>
    <w:p>
      <w:pPr>
        <w:pStyle w:val="Compact"/>
        <w:numPr>
          <w:ilvl w:val="0"/>
          <w:numId w:val="1023"/>
        </w:numPr>
      </w:pPr>
      <w:r>
        <w:t xml:space="preserve">Permian Basin Energy Co. master services agreement and other top customer contracts (for change-of-control review).</w:t>
      </w:r>
    </w:p>
    <w:p>
      <w:pPr>
        <w:pStyle w:val="Compact"/>
        <w:numPr>
          <w:ilvl w:val="0"/>
          <w:numId w:val="1023"/>
        </w:numPr>
      </w:pPr>
      <w:r>
        <w:t xml:space="preserve">Individual indemnification agreements between the Company and each director.</w:t>
      </w:r>
    </w:p>
    <w:p>
      <w:pPr>
        <w:pStyle w:val="Compact"/>
        <w:numPr>
          <w:ilvl w:val="0"/>
          <w:numId w:val="1023"/>
        </w:numPr>
      </w:pPr>
      <w:r>
        <w:t xml:space="preserve">Series C Preferred Stock Purchase Agreement (November 3, 2021) and prior RRA (August 9, 2017, as amended February 22, 2019).</w:t>
      </w:r>
    </w:p>
    <w:p>
      <w:pPr>
        <w:pStyle w:val="Compact"/>
        <w:numPr>
          <w:ilvl w:val="0"/>
          <w:numId w:val="1023"/>
        </w:numPr>
      </w:pPr>
      <w:r>
        <w:t xml:space="preserve">Meridian Partners engagement letter and sale-process materials (contact logs, IOIs, exclusivity agreements).</w:t>
      </w:r>
    </w:p>
    <w:p>
      <w:pPr>
        <w:pStyle w:val="Compact"/>
        <w:numPr>
          <w:ilvl w:val="0"/>
          <w:numId w:val="1023"/>
        </w:numPr>
      </w:pPr>
      <w:r>
        <w:t xml:space="preserve">Thornbury &amp; Associates fairness/valuation analysis (when available).</w:t>
      </w:r>
    </w:p>
    <w:p>
      <w:pPr>
        <w:pStyle w:val="Compact"/>
        <w:numPr>
          <w:ilvl w:val="0"/>
          <w:numId w:val="1023"/>
        </w:numPr>
      </w:pPr>
      <w:r>
        <w:t xml:space="preserve">Schedule of outstanding warrants, convertible notes, or other convertible/exercisable securities.</w:t>
      </w:r>
    </w:p>
    <w:p>
      <w:pPr>
        <w:pStyle w:val="Compact"/>
        <w:numPr>
          <w:ilvl w:val="0"/>
          <w:numId w:val="1023"/>
        </w:numPr>
      </w:pPr>
      <w:r>
        <w:t xml:space="preserve">Organizational documents of Merger Sub (once formed) and Hargrove’s acquisition structure documents, as relevant.</w:t>
      </w:r>
    </w:p>
    <w:p>
      <w:pPr>
        <w:pStyle w:val="Compact"/>
        <w:numPr>
          <w:ilvl w:val="0"/>
          <w:numId w:val="1023"/>
        </w:numPr>
      </w:pPr>
      <w:r>
        <w:t>Any separate Investors’ Rights Agreement, preemptive-rights agreement, or other governance agreement referenced in the Board minutes but not yet provided. Confirm whether the “Investors’ Rights Agreement” and the “Right of First Refusal and Co-Sale Agreement” referenced in the Board Minutes are, respectively, the Registration Rights Agreement and the Stockholders’ Agreement, or separate agreements containing additional consent or preemptive rights. (Section IX.F)</w:t>
      </w:r>
    </w:p>
    <w:p>
      <w:r>
        <w:pict>
          <v:rect style="width:0;height:1.5pt" o:hralign="center" o:hrstd="t" o:hr="t"/>
        </w:pict>
      </w:r>
    </w:p>
    <w:bookmarkEnd w:id="33"/>
    <w:bookmarkStart w:id="34" w:name="Xf1d1cdfd0992bcfca08db6b095c3db8e9351abc"/>
    <w:p>
      <w:pPr>
        <w:pStyle w:val="Heading3"/>
      </w:pPr>
      <w:r>
        <w:t xml:space="preserve">APPENDIX C — SEVERITY CLASSIFICATION SUMMARY</w:t>
      </w:r>
    </w:p>
    <w:p>
      <w:pPr>
        <w:pStyle w:val="FirstParagraph"/>
      </w:pPr>
      <w:r>
        <w:rPr>
          <w:b/>
          <w:bCs/>
        </w:rPr>
        <w:t xml:space="preserve">CRITICAL</w:t>
      </w:r>
    </w:p>
    <w:p>
      <w:pPr>
        <w:numPr>
          <w:ilvl w:val="0"/>
          <w:numId w:val="1024"/>
        </w:numPr>
      </w:pPr>
      <w:r>
        <w:rPr>
          <w:b/>
          <w:bCs/>
        </w:rPr>
        <w:t xml:space="preserve">Stonemill Series C separate-class veto (Charter §4.3.6(b)(i)).</w:t>
      </w:r>
      <w:r>
        <w:t xml:space="preserve"> </w:t>
      </w:r>
      <w:r>
        <w:t xml:space="preserve">Hard, charter-level blocking right over the merger; cannot be satisfied without Stonemill’s affirmative consent (Stonemill holds 100% of Series C). The gating item for closing. (Sections II.C, III)</w:t>
      </w:r>
    </w:p>
    <w:p>
      <w:pPr>
        <w:numPr>
          <w:ilvl w:val="0"/>
          <w:numId w:val="1024"/>
        </w:numPr>
      </w:pPr>
      <w:r>
        <w:rPr>
          <w:b/>
          <w:bCs/>
        </w:rPr>
        <w:t xml:space="preserve">SensorLink LOI auto-renewal / potential live exclusivity.</w:t>
      </w:r>
      <w:r>
        <w:t xml:space="preserve"> </w:t>
      </w:r>
      <w:r>
        <w:t xml:space="preserve">If no termination notice was sent before September 8, 2024, exclusivity may have auto-renewed through ~December 7, 2024, potentially barring the Company from signing the Hargrove merger agreement. Time-sensitive; potential deal-breaker. (Section IX.A)</w:t>
      </w:r>
    </w:p>
    <w:p>
      <w:pPr>
        <w:numPr>
          <w:ilvl w:val="0"/>
          <w:numId w:val="1024"/>
        </w:numPr>
      </w:pPr>
      <w:r>
        <w:rPr>
          <w:b/>
          <w:bCs/>
        </w:rPr>
        <w:t xml:space="preserve">Clearfield term loan — potential protective-provision violation.</w:t>
      </w:r>
      <w:r>
        <w:t xml:space="preserve"> </w:t>
      </w:r>
      <w:r>
        <w:t xml:space="preserve">The $12 million loan exceeded the $5 million Charter threshold (§4.3.6(a)(v)) and required all-Preferred consent; the Board minutes are silent as to whether that consent was obtained. Potential governance failure, Stonemill leverage, and loan-validity/closing-mechanics risk. (Section IX.B)</w:t>
      </w:r>
    </w:p>
    <w:p>
      <w:pPr>
        <w:pStyle w:val="FirstParagraph"/>
      </w:pPr>
      <w:r>
        <w:rPr>
          <w:b/>
          <w:bCs/>
        </w:rPr>
        <w:t xml:space="preserve">SIGNIFICANT</w:t>
      </w:r>
    </w:p>
    <w:p>
      <w:pPr>
        <w:numPr>
          <w:ilvl w:val="0"/>
          <w:numId w:val="1025"/>
        </w:numPr>
      </w:pPr>
      <w:r>
        <w:rPr>
          <w:b/>
          <w:bCs/>
        </w:rPr>
        <w:t xml:space="preserve">Drag-along enforceability against the Series C veto.</w:t>
      </w:r>
      <w:r>
        <w:t xml:space="preserve"> </w:t>
      </w:r>
      <w:r>
        <w:t xml:space="preserve">The drag-along can be triggered without Stonemill, but whether it can compel Stonemill to satisfy the charter separate-class veto is contested under Delaware law; litigation and injunctive-relief risk could delay Q1 2025 closing. (Section III.B)</w:t>
      </w:r>
    </w:p>
    <w:p>
      <w:pPr>
        <w:numPr>
          <w:ilvl w:val="0"/>
          <w:numId w:val="1025"/>
        </w:numPr>
      </w:pPr>
      <w:r>
        <w:rPr>
          <w:b/>
          <w:bCs/>
        </w:rPr>
        <w:t xml:space="preserve">RRA</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undefined.</w:t>
      </w:r>
      <w:r>
        <w:t xml:space="preserve"> </w:t>
      </w:r>
      <w:r>
        <w:t xml:space="preserve">Creates ambiguity as to whether registration rights terminate on the merger; recommend express termination in the merger agreement (written-consent fallback available via Ridgeline + Northbridge = 52.7%). (Sections VII.C, XI)</w:t>
      </w:r>
    </w:p>
    <w:p>
      <w:pPr>
        <w:numPr>
          <w:ilvl w:val="0"/>
          <w:numId w:val="1025"/>
        </w:numPr>
      </w:pPr>
      <w:r>
        <w:rPr>
          <w:b/>
          <w:bCs/>
        </w:rPr>
        <w:t xml:space="preserve">Special Committee composition — Sandra Okafor not independent.</w:t>
      </w:r>
      <w:r>
        <w:t xml:space="preserve"> </w:t>
      </w:r>
      <w:r>
        <w:t xml:space="preserve">Northbridge’s board designee and a Principal at Northbridge sits on the committee overseeing the sale; creates</w:t>
      </w:r>
      <w:r>
        <w:t xml:space="preserve"> </w:t>
      </w:r>
      <w:r>
        <w:rPr>
          <w:i/>
          <w:iCs/>
        </w:rPr>
        <w:t xml:space="preserve">Corwin</w:t>
      </w:r>
      <w:r>
        <w:t xml:space="preserve"> </w:t>
      </w:r>
      <w:r>
        <w:t xml:space="preserve">cleansing risk and Stonemill ammunition. (Section X.A)</w:t>
      </w:r>
    </w:p>
    <w:p>
      <w:pPr>
        <w:numPr>
          <w:ilvl w:val="0"/>
          <w:numId w:val="1025"/>
        </w:numPr>
      </w:pPr>
      <w:r>
        <w:rPr>
          <w:b/>
          <w:bCs/>
        </w:rPr>
        <w:t xml:space="preserve">Sale-process vulnerabilities.</w:t>
      </w:r>
      <w:r>
        <w:t xml:space="preserve"> </w:t>
      </w:r>
      <w:r>
        <w:t xml:space="preserve">Trask excluded from the April 17, 2024 meeting authorizing Hargrove engagement; narrow auction; repeated Trask objections; process can be challenged as marginalizing Stonemill. (Sections X.B, X.C)</w:t>
      </w:r>
    </w:p>
    <w:p>
      <w:pPr>
        <w:numPr>
          <w:ilvl w:val="0"/>
          <w:numId w:val="1025"/>
        </w:numPr>
      </w:pPr>
      <w:r>
        <w:rPr>
          <w:b/>
          <w:bCs/>
        </w:rPr>
        <w:t xml:space="preserve">Board waterfall analysis — apparent error re: Series C.</w:t>
      </w:r>
      <w:r>
        <w:t xml:space="preserve"> </w:t>
      </w:r>
      <w:r>
        <w:t xml:space="preserve">The September 25, 2024 minutes state all preferred holders receive amounts</w:t>
      </w:r>
      <w:r>
        <w:t xml:space="preserve"> </w:t>
      </w:r>
      <w:r>
        <w:t xml:space="preserve">“</w:t>
      </w:r>
      <w:r>
        <w:t xml:space="preserve">in excess of</w:t>
      </w:r>
      <w:r>
        <w:t xml:space="preserve">”</w:t>
      </w:r>
      <w:r>
        <w:t xml:space="preserve"> </w:t>
      </w:r>
      <w:r>
        <w:t xml:space="preserve">preferences</w:t>
      </w:r>
      <w:r>
        <w:t xml:space="preserve"> </w:t>
      </w:r>
      <w:r>
        <w:t xml:space="preserve">“</w:t>
      </w:r>
      <w:r>
        <w:t xml:space="preserve">on an as-converted basis,</w:t>
      </w:r>
      <w:r>
        <w:t xml:space="preserve">”</w:t>
      </w:r>
      <w:r>
        <w:t xml:space="preserve"> </w:t>
      </w:r>
      <w:r>
        <w:t xml:space="preserve">which is incorrect for Series C (as-converted value below $18.50 preference). Potential disclosure/fairness issue. (Section X.D)</w:t>
      </w:r>
    </w:p>
    <w:p>
      <w:pPr>
        <w:numPr>
          <w:ilvl w:val="0"/>
          <w:numId w:val="1025"/>
        </w:numPr>
      </w:pPr>
      <w:r>
        <w:rPr>
          <w:b/>
          <w:bCs/>
        </w:rPr>
        <w:t xml:space="preserve">Missing equity plan and award agreements.</w:t>
      </w:r>
      <w:r>
        <w:t xml:space="preserve"> </w:t>
      </w:r>
      <w:r>
        <w:t xml:space="preserve">Cannot assess change-of-control acceleration (single/double-trigger), aggregate dollar impact, or treatment of underwater options without the Plan and award agreements. (Section VIII)</w:t>
      </w:r>
    </w:p>
    <w:p>
      <w:pPr>
        <w:numPr>
          <w:ilvl w:val="0"/>
          <w:numId w:val="1025"/>
        </w:numPr>
      </w:pPr>
      <w:r>
        <w:rPr>
          <w:b/>
          <w:bCs/>
        </w:rPr>
        <w:t xml:space="preserve">Plan share-reserve increase — stockholder approval status unclear.</w:t>
      </w:r>
      <w:r>
        <w:t xml:space="preserve"> </w:t>
      </w:r>
      <w:r>
        <w:t xml:space="preserve">The July 2023 increase (8,000,000 → 9,500,000) may have required stockholder approval under the Plan or for ISO/§422 purposes; the minutes reflect only Board approval. (Sections VIII.C, IX.C)</w:t>
      </w:r>
    </w:p>
    <w:p>
      <w:pPr>
        <w:numPr>
          <w:ilvl w:val="0"/>
          <w:numId w:val="1025"/>
        </w:numPr>
      </w:pPr>
      <w:r>
        <w:rPr>
          <w:b/>
        </w:rPr>
        <w:t xml:space="preserve">Charter amendment may independently trigger a second Series C veto (§4.3.6(b)(ii)). </w:t>
      </w:r>
      <w:r>
        <w:t>If the merger is effectuated through a certificate of merger that amends the surviving entity’s Charter, the amendment protective provisions are independently triggered; (b)(ii) requires the Series C separate-class consent — another Stonemill veto on top of the (b)(i) Liquidation Event veto. Confirm whether the structure requires a Charter amendment. (Section II.K)</w:t>
      </w:r>
    </w:p>
    <w:p>
      <w:pPr>
        <w:numPr>
          <w:ilvl w:val="0"/>
          <w:numId w:val="1025"/>
        </w:numPr>
      </w:pPr>
      <w:r>
        <w:rPr>
          <w:b/>
        </w:rPr>
        <w:t xml:space="preserve">SHA/Voting Agreement amendment provisions fix the drag-along terms. </w:t>
      </w:r>
      <w:r>
        <w:t>SHA §7.4 requires each adversely affected Investor’s consent to amend Article 3 (drag-along); Voting Agreement §8.4 requires each adversely affected Party’s consent to amend that agreement. The drag-along cannot be modified to facilitate the merger without Stonemill’s consent; it must be invoked as written. (Section V.E)</w:t>
      </w:r>
    </w:p>
    <w:p>
      <w:pPr>
        <w:numPr>
          <w:ilvl w:val="0"/>
          <w:numId w:val="1025"/>
        </w:numPr>
      </w:pPr>
      <w:r>
        <w:rPr>
          <w:b/>
        </w:rPr>
        <w:t xml:space="preserve">Board minutes governance-document naming discrepancy. </w:t>
      </w:r>
      <w:r>
        <w:t>The minutes reference an “Investors’ Rights Agreement” and a “Right of First Refusal and Co-Sale Agreement” that do not match the documents received; potential document gap that could conceal additional consent or preemptive rights. Confirm and request any missing agreement. (Section IX.F)</w:t>
      </w:r>
    </w:p>
    <w:p>
      <w:pPr>
        <w:pStyle w:val="FirstParagraph"/>
      </w:pPr>
      <w:r>
        <w:rPr>
          <w:b/>
          <w:bCs/>
        </w:rPr>
        <w:t xml:space="preserve">MODERATE</w:t>
      </w:r>
    </w:p>
    <w:p>
      <w:pPr>
        <w:numPr>
          <w:ilvl w:val="0"/>
          <w:numId w:val="1026"/>
        </w:numPr>
      </w:pPr>
      <w:r>
        <w:rPr>
          <w:b/>
          <w:bCs/>
        </w:rPr>
        <w:t xml:space="preserve">Cross-document definitional inconsistencies.</w:t>
      </w:r>
      <w:r>
        <w:t xml:space="preserve"> </w:t>
      </w:r>
      <w:r>
        <w:t xml:space="preserve">“</w:t>
      </w:r>
      <w:r>
        <w:t xml:space="preserve">Liquidation Event</w:t>
      </w:r>
      <w:r>
        <w:t xml:space="preserve">”</w:t>
      </w:r>
      <w:r>
        <w:t xml:space="preserve"> </w:t>
      </w:r>
      <w:r>
        <w:t xml:space="preserve">(Charter, 50% threshold, equity-financing carve-out, 4 sub-prongs) vs. </w:t>
      </w:r>
      <w:r>
        <w:t xml:space="preserve">“</w:t>
      </w:r>
      <w:r>
        <w:t xml:space="preserve">Sale of the Company</w:t>
      </w:r>
      <w:r>
        <w:t xml:space="preserve">”</w:t>
      </w:r>
      <w:r>
        <w:t xml:space="preserve"> </w:t>
      </w:r>
      <w:r>
        <w:t xml:space="preserve">(SHA/Voting Agreement,</w:t>
      </w:r>
      <w:r>
        <w:t xml:space="preserve"> </w:t>
      </w:r>
      <w:r>
        <w:t xml:space="preserve">“</w:t>
      </w:r>
      <w:r>
        <w:t xml:space="preserve">majority</w:t>
      </w:r>
      <w:r>
        <w:t xml:space="preserve">”</w:t>
      </w:r>
      <w:r>
        <w:t xml:space="preserve"> </w:t>
      </w:r>
      <w:r>
        <w:t xml:space="preserve">threshold, no equity-financing carve-out, 3 sub-prongs) vs. </w:t>
      </w:r>
      <w:r>
        <w:t xml:space="preserve">“</w:t>
      </w:r>
      <w:r>
        <w:t xml:space="preserve">Deemed Liquidation Event</w:t>
      </w:r>
      <w:r>
        <w:t xml:space="preserve">”</w:t>
      </w:r>
      <w:r>
        <w:t xml:space="preserve"> </w:t>
      </w:r>
      <w:r>
        <w:t xml:space="preserve">(RRA, undefined). Latent ambiguity; does not change outcome for this deal but should be noted. (Section VII)</w:t>
      </w:r>
    </w:p>
    <w:p>
      <w:pPr>
        <w:numPr>
          <w:ilvl w:val="0"/>
          <w:numId w:val="1026"/>
        </w:numPr>
      </w:pPr>
      <w:r>
        <w:rPr>
          <w:b/>
          <w:bCs/>
        </w:rPr>
        <w:t xml:space="preserve">Voting Agreement November 3, 2026 sunset.</w:t>
      </w:r>
      <w:r>
        <w:t xml:space="preserve"> </w:t>
      </w:r>
      <w:r>
        <w:t xml:space="preserve">Fallback termination date if the Sale-of-the-Company termination is disputed; recommend express termination in the merger agreement to eliminate tail risk. (Section VI.C)</w:t>
      </w:r>
    </w:p>
    <w:p>
      <w:pPr>
        <w:numPr>
          <w:ilvl w:val="0"/>
          <w:numId w:val="1026"/>
        </w:numPr>
      </w:pPr>
      <w:r>
        <w:rPr>
          <w:b/>
          <w:bCs/>
        </w:rPr>
        <w:t xml:space="preserve">Stonemill board observer right — pre-closing information access.</w:t>
      </w:r>
      <w:r>
        <w:t xml:space="preserve"> </w:t>
      </w:r>
      <w:r>
        <w:t xml:space="preserve">Survives until closing; Observer entitled to all Board materials (including Hargrove-related materials) subject only to privilege/conflict exclusions; manage privileged communications carefully. (Section VI.D)</w:t>
      </w:r>
    </w:p>
    <w:p>
      <w:pPr>
        <w:numPr>
          <w:ilvl w:val="0"/>
          <w:numId w:val="1026"/>
        </w:numPr>
      </w:pPr>
      <w:r>
        <w:rPr>
          <w:b/>
          <w:bCs/>
        </w:rPr>
        <w:t xml:space="preserve">Change-of-control provisions in material contracts.</w:t>
      </w:r>
      <w:r>
        <w:t xml:space="preserve"> </w:t>
      </w:r>
      <w:r>
        <w:t xml:space="preserve">Permian Basin MSA, Clearfield loan, and other contracts may require counterparty consents or trigger termination; reverse triangular merger may mitigate but does not eliminate. (Sections II.H, IV.D)</w:t>
      </w:r>
    </w:p>
    <w:p>
      <w:pPr>
        <w:numPr>
          <w:ilvl w:val="0"/>
          <w:numId w:val="1026"/>
        </w:numPr>
      </w:pPr>
      <w:r>
        <w:rPr>
          <w:b/>
          <w:bCs/>
        </w:rPr>
        <w:t xml:space="preserve">Drag-along prong (i) dependency on non-party common holders.</w:t>
      </w:r>
      <w:r>
        <w:t xml:space="preserve"> </w:t>
      </w:r>
      <w:r>
        <w:t xml:space="preserve">The SHA parties (excluding Stonemill) hold 16,000,000 shares, ~950,000 short of the 16,950,000 threshold; requires non-party common/option holder support. (Section III.A)</w:t>
      </w:r>
    </w:p>
    <w:p>
      <w:pPr>
        <w:numPr>
          <w:ilvl w:val="0"/>
          <w:numId w:val="1026"/>
        </w:numPr>
      </w:pPr>
      <w:r>
        <w:rPr>
          <w:b/>
          <w:bCs/>
        </w:rPr>
        <w:t xml:space="preserve">Indemnification agreements and D&amp;O tail.</w:t>
      </w:r>
      <w:r>
        <w:t xml:space="preserve"> </w:t>
      </w:r>
      <w:r>
        <w:t xml:space="preserve">Confirm scope of individual indemnification agreements; ensure six-year D&amp;O tail and indemnification survival in the merger agreement. (Section X.E)</w:t>
      </w:r>
    </w:p>
    <w:p>
      <w:pPr>
        <w:numPr>
          <w:ilvl w:val="0"/>
          <w:numId w:val="1026"/>
        </w:numPr>
      </w:pPr>
      <w:r>
        <w:rPr>
          <w:b/>
          <w:bCs/>
        </w:rPr>
        <w:t xml:space="preserve">ROFR/co-sale</w:t>
      </w:r>
      <w:r>
        <w:rPr>
          <w:b/>
          <w:bCs/>
        </w:rPr>
        <w:t xml:space="preserve"> </w:t>
      </w:r>
      <w:r>
        <w:rPr>
          <w:b/>
          <w:bCs/>
        </w:rPr>
        <w:t xml:space="preserve">“</w:t>
      </w:r>
      <w:r>
        <w:rPr>
          <w:b/>
          <w:bCs/>
        </w:rPr>
        <w:t xml:space="preserve">in accordance with Article 3</w:t>
      </w:r>
      <w:r>
        <w:rPr>
          <w:b/>
          <w:bCs/>
        </w:rPr>
        <w:t xml:space="preserve">”</w:t>
      </w:r>
      <w:r>
        <w:rPr>
          <w:b/>
          <w:bCs/>
        </w:rPr>
        <w:t xml:space="preserve"> </w:t>
      </w:r>
      <w:r>
        <w:rPr>
          <w:b/>
          <w:bCs/>
        </w:rPr>
        <w:t xml:space="preserve">ambiguity.</w:t>
      </w:r>
      <w:r>
        <w:t xml:space="preserve"> </w:t>
      </w:r>
      <w:r>
        <w:t xml:space="preserve">Technical argument that a Sale consummated without formally invoking the drag-along may not be</w:t>
      </w:r>
      <w:r>
        <w:t xml:space="preserve"> </w:t>
      </w:r>
      <w:r>
        <w:t xml:space="preserve">“</w:t>
      </w:r>
      <w:r>
        <w:t xml:space="preserve">in accordance with Article 3</w:t>
      </w:r>
      <w:r>
        <w:t xml:space="preserve">”</w:t>
      </w:r>
      <w:r>
        <w:t xml:space="preserve">; low risk but address expressly. (Section V.C)</w:t>
      </w:r>
    </w:p>
    <w:p>
      <w:pPr>
        <w:numPr>
          <w:ilvl w:val="0"/>
          <w:numId w:val="1026"/>
        </w:numPr>
      </w:pPr>
      <w:r>
        <w:rPr>
          <w:b/>
        </w:rPr>
        <w:t xml:space="preserve">Charter 20-day Liquidation Event notice (§4.3.2(d)). </w:t>
      </w:r>
      <w:r>
        <w:t>Procedural prerequisite; the Company must give each Preferred holder written notice at least 20 days before anticipated closing with material terms and good-faith per-share estimates. Not a consent, but failure could be raised by Stonemill as a procedural defect. (Section II.J)</w:t>
      </w:r>
    </w:p>
    <w:p>
      <w:pPr>
        <w:numPr>
          <w:ilvl w:val="0"/>
          <w:numId w:val="1026"/>
        </w:numPr>
      </w:pPr>
      <w:r>
        <w:rPr>
          <w:b/>
        </w:rPr>
        <w:t xml:space="preserve">Exclusive forum — Delaware Court of Chancery (Bylaws Art. VIII). </w:t>
      </w:r>
      <w:r>
        <w:t>Stonemill’s challenges (drag-along, sale process, consent regime) must be litigated in Delaware Chancery; favorable to drag-along enforcement and swift adjudication. Also, Stonemill cannot unilaterally call a special stockholder meeting (Bylaws §2.2 requires 25% of voting stock; Stonemill holds ~23% as-converted). (Section X.F)</w:t>
      </w:r>
    </w:p>
    <w:p>
      <w:pPr>
        <w:numPr>
          <w:ilvl w:val="0"/>
          <w:numId w:val="1026"/>
        </w:numPr>
      </w:pPr>
      <w:r>
        <w:rPr>
          <w:b/>
        </w:rPr>
        <w:t xml:space="preserve">SHA information rights (Art. 4). </w:t>
      </w:r>
      <w:r>
        <w:t>Terminate on the Sale of the Company; pre-closing, Major Investors (including Stonemill) retain access to audited/quarterly financials, the annual budget, and inspection rights — visibility into deal economics, though not a blocking right. (Section V.E)</w:t>
      </w:r>
    </w:p>
    <w:p>
      <w:pPr>
        <w:numPr>
          <w:ilvl w:val="0"/>
          <w:numId w:val="1026"/>
        </w:numPr>
      </w:pPr>
      <w:r>
        <w:rPr>
          <w:b/>
        </w:rPr>
        <w:t xml:space="preserve">RRA demand registration exercisable November 3, 2024. </w:t>
      </w:r>
      <w:r>
        <w:t>Three-year lockout expires; Stonemill (47.3% of Registrable Securities, above the 30% threshold) could unilaterally demand a registration if the merger delays — a potential pre-closing leverage point and distraction. (Section XI.E)</w:t>
      </w:r>
    </w:p>
    <w:p>
      <w:pPr>
        <w:numPr>
          <w:ilvl w:val="0"/>
          <w:numId w:val="1026"/>
        </w:numPr>
      </w:pPr>
      <w:r>
        <w:rPr>
          <w:b/>
        </w:rPr>
        <w:t xml:space="preserve">No charter-control clause in the SHA (vs. Voting Agreement §8.3). </w:t>
      </w:r>
      <w:r>
        <w:t>The Voting Agreement expressly subordinates to the Charter; the SHA (containing the drag-along) does not. This distinction supports drag-along enforceability. (Section III.B)</w:t>
      </w:r>
    </w:p>
    <w:p>
      <w:r>
        <w:pict>
          <v:rect style="width:0;height:1.5pt" o:hralign="center" o:hrstd="t" o:hr="t"/>
        </w:pict>
      </w:r>
    </w:p>
    <w:p>
      <w:pPr>
        <w:pStyle w:val="FirstParagraph"/>
      </w:pPr>
      <w:r>
        <w:rPr>
          <w:i/>
          <w:iCs/>
        </w:rPr>
        <w:t xml:space="preserve">This memorandum is attorney work product and is privileged and confidential. It was prepared in anticipation of litigation and for purposes of deal negotiation. It should not be disclosed to any party outside Whitfield &amp; Crane LLP or the client (Hargrove Capital Management, LLC) without the prior consent of Jonathan Hsieh or Elena Marchetti. No communications regarding the matters addressed herein should be directed to Avery, Pollard &amp; Glenn LLP or any Company representative except through Jonathan Hsieh.</w:t>
      </w:r>
    </w:p>
    <w:p>
      <w:pPr>
        <w:pStyle w:val="BodyText"/>
      </w:pPr>
      <w:r>
        <w:rPr>
          <w:i/>
          <w:iCs/>
        </w:rPr>
        <w:t xml:space="preserve">Prepared by: [Associate], Whitfield &amp; Crane LLP</w:t>
      </w:r>
      <w:r>
        <w:t xml:space="preserve"> </w:t>
      </w:r>
      <w:r>
        <w:rPr>
          <w:i/>
          <w:iCs/>
        </w:rPr>
        <w:t xml:space="preserve">Date: October 28, 2024</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11"/>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2026-06-27T01:37:12Z</dcterms:created>
  <dcterms:modified xsi:type="dcterms:W3CDTF">2026-06-27T01:37:12Z</dcterms:modified>
</cp:coreProperties>
</file>

<file path=docProps/custom.xml><?xml version="1.0" encoding="utf-8"?>
<Properties xmlns="http://schemas.openxmlformats.org/officeDocument/2006/custom-properties" xmlns:vt="http://schemas.openxmlformats.org/officeDocument/2006/docPropsVTypes"/>
</file>