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color w:val="8B0000"/>
          <w:sz w:val="19"/>
        </w:rPr>
        <w:t>PRIVILEGED &amp; CONFIDENTIAL  |  ATTORNEY-CLIENT COMMUNICATION  |  ATTORNEY WORK PRODUCT</w:t>
      </w:r>
    </w:p>
    <w:p>
      <w:pPr>
        <w:spacing w:before="0" w:after="160"/>
        <w:jc w:val="center"/>
      </w:pPr>
      <w:r>
        <w:rPr>
          <w:rFonts w:ascii="Calibri" w:hAnsi="Calibri"/>
          <w:b w:val="0"/>
          <w:i w:val="0"/>
          <w:color w:val="555555"/>
          <w:sz w:val="17"/>
        </w:rPr>
        <w:t>PREPARED IN ANTICIPATION OF LITIGATION AND/OR REGULATORY PROCEEDINGS  |  DO NOT DISTRIBUTE</w:t>
      </w:r>
    </w:p>
    <w:p>
      <w:pPr>
        <w:spacing w:before="40" w:after="40"/>
        <w:jc w:val="center"/>
      </w:pPr>
      <w:r>
        <w:rPr>
          <w:rFonts w:ascii="Calibri" w:hAnsi="Calibri"/>
          <w:b/>
          <w:i w:val="0"/>
          <w:color w:val="1F3355"/>
          <w:sz w:val="36"/>
        </w:rPr>
        <w:t>MEMORANDUM</w:t>
      </w:r>
    </w:p>
    <w:p>
      <w:pPr>
        <w:spacing w:before="0" w:after="160"/>
        <w:jc w:val="center"/>
      </w:pPr>
      <w:r>
        <w:rPr>
          <w:rFonts w:ascii="Calibri" w:hAnsi="Calibri"/>
          <w:b w:val="0"/>
          <w:i w:val="0"/>
          <w:color w:val="555555"/>
          <w:sz w:val="24"/>
        </w:rPr>
        <w:t>Cross-Document Privacy Compliance Gap Analysis</w:t>
      </w:r>
    </w:p>
    <w:p>
      <w:pPr>
        <w:pBdr>
          <w:bottom w:val="single" w:sz="8" w:space="1" w:color="1F3355"/>
        </w:pBdr>
        <w:spacing w:before="40" w:after="120"/>
      </w:pPr>
    </w:p>
    <w:tbl>
      <w:tblPr>
        <w:tblW w:type="auto" w:w="0"/>
        <w:tblLook w:firstColumn="1" w:firstRow="1" w:lastColumn="0" w:lastRow="0" w:noHBand="0" w:noVBand="1" w:val="04A0"/>
      </w:tblPr>
      <w:tblGrid>
        <w:gridCol w:w="1656"/>
        <w:gridCol w:w="7704"/>
      </w:tblGrid>
      <w:tr>
        <w:tc>
          <w:tcPr>
            <w:tcW w:type="dxa" w:w="4680"/>
            <w:tcBorders>
              <w:top w:val="nil"/>
              <w:left w:val="nil"/>
              <w:bottom w:val="nil"/>
              <w:right w:val="nil"/>
            </w:tcBorders>
          </w:tcPr>
          <w:p>
            <w:pPr>
              <w:spacing w:after="40" w:before="40"/>
            </w:pPr>
            <w:r/>
            <w:r>
              <w:rPr>
                <w:rFonts w:ascii="Calibri" w:hAnsi="Calibri"/>
                <w:b/>
                <w:color w:val="1F3355"/>
                <w:sz w:val="20"/>
              </w:rPr>
              <w:t>TO:</w:t>
            </w:r>
          </w:p>
        </w:tc>
        <w:tc>
          <w:tcPr>
            <w:tcW w:type="dxa" w:w="4680"/>
            <w:tcBorders>
              <w:top w:val="nil"/>
              <w:left w:val="nil"/>
              <w:bottom w:val="nil"/>
              <w:right w:val="nil"/>
            </w:tcBorders>
          </w:tcPr>
          <w:p>
            <w:pPr>
              <w:spacing w:after="40" w:before="40"/>
            </w:pPr>
            <w:r/>
            <w:r>
              <w:rPr>
                <w:rFonts w:ascii="Calibri" w:hAnsi="Calibri"/>
                <w:b w:val="0"/>
                <w:sz w:val="20"/>
              </w:rPr>
              <w:t>Priya Venkatesh, General Counsel, Vaultline Technologies, Inc.</w:t>
            </w:r>
          </w:p>
        </w:tc>
      </w:tr>
      <w:tr>
        <w:tc>
          <w:tcPr>
            <w:tcW w:type="dxa" w:w="4680"/>
            <w:tcBorders>
              <w:top w:val="nil"/>
              <w:left w:val="nil"/>
              <w:bottom w:val="nil"/>
              <w:right w:val="nil"/>
            </w:tcBorders>
          </w:tcPr>
          <w:p>
            <w:pPr>
              <w:spacing w:after="40" w:before="40"/>
            </w:pPr>
            <w:r/>
            <w:r>
              <w:rPr>
                <w:rFonts w:ascii="Calibri" w:hAnsi="Calibri"/>
                <w:b/>
                <w:color w:val="1F3355"/>
                <w:sz w:val="20"/>
              </w:rPr>
              <w:t>FROM:</w:t>
            </w:r>
          </w:p>
        </w:tc>
        <w:tc>
          <w:tcPr>
            <w:tcW w:type="dxa" w:w="4680"/>
            <w:tcBorders>
              <w:top w:val="nil"/>
              <w:left w:val="nil"/>
              <w:bottom w:val="nil"/>
              <w:right w:val="nil"/>
            </w:tcBorders>
          </w:tcPr>
          <w:p>
            <w:pPr>
              <w:spacing w:after="40" w:before="40"/>
            </w:pPr>
            <w:r/>
            <w:r>
              <w:rPr>
                <w:rFonts w:ascii="Calibri" w:hAnsi="Calibri"/>
                <w:b w:val="0"/>
                <w:sz w:val="20"/>
              </w:rPr>
              <w:t>Catherine Aldridge &amp; Daniel Fong, Thornbury &amp; Locke LLP</w:t>
            </w:r>
          </w:p>
        </w:tc>
      </w:tr>
      <w:tr>
        <w:tc>
          <w:tcPr>
            <w:tcW w:type="dxa" w:w="4680"/>
            <w:tcBorders>
              <w:top w:val="nil"/>
              <w:left w:val="nil"/>
              <w:bottom w:val="nil"/>
              <w:right w:val="nil"/>
            </w:tcBorders>
          </w:tcPr>
          <w:p>
            <w:pPr>
              <w:spacing w:after="40" w:before="40"/>
            </w:pPr>
            <w:r/>
            <w:r>
              <w:rPr>
                <w:rFonts w:ascii="Calibri" w:hAnsi="Calibri"/>
                <w:b/>
                <w:color w:val="1F3355"/>
                <w:sz w:val="20"/>
              </w:rPr>
              <w:t>DATE:</w:t>
            </w:r>
          </w:p>
        </w:tc>
        <w:tc>
          <w:tcPr>
            <w:tcW w:type="dxa" w:w="4680"/>
            <w:tcBorders>
              <w:top w:val="nil"/>
              <w:left w:val="nil"/>
              <w:bottom w:val="nil"/>
              <w:right w:val="nil"/>
            </w:tcBorders>
          </w:tcPr>
          <w:p>
            <w:pPr>
              <w:spacing w:after="40" w:before="40"/>
            </w:pPr>
            <w:r/>
            <w:r>
              <w:rPr>
                <w:rFonts w:ascii="Calibri" w:hAnsi="Calibri"/>
                <w:b w:val="0"/>
                <w:sz w:val="20"/>
              </w:rPr>
              <w:t>March 24, 2025</w:t>
            </w:r>
          </w:p>
        </w:tc>
      </w:tr>
      <w:tr>
        <w:tc>
          <w:tcPr>
            <w:tcW w:type="dxa" w:w="4680"/>
            <w:tcBorders>
              <w:top w:val="nil"/>
              <w:left w:val="nil"/>
              <w:bottom w:val="nil"/>
              <w:right w:val="nil"/>
            </w:tcBorders>
          </w:tcPr>
          <w:p>
            <w:pPr>
              <w:spacing w:after="40" w:before="40"/>
            </w:pPr>
            <w:r/>
            <w:r>
              <w:rPr>
                <w:rFonts w:ascii="Calibri" w:hAnsi="Calibri"/>
                <w:b/>
                <w:color w:val="1F3355"/>
                <w:sz w:val="20"/>
              </w:rPr>
              <w:t>RE:</w:t>
            </w:r>
          </w:p>
        </w:tc>
        <w:tc>
          <w:tcPr>
            <w:tcW w:type="dxa" w:w="4680"/>
            <w:tcBorders>
              <w:top w:val="nil"/>
              <w:left w:val="nil"/>
              <w:bottom w:val="nil"/>
              <w:right w:val="nil"/>
            </w:tcBorders>
          </w:tcPr>
          <w:p>
            <w:pPr>
              <w:spacing w:after="40" w:before="40"/>
            </w:pPr>
            <w:r/>
            <w:r>
              <w:rPr>
                <w:rFonts w:ascii="Calibri" w:hAnsi="Calibri"/>
                <w:b/>
                <w:sz w:val="20"/>
              </w:rPr>
              <w:t>Cross-Document Privacy &amp; Data-Protection Compliance Gaps Identified in Series C Due-Diligence Review</w:t>
            </w:r>
          </w:p>
        </w:tc>
      </w:tr>
      <w:tr>
        <w:tc>
          <w:tcPr>
            <w:tcW w:type="dxa" w:w="4680"/>
            <w:tcBorders>
              <w:top w:val="nil"/>
              <w:left w:val="nil"/>
              <w:bottom w:val="nil"/>
              <w:right w:val="nil"/>
            </w:tcBorders>
          </w:tcPr>
          <w:p>
            <w:pPr>
              <w:spacing w:after="40" w:before="40"/>
            </w:pPr>
            <w:r/>
            <w:r>
              <w:rPr>
                <w:rFonts w:ascii="Calibri" w:hAnsi="Calibri"/>
                <w:b/>
                <w:color w:val="1F3355"/>
                <w:sz w:val="20"/>
              </w:rPr>
              <w:t>MATTER:</w:t>
            </w:r>
          </w:p>
        </w:tc>
        <w:tc>
          <w:tcPr>
            <w:tcW w:type="dxa" w:w="4680"/>
            <w:tcBorders>
              <w:top w:val="nil"/>
              <w:left w:val="nil"/>
              <w:bottom w:val="nil"/>
              <w:right w:val="nil"/>
            </w:tcBorders>
          </w:tcPr>
          <w:p>
            <w:pPr>
              <w:spacing w:after="40" w:before="40"/>
            </w:pPr>
            <w:r/>
            <w:r>
              <w:rPr>
                <w:rFonts w:ascii="Calibri" w:hAnsi="Calibri"/>
                <w:b w:val="0"/>
                <w:sz w:val="20"/>
              </w:rPr>
              <w:t>Vaultline Technologies, Inc. — Series C Financing; response to Ashford Barnes LLP letter dated March 3, 2025</w:t>
            </w:r>
          </w:p>
        </w:tc>
      </w:tr>
      <w:tr>
        <w:tc>
          <w:tcPr>
            <w:tcW w:type="dxa" w:w="4680"/>
            <w:tcBorders>
              <w:top w:val="nil"/>
              <w:left w:val="nil"/>
              <w:bottom w:val="nil"/>
              <w:right w:val="nil"/>
            </w:tcBorders>
          </w:tcPr>
          <w:p>
            <w:pPr>
              <w:spacing w:after="40" w:before="40"/>
            </w:pPr>
            <w:r/>
            <w:r>
              <w:rPr>
                <w:rFonts w:ascii="Calibri" w:hAnsi="Calibri"/>
                <w:b/>
                <w:color w:val="1F3355"/>
                <w:sz w:val="20"/>
              </w:rPr>
              <w:t>PRIVILEGE:</w:t>
            </w:r>
          </w:p>
        </w:tc>
        <w:tc>
          <w:tcPr>
            <w:tcW w:type="dxa" w:w="4680"/>
            <w:tcBorders>
              <w:top w:val="nil"/>
              <w:left w:val="nil"/>
              <w:bottom w:val="nil"/>
              <w:right w:val="nil"/>
            </w:tcBorders>
          </w:tcPr>
          <w:p>
            <w:pPr>
              <w:spacing w:after="40" w:before="40"/>
            </w:pPr>
            <w:r/>
            <w:r>
              <w:rPr>
                <w:rFonts w:ascii="Calibri" w:hAnsi="Calibri"/>
                <w:b w:val="0"/>
                <w:sz w:val="20"/>
              </w:rPr>
              <w:t>Attorney-Client Privileged / Work Product — distribution limited to authorized recipients</w:t>
            </w:r>
          </w:p>
        </w:tc>
      </w:tr>
    </w:tbl>
    <w:p>
      <w:pPr>
        <w:spacing w:before="0" w:after="0"/>
      </w:pPr>
      <w:r>
        <w:rPr>
          <w:rFonts w:ascii="Calibri" w:hAnsi="Calibri"/>
          <w:b w:val="0"/>
          <w:i w:val="0"/>
          <w:sz w:val="8"/>
        </w:rPr>
      </w:r>
    </w:p>
    <w:p>
      <w:pPr>
        <w:pBdr>
          <w:bottom w:val="single" w:sz="8" w:space="1" w:color="1F3355"/>
        </w:pBdr>
        <w:spacing w:before="40" w:after="120"/>
      </w:pPr>
    </w:p>
    <w:p>
      <w:pPr>
        <w:keepNext/>
        <w:spacing w:before="320" w:after="120"/>
        <w:pBdr>
          <w:bottom w:val="single" w:sz="6" w:space="2" w:color="1F3355"/>
        </w:pBdr>
      </w:pPr>
      <w:r>
        <w:rPr>
          <w:rFonts w:ascii="Calibri" w:hAnsi="Calibri"/>
          <w:b/>
          <w:color w:val="1F3355"/>
          <w:sz w:val="26"/>
        </w:rPr>
        <w:t>I.  Introduction and Scope</w:t>
      </w:r>
    </w:p>
    <w:p>
      <w:pPr>
        <w:spacing w:before="120" w:after="120"/>
      </w:pPr>
      <w:r>
        <w:rPr>
          <w:rFonts w:ascii="Calibri" w:hAnsi="Calibri"/>
          <w:b w:val="0"/>
          <w:i w:val="0"/>
          <w:sz w:val="21"/>
        </w:rPr>
        <w:t>This memorandum responds to the March 3, 2025 correspondence from Elena Marchetti of Ashford Barnes LLP (“Ashford Barnes”), counsel to Kessler Whitman Ventures (“Kessler Whitman”), which requested that Thornbury &amp; Locke LLP conduct a comprehensive privacy and data-protection compliance review of Vaultline Technologies, Inc. (“Vaultline” or the “Company”) in connection with Kessler Whitman’s anticipated lead investment in Vaultline’s Series C financing round (due-diligence deadline: April 15, 2025). The Ashford Barnes letter expressly notes that Kessler Whitman may condition its investment on satisfactory remediation of material privacy deficiencies, or may require binding post-closing remediation commitments with holdback or escrow provisions, and that the magnitude of confirmed issues may affect valuation.</w:t>
      </w:r>
    </w:p>
    <w:p>
      <w:pPr>
        <w:spacing w:before="120" w:after="120"/>
      </w:pPr>
      <w:r>
        <w:rPr>
          <w:rFonts w:ascii="Calibri" w:hAnsi="Calibri"/>
          <w:b w:val="0"/>
          <w:i w:val="0"/>
          <w:sz w:val="21"/>
        </w:rPr>
        <w:t>Rather than reviewing any single document in isolation, this memorandum performs a cross-document gap analysis: it compares Vaultline’s consumer-facing Privacy Policy against the Company’s internal Data Inventory, the Brightly Analytics Data Sharing Agreement, the August 2024 Incident Response Log, and the Ashford Barnes diligence letter to identify (a) disclosures required by law that are absent from the Privacy Policy, (b) practices documented internally or contractually that contradict or exceed the Privacy Policy’s representations, (c) contractual representations that are arguably false given the Privacy Policy’s actual content, (d) regulatory obligations triggered by practices evidenced across the document set, and (e) factual inconsistencies among the documents themselves that undermine the reliability of the Company’s privacy posture as presented.</w:t>
      </w:r>
    </w:p>
    <w:p>
      <w:pPr>
        <w:spacing w:before="120" w:after="120"/>
      </w:pPr>
      <w:r>
        <w:rPr>
          <w:rFonts w:ascii="Calibri" w:hAnsi="Calibri"/>
          <w:b w:val="0"/>
          <w:i w:val="0"/>
          <w:sz w:val="21"/>
        </w:rPr>
        <w:t>Risk levels are assigned as follows: CRITICAL (likely ongoing unlawful processing, statutory private right of action, or exposure materially affecting deal value); HIGH (substantial regulatory exposure or required remediation before EU launch / closing); MEDIUM-HIGH (significant but characterization-dependent or curable); MEDIUM (transparency / best-practice gaps with moderate exposure). This memorandum is preliminary, is based solely on the documents listed below, and does not constitute an exhaustive compliance audit. Additional issues may surface upon review of the underlying agreements, system architecture, and consent flows referenced but not produced.</w:t>
      </w:r>
    </w:p>
    <w:p>
      <w:pPr>
        <w:keepNext/>
        <w:spacing w:before="320" w:after="120"/>
        <w:pBdr>
          <w:bottom w:val="single" w:sz="6" w:space="2" w:color="1F3355"/>
        </w:pBdr>
      </w:pPr>
      <w:r>
        <w:rPr>
          <w:rFonts w:ascii="Calibri" w:hAnsi="Calibri"/>
          <w:b/>
          <w:color w:val="1F3355"/>
          <w:sz w:val="26"/>
        </w:rPr>
        <w:t>II.  Documents Reviewed</w:t>
      </w:r>
    </w:p>
    <w:tbl>
      <w:tblPr>
        <w:tblStyle w:val="TableGrid"/>
        <w:tblW w:type="auto" w:w="0"/>
        <w:jc w:val="center"/>
        <w:tblLook w:firstColumn="1" w:firstRow="1" w:lastColumn="0" w:lastRow="0" w:noHBand="0" w:noVBand="1" w:val="04A0"/>
      </w:tblPr>
      <w:tblGrid>
        <w:gridCol w:w="3120"/>
        <w:gridCol w:w="3120"/>
        <w:gridCol w:w="3120"/>
      </w:tblGrid>
      <w:tr>
        <w:tc>
          <w:tcPr>
            <w:tcW w:type="dxa" w:w="3024"/>
            <w:shd w:val="clear" w:color="auto" w:fill="1F3355"/>
          </w:tcPr>
          <w:p>
            <w:pPr>
              <w:spacing w:after="40" w:before="40"/>
            </w:pPr>
            <w:r/>
            <w:r>
              <w:rPr>
                <w:rFonts w:ascii="Calibri" w:hAnsi="Calibri"/>
                <w:b/>
                <w:color w:val="FFFFFF"/>
                <w:sz w:val="19"/>
              </w:rPr>
              <w:t>Document</w:t>
            </w:r>
          </w:p>
        </w:tc>
        <w:tc>
          <w:tcPr>
            <w:tcW w:type="dxa" w:w="2160"/>
            <w:shd w:val="clear" w:color="auto" w:fill="1F3355"/>
          </w:tcPr>
          <w:p>
            <w:pPr>
              <w:spacing w:after="40" w:before="40"/>
            </w:pPr>
            <w:r/>
            <w:r>
              <w:rPr>
                <w:rFonts w:ascii="Calibri" w:hAnsi="Calibri"/>
                <w:b/>
                <w:color w:val="FFFFFF"/>
                <w:sz w:val="19"/>
              </w:rPr>
              <w:t>Date / Version</w:t>
            </w:r>
          </w:p>
        </w:tc>
        <w:tc>
          <w:tcPr>
            <w:tcW w:type="dxa" w:w="4896"/>
            <w:shd w:val="clear" w:color="auto" w:fill="1F3355"/>
          </w:tcPr>
          <w:p>
            <w:pPr>
              <w:spacing w:after="40" w:before="40"/>
            </w:pPr>
            <w:r/>
            <w:r>
              <w:rPr>
                <w:rFonts w:ascii="Calibri" w:hAnsi="Calibri"/>
                <w:b/>
                <w:color w:val="FFFFFF"/>
                <w:sz w:val="19"/>
              </w:rPr>
              <w:t>Key Characteristics</w:t>
            </w:r>
          </w:p>
        </w:tc>
      </w:tr>
      <w:tr>
        <w:tc>
          <w:tcPr>
            <w:tcW w:type="dxa" w:w="3024"/>
          </w:tcPr>
          <w:p>
            <w:pPr>
              <w:spacing w:after="40" w:before="40"/>
            </w:pPr>
            <w:r/>
            <w:r>
              <w:rPr>
                <w:rFonts w:ascii="Calibri" w:hAnsi="Calibri"/>
                <w:b/>
                <w:sz w:val="18"/>
              </w:rPr>
              <w:t>Vaultline Privacy Policy (vaultline.com)</w:t>
            </w:r>
          </w:p>
        </w:tc>
        <w:tc>
          <w:tcPr>
            <w:tcW w:type="dxa" w:w="2160"/>
          </w:tcPr>
          <w:p>
            <w:pPr>
              <w:spacing w:after="40" w:before="40"/>
            </w:pPr>
            <w:r/>
            <w:r>
              <w:rPr>
                <w:rFonts w:ascii="Calibri" w:hAnsi="Calibri"/>
                <w:b w:val="0"/>
                <w:sz w:val="18"/>
              </w:rPr>
              <w:t>Last Updated Jan. 15, 2023</w:t>
            </w:r>
          </w:p>
        </w:tc>
        <w:tc>
          <w:tcPr>
            <w:tcW w:type="dxa" w:w="4896"/>
          </w:tcPr>
          <w:p>
            <w:pPr>
              <w:spacing w:after="40" w:before="40"/>
            </w:pPr>
            <w:r/>
            <w:r>
              <w:rPr>
                <w:rFonts w:ascii="Calibri" w:hAnsi="Calibri"/>
                <w:b w:val="0"/>
                <w:sz w:val="18"/>
              </w:rPr>
              <w:t>Consumer-facing; ~9,200 words; no biometric / Smart Insights / Brightly-specific disclosures; relies on invalidated EU-US Privacy Shield.</w:t>
            </w:r>
          </w:p>
        </w:tc>
      </w:tr>
      <w:tr>
        <w:tc>
          <w:tcPr>
            <w:tcW w:type="dxa" w:w="3024"/>
          </w:tcPr>
          <w:p>
            <w:pPr>
              <w:spacing w:after="40" w:before="40"/>
            </w:pPr>
            <w:r/>
            <w:r>
              <w:rPr>
                <w:rFonts w:ascii="Calibri" w:hAnsi="Calibri"/>
                <w:b/>
                <w:sz w:val="18"/>
              </w:rPr>
              <w:t>Internal Data Inventory (v3.4)</w:t>
            </w:r>
          </w:p>
        </w:tc>
        <w:tc>
          <w:tcPr>
            <w:tcW w:type="dxa" w:w="2160"/>
          </w:tcPr>
          <w:p>
            <w:pPr>
              <w:spacing w:after="40" w:before="40"/>
            </w:pPr>
            <w:r/>
            <w:r>
              <w:rPr>
                <w:rFonts w:ascii="Calibri" w:hAnsi="Calibri"/>
                <w:b w:val="0"/>
                <w:sz w:val="18"/>
              </w:rPr>
              <w:t>Last Updated Feb. 18, 2025</w:t>
            </w:r>
          </w:p>
        </w:tc>
        <w:tc>
          <w:tcPr>
            <w:tcW w:type="dxa" w:w="4896"/>
          </w:tcPr>
          <w:p>
            <w:pPr>
              <w:spacing w:after="40" w:before="40"/>
            </w:pPr>
            <w:r/>
            <w:r>
              <w:rPr>
                <w:rFonts w:ascii="Calibri" w:hAnsi="Calibri"/>
                <w:b w:val="0"/>
                <w:sz w:val="18"/>
              </w:rPr>
              <w:t>Maintained by Sandra Linh; approved by Priya Venkatesh; 8 tabs covering data categories, processing activities, sharing, retention, DPIA status, transfers, Selfie Verify, cookies, EU summary.</w:t>
            </w:r>
          </w:p>
        </w:tc>
      </w:tr>
      <w:tr>
        <w:tc>
          <w:tcPr>
            <w:tcW w:type="dxa" w:w="3024"/>
          </w:tcPr>
          <w:p>
            <w:pPr>
              <w:spacing w:after="40" w:before="40"/>
            </w:pPr>
            <w:r/>
            <w:r>
              <w:rPr>
                <w:rFonts w:ascii="Calibri" w:hAnsi="Calibri"/>
                <w:b/>
                <w:sz w:val="18"/>
              </w:rPr>
              <w:t>Brightly Analytics Data Sharing Agreement</w:t>
            </w:r>
          </w:p>
        </w:tc>
        <w:tc>
          <w:tcPr>
            <w:tcW w:type="dxa" w:w="2160"/>
          </w:tcPr>
          <w:p>
            <w:pPr>
              <w:spacing w:after="40" w:before="40"/>
            </w:pPr>
            <w:r/>
            <w:r>
              <w:rPr>
                <w:rFonts w:ascii="Calibri" w:hAnsi="Calibri"/>
                <w:b w:val="0"/>
                <w:sz w:val="18"/>
              </w:rPr>
              <w:t>Eff. Sept. 1, 2022; amended June 15, 2024</w:t>
            </w:r>
          </w:p>
        </w:tc>
        <w:tc>
          <w:tcPr>
            <w:tcW w:type="dxa" w:w="4896"/>
          </w:tcPr>
          <w:p>
            <w:pPr>
              <w:spacing w:after="40" w:before="40"/>
            </w:pPr>
            <w:r/>
            <w:r>
              <w:rPr>
                <w:rFonts w:ascii="Calibri" w:hAnsi="Calibri"/>
                <w:b w:val="0"/>
                <w:sz w:val="18"/>
              </w:rPr>
              <w:t>Vaultline–Brightly; revenue-share $0.87/MAU/mo; Brightly = independent controller; permits sale of audience segments to third-party advertisers.</w:t>
            </w:r>
          </w:p>
        </w:tc>
      </w:tr>
      <w:tr>
        <w:tc>
          <w:tcPr>
            <w:tcW w:type="dxa" w:w="3024"/>
          </w:tcPr>
          <w:p>
            <w:pPr>
              <w:spacing w:after="40" w:before="40"/>
            </w:pPr>
            <w:r/>
            <w:r>
              <w:rPr>
                <w:rFonts w:ascii="Calibri" w:hAnsi="Calibri"/>
                <w:b/>
                <w:sz w:val="18"/>
              </w:rPr>
              <w:t>Incident Response Log (VT-IRL-2024-003)</w:t>
            </w:r>
          </w:p>
        </w:tc>
        <w:tc>
          <w:tcPr>
            <w:tcW w:type="dxa" w:w="2160"/>
          </w:tcPr>
          <w:p>
            <w:pPr>
              <w:spacing w:after="40" w:before="40"/>
            </w:pPr>
            <w:r/>
            <w:r>
              <w:rPr>
                <w:rFonts w:ascii="Calibri" w:hAnsi="Calibri"/>
                <w:b w:val="0"/>
                <w:sz w:val="18"/>
              </w:rPr>
              <w:t>Aug.–Oct. 2024</w:t>
            </w:r>
          </w:p>
        </w:tc>
        <w:tc>
          <w:tcPr>
            <w:tcW w:type="dxa" w:w="4896"/>
          </w:tcPr>
          <w:p>
            <w:pPr>
              <w:spacing w:after="40" w:before="40"/>
            </w:pPr>
            <w:r/>
            <w:r>
              <w:rPr>
                <w:rFonts w:ascii="Calibri" w:hAnsi="Calibri"/>
                <w:b w:val="0"/>
                <w:sz w:val="18"/>
              </w:rPr>
              <w:t>Privileged; ~84,000 records breached (name, email, SSN-last-4, transactions); 47-day consumer notification; privileged work product.</w:t>
            </w:r>
          </w:p>
        </w:tc>
      </w:tr>
      <w:tr>
        <w:tc>
          <w:tcPr>
            <w:tcW w:type="dxa" w:w="3024"/>
          </w:tcPr>
          <w:p>
            <w:pPr>
              <w:spacing w:after="40" w:before="40"/>
            </w:pPr>
            <w:r/>
            <w:r>
              <w:rPr>
                <w:rFonts w:ascii="Calibri" w:hAnsi="Calibri"/>
                <w:b/>
                <w:sz w:val="18"/>
              </w:rPr>
              <w:t>Ashford Barnes LLP diligence letter</w:t>
            </w:r>
          </w:p>
        </w:tc>
        <w:tc>
          <w:tcPr>
            <w:tcW w:type="dxa" w:w="2160"/>
          </w:tcPr>
          <w:p>
            <w:pPr>
              <w:spacing w:after="40" w:before="40"/>
            </w:pPr>
            <w:r/>
            <w:r>
              <w:rPr>
                <w:rFonts w:ascii="Calibri" w:hAnsi="Calibri"/>
                <w:b w:val="0"/>
                <w:sz w:val="18"/>
              </w:rPr>
              <w:t>Dated March 3, 2025</w:t>
            </w:r>
          </w:p>
        </w:tc>
        <w:tc>
          <w:tcPr>
            <w:tcW w:type="dxa" w:w="4896"/>
          </w:tcPr>
          <w:p>
            <w:pPr>
              <w:spacing w:after="40" w:before="40"/>
            </w:pPr>
            <w:r/>
            <w:r>
              <w:rPr>
                <w:rFonts w:ascii="Calibri" w:hAnsi="Calibri"/>
                <w:b w:val="0"/>
                <w:sz w:val="18"/>
              </w:rPr>
              <w:t>Investor-counsel letter to Thornbury &amp; Locke; flags Privacy Shield, GDPR transparency, GLBA, CCPA/CPRA, biometric, breach, automated decision-making.</w:t>
            </w:r>
          </w:p>
        </w:tc>
      </w:tr>
    </w:tbl>
    <w:p>
      <w:pPr>
        <w:spacing w:before="40" w:after="0"/>
      </w:pPr>
      <w:r>
        <w:rPr>
          <w:rFonts w:ascii="Calibri" w:hAnsi="Calibri"/>
          <w:b w:val="0"/>
          <w:i w:val="0"/>
          <w:sz w:val="8"/>
        </w:rPr>
      </w:r>
    </w:p>
    <w:p>
      <w:pPr>
        <w:keepNext/>
        <w:spacing w:before="320" w:after="120"/>
        <w:pBdr>
          <w:bottom w:val="single" w:sz="6" w:space="2" w:color="1F3355"/>
        </w:pBdr>
      </w:pPr>
      <w:r>
        <w:rPr>
          <w:rFonts w:ascii="Calibri" w:hAnsi="Calibri"/>
          <w:b/>
          <w:color w:val="1F3355"/>
          <w:sz w:val="26"/>
        </w:rPr>
        <w:t>III.  Executive Summary</w:t>
      </w:r>
    </w:p>
    <w:p>
      <w:pPr>
        <w:spacing w:before="120" w:after="120"/>
      </w:pPr>
      <w:r>
        <w:rPr>
          <w:rFonts w:ascii="Calibri" w:hAnsi="Calibri"/>
          <w:b w:val="0"/>
          <w:i w:val="0"/>
          <w:sz w:val="21"/>
        </w:rPr>
        <w:t>The cross-document review confirms that Vaultline’s consumer-facing Privacy Policy — unchanged since January 15, 2023 — is materially out of step with the Company’s actual data practices as documented in its internal Data Inventory and as contracted in the Brightly Data Sharing Agreement. The Privacy Policy does not disclose two of the Company’s most consequential processing activities — biometric data collection via the “Selfie Verify” feature (launched March 8, 2023, after the Policy’s last update) and fully automated credit-product eligibility decisions via the “Smart Insights” feature — and continues to rely on the EU-US Privacy Shield, which was invalidated by the Court of Justice of the European Union in Schrems II on July 16, 2020, nearly five years ago. The Data Inventory, prepared by the Company’s own data team and approved by the General Counsel, independently corroborates each of these gaps and quantifies the exposure.</w:t>
      </w:r>
    </w:p>
    <w:p>
      <w:pPr>
        <w:spacing w:before="120" w:after="120"/>
      </w:pPr>
      <w:r>
        <w:rPr>
          <w:rFonts w:ascii="Calibri" w:hAnsi="Calibri"/>
          <w:b w:val="0"/>
          <w:i w:val="0"/>
          <w:sz w:val="21"/>
        </w:rPr>
        <w:t>Four issues present CRITICAL exposure: (1) biometric data processing without consent, disclosure, or a retention schedule (BIPA private right of action estimated by the Company at $87M–$435M); (2) absence of any lawful EU transfer mechanism for ~23,000 EU-resident users, with a Q3 2025 EU launch planned; (3) automated decision-making producing legal/significant effects on ~2.8M users with no disclosure, opt-out, or human review; and (4) the August 2024 breach response, which appears to have omitted several mandatory notifications (California AG, EU supervisory authority under GDPR Art. 33, and Brightly under the 72-hour contractual notice obligation) and which notified consumers 47 days after discovery. The Brightly Data Sharing Agreement compounds the CCPA/CPRA exposure because it classifies Brightly as an independent controller (not a service provider) in exchange for monetary consideration, which is the textbook profile of a “sale” and “sharing” under the CPRA — yet no opt-out, no “Do Not Sell or Share” link, and no sale/sharing disclosure exists in the Privacy Policy, and the Agreement’s representation that the sharing is “consistent with Vaultline’s privacy policy” is arguably false.</w:t>
      </w:r>
    </w:p>
    <w:p>
      <w:pPr>
        <w:spacing w:before="120" w:after="120"/>
      </w:pPr>
      <w:r>
        <w:rPr>
          <w:rFonts w:ascii="Calibri" w:hAnsi="Calibri"/>
          <w:b w:val="0"/>
          <w:i w:val="0"/>
          <w:sz w:val="21"/>
        </w:rPr>
        <w:t>The issues below are summarized in the risk table and then analyzed in detail in Part IV. Part V documents factual inconsistencies among the documents that should be reconciled before any external representation is made. Part VI provides a prioritized remediation roadmap keyed to the April 15, 2025 diligence deadline and the Q3 2025 EU launch.</w:t>
      </w:r>
    </w:p>
    <w:p>
      <w:pPr>
        <w:keepNext/>
        <w:spacing w:before="160" w:after="40"/>
      </w:pPr>
      <w:r>
        <w:rPr>
          <w:rFonts w:ascii="Calibri" w:hAnsi="Calibri"/>
          <w:b/>
          <w:i/>
          <w:color w:val="555555"/>
          <w:sz w:val="21"/>
        </w:rPr>
        <w:t>Summary of Cross-Document Compliance Issues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432"/>
            <w:shd w:val="clear" w:color="auto" w:fill="1F3355"/>
          </w:tcPr>
          <w:p>
            <w:pPr>
              <w:spacing w:after="40" w:before="40"/>
            </w:pPr>
            <w:r/>
            <w:r>
              <w:rPr>
                <w:rFonts w:ascii="Calibri" w:hAnsi="Calibri"/>
                <w:b/>
                <w:color w:val="FFFFFF"/>
                <w:sz w:val="18"/>
              </w:rPr>
              <w:t>#</w:t>
            </w:r>
          </w:p>
        </w:tc>
        <w:tc>
          <w:tcPr>
            <w:tcW w:type="dxa" w:w="3888"/>
            <w:shd w:val="clear" w:color="auto" w:fill="1F3355"/>
          </w:tcPr>
          <w:p>
            <w:pPr>
              <w:spacing w:after="40" w:before="40"/>
            </w:pPr>
            <w:r/>
            <w:r>
              <w:rPr>
                <w:rFonts w:ascii="Calibri" w:hAnsi="Calibri"/>
                <w:b/>
                <w:color w:val="FFFFFF"/>
                <w:sz w:val="18"/>
              </w:rPr>
              <w:t>Issue</w:t>
            </w:r>
          </w:p>
        </w:tc>
        <w:tc>
          <w:tcPr>
            <w:tcW w:type="dxa" w:w="2160"/>
            <w:shd w:val="clear" w:color="auto" w:fill="1F3355"/>
          </w:tcPr>
          <w:p>
            <w:pPr>
              <w:spacing w:after="40" w:before="40"/>
            </w:pPr>
            <w:r/>
            <w:r>
              <w:rPr>
                <w:rFonts w:ascii="Calibri" w:hAnsi="Calibri"/>
                <w:b/>
                <w:color w:val="FFFFFF"/>
                <w:sz w:val="18"/>
              </w:rPr>
              <w:t>Primary Frameworks</w:t>
            </w:r>
          </w:p>
        </w:tc>
        <w:tc>
          <w:tcPr>
            <w:tcW w:type="dxa" w:w="1080"/>
            <w:shd w:val="clear" w:color="auto" w:fill="1F3355"/>
          </w:tcPr>
          <w:p>
            <w:pPr>
              <w:spacing w:after="40" w:before="40"/>
            </w:pPr>
            <w:r/>
            <w:r>
              <w:rPr>
                <w:rFonts w:ascii="Calibri" w:hAnsi="Calibri"/>
                <w:b/>
                <w:color w:val="FFFFFF"/>
                <w:sz w:val="18"/>
              </w:rPr>
              <w:t>Risk</w:t>
            </w:r>
          </w:p>
        </w:tc>
        <w:tc>
          <w:tcPr>
            <w:tcW w:type="dxa" w:w="2520"/>
            <w:shd w:val="clear" w:color="auto" w:fill="1F3355"/>
          </w:tcPr>
          <w:p>
            <w:pPr>
              <w:spacing w:after="40" w:before="40"/>
            </w:pPr>
            <w:r/>
            <w:r>
              <w:rPr>
                <w:rFonts w:ascii="Calibri" w:hAnsi="Calibri"/>
                <w:b/>
                <w:color w:val="FFFFFF"/>
                <w:sz w:val="18"/>
              </w:rPr>
              <w:t>Documents in Conflict</w:t>
            </w:r>
          </w:p>
        </w:tc>
      </w:tr>
      <w:tr>
        <w:tc>
          <w:tcPr>
            <w:tcW w:type="dxa" w:w="432"/>
          </w:tcPr>
          <w:p>
            <w:pPr>
              <w:spacing w:after="40" w:before="40"/>
              <w:jc w:val="center"/>
            </w:pPr>
            <w:r/>
            <w:r>
              <w:rPr>
                <w:rFonts w:ascii="Calibri" w:hAnsi="Calibri"/>
                <w:b/>
                <w:sz w:val="17"/>
              </w:rPr>
              <w:t>1</w:t>
            </w:r>
          </w:p>
        </w:tc>
        <w:tc>
          <w:tcPr>
            <w:tcW w:type="dxa" w:w="3888"/>
          </w:tcPr>
          <w:p>
            <w:pPr>
              <w:spacing w:after="40" w:before="40"/>
            </w:pPr>
            <w:r/>
            <w:r>
              <w:rPr>
                <w:rFonts w:ascii="Calibri" w:hAnsi="Calibri"/>
                <w:b w:val="0"/>
                <w:sz w:val="17"/>
              </w:rPr>
              <w:t>Biometric data / Selfie Verify — no consent, no disclosure, no retention schedule</w:t>
            </w:r>
          </w:p>
        </w:tc>
        <w:tc>
          <w:tcPr>
            <w:tcW w:type="dxa" w:w="2160"/>
          </w:tcPr>
          <w:p>
            <w:pPr>
              <w:spacing w:after="40" w:before="40"/>
            </w:pPr>
            <w:r/>
            <w:r>
              <w:rPr>
                <w:rFonts w:ascii="Calibri" w:hAnsi="Calibri"/>
                <w:b w:val="0"/>
                <w:sz w:val="17"/>
              </w:rPr>
              <w:t>BIPA; TX CUBI; WA; GDPR Art. 9; CPRA sensitive PI</w:t>
            </w:r>
          </w:p>
        </w:tc>
        <w:tc>
          <w:tcPr>
            <w:tcW w:type="dxa" w:w="1080"/>
            <w:shd w:val="clear" w:color="auto" w:fill="C00000"/>
          </w:tcPr>
          <w:p>
            <w:pPr>
              <w:spacing w:after="40" w:before="40"/>
              <w:jc w:val="center"/>
            </w:pPr>
            <w:r/>
            <w:r>
              <w:rPr>
                <w:rFonts w:ascii="Calibri" w:hAnsi="Calibri"/>
                <w:b/>
                <w:color w:val="FFFFFF"/>
                <w:sz w:val="17"/>
              </w:rPr>
              <w:t>CRITICAL</w:t>
            </w:r>
          </w:p>
        </w:tc>
        <w:tc>
          <w:tcPr>
            <w:tcW w:type="dxa" w:w="2520"/>
          </w:tcPr>
          <w:p>
            <w:pPr>
              <w:spacing w:after="40" w:before="40"/>
            </w:pPr>
            <w:r/>
            <w:r>
              <w:rPr>
                <w:rFonts w:ascii="Calibri" w:hAnsi="Calibri"/>
                <w:b w:val="0"/>
                <w:sz w:val="17"/>
              </w:rPr>
              <w:t>Policy vs. Inventory; Policy vs. DSA</w:t>
            </w:r>
          </w:p>
        </w:tc>
      </w:tr>
      <w:tr>
        <w:tc>
          <w:tcPr>
            <w:tcW w:type="dxa" w:w="432"/>
          </w:tcPr>
          <w:p>
            <w:pPr>
              <w:spacing w:after="40" w:before="40"/>
              <w:jc w:val="center"/>
            </w:pPr>
            <w:r/>
            <w:r>
              <w:rPr>
                <w:rFonts w:ascii="Calibri" w:hAnsi="Calibri"/>
                <w:b/>
                <w:sz w:val="17"/>
              </w:rPr>
              <w:t>2</w:t>
            </w:r>
          </w:p>
        </w:tc>
        <w:tc>
          <w:tcPr>
            <w:tcW w:type="dxa" w:w="3888"/>
          </w:tcPr>
          <w:p>
            <w:pPr>
              <w:spacing w:after="40" w:before="40"/>
            </w:pPr>
            <w:r/>
            <w:r>
              <w:rPr>
                <w:rFonts w:ascii="Calibri" w:hAnsi="Calibri"/>
                <w:b w:val="0"/>
                <w:sz w:val="17"/>
              </w:rPr>
              <w:t>No lawful EU transfer mechanism; reliance on invalidated Privacy Shield</w:t>
            </w:r>
          </w:p>
        </w:tc>
        <w:tc>
          <w:tcPr>
            <w:tcW w:type="dxa" w:w="2160"/>
          </w:tcPr>
          <w:p>
            <w:pPr>
              <w:spacing w:after="40" w:before="40"/>
            </w:pPr>
            <w:r/>
            <w:r>
              <w:rPr>
                <w:rFonts w:ascii="Calibri" w:hAnsi="Calibri"/>
                <w:b w:val="0"/>
                <w:sz w:val="17"/>
              </w:rPr>
              <w:t>GDPR Ch. V; Schrems II; EU-US DPF</w:t>
            </w:r>
          </w:p>
        </w:tc>
        <w:tc>
          <w:tcPr>
            <w:tcW w:type="dxa" w:w="1080"/>
            <w:shd w:val="clear" w:color="auto" w:fill="C00000"/>
          </w:tcPr>
          <w:p>
            <w:pPr>
              <w:spacing w:after="40" w:before="40"/>
              <w:jc w:val="center"/>
            </w:pPr>
            <w:r/>
            <w:r>
              <w:rPr>
                <w:rFonts w:ascii="Calibri" w:hAnsi="Calibri"/>
                <w:b/>
                <w:color w:val="FFFFFF"/>
                <w:sz w:val="17"/>
              </w:rPr>
              <w:t>CRITICAL</w:t>
            </w:r>
          </w:p>
        </w:tc>
        <w:tc>
          <w:tcPr>
            <w:tcW w:type="dxa" w:w="2520"/>
          </w:tcPr>
          <w:p>
            <w:pPr>
              <w:spacing w:after="40" w:before="40"/>
            </w:pPr>
            <w:r/>
            <w:r>
              <w:rPr>
                <w:rFonts w:ascii="Calibri" w:hAnsi="Calibri"/>
                <w:b w:val="0"/>
                <w:sz w:val="17"/>
              </w:rPr>
              <w:t>Policy vs. Inventory; Policy vs. Ashford Barnes</w:t>
            </w:r>
          </w:p>
        </w:tc>
      </w:tr>
      <w:tr>
        <w:tc>
          <w:tcPr>
            <w:tcW w:type="dxa" w:w="432"/>
          </w:tcPr>
          <w:p>
            <w:pPr>
              <w:spacing w:after="40" w:before="40"/>
              <w:jc w:val="center"/>
            </w:pPr>
            <w:r/>
            <w:r>
              <w:rPr>
                <w:rFonts w:ascii="Calibri" w:hAnsi="Calibri"/>
                <w:b/>
                <w:sz w:val="17"/>
              </w:rPr>
              <w:t>3</w:t>
            </w:r>
          </w:p>
        </w:tc>
        <w:tc>
          <w:tcPr>
            <w:tcW w:type="dxa" w:w="3888"/>
          </w:tcPr>
          <w:p>
            <w:pPr>
              <w:spacing w:after="40" w:before="40"/>
            </w:pPr>
            <w:r/>
            <w:r>
              <w:rPr>
                <w:rFonts w:ascii="Calibri" w:hAnsi="Calibri"/>
                <w:b w:val="0"/>
                <w:sz w:val="17"/>
              </w:rPr>
              <w:t>Automated decision-making (Smart Insights) — significant effects, no disclosure/opt-out</w:t>
            </w:r>
          </w:p>
        </w:tc>
        <w:tc>
          <w:tcPr>
            <w:tcW w:type="dxa" w:w="2160"/>
          </w:tcPr>
          <w:p>
            <w:pPr>
              <w:spacing w:after="40" w:before="40"/>
            </w:pPr>
            <w:r/>
            <w:r>
              <w:rPr>
                <w:rFonts w:ascii="Calibri" w:hAnsi="Calibri"/>
                <w:b w:val="0"/>
                <w:sz w:val="17"/>
              </w:rPr>
              <w:t>GDPR Art. 22 / 35(3)(a); CPRA; state AI laws</w:t>
            </w:r>
          </w:p>
        </w:tc>
        <w:tc>
          <w:tcPr>
            <w:tcW w:type="dxa" w:w="1080"/>
            <w:shd w:val="clear" w:color="auto" w:fill="C00000"/>
          </w:tcPr>
          <w:p>
            <w:pPr>
              <w:spacing w:after="40" w:before="40"/>
              <w:jc w:val="center"/>
            </w:pPr>
            <w:r/>
            <w:r>
              <w:rPr>
                <w:rFonts w:ascii="Calibri" w:hAnsi="Calibri"/>
                <w:b/>
                <w:color w:val="FFFFFF"/>
                <w:sz w:val="17"/>
              </w:rPr>
              <w:t>CRITICAL</w:t>
            </w:r>
          </w:p>
        </w:tc>
        <w:tc>
          <w:tcPr>
            <w:tcW w:type="dxa" w:w="2520"/>
          </w:tcPr>
          <w:p>
            <w:pPr>
              <w:spacing w:after="40" w:before="40"/>
            </w:pPr>
            <w:r/>
            <w:r>
              <w:rPr>
                <w:rFonts w:ascii="Calibri" w:hAnsi="Calibri"/>
                <w:b w:val="0"/>
                <w:sz w:val="17"/>
              </w:rPr>
              <w:t>Policy vs. Inventory; Policy vs. Ashford Barnes</w:t>
            </w:r>
          </w:p>
        </w:tc>
      </w:tr>
      <w:tr>
        <w:tc>
          <w:tcPr>
            <w:tcW w:type="dxa" w:w="432"/>
          </w:tcPr>
          <w:p>
            <w:pPr>
              <w:spacing w:after="40" w:before="40"/>
              <w:jc w:val="center"/>
            </w:pPr>
            <w:r/>
            <w:r>
              <w:rPr>
                <w:rFonts w:ascii="Calibri" w:hAnsi="Calibri"/>
                <w:b/>
                <w:sz w:val="17"/>
              </w:rPr>
              <w:t>4</w:t>
            </w:r>
          </w:p>
        </w:tc>
        <w:tc>
          <w:tcPr>
            <w:tcW w:type="dxa" w:w="3888"/>
          </w:tcPr>
          <w:p>
            <w:pPr>
              <w:spacing w:after="40" w:before="40"/>
            </w:pPr>
            <w:r/>
            <w:r>
              <w:rPr>
                <w:rFonts w:ascii="Calibri" w:hAnsi="Calibri"/>
                <w:b w:val="0"/>
                <w:sz w:val="17"/>
              </w:rPr>
              <w:t>August 2024 breach — omitted AG/EU/Brightly notices; 47-day consumer notice</w:t>
            </w:r>
          </w:p>
        </w:tc>
        <w:tc>
          <w:tcPr>
            <w:tcW w:type="dxa" w:w="2160"/>
          </w:tcPr>
          <w:p>
            <w:pPr>
              <w:spacing w:after="40" w:before="40"/>
            </w:pPr>
            <w:r/>
            <w:r>
              <w:rPr>
                <w:rFonts w:ascii="Calibri" w:hAnsi="Calibri"/>
                <w:b w:val="0"/>
                <w:sz w:val="17"/>
              </w:rPr>
              <w:t>State breach laws; GDPR Art. 33/34; DSA §9.2</w:t>
            </w:r>
          </w:p>
        </w:tc>
        <w:tc>
          <w:tcPr>
            <w:tcW w:type="dxa" w:w="1080"/>
            <w:shd w:val="clear" w:color="auto" w:fill="C00000"/>
          </w:tcPr>
          <w:p>
            <w:pPr>
              <w:spacing w:after="40" w:before="40"/>
              <w:jc w:val="center"/>
            </w:pPr>
            <w:r/>
            <w:r>
              <w:rPr>
                <w:rFonts w:ascii="Calibri" w:hAnsi="Calibri"/>
                <w:b/>
                <w:color w:val="FFFFFF"/>
                <w:sz w:val="17"/>
              </w:rPr>
              <w:t>CRITICAL</w:t>
            </w:r>
          </w:p>
        </w:tc>
        <w:tc>
          <w:tcPr>
            <w:tcW w:type="dxa" w:w="2520"/>
          </w:tcPr>
          <w:p>
            <w:pPr>
              <w:spacing w:after="40" w:before="40"/>
            </w:pPr>
            <w:r/>
            <w:r>
              <w:rPr>
                <w:rFonts w:ascii="Calibri" w:hAnsi="Calibri"/>
                <w:b w:val="0"/>
                <w:sz w:val="17"/>
              </w:rPr>
              <w:t>Breach Log vs. DSA; Breach Log vs. Inventory</w:t>
            </w:r>
          </w:p>
        </w:tc>
      </w:tr>
      <w:tr>
        <w:tc>
          <w:tcPr>
            <w:tcW w:type="dxa" w:w="432"/>
          </w:tcPr>
          <w:p>
            <w:pPr>
              <w:spacing w:after="40" w:before="40"/>
              <w:jc w:val="center"/>
            </w:pPr>
            <w:r/>
            <w:r>
              <w:rPr>
                <w:rFonts w:ascii="Calibri" w:hAnsi="Calibri"/>
                <w:b/>
                <w:sz w:val="17"/>
              </w:rPr>
              <w:t>5</w:t>
            </w:r>
          </w:p>
        </w:tc>
        <w:tc>
          <w:tcPr>
            <w:tcW w:type="dxa" w:w="3888"/>
          </w:tcPr>
          <w:p>
            <w:pPr>
              <w:spacing w:after="40" w:before="40"/>
            </w:pPr>
            <w:r/>
            <w:r>
              <w:rPr>
                <w:rFonts w:ascii="Calibri" w:hAnsi="Calibri"/>
                <w:b w:val="0"/>
                <w:sz w:val="17"/>
              </w:rPr>
              <w:t>GDPR Art. 13/14 transparency — single-sentence EU disclosure</w:t>
            </w:r>
          </w:p>
        </w:tc>
        <w:tc>
          <w:tcPr>
            <w:tcW w:type="dxa" w:w="2160"/>
          </w:tcPr>
          <w:p>
            <w:pPr>
              <w:spacing w:after="40" w:before="40"/>
            </w:pPr>
            <w:r/>
            <w:r>
              <w:rPr>
                <w:rFonts w:ascii="Calibri" w:hAnsi="Calibri"/>
                <w:b w:val="0"/>
                <w:sz w:val="17"/>
              </w:rPr>
              <w:t>GDPR Art. 13/14, 37, 27</w:t>
            </w:r>
          </w:p>
        </w:tc>
        <w:tc>
          <w:tcPr>
            <w:tcW w:type="dxa" w:w="1080"/>
            <w:shd w:val="clear" w:color="auto" w:fill="E26B0A"/>
          </w:tcPr>
          <w:p>
            <w:pPr>
              <w:spacing w:after="40" w:before="40"/>
              <w:jc w:val="center"/>
            </w:pPr>
            <w:r/>
            <w:r>
              <w:rPr>
                <w:rFonts w:ascii="Calibri" w:hAnsi="Calibri"/>
                <w:b/>
                <w:color w:val="FFFFFF"/>
                <w:sz w:val="17"/>
              </w:rPr>
              <w:t>HIGH</w:t>
            </w:r>
          </w:p>
        </w:tc>
        <w:tc>
          <w:tcPr>
            <w:tcW w:type="dxa" w:w="2520"/>
          </w:tcPr>
          <w:p>
            <w:pPr>
              <w:spacing w:after="40" w:before="40"/>
            </w:pPr>
            <w:r/>
            <w:r>
              <w:rPr>
                <w:rFonts w:ascii="Calibri" w:hAnsi="Calibri"/>
                <w:b w:val="0"/>
                <w:sz w:val="17"/>
              </w:rPr>
              <w:t>Policy vs. Inventory; Policy vs. Ashford Barnes</w:t>
            </w:r>
          </w:p>
        </w:tc>
      </w:tr>
      <w:tr>
        <w:tc>
          <w:tcPr>
            <w:tcW w:type="dxa" w:w="432"/>
          </w:tcPr>
          <w:p>
            <w:pPr>
              <w:spacing w:after="40" w:before="40"/>
              <w:jc w:val="center"/>
            </w:pPr>
            <w:r/>
            <w:r>
              <w:rPr>
                <w:rFonts w:ascii="Calibri" w:hAnsi="Calibri"/>
                <w:b/>
                <w:sz w:val="17"/>
              </w:rPr>
              <w:t>6</w:t>
            </w:r>
          </w:p>
        </w:tc>
        <w:tc>
          <w:tcPr>
            <w:tcW w:type="dxa" w:w="3888"/>
          </w:tcPr>
          <w:p>
            <w:pPr>
              <w:spacing w:after="40" w:before="40"/>
            </w:pPr>
            <w:r/>
            <w:r>
              <w:rPr>
                <w:rFonts w:ascii="Calibri" w:hAnsi="Calibri"/>
                <w:b w:val="0"/>
                <w:sz w:val="17"/>
              </w:rPr>
              <w:t>CCPA/CPRA “sale” &amp; “sharing” (Brightly revenue share) — no opt-out</w:t>
            </w:r>
          </w:p>
        </w:tc>
        <w:tc>
          <w:tcPr>
            <w:tcW w:type="dxa" w:w="2160"/>
          </w:tcPr>
          <w:p>
            <w:pPr>
              <w:spacing w:after="40" w:before="40"/>
            </w:pPr>
            <w:r/>
            <w:r>
              <w:rPr>
                <w:rFonts w:ascii="Calibri" w:hAnsi="Calibri"/>
                <w:b w:val="0"/>
                <w:sz w:val="17"/>
              </w:rPr>
              <w:t>CCPA/CPRA (sale/sharing)</w:t>
            </w:r>
          </w:p>
        </w:tc>
        <w:tc>
          <w:tcPr>
            <w:tcW w:type="dxa" w:w="1080"/>
            <w:shd w:val="clear" w:color="auto" w:fill="E26B0A"/>
          </w:tcPr>
          <w:p>
            <w:pPr>
              <w:spacing w:after="40" w:before="40"/>
              <w:jc w:val="center"/>
            </w:pPr>
            <w:r/>
            <w:r>
              <w:rPr>
                <w:rFonts w:ascii="Calibri" w:hAnsi="Calibri"/>
                <w:b/>
                <w:color w:val="FFFFFF"/>
                <w:sz w:val="17"/>
              </w:rPr>
              <w:t>HIGH</w:t>
            </w:r>
          </w:p>
        </w:tc>
        <w:tc>
          <w:tcPr>
            <w:tcW w:type="dxa" w:w="2520"/>
          </w:tcPr>
          <w:p>
            <w:pPr>
              <w:spacing w:after="40" w:before="40"/>
            </w:pPr>
            <w:r/>
            <w:r>
              <w:rPr>
                <w:rFonts w:ascii="Calibri" w:hAnsi="Calibri"/>
                <w:b w:val="0"/>
                <w:sz w:val="17"/>
              </w:rPr>
              <w:t>Policy vs. DSA; Policy vs. Inventory</w:t>
            </w:r>
          </w:p>
        </w:tc>
      </w:tr>
      <w:tr>
        <w:tc>
          <w:tcPr>
            <w:tcW w:type="dxa" w:w="432"/>
          </w:tcPr>
          <w:p>
            <w:pPr>
              <w:spacing w:after="40" w:before="40"/>
              <w:jc w:val="center"/>
            </w:pPr>
            <w:r/>
            <w:r>
              <w:rPr>
                <w:rFonts w:ascii="Calibri" w:hAnsi="Calibri"/>
                <w:b/>
                <w:sz w:val="17"/>
              </w:rPr>
              <w:t>7</w:t>
            </w:r>
          </w:p>
        </w:tc>
        <w:tc>
          <w:tcPr>
            <w:tcW w:type="dxa" w:w="3888"/>
          </w:tcPr>
          <w:p>
            <w:pPr>
              <w:spacing w:after="40" w:before="40"/>
            </w:pPr>
            <w:r/>
            <w:r>
              <w:rPr>
                <w:rFonts w:ascii="Calibri" w:hAnsi="Calibri"/>
                <w:b w:val="0"/>
                <w:sz w:val="17"/>
              </w:rPr>
              <w:t>CPRA sensitive PI — not classified; no limitation opt-out</w:t>
            </w:r>
          </w:p>
        </w:tc>
        <w:tc>
          <w:tcPr>
            <w:tcW w:type="dxa" w:w="2160"/>
          </w:tcPr>
          <w:p>
            <w:pPr>
              <w:spacing w:after="40" w:before="40"/>
            </w:pPr>
            <w:r/>
            <w:r>
              <w:rPr>
                <w:rFonts w:ascii="Calibri" w:hAnsi="Calibri"/>
                <w:b w:val="0"/>
                <w:sz w:val="17"/>
              </w:rPr>
              <w:t>CPRA sensitive PI</w:t>
            </w:r>
          </w:p>
        </w:tc>
        <w:tc>
          <w:tcPr>
            <w:tcW w:type="dxa" w:w="1080"/>
            <w:shd w:val="clear" w:color="auto" w:fill="E26B0A"/>
          </w:tcPr>
          <w:p>
            <w:pPr>
              <w:spacing w:after="40" w:before="40"/>
              <w:jc w:val="center"/>
            </w:pPr>
            <w:r/>
            <w:r>
              <w:rPr>
                <w:rFonts w:ascii="Calibri" w:hAnsi="Calibri"/>
                <w:b/>
                <w:color w:val="FFFFFF"/>
                <w:sz w:val="17"/>
              </w:rPr>
              <w:t>HIGH</w:t>
            </w:r>
          </w:p>
        </w:tc>
        <w:tc>
          <w:tcPr>
            <w:tcW w:type="dxa" w:w="2520"/>
          </w:tcPr>
          <w:p>
            <w:pPr>
              <w:spacing w:after="40" w:before="40"/>
            </w:pPr>
            <w:r/>
            <w:r>
              <w:rPr>
                <w:rFonts w:ascii="Calibri" w:hAnsi="Calibri"/>
                <w:b w:val="0"/>
                <w:sz w:val="17"/>
              </w:rPr>
              <w:t>Policy vs. Inventory</w:t>
            </w:r>
          </w:p>
        </w:tc>
      </w:tr>
      <w:tr>
        <w:tc>
          <w:tcPr>
            <w:tcW w:type="dxa" w:w="432"/>
          </w:tcPr>
          <w:p>
            <w:pPr>
              <w:spacing w:after="40" w:before="40"/>
              <w:jc w:val="center"/>
            </w:pPr>
            <w:r/>
            <w:r>
              <w:rPr>
                <w:rFonts w:ascii="Calibri" w:hAnsi="Calibri"/>
                <w:b/>
                <w:sz w:val="17"/>
              </w:rPr>
              <w:t>8</w:t>
            </w:r>
          </w:p>
        </w:tc>
        <w:tc>
          <w:tcPr>
            <w:tcW w:type="dxa" w:w="3888"/>
          </w:tcPr>
          <w:p>
            <w:pPr>
              <w:spacing w:after="40" w:before="40"/>
            </w:pPr>
            <w:r/>
            <w:r>
              <w:rPr>
                <w:rFonts w:ascii="Calibri" w:hAnsi="Calibri"/>
                <w:b w:val="0"/>
                <w:sz w:val="17"/>
              </w:rPr>
              <w:t>CCPA/CPRA consumer rights — only “right to know” disclosed</w:t>
            </w:r>
          </w:p>
        </w:tc>
        <w:tc>
          <w:tcPr>
            <w:tcW w:type="dxa" w:w="2160"/>
          </w:tcPr>
          <w:p>
            <w:pPr>
              <w:spacing w:after="40" w:before="40"/>
            </w:pPr>
            <w:r/>
            <w:r>
              <w:rPr>
                <w:rFonts w:ascii="Calibri" w:hAnsi="Calibri"/>
                <w:b w:val="0"/>
                <w:sz w:val="17"/>
              </w:rPr>
              <w:t>CCPA/CPRA rights</w:t>
            </w:r>
          </w:p>
        </w:tc>
        <w:tc>
          <w:tcPr>
            <w:tcW w:type="dxa" w:w="1080"/>
            <w:shd w:val="clear" w:color="auto" w:fill="E26B0A"/>
          </w:tcPr>
          <w:p>
            <w:pPr>
              <w:spacing w:after="40" w:before="40"/>
              <w:jc w:val="center"/>
            </w:pPr>
            <w:r/>
            <w:r>
              <w:rPr>
                <w:rFonts w:ascii="Calibri" w:hAnsi="Calibri"/>
                <w:b/>
                <w:color w:val="FFFFFF"/>
                <w:sz w:val="17"/>
              </w:rPr>
              <w:t>HIGH</w:t>
            </w:r>
          </w:p>
        </w:tc>
        <w:tc>
          <w:tcPr>
            <w:tcW w:type="dxa" w:w="2520"/>
          </w:tcPr>
          <w:p>
            <w:pPr>
              <w:spacing w:after="40" w:before="40"/>
            </w:pPr>
            <w:r/>
            <w:r>
              <w:rPr>
                <w:rFonts w:ascii="Calibri" w:hAnsi="Calibri"/>
                <w:b w:val="0"/>
                <w:sz w:val="17"/>
              </w:rPr>
              <w:t>Policy vs. Inventory; Policy vs. Ashford Barnes</w:t>
            </w:r>
          </w:p>
        </w:tc>
      </w:tr>
      <w:tr>
        <w:tc>
          <w:tcPr>
            <w:tcW w:type="dxa" w:w="432"/>
          </w:tcPr>
          <w:p>
            <w:pPr>
              <w:spacing w:after="40" w:before="40"/>
              <w:jc w:val="center"/>
            </w:pPr>
            <w:r/>
            <w:r>
              <w:rPr>
                <w:rFonts w:ascii="Calibri" w:hAnsi="Calibri"/>
                <w:b/>
                <w:sz w:val="17"/>
              </w:rPr>
              <w:t>9</w:t>
            </w:r>
          </w:p>
        </w:tc>
        <w:tc>
          <w:tcPr>
            <w:tcW w:type="dxa" w:w="3888"/>
          </w:tcPr>
          <w:p>
            <w:pPr>
              <w:spacing w:after="40" w:before="40"/>
            </w:pPr>
            <w:r/>
            <w:r>
              <w:rPr>
                <w:rFonts w:ascii="Calibri" w:hAnsi="Calibri"/>
                <w:b w:val="0"/>
                <w:sz w:val="17"/>
              </w:rPr>
              <w:t>Data retention — indefinite; no periods; no schedule; no destruction method</w:t>
            </w:r>
          </w:p>
        </w:tc>
        <w:tc>
          <w:tcPr>
            <w:tcW w:type="dxa" w:w="2160"/>
          </w:tcPr>
          <w:p>
            <w:pPr>
              <w:spacing w:after="40" w:before="40"/>
            </w:pPr>
            <w:r/>
            <w:r>
              <w:rPr>
                <w:rFonts w:ascii="Calibri" w:hAnsi="Calibri"/>
                <w:b w:val="0"/>
                <w:sz w:val="17"/>
              </w:rPr>
              <w:t>GDPR Art. 5(1)(e); CPRA; BIPA</w:t>
            </w:r>
          </w:p>
        </w:tc>
        <w:tc>
          <w:tcPr>
            <w:tcW w:type="dxa" w:w="1080"/>
            <w:shd w:val="clear" w:color="auto" w:fill="E26B0A"/>
          </w:tcPr>
          <w:p>
            <w:pPr>
              <w:spacing w:after="40" w:before="40"/>
              <w:jc w:val="center"/>
            </w:pPr>
            <w:r/>
            <w:r>
              <w:rPr>
                <w:rFonts w:ascii="Calibri" w:hAnsi="Calibri"/>
                <w:b/>
                <w:color w:val="FFFFFF"/>
                <w:sz w:val="17"/>
              </w:rPr>
              <w:t>HIGH</w:t>
            </w:r>
          </w:p>
        </w:tc>
        <w:tc>
          <w:tcPr>
            <w:tcW w:type="dxa" w:w="2520"/>
          </w:tcPr>
          <w:p>
            <w:pPr>
              <w:spacing w:after="40" w:before="40"/>
            </w:pPr>
            <w:r/>
            <w:r>
              <w:rPr>
                <w:rFonts w:ascii="Calibri" w:hAnsi="Calibri"/>
                <w:b w:val="0"/>
                <w:sz w:val="17"/>
              </w:rPr>
              <w:t>Policy vs. Inventory</w:t>
            </w:r>
          </w:p>
        </w:tc>
      </w:tr>
      <w:tr>
        <w:tc>
          <w:tcPr>
            <w:tcW w:type="dxa" w:w="432"/>
          </w:tcPr>
          <w:p>
            <w:pPr>
              <w:spacing w:after="40" w:before="40"/>
              <w:jc w:val="center"/>
            </w:pPr>
            <w:r/>
            <w:r>
              <w:rPr>
                <w:rFonts w:ascii="Calibri" w:hAnsi="Calibri"/>
                <w:b/>
                <w:sz w:val="17"/>
              </w:rPr>
              <w:t>10</w:t>
            </w:r>
          </w:p>
        </w:tc>
        <w:tc>
          <w:tcPr>
            <w:tcW w:type="dxa" w:w="3888"/>
          </w:tcPr>
          <w:p>
            <w:pPr>
              <w:spacing w:after="40" w:before="40"/>
            </w:pPr>
            <w:r/>
            <w:r>
              <w:rPr>
                <w:rFonts w:ascii="Calibri" w:hAnsi="Calibri"/>
                <w:b w:val="0"/>
                <w:sz w:val="17"/>
              </w:rPr>
              <w:t>Brightly DSA §7.1(b)/(c) representations arguably false; no DPA/CCPA terms</w:t>
            </w:r>
          </w:p>
        </w:tc>
        <w:tc>
          <w:tcPr>
            <w:tcW w:type="dxa" w:w="2160"/>
          </w:tcPr>
          <w:p>
            <w:pPr>
              <w:spacing w:after="40" w:before="40"/>
            </w:pPr>
            <w:r/>
            <w:r>
              <w:rPr>
                <w:rFonts w:ascii="Calibri" w:hAnsi="Calibri"/>
                <w:b w:val="0"/>
                <w:sz w:val="17"/>
              </w:rPr>
              <w:t>Contract; CCPA/CPRA; GDPR</w:t>
            </w:r>
          </w:p>
        </w:tc>
        <w:tc>
          <w:tcPr>
            <w:tcW w:type="dxa" w:w="1080"/>
            <w:shd w:val="clear" w:color="auto" w:fill="E26B0A"/>
          </w:tcPr>
          <w:p>
            <w:pPr>
              <w:spacing w:after="40" w:before="40"/>
              <w:jc w:val="center"/>
            </w:pPr>
            <w:r/>
            <w:r>
              <w:rPr>
                <w:rFonts w:ascii="Calibri" w:hAnsi="Calibri"/>
                <w:b/>
                <w:color w:val="FFFFFF"/>
                <w:sz w:val="17"/>
              </w:rPr>
              <w:t>HIGH</w:t>
            </w:r>
          </w:p>
        </w:tc>
        <w:tc>
          <w:tcPr>
            <w:tcW w:type="dxa" w:w="2520"/>
          </w:tcPr>
          <w:p>
            <w:pPr>
              <w:spacing w:after="40" w:before="40"/>
            </w:pPr>
            <w:r/>
            <w:r>
              <w:rPr>
                <w:rFonts w:ascii="Calibri" w:hAnsi="Calibri"/>
                <w:b w:val="0"/>
                <w:sz w:val="17"/>
              </w:rPr>
              <w:t>DSA vs. Policy; DSA vs. Inventory</w:t>
            </w:r>
          </w:p>
        </w:tc>
      </w:tr>
      <w:tr>
        <w:tc>
          <w:tcPr>
            <w:tcW w:type="dxa" w:w="432"/>
          </w:tcPr>
          <w:p>
            <w:pPr>
              <w:spacing w:after="40" w:before="40"/>
              <w:jc w:val="center"/>
            </w:pPr>
            <w:r/>
            <w:r>
              <w:rPr>
                <w:rFonts w:ascii="Calibri" w:hAnsi="Calibri"/>
                <w:b/>
                <w:sz w:val="17"/>
              </w:rPr>
              <w:t>11</w:t>
            </w:r>
          </w:p>
        </w:tc>
        <w:tc>
          <w:tcPr>
            <w:tcW w:type="dxa" w:w="3888"/>
          </w:tcPr>
          <w:p>
            <w:pPr>
              <w:spacing w:after="40" w:before="40"/>
            </w:pPr>
            <w:r/>
            <w:r>
              <w:rPr>
                <w:rFonts w:ascii="Calibri" w:hAnsi="Calibri"/>
                <w:b w:val="0"/>
                <w:sz w:val="17"/>
              </w:rPr>
              <w:t>Cookies / ePrivacy — 34 cookies; “Accept All” only; fire before consent</w:t>
            </w:r>
          </w:p>
        </w:tc>
        <w:tc>
          <w:tcPr>
            <w:tcW w:type="dxa" w:w="2160"/>
          </w:tcPr>
          <w:p>
            <w:pPr>
              <w:spacing w:after="40" w:before="40"/>
            </w:pPr>
            <w:r/>
            <w:r>
              <w:rPr>
                <w:rFonts w:ascii="Calibri" w:hAnsi="Calibri"/>
                <w:b w:val="0"/>
                <w:sz w:val="17"/>
              </w:rPr>
              <w:t>ePrivacy Directive; GDPR; CalOPPA</w:t>
            </w:r>
          </w:p>
        </w:tc>
        <w:tc>
          <w:tcPr>
            <w:tcW w:type="dxa" w:w="1080"/>
            <w:shd w:val="clear" w:color="auto" w:fill="E26B0A"/>
          </w:tcPr>
          <w:p>
            <w:pPr>
              <w:spacing w:after="40" w:before="40"/>
              <w:jc w:val="center"/>
            </w:pPr>
            <w:r/>
            <w:r>
              <w:rPr>
                <w:rFonts w:ascii="Calibri" w:hAnsi="Calibri"/>
                <w:b/>
                <w:color w:val="FFFFFF"/>
                <w:sz w:val="17"/>
              </w:rPr>
              <w:t>HIGH</w:t>
            </w:r>
          </w:p>
        </w:tc>
        <w:tc>
          <w:tcPr>
            <w:tcW w:type="dxa" w:w="2520"/>
          </w:tcPr>
          <w:p>
            <w:pPr>
              <w:spacing w:after="40" w:before="40"/>
            </w:pPr>
            <w:r/>
            <w:r>
              <w:rPr>
                <w:rFonts w:ascii="Calibri" w:hAnsi="Calibri"/>
                <w:b w:val="0"/>
                <w:sz w:val="17"/>
              </w:rPr>
              <w:t>Policy vs. Inventory</w:t>
            </w:r>
          </w:p>
        </w:tc>
      </w:tr>
      <w:tr>
        <w:tc>
          <w:tcPr>
            <w:tcW w:type="dxa" w:w="432"/>
          </w:tcPr>
          <w:p>
            <w:pPr>
              <w:spacing w:after="40" w:before="40"/>
              <w:jc w:val="center"/>
            </w:pPr>
            <w:r/>
            <w:r>
              <w:rPr>
                <w:rFonts w:ascii="Calibri" w:hAnsi="Calibri"/>
                <w:b/>
                <w:sz w:val="17"/>
              </w:rPr>
              <w:t>12</w:t>
            </w:r>
          </w:p>
        </w:tc>
        <w:tc>
          <w:tcPr>
            <w:tcW w:type="dxa" w:w="3888"/>
          </w:tcPr>
          <w:p>
            <w:pPr>
              <w:spacing w:after="40" w:before="40"/>
            </w:pPr>
            <w:r/>
            <w:r>
              <w:rPr>
                <w:rFonts w:ascii="Calibri" w:hAnsi="Calibri"/>
                <w:b w:val="0"/>
                <w:sz w:val="17"/>
              </w:rPr>
              <w:t>GLBA “financial institution” characterization not addressed</w:t>
            </w:r>
          </w:p>
        </w:tc>
        <w:tc>
          <w:tcPr>
            <w:tcW w:type="dxa" w:w="2160"/>
          </w:tcPr>
          <w:p>
            <w:pPr>
              <w:spacing w:after="40" w:before="40"/>
            </w:pPr>
            <w:r/>
            <w:r>
              <w:rPr>
                <w:rFonts w:ascii="Calibri" w:hAnsi="Calibri"/>
                <w:b w:val="0"/>
                <w:sz w:val="17"/>
              </w:rPr>
              <w:t>GLBA; Reg. P; FTC</w:t>
            </w:r>
          </w:p>
        </w:tc>
        <w:tc>
          <w:tcPr>
            <w:tcW w:type="dxa" w:w="1080"/>
            <w:shd w:val="clear" w:color="auto" w:fill="BF8F00"/>
          </w:tcPr>
          <w:p>
            <w:pPr>
              <w:spacing w:after="40" w:before="40"/>
              <w:jc w:val="center"/>
            </w:pPr>
            <w:r/>
            <w:r>
              <w:rPr>
                <w:rFonts w:ascii="Calibri" w:hAnsi="Calibri"/>
                <w:b/>
                <w:color w:val="FFFFFF"/>
                <w:sz w:val="17"/>
              </w:rPr>
              <w:t>MEDIUM-HIGH</w:t>
            </w:r>
          </w:p>
        </w:tc>
        <w:tc>
          <w:tcPr>
            <w:tcW w:type="dxa" w:w="2520"/>
          </w:tcPr>
          <w:p>
            <w:pPr>
              <w:spacing w:after="40" w:before="40"/>
            </w:pPr>
            <w:r/>
            <w:r>
              <w:rPr>
                <w:rFonts w:ascii="Calibri" w:hAnsi="Calibri"/>
                <w:b w:val="0"/>
                <w:sz w:val="17"/>
              </w:rPr>
              <w:t>Policy vs. Inventory; Ashford Barnes</w:t>
            </w:r>
          </w:p>
        </w:tc>
      </w:tr>
      <w:tr>
        <w:tc>
          <w:tcPr>
            <w:tcW w:type="dxa" w:w="432"/>
          </w:tcPr>
          <w:p>
            <w:pPr>
              <w:spacing w:after="40" w:before="40"/>
              <w:jc w:val="center"/>
            </w:pPr>
            <w:r/>
            <w:r>
              <w:rPr>
                <w:rFonts w:ascii="Calibri" w:hAnsi="Calibri"/>
                <w:b/>
                <w:sz w:val="17"/>
              </w:rPr>
              <w:t>13</w:t>
            </w:r>
          </w:p>
        </w:tc>
        <w:tc>
          <w:tcPr>
            <w:tcW w:type="dxa" w:w="3888"/>
          </w:tcPr>
          <w:p>
            <w:pPr>
              <w:spacing w:after="40" w:before="40"/>
            </w:pPr>
            <w:r/>
            <w:r>
              <w:rPr>
                <w:rFonts w:ascii="Calibri" w:hAnsi="Calibri"/>
                <w:b w:val="0"/>
                <w:sz w:val="17"/>
              </w:rPr>
              <w:t>No DPIAs conducted despite multiple mandatory triggers</w:t>
            </w:r>
          </w:p>
        </w:tc>
        <w:tc>
          <w:tcPr>
            <w:tcW w:type="dxa" w:w="2160"/>
          </w:tcPr>
          <w:p>
            <w:pPr>
              <w:spacing w:after="40" w:before="40"/>
            </w:pPr>
            <w:r/>
            <w:r>
              <w:rPr>
                <w:rFonts w:ascii="Calibri" w:hAnsi="Calibri"/>
                <w:b w:val="0"/>
                <w:sz w:val="17"/>
              </w:rPr>
              <w:t>GDPR Art. 35</w:t>
            </w:r>
          </w:p>
        </w:tc>
        <w:tc>
          <w:tcPr>
            <w:tcW w:type="dxa" w:w="1080"/>
            <w:shd w:val="clear" w:color="auto" w:fill="BF8F00"/>
          </w:tcPr>
          <w:p>
            <w:pPr>
              <w:spacing w:after="40" w:before="40"/>
              <w:jc w:val="center"/>
            </w:pPr>
            <w:r/>
            <w:r>
              <w:rPr>
                <w:rFonts w:ascii="Calibri" w:hAnsi="Calibri"/>
                <w:b/>
                <w:color w:val="FFFFFF"/>
                <w:sz w:val="17"/>
              </w:rPr>
              <w:t>MEDIUM-HIGH</w:t>
            </w:r>
          </w:p>
        </w:tc>
        <w:tc>
          <w:tcPr>
            <w:tcW w:type="dxa" w:w="2520"/>
          </w:tcPr>
          <w:p>
            <w:pPr>
              <w:spacing w:after="40" w:before="40"/>
            </w:pPr>
            <w:r/>
            <w:r>
              <w:rPr>
                <w:rFonts w:ascii="Calibri" w:hAnsi="Calibri"/>
                <w:b w:val="0"/>
                <w:sz w:val="17"/>
              </w:rPr>
              <w:t>Inventory (self-identified)</w:t>
            </w:r>
          </w:p>
        </w:tc>
      </w:tr>
      <w:tr>
        <w:tc>
          <w:tcPr>
            <w:tcW w:type="dxa" w:w="432"/>
          </w:tcPr>
          <w:p>
            <w:pPr>
              <w:spacing w:after="40" w:before="40"/>
              <w:jc w:val="center"/>
            </w:pPr>
            <w:r/>
            <w:r>
              <w:rPr>
                <w:rFonts w:ascii="Calibri" w:hAnsi="Calibri"/>
                <w:b/>
                <w:sz w:val="17"/>
              </w:rPr>
              <w:t>14</w:t>
            </w:r>
          </w:p>
        </w:tc>
        <w:tc>
          <w:tcPr>
            <w:tcW w:type="dxa" w:w="3888"/>
          </w:tcPr>
          <w:p>
            <w:pPr>
              <w:spacing w:after="40" w:before="40"/>
            </w:pPr>
            <w:r/>
            <w:r>
              <w:rPr>
                <w:rFonts w:ascii="Calibri" w:hAnsi="Calibri"/>
                <w:b w:val="0"/>
                <w:sz w:val="17"/>
              </w:rPr>
              <w:t>Browsewrap consent only — insufficient for GDPR / special-category data</w:t>
            </w:r>
          </w:p>
        </w:tc>
        <w:tc>
          <w:tcPr>
            <w:tcW w:type="dxa" w:w="2160"/>
          </w:tcPr>
          <w:p>
            <w:pPr>
              <w:spacing w:after="40" w:before="40"/>
            </w:pPr>
            <w:r/>
            <w:r>
              <w:rPr>
                <w:rFonts w:ascii="Calibri" w:hAnsi="Calibri"/>
                <w:b w:val="0"/>
                <w:sz w:val="17"/>
              </w:rPr>
              <w:t>GDPR Art. 6/7/9; DSA §7.1(c)</w:t>
            </w:r>
          </w:p>
        </w:tc>
        <w:tc>
          <w:tcPr>
            <w:tcW w:type="dxa" w:w="1080"/>
            <w:shd w:val="clear" w:color="auto" w:fill="BF8F00"/>
          </w:tcPr>
          <w:p>
            <w:pPr>
              <w:spacing w:after="40" w:before="40"/>
              <w:jc w:val="center"/>
            </w:pPr>
            <w:r/>
            <w:r>
              <w:rPr>
                <w:rFonts w:ascii="Calibri" w:hAnsi="Calibri"/>
                <w:b/>
                <w:color w:val="FFFFFF"/>
                <w:sz w:val="17"/>
              </w:rPr>
              <w:t>MEDIUM-HIGH</w:t>
            </w:r>
          </w:p>
        </w:tc>
        <w:tc>
          <w:tcPr>
            <w:tcW w:type="dxa" w:w="2520"/>
          </w:tcPr>
          <w:p>
            <w:pPr>
              <w:spacing w:after="40" w:before="40"/>
            </w:pPr>
            <w:r/>
            <w:r>
              <w:rPr>
                <w:rFonts w:ascii="Calibri" w:hAnsi="Calibri"/>
                <w:b w:val="0"/>
                <w:sz w:val="17"/>
              </w:rPr>
              <w:t>Policy vs. Inventory; DSA vs. Policy</w:t>
            </w:r>
          </w:p>
        </w:tc>
      </w:tr>
      <w:tr>
        <w:tc>
          <w:tcPr>
            <w:tcW w:type="dxa" w:w="432"/>
          </w:tcPr>
          <w:p>
            <w:pPr>
              <w:spacing w:after="40" w:before="40"/>
              <w:jc w:val="center"/>
            </w:pPr>
            <w:r/>
            <w:r>
              <w:rPr>
                <w:rFonts w:ascii="Calibri" w:hAnsi="Calibri"/>
                <w:b/>
                <w:sz w:val="17"/>
              </w:rPr>
              <w:t>15</w:t>
            </w:r>
          </w:p>
        </w:tc>
        <w:tc>
          <w:tcPr>
            <w:tcW w:type="dxa" w:w="3888"/>
          </w:tcPr>
          <w:p>
            <w:pPr>
              <w:spacing w:after="40" w:before="40"/>
            </w:pPr>
            <w:r/>
            <w:r>
              <w:rPr>
                <w:rFonts w:ascii="Calibri" w:hAnsi="Calibri"/>
                <w:b w:val="0"/>
                <w:sz w:val="17"/>
              </w:rPr>
              <w:t>Privacy Policy staleness &amp; readability (grade 18.2)</w:t>
            </w:r>
          </w:p>
        </w:tc>
        <w:tc>
          <w:tcPr>
            <w:tcW w:type="dxa" w:w="2160"/>
          </w:tcPr>
          <w:p>
            <w:pPr>
              <w:spacing w:after="40" w:before="40"/>
            </w:pPr>
            <w:r/>
            <w:r>
              <w:rPr>
                <w:rFonts w:ascii="Calibri" w:hAnsi="Calibri"/>
                <w:b w:val="0"/>
                <w:sz w:val="17"/>
              </w:rPr>
              <w:t>FTC “clear &amp; conspicuous”; CPRA</w:t>
            </w:r>
          </w:p>
        </w:tc>
        <w:tc>
          <w:tcPr>
            <w:tcW w:type="dxa" w:w="1080"/>
            <w:shd w:val="clear" w:color="auto" w:fill="808080"/>
          </w:tcPr>
          <w:p>
            <w:pPr>
              <w:spacing w:after="40" w:before="40"/>
              <w:jc w:val="center"/>
            </w:pPr>
            <w:r/>
            <w:r>
              <w:rPr>
                <w:rFonts w:ascii="Calibri" w:hAnsi="Calibri"/>
                <w:b/>
                <w:color w:val="FFFFFF"/>
                <w:sz w:val="17"/>
              </w:rPr>
              <w:t>MEDIUM</w:t>
            </w:r>
          </w:p>
        </w:tc>
        <w:tc>
          <w:tcPr>
            <w:tcW w:type="dxa" w:w="2520"/>
          </w:tcPr>
          <w:p>
            <w:pPr>
              <w:spacing w:after="40" w:before="40"/>
            </w:pPr>
            <w:r/>
            <w:r>
              <w:rPr>
                <w:rFonts w:ascii="Calibri" w:hAnsi="Calibri"/>
                <w:b w:val="0"/>
                <w:sz w:val="17"/>
              </w:rPr>
              <w:t>Policy vs. Ashford Barnes; Policy vs. Inventory</w:t>
            </w:r>
          </w:p>
        </w:tc>
      </w:tr>
      <w:tr>
        <w:tc>
          <w:tcPr>
            <w:tcW w:type="dxa" w:w="432"/>
          </w:tcPr>
          <w:p>
            <w:pPr>
              <w:spacing w:after="40" w:before="40"/>
              <w:jc w:val="center"/>
            </w:pPr>
            <w:r/>
            <w:r>
              <w:rPr>
                <w:rFonts w:ascii="Calibri" w:hAnsi="Calibri"/>
                <w:b/>
                <w:sz w:val="17"/>
              </w:rPr>
              <w:t>16</w:t>
            </w:r>
          </w:p>
        </w:tc>
        <w:tc>
          <w:tcPr>
            <w:tcW w:type="dxa" w:w="3888"/>
          </w:tcPr>
          <w:p>
            <w:pPr>
              <w:spacing w:after="40" w:before="40"/>
            </w:pPr>
            <w:r/>
            <w:r>
              <w:rPr>
                <w:rFonts w:ascii="Calibri" w:hAnsi="Calibri"/>
                <w:b w:val="0"/>
                <w:sz w:val="17"/>
              </w:rPr>
              <w:t>State biometric laws beyond BIPA (TX CUBI ~310K users; WA)</w:t>
            </w:r>
          </w:p>
        </w:tc>
        <w:tc>
          <w:tcPr>
            <w:tcW w:type="dxa" w:w="2160"/>
          </w:tcPr>
          <w:p>
            <w:pPr>
              <w:spacing w:after="40" w:before="40"/>
            </w:pPr>
            <w:r/>
            <w:r>
              <w:rPr>
                <w:rFonts w:ascii="Calibri" w:hAnsi="Calibri"/>
                <w:b w:val="0"/>
                <w:sz w:val="17"/>
              </w:rPr>
              <w:t>TX CUBI; WA RCW 19.375</w:t>
            </w:r>
          </w:p>
        </w:tc>
        <w:tc>
          <w:tcPr>
            <w:tcW w:type="dxa" w:w="1080"/>
            <w:shd w:val="clear" w:color="auto" w:fill="808080"/>
          </w:tcPr>
          <w:p>
            <w:pPr>
              <w:spacing w:after="40" w:before="40"/>
              <w:jc w:val="center"/>
            </w:pPr>
            <w:r/>
            <w:r>
              <w:rPr>
                <w:rFonts w:ascii="Calibri" w:hAnsi="Calibri"/>
                <w:b/>
                <w:color w:val="FFFFFF"/>
                <w:sz w:val="17"/>
              </w:rPr>
              <w:t>MEDIUM</w:t>
            </w:r>
          </w:p>
        </w:tc>
        <w:tc>
          <w:tcPr>
            <w:tcW w:type="dxa" w:w="2520"/>
          </w:tcPr>
          <w:p>
            <w:pPr>
              <w:spacing w:after="40" w:before="40"/>
            </w:pPr>
            <w:r/>
            <w:r>
              <w:rPr>
                <w:rFonts w:ascii="Calibri" w:hAnsi="Calibri"/>
                <w:b w:val="0"/>
                <w:sz w:val="17"/>
              </w:rPr>
              <w:t>Policy vs. Inventory</w:t>
            </w:r>
          </w:p>
        </w:tc>
      </w:tr>
      <w:tr>
        <w:tc>
          <w:tcPr>
            <w:tcW w:type="dxa" w:w="432"/>
          </w:tcPr>
          <w:p>
            <w:pPr>
              <w:spacing w:after="40" w:before="40"/>
              <w:jc w:val="center"/>
            </w:pPr>
            <w:r/>
            <w:r>
              <w:rPr>
                <w:rFonts w:ascii="Calibri" w:hAnsi="Calibri"/>
                <w:b/>
                <w:sz w:val="17"/>
              </w:rPr>
              <w:t>17</w:t>
            </w:r>
          </w:p>
        </w:tc>
        <w:tc>
          <w:tcPr>
            <w:tcW w:type="dxa" w:w="3888"/>
          </w:tcPr>
          <w:p>
            <w:pPr>
              <w:spacing w:after="40" w:before="40"/>
            </w:pPr>
            <w:r/>
            <w:r>
              <w:rPr>
                <w:rFonts w:ascii="Calibri" w:hAnsi="Calibri"/>
                <w:b w:val="0"/>
                <w:sz w:val="17"/>
              </w:rPr>
              <w:t>State privacy laws (VCDPA/CPA/CTDPA) — generic; no targeted-ad/sensitive opt-out</w:t>
            </w:r>
          </w:p>
        </w:tc>
        <w:tc>
          <w:tcPr>
            <w:tcW w:type="dxa" w:w="2160"/>
          </w:tcPr>
          <w:p>
            <w:pPr>
              <w:spacing w:after="40" w:before="40"/>
            </w:pPr>
            <w:r/>
            <w:r>
              <w:rPr>
                <w:rFonts w:ascii="Calibri" w:hAnsi="Calibri"/>
                <w:b w:val="0"/>
                <w:sz w:val="17"/>
              </w:rPr>
              <w:t>VCDPA; CPA; CTDPA</w:t>
            </w:r>
          </w:p>
        </w:tc>
        <w:tc>
          <w:tcPr>
            <w:tcW w:type="dxa" w:w="1080"/>
            <w:shd w:val="clear" w:color="auto" w:fill="808080"/>
          </w:tcPr>
          <w:p>
            <w:pPr>
              <w:spacing w:after="40" w:before="40"/>
              <w:jc w:val="center"/>
            </w:pPr>
            <w:r/>
            <w:r>
              <w:rPr>
                <w:rFonts w:ascii="Calibri" w:hAnsi="Calibri"/>
                <w:b/>
                <w:color w:val="FFFFFF"/>
                <w:sz w:val="17"/>
              </w:rPr>
              <w:t>MEDIUM</w:t>
            </w:r>
          </w:p>
        </w:tc>
        <w:tc>
          <w:tcPr>
            <w:tcW w:type="dxa" w:w="2520"/>
          </w:tcPr>
          <w:p>
            <w:pPr>
              <w:spacing w:after="40" w:before="40"/>
            </w:pPr>
            <w:r/>
            <w:r>
              <w:rPr>
                <w:rFonts w:ascii="Calibri" w:hAnsi="Calibri"/>
                <w:b w:val="0"/>
                <w:sz w:val="17"/>
              </w:rPr>
              <w:t>Policy vs. Inventory; Policy vs. DSA</w:t>
            </w:r>
          </w:p>
        </w:tc>
      </w:tr>
    </w:tbl>
    <w:p>
      <w:pPr>
        <w:spacing w:before="40" w:after="0"/>
      </w:pPr>
      <w:r>
        <w:rPr>
          <w:rFonts w:ascii="Calibri" w:hAnsi="Calibri"/>
          <w:b w:val="0"/>
          <w:i w:val="0"/>
          <w:sz w:val="8"/>
        </w:rPr>
      </w:r>
    </w:p>
    <w:p>
      <w:pPr>
        <w:keepNext/>
        <w:spacing w:before="320" w:after="120"/>
        <w:pBdr>
          <w:bottom w:val="single" w:sz="6" w:space="2" w:color="1F3355"/>
        </w:pBdr>
      </w:pPr>
      <w:r>
        <w:rPr>
          <w:rFonts w:ascii="Calibri" w:hAnsi="Calibri"/>
          <w:b/>
          <w:color w:val="1F3355"/>
          <w:sz w:val="26"/>
        </w:rPr>
        <w:t>IV.  Cross-Document Compliance Issues</w:t>
      </w:r>
    </w:p>
    <w:p>
      <w:pPr>
        <w:spacing w:before="120" w:after="120"/>
      </w:pPr>
      <w:r>
        <w:rPr>
          <w:rFonts w:ascii="Calibri" w:hAnsi="Calibri"/>
          <w:b w:val="0"/>
          <w:i/>
          <w:color w:val="555555"/>
          <w:sz w:val="21"/>
        </w:rPr>
        <w:t>Each issue below identifies the cross-document evidence, the governing legal framework and exposure, and recommended remediation. Document citations are to the Privacy Policy (“Policy”), the Data Inventory (“Inventory”), the Brightly Data Sharing Agreement (“DSA”), the Incident Response Log (“Breach Log”), and the Ashford Barnes diligence letter (“Ashford Barnes”).</w:t>
      </w:r>
    </w:p>
    <w:p>
      <w:pPr>
        <w:keepNext/>
        <w:spacing w:before="240" w:after="80"/>
      </w:pPr>
      <w:r>
        <w:rPr>
          <w:rFonts w:ascii="Calibri" w:hAnsi="Calibri"/>
          <w:b/>
          <w:color w:val="1F3355"/>
          <w:sz w:val="23"/>
        </w:rPr>
        <w:t>Biometric Data / “Selfie Verify” — No Consent, No Disclosure, No Retention Schedule</w:t>
      </w:r>
      <w:r>
        <w:rPr>
          <w:rFonts w:ascii="Calibri" w:hAnsi="Calibri"/>
          <w:b/>
          <w:color w:val="C00000"/>
          <w:sz w:val="20"/>
        </w:rPr>
        <w:t xml:space="preserve">   [CRITICAL]</w:t>
      </w:r>
    </w:p>
    <w:p>
      <w:pPr>
        <w:keepNext/>
        <w:spacing w:before="160" w:after="40"/>
      </w:pPr>
      <w:r>
        <w:rPr>
          <w:rFonts w:ascii="Calibri" w:hAnsi="Calibri"/>
          <w:b/>
          <w:i/>
          <w:color w:val="555555"/>
          <w:sz w:val="21"/>
        </w:rPr>
        <w:t>Cross-Document Findings</w:t>
      </w:r>
    </w:p>
    <w:p>
      <w:pPr>
        <w:pStyle w:val="ListBullet"/>
        <w:spacing w:after="60" w:before="0"/>
      </w:pPr>
      <w:r>
        <w:rPr>
          <w:rFonts w:ascii="Calibri" w:hAnsi="Calibri"/>
          <w:b/>
          <w:sz w:val="21"/>
        </w:rPr>
        <w:t xml:space="preserve">Policy: </w:t>
      </w:r>
      <w:r>
        <w:rPr>
          <w:rFonts w:ascii="Calibri" w:hAnsi="Calibri"/>
          <w:sz w:val="21"/>
        </w:rPr>
        <w:t>Last updated January 15, 2023. The “Information We Collect” section enumerates name, email, phone, date of birth, address, SSN-last-4, financial data, device identifiers, IP, geolocation, behavioral data, and user-generated content — but contains zero mention of biometric data, facial geometry, faceprints, or Selfie Verify.</w:t>
      </w:r>
    </w:p>
    <w:p>
      <w:pPr>
        <w:pStyle w:val="ListBullet"/>
        <w:spacing w:after="60" w:before="0"/>
      </w:pPr>
      <w:r>
        <w:rPr>
          <w:rFonts w:ascii="Calibri" w:hAnsi="Calibri"/>
          <w:b/>
          <w:sz w:val="21"/>
        </w:rPr>
        <w:t xml:space="preserve">Inventory: </w:t>
      </w:r>
      <w:r>
        <w:rPr>
          <w:rFonts w:ascii="Calibri" w:hAnsi="Calibri"/>
          <w:sz w:val="21"/>
        </w:rPr>
        <w:t>DC-011 “Biometric Data — Facial Geometry” is marked “NO — NOT DISCLOSED IN PRIVACY POLICY.” Selfie Verify launched March 8, 2023 — two months after the Policy’s last update — and the Policy was never updated. Approximately 1,900,000 users have used the feature. Facial-geometry templates are retained 5 years after account creation. “NO written consent obtained”; consent mechanism is “Browsewrap only — user taps ‘Continue’.” “NO publicly available written retention/destruction policy published.” Estimated affected populations: ~87,000 Illinois, ~71,000 California, ~11,500 EU, ~310,000 Texas. BIPA Compliance Status: “NON-COMPLIANT” on all three statutory requirements. Potential BIPA statutory damages: $87,000,000 (negligent) to $435,000,000 (intentional/reckless). Classified as GDPR Art. 9 special-category data; mandatory DPIA (Art. 35(3)(b)) not conducted.</w:t>
      </w:r>
    </w:p>
    <w:p>
      <w:pPr>
        <w:pStyle w:val="ListBullet"/>
        <w:spacing w:after="60" w:before="0"/>
      </w:pPr>
      <w:r>
        <w:rPr>
          <w:rFonts w:ascii="Calibri" w:hAnsi="Calibri"/>
          <w:b/>
          <w:sz w:val="21"/>
        </w:rPr>
        <w:t xml:space="preserve">Breach Log: </w:t>
      </w:r>
      <w:r>
        <w:rPr>
          <w:rFonts w:ascii="Calibri" w:hAnsi="Calibri"/>
          <w:sz w:val="21"/>
        </w:rPr>
        <w:t>Confirms biometric template data was NOT accessed in the August 2024 incident. The BIPA exposure therefore arises from the underlying collection/retention non-compliance, not from the breach — a partial mitigant for breach-specific claims that does not cure the collection and retention violations.</w:t>
      </w:r>
    </w:p>
    <w:p>
      <w:pPr>
        <w:pStyle w:val="ListBullet"/>
        <w:spacing w:after="60" w:before="0"/>
      </w:pPr>
      <w:r>
        <w:rPr>
          <w:rFonts w:ascii="Calibri" w:hAnsi="Calibri"/>
          <w:b/>
          <w:sz w:val="21"/>
        </w:rPr>
        <w:t xml:space="preserve">Ashford Barnes: </w:t>
      </w:r>
      <w:r>
        <w:rPr>
          <w:rFonts w:ascii="Calibri" w:hAnsi="Calibri"/>
          <w:sz w:val="21"/>
        </w:rPr>
        <w:t>Flags Selfie Verify / biometric data and requests review under BIPA and “other applicable state biometric privacy statutes.”</w:t>
      </w:r>
    </w:p>
    <w:p>
      <w:pPr>
        <w:keepNext/>
        <w:spacing w:before="160" w:after="40"/>
      </w:pPr>
      <w:r>
        <w:rPr>
          <w:rFonts w:ascii="Calibri" w:hAnsi="Calibri"/>
          <w:b/>
          <w:i/>
          <w:color w:val="555555"/>
          <w:sz w:val="21"/>
        </w:rPr>
        <w:t>Legal Framework &amp; Exposure</w:t>
      </w:r>
    </w:p>
    <w:p>
      <w:pPr>
        <w:spacing w:before="120" w:after="120"/>
      </w:pPr>
      <w:r>
        <w:rPr>
          <w:rFonts w:ascii="Calibri" w:hAnsi="Calibri"/>
          <w:b w:val="0"/>
          <w:i w:val="0"/>
          <w:sz w:val="21"/>
        </w:rPr>
        <w:t>BIPA (740 ILCS 14/): §15(a) requires a publicly available written policy establishing a retention schedule and destruction guidelines — neither exists; §15(b) requires written, informed consent before collection, including disclosure of the specific purpose and duration — only a browsewrap “Continue” tap was obtained; §15(a) requires destruction within three years of purpose fulfillment unless retention is otherwise permitted — the 5-year retention has no documented justification. The private right of action ($1,000 negligent / $5,000 intentional or reckless, per violation) is the most acute exposure: with ~87,000 Illinois users, the Company’s own estimate is $87M–$435M, and BIPA has produced nine- and ten-figure settlements (e.g., Facebook, TikTok). Texas CUBI (Tex. Bus. &amp; Com. Code §503.001) requires consent before capturing biometric identifiers for a commercial purpose and is enforced by the Texas AG (civil penalty up to $25,000 per violation plus injunctive relief) — ~310,000 Texas users is large-scale AG-enforcement exposure. Washington RCW 19.375 applies similarly. GDPR Art. 9 requires explicit consent for biometric identification data — browsewrap is insufficient — and Art. 35(3)(b) mandates a DPIA. CPRA treats biometric information as sensitive personal information subject to a use/disclosure limitation right that does not exist.</w:t>
      </w:r>
    </w:p>
    <w:p>
      <w:pPr>
        <w:keepNext/>
        <w:spacing w:before="160" w:after="40"/>
      </w:pPr>
      <w:r>
        <w:rPr>
          <w:rFonts w:ascii="Calibri" w:hAnsi="Calibri"/>
          <w:b/>
          <w:i/>
          <w:color w:val="555555"/>
          <w:sz w:val="21"/>
        </w:rPr>
        <w:t>Recommended Remediation</w:t>
      </w:r>
    </w:p>
    <w:p>
      <w:pPr>
        <w:pStyle w:val="ListBullet"/>
        <w:spacing w:after="60" w:before="0"/>
      </w:pPr>
      <w:r>
        <w:rPr>
          <w:rFonts w:ascii="Calibri" w:hAnsi="Calibri"/>
          <w:sz w:val="21"/>
        </w:rPr>
        <w:t>Update the Policy to disclose Selfie Verify biometric collection, purpose, 5-year retention, and recipients.</w:t>
      </w:r>
    </w:p>
    <w:p>
      <w:pPr>
        <w:pStyle w:val="ListBullet"/>
        <w:spacing w:after="60" w:before="0"/>
      </w:pPr>
      <w:r>
        <w:rPr>
          <w:rFonts w:ascii="Calibri" w:hAnsi="Calibri"/>
          <w:sz w:val="21"/>
        </w:rPr>
        <w:t>Implement a BIPA-compliant written informed-consent flow (separate, electronically affirmed, disclosing purpose, duration, and destruction) and re-consent existing users; for users in BIPA-covered jurisdictions who cannot be re-consented, evaluate suspending the feature or deleting templates pending consent.</w:t>
      </w:r>
    </w:p>
    <w:p>
      <w:pPr>
        <w:pStyle w:val="ListBullet"/>
        <w:spacing w:after="60" w:before="0"/>
      </w:pPr>
      <w:r>
        <w:rPr>
          <w:rFonts w:ascii="Calibri" w:hAnsi="Calibri"/>
          <w:sz w:val="21"/>
        </w:rPr>
        <w:t>Publish a publicly available biometric retention schedule and destruction guidelines (satisfies BIPA §15(a), Texas CUBI, and Washington).</w:t>
      </w:r>
    </w:p>
    <w:p>
      <w:pPr>
        <w:pStyle w:val="ListBullet"/>
        <w:spacing w:after="60" w:before="0"/>
      </w:pPr>
      <w:r>
        <w:rPr>
          <w:rFonts w:ascii="Calibri" w:hAnsi="Calibri"/>
          <w:sz w:val="21"/>
        </w:rPr>
        <w:t>Document and justify the 5-year retention period or shorten it; define and implement a destruction process.</w:t>
      </w:r>
    </w:p>
    <w:p>
      <w:pPr>
        <w:pStyle w:val="ListBullet"/>
        <w:spacing w:after="60" w:before="0"/>
      </w:pPr>
      <w:r>
        <w:rPr>
          <w:rFonts w:ascii="Calibri" w:hAnsi="Calibri"/>
          <w:sz w:val="21"/>
        </w:rPr>
        <w:t>Conduct the mandatory DPIA (Art. 35(3)(b)); obtain explicit Art. 9(2)(a) consent for EU users before the Q3 2025 launch (or withhold the feature in the EU until compliant).</w:t>
      </w:r>
    </w:p>
    <w:p>
      <w:pPr>
        <w:pStyle w:val="ListBullet"/>
        <w:spacing w:after="60" w:before="0"/>
      </w:pPr>
      <w:r>
        <w:rPr>
          <w:rFonts w:ascii="Calibri" w:hAnsi="Calibri"/>
          <w:sz w:val="21"/>
        </w:rPr>
        <w:t>Quantify and reserve for BIPA exposure in deal disclosures; treat as a candidate closing condition or holdback item.</w:t>
      </w:r>
    </w:p>
    <w:p>
      <w:pPr>
        <w:keepNext/>
        <w:spacing w:before="240" w:after="80"/>
      </w:pPr>
      <w:r>
        <w:rPr>
          <w:rFonts w:ascii="Calibri" w:hAnsi="Calibri"/>
          <w:b/>
          <w:color w:val="1F3355"/>
          <w:sz w:val="23"/>
        </w:rPr>
        <w:t>No Lawful EU Transfer Mechanism — Reliance on Invalidated Privacy Shield</w:t>
      </w:r>
      <w:r>
        <w:rPr>
          <w:rFonts w:ascii="Calibri" w:hAnsi="Calibri"/>
          <w:b/>
          <w:color w:val="C00000"/>
          <w:sz w:val="20"/>
        </w:rPr>
        <w:t xml:space="preserve">   [CRITICAL]</w:t>
      </w:r>
    </w:p>
    <w:p>
      <w:pPr>
        <w:keepNext/>
        <w:spacing w:before="160" w:after="40"/>
      </w:pPr>
      <w:r>
        <w:rPr>
          <w:rFonts w:ascii="Calibri" w:hAnsi="Calibri"/>
          <w:b/>
          <w:i/>
          <w:color w:val="555555"/>
          <w:sz w:val="21"/>
        </w:rPr>
        <w:t>Cross-Document Findings</w:t>
      </w:r>
    </w:p>
    <w:p>
      <w:pPr>
        <w:pStyle w:val="ListBullet"/>
        <w:spacing w:after="60" w:before="0"/>
      </w:pPr>
      <w:r>
        <w:rPr>
          <w:rFonts w:ascii="Calibri" w:hAnsi="Calibri"/>
          <w:b/>
          <w:sz w:val="21"/>
        </w:rPr>
        <w:t xml:space="preserve">Policy: </w:t>
      </w:r>
      <w:r>
        <w:rPr>
          <w:rFonts w:ascii="Calibri" w:hAnsi="Calibri"/>
          <w:sz w:val="21"/>
        </w:rPr>
        <w:t>States that Vaultline “transfer[s] personal data to the United States in reliance on the EU-US Privacy Shield Framework” and that “Vaultline has certified its compliance with the EU-US Privacy Shield Principles.” The Privacy Shield was invalidated by the CJEU in Schrems II (Case C-311/18) on July 16, 2020 — nearly five years before the Policy’s continued reliance. No reference to SCCs, the EU-US Data Privacy Framework (DPF, adequacy decision July 10, 2023), or BCRs.</w:t>
      </w:r>
    </w:p>
    <w:p>
      <w:pPr>
        <w:pStyle w:val="ListBullet"/>
        <w:spacing w:after="60" w:before="0"/>
      </w:pPr>
      <w:r>
        <w:rPr>
          <w:rFonts w:ascii="Calibri" w:hAnsi="Calibri"/>
          <w:b/>
          <w:sz w:val="21"/>
        </w:rPr>
        <w:t xml:space="preserve">Inventory: </w:t>
      </w:r>
      <w:r>
        <w:rPr>
          <w:rFonts w:ascii="Calibri" w:hAnsi="Calibri"/>
          <w:sz w:val="21"/>
        </w:rPr>
        <w:t>IT-001: transfer mechanism “None — privacy policy references EU-US Privacy Shield (INVALIDATED by CJEU in Schrems II).” “SCCs Executed? No. DPF Certified? No. BCRs in Place? No.” ~23,000 EU-resident users’ data processed on CloudFort Virginia servers. PA-007: “No Standard Contractual Clauses in place. No DPF certification.” IT-002 (Brightly, ~870 EU users) and IT-003 (FinLink, ~19,000 EU users) likewise have no transfer mechanism. EU Processing Summary: “International Transfer Mechanism: NONE.”</w:t>
      </w:r>
    </w:p>
    <w:p>
      <w:pPr>
        <w:pStyle w:val="ListBullet"/>
        <w:spacing w:after="60" w:before="0"/>
      </w:pPr>
      <w:r>
        <w:rPr>
          <w:rFonts w:ascii="Calibri" w:hAnsi="Calibri"/>
          <w:b/>
          <w:sz w:val="21"/>
        </w:rPr>
        <w:t xml:space="preserve">Breach Log: </w:t>
      </w:r>
      <w:r>
        <w:rPr>
          <w:rFonts w:ascii="Calibri" w:hAnsi="Calibri"/>
          <w:sz w:val="21"/>
        </w:rPr>
        <w:t>Entry 5 states CloudFort confirmed “no access anomalies were detected on its Dublin, Ireland infrastructure, where EU-resident user data is partially replicated” — implying EU data is replicated to Dublin, which conflicts with the Inventory’s statement that all EU data is on Virginia servers (see Part V.A).</w:t>
      </w:r>
    </w:p>
    <w:p>
      <w:pPr>
        <w:pStyle w:val="ListBullet"/>
        <w:spacing w:after="60" w:before="0"/>
      </w:pPr>
      <w:r>
        <w:rPr>
          <w:rFonts w:ascii="Calibri" w:hAnsi="Calibri"/>
          <w:b/>
          <w:sz w:val="21"/>
        </w:rPr>
        <w:t xml:space="preserve">Ashford Barnes: </w:t>
      </w:r>
      <w:r>
        <w:rPr>
          <w:rFonts w:ascii="Calibri" w:hAnsi="Calibri"/>
          <w:sz w:val="21"/>
        </w:rPr>
        <w:t>Flags this as a “critical risk”; notes the DPF has been available since July 10, 2023 but is not utilized; notes SCCs/BCRs are not implemented; notes the Q3 2025 EU launch will amplify exposure.</w:t>
      </w:r>
    </w:p>
    <w:p>
      <w:pPr>
        <w:keepNext/>
        <w:spacing w:before="160" w:after="40"/>
      </w:pPr>
      <w:r>
        <w:rPr>
          <w:rFonts w:ascii="Calibri" w:hAnsi="Calibri"/>
          <w:b/>
          <w:i/>
          <w:color w:val="555555"/>
          <w:sz w:val="21"/>
        </w:rPr>
        <w:t>Legal Framework &amp; Exposure</w:t>
      </w:r>
    </w:p>
    <w:p>
      <w:pPr>
        <w:spacing w:before="120" w:after="120"/>
      </w:pPr>
      <w:r>
        <w:rPr>
          <w:rFonts w:ascii="Calibri" w:hAnsi="Calibri"/>
          <w:b w:val="0"/>
          <w:i w:val="0"/>
          <w:sz w:val="21"/>
        </w:rPr>
        <w:t>GDPR Chapter V: absent an adequacy decision (DPF certification), SCCs, or BCRs, all transfers of EU personal data to the United States are unlawful, and the Privacy Shield reliance has been void since July 16, 2020. Exposure includes supervisory-authority orders to suspend transfers, administrative fines up to €20M / 4% of global turnover (Art. 83(5)), private claims by data subjects (Art. 82), and injunctive relief that could halt EU processing — directly threatening the Q3 2025 launch. Separately, the Policy’s statement that Vaultline “has certified its compliance with the EU-US Privacy Shield Principles” is a potential FTC Section 5 misrepresentation if the Company was never actually Privacy-Shield-certified (the Inventory does not confirm any prior certification; see Part V.B).</w:t>
      </w:r>
    </w:p>
    <w:p>
      <w:pPr>
        <w:keepNext/>
        <w:spacing w:before="160" w:after="40"/>
      </w:pPr>
      <w:r>
        <w:rPr>
          <w:rFonts w:ascii="Calibri" w:hAnsi="Calibri"/>
          <w:b/>
          <w:i/>
          <w:color w:val="555555"/>
          <w:sz w:val="21"/>
        </w:rPr>
        <w:t>Recommended Remediation</w:t>
      </w:r>
    </w:p>
    <w:p>
      <w:pPr>
        <w:pStyle w:val="ListBullet"/>
        <w:spacing w:after="60" w:before="0"/>
      </w:pPr>
      <w:r>
        <w:rPr>
          <w:rFonts w:ascii="Calibri" w:hAnsi="Calibri"/>
          <w:sz w:val="21"/>
        </w:rPr>
        <w:t>Remove all Privacy Shield references from the Policy immediately; confirm whether certification ever existed (Part V.B).</w:t>
      </w:r>
    </w:p>
    <w:p>
      <w:pPr>
        <w:pStyle w:val="ListBullet"/>
        <w:spacing w:after="60" w:before="0"/>
      </w:pPr>
      <w:r>
        <w:rPr>
          <w:rFonts w:ascii="Calibri" w:hAnsi="Calibri"/>
          <w:sz w:val="21"/>
        </w:rPr>
        <w:t>Implement a valid transfer mechanism: execute the 2021 EC-approved SCC modules with CloudFort, Brightly, and FinLink, plus a Transfer Impact Assessment with Schrems II supplementary measures (encryption, access controls, U.S.-surveillance analysis); and/or obtain DPF certification (note DPF alone does not cover processor transfers without SCCs).</w:t>
      </w:r>
    </w:p>
    <w:p>
      <w:pPr>
        <w:pStyle w:val="ListBullet"/>
        <w:spacing w:after="60" w:before="0"/>
      </w:pPr>
      <w:r>
        <w:rPr>
          <w:rFonts w:ascii="Calibri" w:hAnsi="Calibri"/>
          <w:sz w:val="21"/>
        </w:rPr>
        <w:t>Migrate EU-resident data to the Dublin data center (CloudFort already operates it) to minimize transfer volume, and document actual data residency (reconcile Part V.A).</w:t>
      </w:r>
    </w:p>
    <w:p>
      <w:pPr>
        <w:pStyle w:val="ListBullet"/>
        <w:spacing w:after="60" w:before="0"/>
      </w:pPr>
      <w:r>
        <w:rPr>
          <w:rFonts w:ascii="Calibri" w:hAnsi="Calibri"/>
          <w:sz w:val="21"/>
        </w:rPr>
        <w:t>Designate an Art. 27 EU representative; do not proceed with the EU launch until a valid mechanism is in place.</w:t>
      </w:r>
    </w:p>
    <w:p>
      <w:pPr>
        <w:keepNext/>
        <w:spacing w:before="240" w:after="80"/>
      </w:pPr>
      <w:r>
        <w:rPr>
          <w:rFonts w:ascii="Calibri" w:hAnsi="Calibri"/>
          <w:b/>
          <w:color w:val="1F3355"/>
          <w:sz w:val="23"/>
        </w:rPr>
        <w:t>Automated Decision-Making / “Smart Insights” — Significant Effects, No Disclosure or Opt-Out</w:t>
      </w:r>
      <w:r>
        <w:rPr>
          <w:rFonts w:ascii="Calibri" w:hAnsi="Calibri"/>
          <w:b/>
          <w:color w:val="C00000"/>
          <w:sz w:val="20"/>
        </w:rPr>
        <w:t xml:space="preserve">   [CRITICAL]</w:t>
      </w:r>
    </w:p>
    <w:p>
      <w:pPr>
        <w:keepNext/>
        <w:spacing w:before="160" w:after="40"/>
      </w:pPr>
      <w:r>
        <w:rPr>
          <w:rFonts w:ascii="Calibri" w:hAnsi="Calibri"/>
          <w:b/>
          <w:i/>
          <w:color w:val="555555"/>
          <w:sz w:val="21"/>
        </w:rPr>
        <w:t>Cross-Document Findings</w:t>
      </w:r>
    </w:p>
    <w:p>
      <w:pPr>
        <w:pStyle w:val="ListBullet"/>
        <w:spacing w:after="60" w:before="0"/>
      </w:pPr>
      <w:r>
        <w:rPr>
          <w:rFonts w:ascii="Calibri" w:hAnsi="Calibri"/>
          <w:b/>
          <w:sz w:val="21"/>
        </w:rPr>
        <w:t xml:space="preserve">Policy: </w:t>
      </w:r>
      <w:r>
        <w:rPr>
          <w:rFonts w:ascii="Calibri" w:hAnsi="Calibri"/>
          <w:sz w:val="21"/>
        </w:rPr>
        <w:t>No mention of Smart Insights, artificial intelligence, automated decision-making, profiling, or credit-product eligibility decisions. The “How We Use Your Information” section references “personalized financial insights and recommendations” generically but does not disclose that an AI system autonomously determines which partner credit products are shown or hidden.</w:t>
      </w:r>
    </w:p>
    <w:p>
      <w:pPr>
        <w:pStyle w:val="ListBullet"/>
        <w:spacing w:after="60" w:before="0"/>
      </w:pPr>
      <w:r>
        <w:rPr>
          <w:rFonts w:ascii="Calibri" w:hAnsi="Calibri"/>
          <w:b/>
          <w:sz w:val="21"/>
        </w:rPr>
        <w:t xml:space="preserve">Inventory: </w:t>
      </w:r>
      <w:r>
        <w:rPr>
          <w:rFonts w:ascii="Calibri" w:hAnsi="Calibri"/>
          <w:sz w:val="21"/>
        </w:rPr>
        <w:t>PA-003 “Smart Insights — AI-Powered Financial Analysis &amp; Recommendations.” “Automated Decision-Making? YES — Fully Automated.” “Produces Legal/Significant Effects? YES — Recommends or withholds credit product offers; determines eligibility visibility for partner financial products based on AI assessment of financial profile.” ~2,800,000 active users exposed. “No disclosure of automated decision-making in privacy policy. No opt-out mechanism provided. No human review option offered.” Partner offers from 14 financial-product companies are shown/hidden based on AI scoring. DPIA required (Art. 35(3)(a)) — risk level “Critical” — not conducted.</w:t>
      </w:r>
    </w:p>
    <w:p>
      <w:pPr>
        <w:pStyle w:val="ListBullet"/>
        <w:spacing w:after="60" w:before="0"/>
      </w:pPr>
      <w:r>
        <w:rPr>
          <w:rFonts w:ascii="Calibri" w:hAnsi="Calibri"/>
          <w:b/>
          <w:sz w:val="21"/>
        </w:rPr>
        <w:t xml:space="preserve">Ashford Barnes: </w:t>
      </w:r>
      <w:r>
        <w:rPr>
          <w:rFonts w:ascii="Calibri" w:hAnsi="Calibri"/>
          <w:sz w:val="21"/>
        </w:rPr>
        <w:t>Flags Smart Insights as automated decision-making producing legal/significant effects with no disclosure; raises concerns under GDPR Art. 22 and emerging U.S. state AI-governance requirements.</w:t>
      </w:r>
    </w:p>
    <w:p>
      <w:pPr>
        <w:keepNext/>
        <w:spacing w:before="160" w:after="40"/>
      </w:pPr>
      <w:r>
        <w:rPr>
          <w:rFonts w:ascii="Calibri" w:hAnsi="Calibri"/>
          <w:b/>
          <w:i/>
          <w:color w:val="555555"/>
          <w:sz w:val="21"/>
        </w:rPr>
        <w:t>Legal Framework &amp; Exposure</w:t>
      </w:r>
    </w:p>
    <w:p>
      <w:pPr>
        <w:spacing w:before="120" w:after="120"/>
      </w:pPr>
      <w:r>
        <w:rPr>
          <w:rFonts w:ascii="Calibri" w:hAnsi="Calibri"/>
          <w:b w:val="0"/>
          <w:i w:val="0"/>
          <w:sz w:val="21"/>
        </w:rPr>
        <w:t>GDPR Art. 22: data subjects have the right not to be subject to decisions based solely on automated processing that produce legal or similarly significant effects, plus rights to human intervention, to express a view, and to contest the decision. Withholding or showing credit-product eligibility based solely on automated financial-profile scoring is the paradigm Art. 22 case; none of the required safeguards exist. Art. 13(2)(f) and 15(1)(h) require disclosure of the existence of automated decision-making, the logic involved, significance, and envisaged consequences — entirely absent. Art. 35(3)(a) mandates a DPIA — not conducted. FCRA exposure should be analyzed: if Smart Insights effectively screens or partitions users for credit offers in a manner constituting a consumer report or credit-screening function, furnisher/user obligations and adverse-action notice requirements may apply. Emerging U.S. state AI laws (e.g., the Colorado AI Act) treat financial-services risk profiling as a high-risk use case. Exposure: Art. 83(5) fines (4% / €20M), Art. 22 claims, potential FCRA exposure, and reputational harm.</w:t>
      </w:r>
    </w:p>
    <w:p>
      <w:pPr>
        <w:keepNext/>
        <w:spacing w:before="160" w:after="40"/>
      </w:pPr>
      <w:r>
        <w:rPr>
          <w:rFonts w:ascii="Calibri" w:hAnsi="Calibri"/>
          <w:b/>
          <w:i/>
          <w:color w:val="555555"/>
          <w:sz w:val="21"/>
        </w:rPr>
        <w:t>Recommended Remediation</w:t>
      </w:r>
    </w:p>
    <w:p>
      <w:pPr>
        <w:pStyle w:val="ListBullet"/>
        <w:spacing w:after="60" w:before="0"/>
      </w:pPr>
      <w:r>
        <w:rPr>
          <w:rFonts w:ascii="Calibri" w:hAnsi="Calibri"/>
          <w:sz w:val="21"/>
        </w:rPr>
        <w:t>Disclose Smart Insights automated decision-making in the Policy (existence, logic, significance, consequences) per Art. 13(2)(f).</w:t>
      </w:r>
    </w:p>
    <w:p>
      <w:pPr>
        <w:pStyle w:val="ListBullet"/>
        <w:spacing w:after="60" w:before="0"/>
      </w:pPr>
      <w:r>
        <w:rPr>
          <w:rFonts w:ascii="Calibri" w:hAnsi="Calibri"/>
          <w:sz w:val="21"/>
        </w:rPr>
        <w:t>Implement an Art. 22-compliant safeguard: human review on request, the ability to contest, and an opt-out (or, if relying on a contract/necessary basis, the explicit Art. 22 safeguards are still required for solely-automated significant decisions).</w:t>
      </w:r>
    </w:p>
    <w:p>
      <w:pPr>
        <w:pStyle w:val="ListBullet"/>
        <w:spacing w:after="60" w:before="0"/>
      </w:pPr>
      <w:r>
        <w:rPr>
          <w:rFonts w:ascii="Calibri" w:hAnsi="Calibri"/>
          <w:sz w:val="21"/>
        </w:rPr>
        <w:t>Conduct the mandatory DPIA (Art. 35(3)(a)) before further deployment; analyze FCRA applicability with the credit-bureau and partner-referral flows.</w:t>
      </w:r>
    </w:p>
    <w:p>
      <w:pPr>
        <w:pStyle w:val="ListBullet"/>
        <w:spacing w:after="60" w:before="0"/>
      </w:pPr>
      <w:r>
        <w:rPr>
          <w:rFonts w:ascii="Calibri" w:hAnsi="Calibri"/>
          <w:sz w:val="21"/>
        </w:rPr>
        <w:t>Consider pausing AI-driven credit-product gating pending compliance, especially for EU users pre-launch.</w:t>
      </w:r>
    </w:p>
    <w:p>
      <w:pPr>
        <w:keepNext/>
        <w:spacing w:before="240" w:after="80"/>
      </w:pPr>
      <w:r>
        <w:rPr>
          <w:rFonts w:ascii="Calibri" w:hAnsi="Calibri"/>
          <w:b/>
          <w:color w:val="1F3355"/>
          <w:sz w:val="23"/>
        </w:rPr>
        <w:t>August 2024 Data Breach — Omitted Notifications and 47-Day Consumer Notice</w:t>
      </w:r>
      <w:r>
        <w:rPr>
          <w:rFonts w:ascii="Calibri" w:hAnsi="Calibri"/>
          <w:b/>
          <w:color w:val="C00000"/>
          <w:sz w:val="20"/>
        </w:rPr>
        <w:t xml:space="preserve">   [CRITICAL]</w:t>
      </w:r>
    </w:p>
    <w:p>
      <w:pPr>
        <w:keepNext/>
        <w:spacing w:before="160" w:after="40"/>
      </w:pPr>
      <w:r>
        <w:rPr>
          <w:rFonts w:ascii="Calibri" w:hAnsi="Calibri"/>
          <w:b/>
          <w:i/>
          <w:color w:val="555555"/>
          <w:sz w:val="21"/>
        </w:rPr>
        <w:t>Cross-Document Findings</w:t>
      </w:r>
    </w:p>
    <w:p>
      <w:pPr>
        <w:pStyle w:val="ListBullet"/>
        <w:spacing w:after="60" w:before="0"/>
      </w:pPr>
      <w:r>
        <w:rPr>
          <w:rFonts w:ascii="Calibri" w:hAnsi="Calibri"/>
          <w:b/>
          <w:sz w:val="21"/>
        </w:rPr>
        <w:t xml:space="preserve">Breach Log: </w:t>
      </w:r>
      <w:r>
        <w:rPr>
          <w:rFonts w:ascii="Calibri" w:hAnsi="Calibri"/>
          <w:sz w:val="21"/>
        </w:rPr>
        <w:t>Discovered August 12, 2024 (phishing → compromised DevOps credential → VPN → bulk SELECT queries on the users and transactions tables). ~84,000 records exposed: full name, email, SSN-last-4, transaction history. Consumer notification distributed September 28, 2024 — 47 days after discovery. Affected geography: ~3,100 CA; ~7,200 TX; ~5,800 NY; ~4,500 FL; ~2,800 IL; ~510 EU residents.</w:t>
      </w:r>
    </w:p>
    <w:p>
      <w:pPr>
        <w:pStyle w:val="ListBullet"/>
        <w:spacing w:after="60" w:before="0"/>
      </w:pPr>
      <w:r>
        <w:rPr>
          <w:rFonts w:ascii="Calibri" w:hAnsi="Calibri"/>
          <w:b/>
          <w:sz w:val="21"/>
        </w:rPr>
        <w:t xml:space="preserve">Breach Log: </w:t>
      </w:r>
      <w:r>
        <w:rPr>
          <w:rFonts w:ascii="Calibri" w:hAnsi="Calibri"/>
          <w:sz w:val="21"/>
        </w:rPr>
        <w:t>The Notification Log (Section 6) lists only: Affected Users (Sept 28), CloudFort (Aug 13), Cyber Insurance (Aug 19), Thornbury &amp; Locke (Aug 14), and the CEO (Aug 12). It does NOT list the California Attorney General, any other state AG, any EU supervisory authority, Brightly Analytics, or FinLink.</w:t>
      </w:r>
    </w:p>
    <w:p>
      <w:pPr>
        <w:pStyle w:val="ListBullet"/>
        <w:spacing w:after="60" w:before="0"/>
      </w:pPr>
      <w:r>
        <w:rPr>
          <w:rFonts w:ascii="Calibri" w:hAnsi="Calibri"/>
          <w:b/>
          <w:sz w:val="21"/>
        </w:rPr>
        <w:t xml:space="preserve">Breach Log: </w:t>
      </w:r>
      <w:r>
        <w:rPr>
          <w:rFonts w:ascii="Calibri" w:hAnsi="Calibri"/>
          <w:sz w:val="21"/>
        </w:rPr>
        <w:t>Entry 6 (Aug 14) acknowledges that Cal. Civ. Code §1798.82(f) AG notification is required (&gt;500 California residents; ~3,100 affected) and states Vaultline “will coordinate with outside counsel” — but the final Notification Log reflects no AG notification. Entry 7 (Aug 16) flags the GDPR Art. 33 72-hour supervisory-authority notification for review — but no EU SA notification appears, and Entry 14 (Oct 11) states “No regulatory inquiries have been received.”</w:t>
      </w:r>
    </w:p>
    <w:p>
      <w:pPr>
        <w:pStyle w:val="ListBullet"/>
        <w:spacing w:after="60" w:before="0"/>
      </w:pPr>
      <w:r>
        <w:rPr>
          <w:rFonts w:ascii="Calibri" w:hAnsi="Calibri"/>
          <w:b/>
          <w:sz w:val="21"/>
        </w:rPr>
        <w:t xml:space="preserve">DSA: </w:t>
      </w:r>
      <w:r>
        <w:rPr>
          <w:rFonts w:ascii="Calibri" w:hAnsi="Calibri"/>
          <w:sz w:val="21"/>
        </w:rPr>
        <w:t>§9.2 requires each party to notify the other within 72 hours of discovering a breach “involving Shared Data or SDK Data.” The breached source data (email addresses, transaction history) is the raw input from which Shared Data (hashed emails, spending-category summaries) is derived — i.e., the breach plausibly “involved Shared Data.” No Brightly notification is documented.</w:t>
      </w:r>
    </w:p>
    <w:p>
      <w:pPr>
        <w:pStyle w:val="ListBullet"/>
        <w:spacing w:after="60" w:before="0"/>
      </w:pPr>
      <w:r>
        <w:rPr>
          <w:rFonts w:ascii="Calibri" w:hAnsi="Calibri"/>
          <w:b/>
          <w:sz w:val="21"/>
        </w:rPr>
        <w:t xml:space="preserve">Inventory: </w:t>
      </w:r>
      <w:r>
        <w:rPr>
          <w:rFonts w:ascii="Calibri" w:hAnsi="Calibri"/>
          <w:sz w:val="21"/>
        </w:rPr>
        <w:t>Confirms SSN-last-4 and transaction history are CPRA sensitive personal information; the breach thus exposed sensitive PI to 84,000 users, compounding the sensitive-PI handling gaps (Issue 7).</w:t>
      </w:r>
    </w:p>
    <w:p>
      <w:pPr>
        <w:pStyle w:val="ListBullet"/>
        <w:spacing w:after="60" w:before="0"/>
      </w:pPr>
      <w:r>
        <w:rPr>
          <w:rFonts w:ascii="Calibri" w:hAnsi="Calibri"/>
          <w:b/>
          <w:sz w:val="21"/>
        </w:rPr>
        <w:t xml:space="preserve">Ashford Barnes: </w:t>
      </w:r>
      <w:r>
        <w:rPr>
          <w:rFonts w:ascii="Calibri" w:hAnsi="Calibri"/>
          <w:sz w:val="21"/>
        </w:rPr>
        <w:t>Requests confirmation of compliance with all applicable state data-breach notification laws.</w:t>
      </w:r>
    </w:p>
    <w:p>
      <w:pPr>
        <w:keepNext/>
        <w:spacing w:before="160" w:after="40"/>
      </w:pPr>
      <w:r>
        <w:rPr>
          <w:rFonts w:ascii="Calibri" w:hAnsi="Calibri"/>
          <w:b/>
          <w:i/>
          <w:color w:val="555555"/>
          <w:sz w:val="21"/>
        </w:rPr>
        <w:t>Legal Framework &amp; Exposure</w:t>
      </w:r>
    </w:p>
    <w:p>
      <w:pPr>
        <w:spacing w:before="120" w:after="120"/>
      </w:pPr>
      <w:r>
        <w:rPr>
          <w:rFonts w:ascii="Calibri" w:hAnsi="Calibri"/>
          <w:b w:val="0"/>
          <w:i w:val="0"/>
          <w:sz w:val="21"/>
        </w:rPr>
        <w:t>California Civ. Code §1798.82 requires notification “in the most expedient time possible and without unreasonable delay”; 47 days is likely challengeable as unreasonable, and the AG notification (&gt;500 residents) appears not to have been made — a separate violation. Multiple other state breach laws require AG notification above thresholds (e.g., NY SHIELD Act, TX, FL, IL) and/or notification within specific windows; ~7,200 TX, ~5,800 NY, ~4,500 FL, and ~2,800 IL affected users implicate several AG-notification obligations that appear unmet. GDPR Art. 33 requires supervisory-authority notification within 72 hours; ~510 EU residents were affected and no SA notification is documented — a likely per se Art. 33 violation (fine up to €10M / 2% under Art. 83(4)). Art. 34 requires data-subject notice “without undue further delay” where high risk; the September 28 notice may serve as Art. 34 notice, but the 47-day delay and the missing SA notice are both problematic. DSA §9.2: failure to notify Brightly within 72 hours, if the breach “involved Shared Data,” is a contractual breach exposing Vaultline to termination (§10.3) and indemnification (§11.1) and undermining the §7.1 representations. If Vaultline is a GLBA “financial institution” (Issue 12), the breach of SSN-last-4 and transaction data may also trigger Safeguards Rule incident obligations.</w:t>
      </w:r>
    </w:p>
    <w:p>
      <w:pPr>
        <w:keepNext/>
        <w:spacing w:before="160" w:after="40"/>
      </w:pPr>
      <w:r>
        <w:rPr>
          <w:rFonts w:ascii="Calibri" w:hAnsi="Calibri"/>
          <w:b/>
          <w:i/>
          <w:color w:val="555555"/>
          <w:sz w:val="21"/>
        </w:rPr>
        <w:t>Recommended Remediation</w:t>
      </w:r>
    </w:p>
    <w:p>
      <w:pPr>
        <w:pStyle w:val="ListBullet"/>
        <w:spacing w:after="60" w:before="0"/>
      </w:pPr>
      <w:r>
        <w:rPr>
          <w:rFonts w:ascii="Calibri" w:hAnsi="Calibri"/>
          <w:sz w:val="21"/>
        </w:rPr>
        <w:t>Reconstruct and document the full notification record; if AG/EU notices were sent but not logged, produce evidence; if not sent, evaluate belated notification and a self-disclosure strategy with counsel.</w:t>
      </w:r>
    </w:p>
    <w:p>
      <w:pPr>
        <w:pStyle w:val="ListBullet"/>
        <w:spacing w:after="60" w:before="0"/>
      </w:pPr>
      <w:r>
        <w:rPr>
          <w:rFonts w:ascii="Calibri" w:hAnsi="Calibri"/>
          <w:sz w:val="21"/>
        </w:rPr>
        <w:t>Assess the 47-day consumer-notice delay against each applicable state standard and prepare a defensibility analysis; consider whether the delay should be disclosed to the investor.</w:t>
      </w:r>
    </w:p>
    <w:p>
      <w:pPr>
        <w:pStyle w:val="ListBullet"/>
        <w:spacing w:after="60" w:before="0"/>
      </w:pPr>
      <w:r>
        <w:rPr>
          <w:rFonts w:ascii="Calibri" w:hAnsi="Calibri"/>
          <w:sz w:val="21"/>
        </w:rPr>
        <w:t>Resolve the DSA §9.2 question: determine whether the breach “involved Shared Data,” and if so notify Brightly (even belatedly) and document the analysis; review FinLink MSA/DPA notice obligations.</w:t>
      </w:r>
    </w:p>
    <w:p>
      <w:pPr>
        <w:pStyle w:val="ListBullet"/>
        <w:spacing w:after="60" w:before="0"/>
      </w:pPr>
      <w:r>
        <w:rPr>
          <w:rFonts w:ascii="Calibri" w:hAnsi="Calibri"/>
          <w:sz w:val="21"/>
        </w:rPr>
        <w:t>Update the Incident Response Plan to hard-code AG, EU SA, and contractual-counterparty notification steps with deadlines; confirm the breach is accurately reflected in deal disclosures and representations.</w:t>
      </w:r>
    </w:p>
    <w:p>
      <w:pPr>
        <w:keepNext/>
        <w:spacing w:before="240" w:after="80"/>
      </w:pPr>
      <w:r>
        <w:rPr>
          <w:rFonts w:ascii="Calibri" w:hAnsi="Calibri"/>
          <w:b/>
          <w:color w:val="1F3355"/>
          <w:sz w:val="23"/>
        </w:rPr>
        <w:t>GDPR Art. 13/14 Transparency — Single-Sentence EU Disclosure</w:t>
      </w:r>
      <w:r>
        <w:rPr>
          <w:rFonts w:ascii="Calibri" w:hAnsi="Calibri"/>
          <w:b/>
          <w:color w:val="E26B0A"/>
          <w:sz w:val="20"/>
        </w:rPr>
        <w:t xml:space="preserve">   [HIGH]</w:t>
      </w:r>
    </w:p>
    <w:p>
      <w:pPr>
        <w:keepNext/>
        <w:spacing w:before="160" w:after="40"/>
      </w:pPr>
      <w:r>
        <w:rPr>
          <w:rFonts w:ascii="Calibri" w:hAnsi="Calibri"/>
          <w:b/>
          <w:i/>
          <w:color w:val="555555"/>
          <w:sz w:val="21"/>
        </w:rPr>
        <w:t>Cross-Document Findings</w:t>
      </w:r>
    </w:p>
    <w:p>
      <w:pPr>
        <w:pStyle w:val="ListBullet"/>
        <w:spacing w:after="60" w:before="0"/>
      </w:pPr>
      <w:r>
        <w:rPr>
          <w:rFonts w:ascii="Calibri" w:hAnsi="Calibri"/>
          <w:b/>
          <w:sz w:val="21"/>
        </w:rPr>
        <w:t xml:space="preserve">Policy: </w:t>
      </w:r>
      <w:r>
        <w:rPr>
          <w:rFonts w:ascii="Calibri" w:hAnsi="Calibri"/>
          <w:sz w:val="21"/>
        </w:rPr>
        <w:t>The entire EU disclosure is one sentence: “If you are located in the European Union, you may have additional rights under applicable law.” No lawful basis, no data-subject rights (Arts. 15–22), no DPO, no Art. 27 representative, no right to complain to a supervisory authority, no recipients, no retention periods, no automated decision-making information, no transfer details.</w:t>
      </w:r>
    </w:p>
    <w:p>
      <w:pPr>
        <w:pStyle w:val="ListBullet"/>
        <w:spacing w:after="60" w:before="0"/>
      </w:pPr>
      <w:r>
        <w:rPr>
          <w:rFonts w:ascii="Calibri" w:hAnsi="Calibri"/>
          <w:b/>
          <w:sz w:val="21"/>
        </w:rPr>
        <w:t xml:space="preserve">Inventory: </w:t>
      </w:r>
      <w:r>
        <w:rPr>
          <w:rFonts w:ascii="Calibri" w:hAnsi="Calibri"/>
          <w:sz w:val="21"/>
        </w:rPr>
        <w:t>EU Processing Summary: DPO “NOT APPOINTED”; EU Representative (Art. 27) “NOT APPOINTED”; Lawful Basis “NOT DOCUMENTED — privacy policy relies solely on browsewrap consent”; DPIA “NOT CONDUCTED”; Transfer Mechanism “NONE”; Art. 13/14 disclosures “MINIMAL”; Automated Decision-Making “NOT DISCLOSED”; Biometric explicit consent “NO.”</w:t>
      </w:r>
    </w:p>
    <w:p>
      <w:pPr>
        <w:pStyle w:val="ListBullet"/>
        <w:spacing w:after="60" w:before="0"/>
      </w:pPr>
      <w:r>
        <w:rPr>
          <w:rFonts w:ascii="Calibri" w:hAnsi="Calibri"/>
          <w:b/>
          <w:sz w:val="21"/>
        </w:rPr>
        <w:t xml:space="preserve">Ashford Barnes: </w:t>
      </w:r>
      <w:r>
        <w:rPr>
          <w:rFonts w:ascii="Calibri" w:hAnsi="Calibri"/>
          <w:sz w:val="21"/>
        </w:rPr>
        <w:t>Enumerates the full Art. 13/14 failures and estimates fines up to 4% of $47.3M ≈ $1.89M.</w:t>
      </w:r>
    </w:p>
    <w:p>
      <w:pPr>
        <w:keepNext/>
        <w:spacing w:before="160" w:after="40"/>
      </w:pPr>
      <w:r>
        <w:rPr>
          <w:rFonts w:ascii="Calibri" w:hAnsi="Calibri"/>
          <w:b/>
          <w:i/>
          <w:color w:val="555555"/>
          <w:sz w:val="21"/>
        </w:rPr>
        <w:t>Legal Framework &amp; Exposure</w:t>
      </w:r>
    </w:p>
    <w:p>
      <w:pPr>
        <w:spacing w:before="120" w:after="120"/>
      </w:pPr>
      <w:r>
        <w:rPr>
          <w:rFonts w:ascii="Calibri" w:hAnsi="Calibri"/>
          <w:b w:val="0"/>
          <w:i w:val="0"/>
          <w:sz w:val="21"/>
        </w:rPr>
        <w:t>GDPR Arts. 13/14 require mandatory transparency disclosures (controller identity, DPO/contact, purposes and lawful basis, recipients, transfer mechanism and safeguards, retention periods, data-subject rights, the right to withdraw consent, the right to complain to a supervisory authority, and automated decision-making information) — virtually all unmet. Art. 37 requires a DPO for large-scale processing of special-category data (biometric) and systematic monitoring — not appointed. Art. 27 requires an EU representative for non-EU-established controllers processing EU residents’ data at scale — not appointed. Exposure: Art. 83(5) fines up to €20M / 4% of global turnover (~$1.89M on $47.3M), plus Art. 83(4) for the Art. 33/34 failures and private claims under Art. 82.</w:t>
      </w:r>
    </w:p>
    <w:p>
      <w:pPr>
        <w:keepNext/>
        <w:spacing w:before="160" w:after="40"/>
      </w:pPr>
      <w:r>
        <w:rPr>
          <w:rFonts w:ascii="Calibri" w:hAnsi="Calibri"/>
          <w:b/>
          <w:i/>
          <w:color w:val="555555"/>
          <w:sz w:val="21"/>
        </w:rPr>
        <w:t>Recommended Remediation</w:t>
      </w:r>
    </w:p>
    <w:p>
      <w:pPr>
        <w:pStyle w:val="ListBullet"/>
        <w:spacing w:after="60" w:before="0"/>
      </w:pPr>
      <w:r>
        <w:rPr>
          <w:rFonts w:ascii="Calibri" w:hAnsi="Calibri"/>
          <w:sz w:val="21"/>
        </w:rPr>
        <w:t>Draft a full GDPR Art. 13/14 transparency layer for the Policy (controller identity, DPO, purposes + lawful basis per activity, recipients, transfers + safeguards, retention, rights, complaint right, ADM).</w:t>
      </w:r>
    </w:p>
    <w:p>
      <w:pPr>
        <w:pStyle w:val="ListBullet"/>
        <w:spacing w:after="60" w:before="0"/>
      </w:pPr>
      <w:r>
        <w:rPr>
          <w:rFonts w:ascii="Calibri" w:hAnsi="Calibri"/>
          <w:sz w:val="21"/>
        </w:rPr>
        <w:t>Appoint a DPO (or document a defensible exemption — unlikely given biometric + monitoring) and an Art. 27 EU representative before the EU launch.</w:t>
      </w:r>
    </w:p>
    <w:p>
      <w:pPr>
        <w:pStyle w:val="ListBullet"/>
        <w:spacing w:after="60" w:before="0"/>
      </w:pPr>
      <w:r>
        <w:rPr>
          <w:rFonts w:ascii="Calibri" w:hAnsi="Calibri"/>
          <w:sz w:val="21"/>
        </w:rPr>
        <w:t>Document a lawful basis (Art. 6) for each processing activity and explicit consent (Art. 9(2)(a)) for biometric data.</w:t>
      </w:r>
    </w:p>
    <w:p>
      <w:pPr>
        <w:keepNext/>
        <w:spacing w:before="240" w:after="80"/>
      </w:pPr>
      <w:r>
        <w:rPr>
          <w:rFonts w:ascii="Calibri" w:hAnsi="Calibri"/>
          <w:b/>
          <w:color w:val="1F3355"/>
          <w:sz w:val="23"/>
        </w:rPr>
        <w:t>CCPA/CPRA “Sale” &amp; “Sharing” via Brightly — No Opt-Out, No Disclosure</w:t>
      </w:r>
      <w:r>
        <w:rPr>
          <w:rFonts w:ascii="Calibri" w:hAnsi="Calibri"/>
          <w:b/>
          <w:color w:val="E26B0A"/>
          <w:sz w:val="20"/>
        </w:rPr>
        <w:t xml:space="preserve">   [HIGH]</w:t>
      </w:r>
    </w:p>
    <w:p>
      <w:pPr>
        <w:keepNext/>
        <w:spacing w:before="160" w:after="40"/>
      </w:pPr>
      <w:r>
        <w:rPr>
          <w:rFonts w:ascii="Calibri" w:hAnsi="Calibri"/>
          <w:b/>
          <w:i/>
          <w:color w:val="555555"/>
          <w:sz w:val="21"/>
        </w:rPr>
        <w:t>Cross-Document Findings</w:t>
      </w:r>
    </w:p>
    <w:p>
      <w:pPr>
        <w:pStyle w:val="ListBullet"/>
        <w:spacing w:after="60" w:before="0"/>
      </w:pPr>
      <w:r>
        <w:rPr>
          <w:rFonts w:ascii="Calibri" w:hAnsi="Calibri"/>
          <w:b/>
          <w:sz w:val="21"/>
        </w:rPr>
        <w:t xml:space="preserve">Policy: </w:t>
      </w:r>
      <w:r>
        <w:rPr>
          <w:rFonts w:ascii="Calibri" w:hAnsi="Calibri"/>
          <w:sz w:val="21"/>
        </w:rPr>
        <w:t>Describes “analytics and advertising partners” generically; does not name Brightly; does not disclose the specific data shared (hashed emails, age range, income bracket, spending-category summaries); does not disclose the revenue share; provides no “Do Not Sell or Share My Personal Information” link and no opt-out.</w:t>
      </w:r>
    </w:p>
    <w:p>
      <w:pPr>
        <w:pStyle w:val="ListBullet"/>
        <w:spacing w:after="60" w:before="0"/>
      </w:pPr>
      <w:r>
        <w:rPr>
          <w:rFonts w:ascii="Calibri" w:hAnsi="Calibri"/>
          <w:b/>
          <w:sz w:val="21"/>
        </w:rPr>
        <w:t xml:space="preserve">DSA: </w:t>
      </w:r>
      <w:r>
        <w:rPr>
          <w:rFonts w:ascii="Calibri" w:hAnsi="Calibri"/>
          <w:sz w:val="21"/>
        </w:rPr>
        <w:t>§2.1 Shared Data (hashed emails, age range, income bracket, spending summaries); §5.1 revenue share $0.87/MAU/month; §4.1–4.2 Brightly is an “independent data controller (and not as a data processor, service provider, or contractor)”; §3.1(c) Brightly licenses/sells audience segments to third-party advertisers; §3.2 Brightly combines the data with other sources.</w:t>
      </w:r>
    </w:p>
    <w:p>
      <w:pPr>
        <w:pStyle w:val="ListBullet"/>
        <w:spacing w:after="60" w:before="0"/>
      </w:pPr>
      <w:r>
        <w:rPr>
          <w:rFonts w:ascii="Calibri" w:hAnsi="Calibri"/>
          <w:b/>
          <w:sz w:val="21"/>
        </w:rPr>
        <w:t xml:space="preserve">Inventory: </w:t>
      </w:r>
      <w:r>
        <w:rPr>
          <w:rFonts w:ascii="Calibri" w:hAnsi="Calibri"/>
          <w:sz w:val="21"/>
        </w:rPr>
        <w:t>TS-002: “NOT CLASSIFIED — No internal CCPA sale/sharing analysis performed”; “Monetary Consideration Received? YES — $0.87 per MAU per month (~$2,641,320 annually)”; “Opt-Out Mechanism Provided? NO”; “Revenue share constitutes monetary consideration — likely ‘sale’ under CPRA. Cross-app behavioral advertising use — likely ‘sharing’ under CPRA.” DC-014 (hashed emails) and DC-015 (demographic/financial summaries) are “not specifically disclosed as shared.”</w:t>
      </w:r>
    </w:p>
    <w:p>
      <w:pPr>
        <w:pStyle w:val="ListBullet"/>
        <w:spacing w:after="60" w:before="0"/>
      </w:pPr>
      <w:r>
        <w:rPr>
          <w:rFonts w:ascii="Calibri" w:hAnsi="Calibri"/>
          <w:b/>
          <w:sz w:val="21"/>
        </w:rPr>
        <w:t xml:space="preserve">Ashford Barnes: </w:t>
      </w:r>
      <w:r>
        <w:rPr>
          <w:rFonts w:ascii="Calibri" w:hAnsi="Calibri"/>
          <w:sz w:val="21"/>
        </w:rPr>
        <w:t>Requests analysis of whether the Brightly arrangement is a “sale”/“sharing” under the CPRA and whether disclosures and opt-outs are in place.</w:t>
      </w:r>
    </w:p>
    <w:p>
      <w:pPr>
        <w:keepNext/>
        <w:spacing w:before="160" w:after="40"/>
      </w:pPr>
      <w:r>
        <w:rPr>
          <w:rFonts w:ascii="Calibri" w:hAnsi="Calibri"/>
          <w:b/>
          <w:i/>
          <w:color w:val="555555"/>
          <w:sz w:val="21"/>
        </w:rPr>
        <w:t>Legal Framework &amp; Exposure</w:t>
      </w:r>
    </w:p>
    <w:p>
      <w:pPr>
        <w:spacing w:before="120" w:after="120"/>
      </w:pPr>
      <w:r>
        <w:rPr>
          <w:rFonts w:ascii="Calibri" w:hAnsi="Calibri"/>
          <w:b w:val="0"/>
          <w:i w:val="0"/>
          <w:sz w:val="21"/>
        </w:rPr>
        <w:t>CPRA “sale” is the exchange of personal information for monetary consideration; the $0.87/MAU revenue share is monetary consideration, and Brightly is an independent controller — not a service provider/contractor (which would exempt the transfer). This is the textbook “sale” profile. CPRA “sharing” is cross-context behavioral advertising; Brightly uses the data for cross-app behavioral advertising (DSA §3.1(a)). Required: disclosure of categories sold/shared and categories of third parties, a “Do Not Sell or Share My Personal Information” link, an opt-out mechanism, and notice at collection — none exist. Exposure: CA AG and CPPA enforcement (civil penalties up to $2,500/$7,500 per violation); the ~$2.64M annual revenue stream is itself at risk if the sharing must be suspended to cure. TS-003 (14 partner referrals with referral fees) is a parallel potential “sale” not disclosed.</w:t>
      </w:r>
    </w:p>
    <w:p>
      <w:pPr>
        <w:keepNext/>
        <w:spacing w:before="160" w:after="40"/>
      </w:pPr>
      <w:r>
        <w:rPr>
          <w:rFonts w:ascii="Calibri" w:hAnsi="Calibri"/>
          <w:b/>
          <w:i/>
          <w:color w:val="555555"/>
          <w:sz w:val="21"/>
        </w:rPr>
        <w:t>Recommended Remediation</w:t>
      </w:r>
    </w:p>
    <w:p>
      <w:pPr>
        <w:pStyle w:val="ListBullet"/>
        <w:spacing w:after="60" w:before="0"/>
      </w:pPr>
      <w:r>
        <w:rPr>
          <w:rFonts w:ascii="Calibri" w:hAnsi="Calibri"/>
          <w:sz w:val="21"/>
        </w:rPr>
        <w:t>Perform and document the CCPA sale/sharing analysis (the Inventory confirms none was done).</w:t>
      </w:r>
    </w:p>
    <w:p>
      <w:pPr>
        <w:pStyle w:val="ListBullet"/>
        <w:spacing w:after="60" w:before="0"/>
      </w:pPr>
      <w:r>
        <w:rPr>
          <w:rFonts w:ascii="Calibri" w:hAnsi="Calibri"/>
          <w:sz w:val="21"/>
        </w:rPr>
        <w:t>Add a “Do Not Sell or Share My Personal Information” link and a functioning opt-out (plus a universal opt-out mechanism for signal-based opt-out, required by 2025 CPRA regulations).</w:t>
      </w:r>
    </w:p>
    <w:p>
      <w:pPr>
        <w:pStyle w:val="ListBullet"/>
        <w:spacing w:after="60" w:before="0"/>
      </w:pPr>
      <w:r>
        <w:rPr>
          <w:rFonts w:ascii="Calibri" w:hAnsi="Calibri"/>
          <w:sz w:val="21"/>
        </w:rPr>
        <w:t>Disclose the Brightly relationship, the categories shared, the revenue-share (sale), and the cross-context behavioral advertising (sharing) in the Policy.</w:t>
      </w:r>
    </w:p>
    <w:p>
      <w:pPr>
        <w:pStyle w:val="ListBullet"/>
        <w:spacing w:after="60" w:before="0"/>
      </w:pPr>
      <w:r>
        <w:rPr>
          <w:rFonts w:ascii="Calibri" w:hAnsi="Calibri"/>
          <w:sz w:val="21"/>
        </w:rPr>
        <w:t>Evaluate restructuring the Brightly relationship as a service-provider/contractor arrangement (with a DPA and CPRA service-provider terms) to take it out of “sale”/“sharing” — but note DSA §4.2 expressly disclaims service-provider status and §14.3 states no DPA exists, so restructuring requires amending the DSA.</w:t>
      </w:r>
    </w:p>
    <w:p>
      <w:pPr>
        <w:pStyle w:val="ListBullet"/>
        <w:spacing w:after="60" w:before="0"/>
      </w:pPr>
      <w:r>
        <w:rPr>
          <w:rFonts w:ascii="Calibri" w:hAnsi="Calibri"/>
          <w:sz w:val="21"/>
        </w:rPr>
        <w:t>Apply the same sale analysis to the 14 partner referral fees (TS-003).</w:t>
      </w:r>
    </w:p>
    <w:p>
      <w:pPr>
        <w:keepNext/>
        <w:spacing w:before="240" w:after="80"/>
      </w:pPr>
      <w:r>
        <w:rPr>
          <w:rFonts w:ascii="Calibri" w:hAnsi="Calibri"/>
          <w:b/>
          <w:color w:val="1F3355"/>
          <w:sz w:val="23"/>
        </w:rPr>
        <w:t>CPRA Sensitive Personal Information — Not Classified; No Limitation Opt-Out</w:t>
      </w:r>
      <w:r>
        <w:rPr>
          <w:rFonts w:ascii="Calibri" w:hAnsi="Calibri"/>
          <w:b/>
          <w:color w:val="E26B0A"/>
          <w:sz w:val="20"/>
        </w:rPr>
        <w:t xml:space="preserve">   [HIGH]</w:t>
      </w:r>
    </w:p>
    <w:p>
      <w:pPr>
        <w:keepNext/>
        <w:spacing w:before="160" w:after="40"/>
      </w:pPr>
      <w:r>
        <w:rPr>
          <w:rFonts w:ascii="Calibri" w:hAnsi="Calibri"/>
          <w:b/>
          <w:i/>
          <w:color w:val="555555"/>
          <w:sz w:val="21"/>
        </w:rPr>
        <w:t>Cross-Document Findings</w:t>
      </w:r>
    </w:p>
    <w:p>
      <w:pPr>
        <w:pStyle w:val="ListBullet"/>
        <w:spacing w:after="60" w:before="0"/>
      </w:pPr>
      <w:r>
        <w:rPr>
          <w:rFonts w:ascii="Calibri" w:hAnsi="Calibri"/>
          <w:b/>
          <w:sz w:val="21"/>
        </w:rPr>
        <w:t xml:space="preserve">Policy: </w:t>
      </w:r>
      <w:r>
        <w:rPr>
          <w:rFonts w:ascii="Calibri" w:hAnsi="Calibri"/>
          <w:sz w:val="21"/>
        </w:rPr>
        <w:t>Does not classify any data as “sensitive personal information.” States SSN-last-4 is collected “solely for the purpose of verifying identity” without flagging it as sensitive. No “Limit the Use and Disclosure of My Sensitive Personal Information” link or mechanism.</w:t>
      </w:r>
    </w:p>
    <w:p>
      <w:pPr>
        <w:pStyle w:val="ListBullet"/>
        <w:spacing w:after="60" w:before="0"/>
      </w:pPr>
      <w:r>
        <w:rPr>
          <w:rFonts w:ascii="Calibri" w:hAnsi="Calibri"/>
          <w:b/>
          <w:sz w:val="21"/>
        </w:rPr>
        <w:t xml:space="preserve">Inventory: </w:t>
      </w:r>
      <w:r>
        <w:rPr>
          <w:rFonts w:ascii="Calibri" w:hAnsi="Calibri"/>
          <w:sz w:val="21"/>
        </w:rPr>
        <w:t>Flags seven CPRA-sensitive categories — DC-003 (SSN-last-4), DC-004 (financial account info), DC-005 (transaction history), DC-006 (income), DC-007 (credit score), DC-010 (precise geolocation), DC-011 (biometric) — several annotated “Privacy policy does not classify as sensitive PI” / “not flagged as sensitive in privacy policy.”</w:t>
      </w:r>
    </w:p>
    <w:p>
      <w:pPr>
        <w:pStyle w:val="ListBullet"/>
        <w:spacing w:after="60" w:before="0"/>
      </w:pPr>
      <w:r>
        <w:rPr>
          <w:rFonts w:ascii="Calibri" w:hAnsi="Calibri"/>
          <w:b/>
          <w:sz w:val="21"/>
        </w:rPr>
        <w:t xml:space="preserve">Breach Log: </w:t>
      </w:r>
      <w:r>
        <w:rPr>
          <w:rFonts w:ascii="Calibri" w:hAnsi="Calibri"/>
          <w:sz w:val="21"/>
        </w:rPr>
        <w:t>Confirms SSN-last-4 and transaction history (both sensitive PI) were exposed to 84,000 users — underscoring the sensitivity.</w:t>
      </w:r>
    </w:p>
    <w:p>
      <w:pPr>
        <w:keepNext/>
        <w:spacing w:before="160" w:after="40"/>
      </w:pPr>
      <w:r>
        <w:rPr>
          <w:rFonts w:ascii="Calibri" w:hAnsi="Calibri"/>
          <w:b/>
          <w:i/>
          <w:color w:val="555555"/>
          <w:sz w:val="21"/>
        </w:rPr>
        <w:t>Legal Framework &amp; Exposure</w:t>
      </w:r>
    </w:p>
    <w:p>
      <w:pPr>
        <w:spacing w:before="120" w:after="120"/>
      </w:pPr>
      <w:r>
        <w:rPr>
          <w:rFonts w:ascii="Calibri" w:hAnsi="Calibri"/>
          <w:b w:val="0"/>
          <w:i w:val="0"/>
          <w:sz w:val="21"/>
        </w:rPr>
        <w:t>CPRA gives consumers the right to limit use and disclosure of sensitive PI to what is necessary to perform the services or provide the goods. Sensitive PI includes SSN, financial-account information, precise geolocation, and biometric information. Required: disclosure of the categories of sensitive PI collected and a “Limit the Use of My Sensitive Personal Information” opt-out link — none exist. The breadth (financial data for ~3.2M linked-account users; biometric for ~1.9M) makes this high-volume CA AG / CPPA exposure. Notably, sharing spending-category summaries with Brightly is almost certainly not “necessary to perform the services,” which reinforces the sale/sharing problem in Issue 6.</w:t>
      </w:r>
    </w:p>
    <w:p>
      <w:pPr>
        <w:keepNext/>
        <w:spacing w:before="160" w:after="40"/>
      </w:pPr>
      <w:r>
        <w:rPr>
          <w:rFonts w:ascii="Calibri" w:hAnsi="Calibri"/>
          <w:b/>
          <w:i/>
          <w:color w:val="555555"/>
          <w:sz w:val="21"/>
        </w:rPr>
        <w:t>Recommended Remediation</w:t>
      </w:r>
    </w:p>
    <w:p>
      <w:pPr>
        <w:pStyle w:val="ListBullet"/>
        <w:spacing w:after="60" w:before="0"/>
      </w:pPr>
      <w:r>
        <w:rPr>
          <w:rFonts w:ascii="Calibri" w:hAnsi="Calibri"/>
          <w:sz w:val="21"/>
        </w:rPr>
        <w:t>Identify and disclose sensitive-PI categories in the Policy; implement a “Limit the Use of My Sensitive Personal Information” mechanism.</w:t>
      </w:r>
    </w:p>
    <w:p>
      <w:pPr>
        <w:pStyle w:val="ListBullet"/>
        <w:spacing w:after="60" w:before="0"/>
      </w:pPr>
      <w:r>
        <w:rPr>
          <w:rFonts w:ascii="Calibri" w:hAnsi="Calibri"/>
          <w:sz w:val="21"/>
        </w:rPr>
        <w:t>Audit use and disclosure of sensitive PI against the “necessary to perform services” standard (e.g., the Brightly sharing).</w:t>
      </w:r>
    </w:p>
    <w:p>
      <w:pPr>
        <w:keepNext/>
        <w:spacing w:before="240" w:after="80"/>
      </w:pPr>
      <w:r>
        <w:rPr>
          <w:rFonts w:ascii="Calibri" w:hAnsi="Calibri"/>
          <w:b/>
          <w:color w:val="1F3355"/>
          <w:sz w:val="23"/>
        </w:rPr>
        <w:t>CCPA/CPRA Consumer Rights — Only “Right to Know” Disclosed</w:t>
      </w:r>
      <w:r>
        <w:rPr>
          <w:rFonts w:ascii="Calibri" w:hAnsi="Calibri"/>
          <w:b/>
          <w:color w:val="E26B0A"/>
          <w:sz w:val="20"/>
        </w:rPr>
        <w:t xml:space="preserve">   [HIGH]</w:t>
      </w:r>
    </w:p>
    <w:p>
      <w:pPr>
        <w:keepNext/>
        <w:spacing w:before="160" w:after="40"/>
      </w:pPr>
      <w:r>
        <w:rPr>
          <w:rFonts w:ascii="Calibri" w:hAnsi="Calibri"/>
          <w:b/>
          <w:i/>
          <w:color w:val="555555"/>
          <w:sz w:val="21"/>
        </w:rPr>
        <w:t>Cross-Document Findings</w:t>
      </w:r>
    </w:p>
    <w:p>
      <w:pPr>
        <w:pStyle w:val="ListBullet"/>
        <w:spacing w:after="60" w:before="0"/>
      </w:pPr>
      <w:r>
        <w:rPr>
          <w:rFonts w:ascii="Calibri" w:hAnsi="Calibri"/>
          <w:b/>
          <w:sz w:val="21"/>
        </w:rPr>
        <w:t xml:space="preserve">Policy: </w:t>
      </w:r>
      <w:r>
        <w:rPr>
          <w:rFonts w:ascii="Calibri" w:hAnsi="Calibri"/>
          <w:sz w:val="21"/>
        </w:rPr>
        <w:t>The California section discloses only the right to know (“request to know what personal information we have collected”). Does not mention deletion, correction, opt-out of sale/sharing, sensitive-PI limitation, or non-discrimination. Provides only an email (privacy@vaultline.com) with a 30-business-day response caveat.</w:t>
      </w:r>
    </w:p>
    <w:p>
      <w:pPr>
        <w:pStyle w:val="ListBullet"/>
        <w:spacing w:after="60" w:before="0"/>
      </w:pPr>
      <w:r>
        <w:rPr>
          <w:rFonts w:ascii="Calibri" w:hAnsi="Calibri"/>
          <w:b/>
          <w:sz w:val="21"/>
        </w:rPr>
        <w:t xml:space="preserve">Inventory: </w:t>
      </w:r>
      <w:r>
        <w:rPr>
          <w:rFonts w:ascii="Calibri" w:hAnsi="Calibri"/>
          <w:sz w:val="21"/>
        </w:rPr>
        <w:t>Confirms the breadth of collection and the sale/sharing that trigger the omitted rights.</w:t>
      </w:r>
    </w:p>
    <w:p>
      <w:pPr>
        <w:pStyle w:val="ListBullet"/>
        <w:spacing w:after="60" w:before="0"/>
      </w:pPr>
      <w:r>
        <w:rPr>
          <w:rFonts w:ascii="Calibri" w:hAnsi="Calibri"/>
          <w:b/>
          <w:sz w:val="21"/>
        </w:rPr>
        <w:t xml:space="preserve">Ashford Barnes: </w:t>
      </w:r>
      <w:r>
        <w:rPr>
          <w:rFonts w:ascii="Calibri" w:hAnsi="Calibri"/>
          <w:sz w:val="21"/>
        </w:rPr>
        <w:t>Flags that only the right to know is referenced and requests verification of the full CPRA rights suite.</w:t>
      </w:r>
    </w:p>
    <w:p>
      <w:pPr>
        <w:keepNext/>
        <w:spacing w:before="160" w:after="40"/>
      </w:pPr>
      <w:r>
        <w:rPr>
          <w:rFonts w:ascii="Calibri" w:hAnsi="Calibri"/>
          <w:b/>
          <w:i/>
          <w:color w:val="555555"/>
          <w:sz w:val="21"/>
        </w:rPr>
        <w:t>Legal Framework &amp; Exposure</w:t>
      </w:r>
    </w:p>
    <w:p>
      <w:pPr>
        <w:spacing w:before="120" w:after="120"/>
      </w:pPr>
      <w:r>
        <w:rPr>
          <w:rFonts w:ascii="Calibri" w:hAnsi="Calibri"/>
          <w:b w:val="0"/>
          <w:i w:val="0"/>
          <w:sz w:val="21"/>
        </w:rPr>
        <w:t>CCPA/CPRA rights include know, delete, correct, opt-out of sale/sharing, limit sensitive PI, and non-discrimination (plus, under CPRA, additional rights for employees/contractors). The Policy omits all but “know.” Required methods: two or more designated submission methods, a “Do Not Sell or Share” link, a “Limit Sensitive PI” link, and a 45-day response (extendable). The Policy’s single email and 30-business-day caveat are incomplete.</w:t>
      </w:r>
    </w:p>
    <w:p>
      <w:pPr>
        <w:keepNext/>
        <w:spacing w:before="160" w:after="40"/>
      </w:pPr>
      <w:r>
        <w:rPr>
          <w:rFonts w:ascii="Calibri" w:hAnsi="Calibri"/>
          <w:b/>
          <w:i/>
          <w:color w:val="555555"/>
          <w:sz w:val="21"/>
        </w:rPr>
        <w:t>Recommended Remediation</w:t>
      </w:r>
    </w:p>
    <w:p>
      <w:pPr>
        <w:pStyle w:val="ListBullet"/>
        <w:spacing w:after="60" w:before="0"/>
      </w:pPr>
      <w:r>
        <w:rPr>
          <w:rFonts w:ascii="Calibri" w:hAnsi="Calibri"/>
          <w:sz w:val="21"/>
        </w:rPr>
        <w:t>Rewrite the California section to enumerate all CPRA rights, submission methods, and timelines; add the required opt-out links.</w:t>
      </w:r>
    </w:p>
    <w:p>
      <w:pPr>
        <w:keepNext/>
        <w:spacing w:before="240" w:after="80"/>
      </w:pPr>
      <w:r>
        <w:rPr>
          <w:rFonts w:ascii="Calibri" w:hAnsi="Calibri"/>
          <w:b/>
          <w:color w:val="1F3355"/>
          <w:sz w:val="23"/>
        </w:rPr>
        <w:t>Data Retention — Indefinite; No Periods, Schedule, or Destruction Method</w:t>
      </w:r>
      <w:r>
        <w:rPr>
          <w:rFonts w:ascii="Calibri" w:hAnsi="Calibri"/>
          <w:b/>
          <w:color w:val="E26B0A"/>
          <w:sz w:val="20"/>
        </w:rPr>
        <w:t xml:space="preserve">   [HIGH]</w:t>
      </w:r>
    </w:p>
    <w:p>
      <w:pPr>
        <w:keepNext/>
        <w:spacing w:before="160" w:after="40"/>
      </w:pPr>
      <w:r>
        <w:rPr>
          <w:rFonts w:ascii="Calibri" w:hAnsi="Calibri"/>
          <w:b/>
          <w:i/>
          <w:color w:val="555555"/>
          <w:sz w:val="21"/>
        </w:rPr>
        <w:t>Cross-Document Findings</w:t>
      </w:r>
    </w:p>
    <w:p>
      <w:pPr>
        <w:pStyle w:val="ListBullet"/>
        <w:spacing w:after="60" w:before="0"/>
      </w:pPr>
      <w:r>
        <w:rPr>
          <w:rFonts w:ascii="Calibri" w:hAnsi="Calibri"/>
          <w:b/>
          <w:sz w:val="21"/>
        </w:rPr>
        <w:t xml:space="preserve">Policy: </w:t>
      </w:r>
      <w:r>
        <w:rPr>
          <w:rFonts w:ascii="Calibri" w:hAnsi="Calibri"/>
          <w:sz w:val="21"/>
        </w:rPr>
        <w:t>“We retain your personal information for as long as necessary to fulfill the purposes for which it was collected…” — no specific retention periods for any category.</w:t>
      </w:r>
    </w:p>
    <w:p>
      <w:pPr>
        <w:pStyle w:val="ListBullet"/>
        <w:spacing w:after="60" w:before="0"/>
      </w:pPr>
      <w:r>
        <w:rPr>
          <w:rFonts w:ascii="Calibri" w:hAnsi="Calibri"/>
          <w:b/>
          <w:sz w:val="21"/>
        </w:rPr>
        <w:t xml:space="preserve">Inventory: </w:t>
      </w:r>
      <w:r>
        <w:rPr>
          <w:rFonts w:ascii="Calibri" w:hAnsi="Calibri"/>
          <w:sz w:val="21"/>
        </w:rPr>
        <w:t>Data Retention tab: every category retained “Indefinite” except DC-011 biometric (5 years after account creation). “Deletion Upon Account Closure? No — retained indefinitely after account deletion” for all. “Formal Retention Schedule Documented? No.” “Destruction Method: Not defined.” DC-011: “No — no publicly available written retention/destruction policy”; “Not defined — no destruction guidelines established.” Notes: “BIPA requires publicly available retention schedule AND destruction guidelines. Neither exists.”</w:t>
      </w:r>
    </w:p>
    <w:p>
      <w:pPr>
        <w:pStyle w:val="ListBullet"/>
        <w:spacing w:after="60" w:before="0"/>
      </w:pPr>
      <w:r>
        <w:rPr>
          <w:rFonts w:ascii="Calibri" w:hAnsi="Calibri"/>
          <w:b/>
          <w:sz w:val="21"/>
        </w:rPr>
        <w:t xml:space="preserve">Ashford Barnes: </w:t>
      </w:r>
      <w:r>
        <w:rPr>
          <w:rFonts w:ascii="Calibri" w:hAnsi="Calibri"/>
          <w:sz w:val="21"/>
        </w:rPr>
        <w:t>Flags the absence of retention periods as both a CPRA disclosure requirement and a GDPR Art. 5(1)(e) storage-limitation issue.</w:t>
      </w:r>
    </w:p>
    <w:p>
      <w:pPr>
        <w:keepNext/>
        <w:spacing w:before="160" w:after="40"/>
      </w:pPr>
      <w:r>
        <w:rPr>
          <w:rFonts w:ascii="Calibri" w:hAnsi="Calibri"/>
          <w:b/>
          <w:i/>
          <w:color w:val="555555"/>
          <w:sz w:val="21"/>
        </w:rPr>
        <w:t>Legal Framework &amp; Exposure</w:t>
      </w:r>
    </w:p>
    <w:p>
      <w:pPr>
        <w:spacing w:before="120" w:after="120"/>
      </w:pPr>
      <w:r>
        <w:rPr>
          <w:rFonts w:ascii="Calibri" w:hAnsi="Calibri"/>
          <w:b w:val="0"/>
          <w:i w:val="0"/>
          <w:sz w:val="21"/>
        </w:rPr>
        <w:t>GDPR Art. 5(1)(e) (storage limitation): indefinite retention of all categories — including sensitive financial data and biometric templates — violates the principle. CPRA requires disclosure of retention periods for each category of PI — absent. BIPA §15(a) requires a publicly available retention schedule and destruction guidelines for biometric data — absent (compounds Issue 1). Indefinite retention of sensitive PI (SSN-last-4, financial accounts, transactions, precise geolocation, biometric) after account deletion materially increases breach and regulatory exposure.</w:t>
      </w:r>
    </w:p>
    <w:p>
      <w:pPr>
        <w:keepNext/>
        <w:spacing w:before="160" w:after="40"/>
      </w:pPr>
      <w:r>
        <w:rPr>
          <w:rFonts w:ascii="Calibri" w:hAnsi="Calibri"/>
          <w:b/>
          <w:i/>
          <w:color w:val="555555"/>
          <w:sz w:val="21"/>
        </w:rPr>
        <w:t>Recommended Remediation</w:t>
      </w:r>
    </w:p>
    <w:p>
      <w:pPr>
        <w:pStyle w:val="ListBullet"/>
        <w:spacing w:after="60" w:before="0"/>
      </w:pPr>
      <w:r>
        <w:rPr>
          <w:rFonts w:ascii="Calibri" w:hAnsi="Calibri"/>
          <w:sz w:val="21"/>
        </w:rPr>
        <w:t>Establish and document a formal retention schedule with defined periods and destruction methods per category; implement deletion-on-account-closure with documented legal-hold exceptions.</w:t>
      </w:r>
    </w:p>
    <w:p>
      <w:pPr>
        <w:pStyle w:val="ListBullet"/>
        <w:spacing w:after="60" w:before="0"/>
      </w:pPr>
      <w:r>
        <w:rPr>
          <w:rFonts w:ascii="Calibri" w:hAnsi="Calibri"/>
          <w:sz w:val="21"/>
        </w:rPr>
        <w:t>Publish retention periods in the Policy (CPRA) and a biometric retention/destruction policy (BIPA); reconcile the 5-year biometric retention with a documented justification or shorten it.</w:t>
      </w:r>
    </w:p>
    <w:p>
      <w:pPr>
        <w:keepNext/>
        <w:spacing w:before="240" w:after="80"/>
      </w:pPr>
      <w:r>
        <w:rPr>
          <w:rFonts w:ascii="Calibri" w:hAnsi="Calibri"/>
          <w:b/>
          <w:color w:val="1F3355"/>
          <w:sz w:val="23"/>
        </w:rPr>
        <w:t>Brightly DSA §7.1(b)/(c) Representations Arguably False; No DPA or CCPA Terms</w:t>
      </w:r>
      <w:r>
        <w:rPr>
          <w:rFonts w:ascii="Calibri" w:hAnsi="Calibri"/>
          <w:b/>
          <w:color w:val="E26B0A"/>
          <w:sz w:val="20"/>
        </w:rPr>
        <w:t xml:space="preserve">   [HIGH]</w:t>
      </w:r>
    </w:p>
    <w:p>
      <w:pPr>
        <w:keepNext/>
        <w:spacing w:before="160" w:after="40"/>
      </w:pPr>
      <w:r>
        <w:rPr>
          <w:rFonts w:ascii="Calibri" w:hAnsi="Calibri"/>
          <w:b/>
          <w:i/>
          <w:color w:val="555555"/>
          <w:sz w:val="21"/>
        </w:rPr>
        <w:t>Cross-Document Findings</w:t>
      </w:r>
    </w:p>
    <w:p>
      <w:pPr>
        <w:pStyle w:val="ListBullet"/>
        <w:spacing w:after="60" w:before="0"/>
      </w:pPr>
      <w:r>
        <w:rPr>
          <w:rFonts w:ascii="Calibri" w:hAnsi="Calibri"/>
          <w:b/>
          <w:sz w:val="21"/>
        </w:rPr>
        <w:t xml:space="preserve">DSA: </w:t>
      </w:r>
      <w:r>
        <w:rPr>
          <w:rFonts w:ascii="Calibri" w:hAnsi="Calibri"/>
          <w:sz w:val="21"/>
        </w:rPr>
        <w:t>§7.1(b): Vaultline represents that “The sharing of Shared Data with Brightly is consistent with Vaultline’s privacy policy as published on vaultline.com.” Given that the Policy does not disclose the specific Shared Data categories, Brightly’s independent-controller status, the sale of audience segments, or the revenue share, this representation is arguably false. §7.1(c): Vaultline represents it “has obtained all necessary consents, authorizations, and approvals from Company Users required for the sharing of Shared Data with Brightly for the Permitted Uses” — questionable given browsewrap-only consent and no specific disclosure.</w:t>
      </w:r>
    </w:p>
    <w:p>
      <w:pPr>
        <w:pStyle w:val="ListBullet"/>
        <w:spacing w:after="60" w:before="0"/>
      </w:pPr>
      <w:r>
        <w:rPr>
          <w:rFonts w:ascii="Calibri" w:hAnsi="Calibri"/>
          <w:b/>
          <w:sz w:val="21"/>
        </w:rPr>
        <w:t xml:space="preserve">DSA: </w:t>
      </w:r>
      <w:r>
        <w:rPr>
          <w:rFonts w:ascii="Calibri" w:hAnsi="Calibri"/>
          <w:sz w:val="21"/>
        </w:rPr>
        <w:t>§4.1–4.2 classify Brightly as an independent controller (not a service provider/contractor), so the transfer is a “sale”/“sharing” under CPRA, yet the DSA contains no CCPA/CPRA-specific provisions. §14.3: “There are no data processing addenda, supplemental privacy agreements, or other side agreements” — i.e., no DPA, no CPRA service-provider terms. §3.1(f) (added by the June 15, 2024 First Amendment) expanded permitted uses to include distributing aggregate reports to third-party advertisers — not reflected in the Policy. §11.1: Vaultline indemnifies Brightly for claims arising from Vaultline’s failure to obtain consents or its breach of representations — i.e., the false-representation risk flows back to Vaultline.</w:t>
      </w:r>
    </w:p>
    <w:p>
      <w:pPr>
        <w:pStyle w:val="ListBullet"/>
        <w:spacing w:after="60" w:before="0"/>
      </w:pPr>
      <w:r>
        <w:rPr>
          <w:rFonts w:ascii="Calibri" w:hAnsi="Calibri"/>
          <w:b/>
          <w:sz w:val="21"/>
        </w:rPr>
        <w:t xml:space="preserve">Inventory: </w:t>
      </w:r>
      <w:r>
        <w:rPr>
          <w:rFonts w:ascii="Calibri" w:hAnsi="Calibri"/>
          <w:sz w:val="21"/>
        </w:rPr>
        <w:t>TS-002 confirms “No CCPA-specific provisions in agreement. No data processing addendum.”</w:t>
      </w:r>
    </w:p>
    <w:p>
      <w:pPr>
        <w:keepNext/>
        <w:spacing w:before="160" w:after="40"/>
      </w:pPr>
      <w:r>
        <w:rPr>
          <w:rFonts w:ascii="Calibri" w:hAnsi="Calibri"/>
          <w:b/>
          <w:i/>
          <w:color w:val="555555"/>
          <w:sz w:val="21"/>
        </w:rPr>
        <w:t>Legal Framework &amp; Exposure</w:t>
      </w:r>
    </w:p>
    <w:p>
      <w:pPr>
        <w:spacing w:before="120" w:after="120"/>
      </w:pPr>
      <w:r>
        <w:rPr>
          <w:rFonts w:ascii="Calibri" w:hAnsi="Calibri"/>
          <w:b w:val="0"/>
          <w:i w:val="0"/>
          <w:sz w:val="21"/>
        </w:rPr>
        <w:t>Contract: if §7.1(b)/(c) are false, Vaultline is in breach of the DSA, exposing it to termination for cause (§10.3), indemnification (§11.1), and liability capped at 12 months of revenue share (~$2.64M) — though indemnification is carved out of the cap. CCPA/CPRA: independent-controller status plus monetary consideration equals sale/sharing, and the absence of a DPA/service-provider terms means no exemption. GDPR: Brightly as an independent controller of EU data (IT-002, ~870 users) with no Art. 28 DPA and no transfer mechanism.</w:t>
      </w:r>
    </w:p>
    <w:p>
      <w:pPr>
        <w:keepNext/>
        <w:spacing w:before="160" w:after="40"/>
      </w:pPr>
      <w:r>
        <w:rPr>
          <w:rFonts w:ascii="Calibri" w:hAnsi="Calibri"/>
          <w:b/>
          <w:i/>
          <w:color w:val="555555"/>
          <w:sz w:val="21"/>
        </w:rPr>
        <w:t>Recommended Remediation</w:t>
      </w:r>
    </w:p>
    <w:p>
      <w:pPr>
        <w:pStyle w:val="ListBullet"/>
        <w:spacing w:after="60" w:before="0"/>
      </w:pPr>
      <w:r>
        <w:rPr>
          <w:rFonts w:ascii="Calibri" w:hAnsi="Calibri"/>
          <w:sz w:val="21"/>
        </w:rPr>
        <w:t>Cure the §7.1(b)/(c) representations by updating the Policy to disclose the Brightly sharing; because §14.3 disclaims side agreements, curing the contract requires a formal amendment (or a side letter acknowledging the gap and a cure period).</w:t>
      </w:r>
    </w:p>
    <w:p>
      <w:pPr>
        <w:pStyle w:val="ListBullet"/>
        <w:spacing w:after="60" w:before="0"/>
      </w:pPr>
      <w:r>
        <w:rPr>
          <w:rFonts w:ascii="Calibri" w:hAnsi="Calibri"/>
          <w:sz w:val="21"/>
        </w:rPr>
        <w:t>Negotiate a DPA / CPRA service-provider addendum (amending §4.2 and §14.3) if the parties intend to take the transfer out of “sale”/“sharing”; otherwise implement the opt-out (Issue 6).</w:t>
      </w:r>
    </w:p>
    <w:p>
      <w:pPr>
        <w:pStyle w:val="ListBullet"/>
        <w:spacing w:after="60" w:before="0"/>
      </w:pPr>
      <w:r>
        <w:rPr>
          <w:rFonts w:ascii="Calibri" w:hAnsi="Calibri"/>
          <w:sz w:val="21"/>
        </w:rPr>
        <w:t>Reflect the June 2024 amendment’s expanded uses in the Policy; evaluate indemnification exposure and whether the DSA should be disclosed or assigned in the financing.</w:t>
      </w:r>
    </w:p>
    <w:p>
      <w:pPr>
        <w:keepNext/>
        <w:spacing w:before="240" w:after="80"/>
      </w:pPr>
      <w:r>
        <w:rPr>
          <w:rFonts w:ascii="Calibri" w:hAnsi="Calibri"/>
          <w:b/>
          <w:color w:val="1F3355"/>
          <w:sz w:val="23"/>
        </w:rPr>
        <w:t>Cookies / ePrivacy — 34 Cookies, “Accept All” Only, Fire Before Consent</w:t>
      </w:r>
      <w:r>
        <w:rPr>
          <w:rFonts w:ascii="Calibri" w:hAnsi="Calibri"/>
          <w:b/>
          <w:color w:val="E26B0A"/>
          <w:sz w:val="20"/>
        </w:rPr>
        <w:t xml:space="preserve">   [HIGH]</w:t>
      </w:r>
    </w:p>
    <w:p>
      <w:pPr>
        <w:keepNext/>
        <w:spacing w:before="160" w:after="40"/>
      </w:pPr>
      <w:r>
        <w:rPr>
          <w:rFonts w:ascii="Calibri" w:hAnsi="Calibri"/>
          <w:b/>
          <w:i/>
          <w:color w:val="555555"/>
          <w:sz w:val="21"/>
        </w:rPr>
        <w:t>Cross-Document Findings</w:t>
      </w:r>
    </w:p>
    <w:p>
      <w:pPr>
        <w:pStyle w:val="ListBullet"/>
        <w:spacing w:after="60" w:before="0"/>
      </w:pPr>
      <w:r>
        <w:rPr>
          <w:rFonts w:ascii="Calibri" w:hAnsi="Calibri"/>
          <w:b/>
          <w:sz w:val="21"/>
        </w:rPr>
        <w:t xml:space="preserve">Policy: </w:t>
      </w:r>
      <w:r>
        <w:rPr>
          <w:rFonts w:ascii="Calibri" w:hAnsi="Calibri"/>
          <w:sz w:val="21"/>
        </w:rPr>
        <w:t>Generic cookies section; tells users to adjust browser settings; no consent-banner description, no granular consent, no reject option; no Do Not Track / CalOPPA disclosure.</w:t>
      </w:r>
    </w:p>
    <w:p>
      <w:pPr>
        <w:pStyle w:val="ListBullet"/>
        <w:spacing w:after="60" w:before="0"/>
      </w:pPr>
      <w:r>
        <w:rPr>
          <w:rFonts w:ascii="Calibri" w:hAnsi="Calibri"/>
          <w:b/>
          <w:sz w:val="21"/>
        </w:rPr>
        <w:t xml:space="preserve">Inventory: </w:t>
      </w:r>
      <w:r>
        <w:rPr>
          <w:rFonts w:ascii="Calibri" w:hAnsi="Calibri"/>
          <w:sz w:val="21"/>
        </w:rPr>
        <w:t>Cookie Inventory tab: 34 cookies total; 29 third-party advertising/tracking (4 Brightly + 25 other third-party networks); 32 require consent. Banner: “Accept All Button Only”; “Reject Option Available: NO”; “Customize/Manage Preferences Option: NO”; “Granular Category Consent: NO”; “Banner Blocks Cookies Before Consent: NO — all cookies fire on page load regardless of banner interaction.” Implementation October 2021. Notes: violates the ePrivacy Directive for EU users; does not meet GDPR consent standards (Art. 4(11)/7); no DNT signal detection; CalOPPA DNT disclosure not in the Policy.</w:t>
      </w:r>
    </w:p>
    <w:p>
      <w:pPr>
        <w:keepNext/>
        <w:spacing w:before="160" w:after="40"/>
      </w:pPr>
      <w:r>
        <w:rPr>
          <w:rFonts w:ascii="Calibri" w:hAnsi="Calibri"/>
          <w:b/>
          <w:i/>
          <w:color w:val="555555"/>
          <w:sz w:val="21"/>
        </w:rPr>
        <w:t>Legal Framework &amp; Exposure</w:t>
      </w:r>
    </w:p>
    <w:p>
      <w:pPr>
        <w:spacing w:before="120" w:after="120"/>
      </w:pPr>
      <w:r>
        <w:rPr>
          <w:rFonts w:ascii="Calibri" w:hAnsi="Calibri"/>
          <w:b w:val="0"/>
          <w:i w:val="0"/>
          <w:sz w:val="21"/>
        </w:rPr>
        <w:t>ePrivacy Directive Art. 5(3): non-essential cookies require freely given, specific, informed consent before placement; an “Accept All only” banner with cookies firing pre-consent and no reject option violates this (Planet49; IAB Europe TCF). GDPR Art. 4(11)/7: consent must be freely given (a real reject option), specific, informed, and unambiguous — the banner fails all four. CalOPPA requires a Do Not Track disclosure in the Policy — absent. CPRA: cross-context behavioral advertising cookies implicate the sale/sharing opt-out (Issue 6). The 25 non-Brightly third-party ad networks (CK-010 through CK-034) are largely undisclosed in the Policy and may constitute additional sales/sharing requiring their own CCPA analysis and contracts.</w:t>
      </w:r>
    </w:p>
    <w:p>
      <w:pPr>
        <w:keepNext/>
        <w:spacing w:before="160" w:after="40"/>
      </w:pPr>
      <w:r>
        <w:rPr>
          <w:rFonts w:ascii="Calibri" w:hAnsi="Calibri"/>
          <w:b/>
          <w:i/>
          <w:color w:val="555555"/>
          <w:sz w:val="21"/>
        </w:rPr>
        <w:t>Recommended Remediation</w:t>
      </w:r>
    </w:p>
    <w:p>
      <w:pPr>
        <w:pStyle w:val="ListBullet"/>
        <w:spacing w:after="60" w:before="0"/>
      </w:pPr>
      <w:r>
        <w:rPr>
          <w:rFonts w:ascii="Calibri" w:hAnsi="Calibri"/>
          <w:sz w:val="21"/>
        </w:rPr>
        <w:t>Implement a consent management platform with granular categories, a reject option equal in prominence to accept, and cookie blocking prior to consent.</w:t>
      </w:r>
    </w:p>
    <w:p>
      <w:pPr>
        <w:pStyle w:val="ListBullet"/>
        <w:spacing w:after="60" w:before="0"/>
      </w:pPr>
      <w:r>
        <w:rPr>
          <w:rFonts w:ascii="Calibri" w:hAnsi="Calibri"/>
          <w:sz w:val="21"/>
        </w:rPr>
        <w:t>Disclose the third-party ad networks in the Policy; add a CalOPPA DNT statement.</w:t>
      </w:r>
    </w:p>
    <w:p>
      <w:pPr>
        <w:pStyle w:val="ListBullet"/>
        <w:spacing w:after="60" w:before="0"/>
      </w:pPr>
      <w:r>
        <w:rPr>
          <w:rFonts w:ascii="Calibri" w:hAnsi="Calibri"/>
          <w:sz w:val="21"/>
        </w:rPr>
        <w:t>Reconcile the 25 non-Brightly third-party cookies with the DSA (which covers only Brightly) — these are separate sharing relationships requiring their own CCPA analysis and contracts.</w:t>
      </w:r>
    </w:p>
    <w:p>
      <w:pPr>
        <w:keepNext/>
        <w:spacing w:before="240" w:after="80"/>
      </w:pPr>
      <w:r>
        <w:rPr>
          <w:rFonts w:ascii="Calibri" w:hAnsi="Calibri"/>
          <w:b/>
          <w:color w:val="1F3355"/>
          <w:sz w:val="23"/>
        </w:rPr>
        <w:t>GLBA “Financial Institution” Characterization Not Addressed</w:t>
      </w:r>
      <w:r>
        <w:rPr>
          <w:rFonts w:ascii="Calibri" w:hAnsi="Calibri"/>
          <w:b/>
          <w:color w:val="BF8F00"/>
          <w:sz w:val="20"/>
        </w:rPr>
        <w:t xml:space="preserve">   [MEDIUM-HIGH]</w:t>
      </w:r>
    </w:p>
    <w:p>
      <w:pPr>
        <w:keepNext/>
        <w:spacing w:before="160" w:after="40"/>
      </w:pPr>
      <w:r>
        <w:rPr>
          <w:rFonts w:ascii="Calibri" w:hAnsi="Calibri"/>
          <w:b/>
          <w:i/>
          <w:color w:val="555555"/>
          <w:sz w:val="21"/>
        </w:rPr>
        <w:t>Cross-Document Findings</w:t>
      </w:r>
    </w:p>
    <w:p>
      <w:pPr>
        <w:pStyle w:val="ListBullet"/>
        <w:spacing w:after="60" w:before="0"/>
      </w:pPr>
      <w:r>
        <w:rPr>
          <w:rFonts w:ascii="Calibri" w:hAnsi="Calibri"/>
          <w:b/>
          <w:sz w:val="21"/>
        </w:rPr>
        <w:t xml:space="preserve">Policy: </w:t>
      </w:r>
      <w:r>
        <w:rPr>
          <w:rFonts w:ascii="Calibri" w:hAnsi="Calibri"/>
          <w:sz w:val="21"/>
        </w:rPr>
        <w:t>No GLBA disclosures, no financial-privacy notice, and no opt-out for sharing nonpublic personal information with non-affiliated third parties.</w:t>
      </w:r>
    </w:p>
    <w:p>
      <w:pPr>
        <w:pStyle w:val="ListBullet"/>
        <w:spacing w:after="60" w:before="0"/>
      </w:pPr>
      <w:r>
        <w:rPr>
          <w:rFonts w:ascii="Calibri" w:hAnsi="Calibri"/>
          <w:b/>
          <w:sz w:val="21"/>
        </w:rPr>
        <w:t xml:space="preserve">Inventory: </w:t>
      </w:r>
      <w:r>
        <w:rPr>
          <w:rFonts w:ascii="Calibri" w:hAnsi="Calibri"/>
          <w:sz w:val="21"/>
        </w:rPr>
        <w:t>Flags GLBA as applicable to DC-003, DC-004, DC-005, DC-006, DC-007; FinLink integration with 4,200+ financial institutions; 14 partner financial-product referrals.</w:t>
      </w:r>
    </w:p>
    <w:p>
      <w:pPr>
        <w:pStyle w:val="ListBullet"/>
        <w:spacing w:after="60" w:before="0"/>
      </w:pPr>
      <w:r>
        <w:rPr>
          <w:rFonts w:ascii="Calibri" w:hAnsi="Calibri"/>
          <w:b/>
          <w:sz w:val="21"/>
        </w:rPr>
        <w:t xml:space="preserve">Ashford Barnes: </w:t>
      </w:r>
      <w:r>
        <w:rPr>
          <w:rFonts w:ascii="Calibri" w:hAnsi="Calibri"/>
          <w:sz w:val="21"/>
        </w:rPr>
        <w:t>Flags the GLBA “financial institution” characterization question (15 U.S.C. §6809(3); financial data processing under Bank Holding Company Act §4(k)) and notes potential obligations: initial/annual privacy notices, an NPI opt-out, and Reg. P (16 C.F.R. Part 313).</w:t>
      </w:r>
    </w:p>
    <w:p>
      <w:pPr>
        <w:keepNext/>
        <w:spacing w:before="160" w:after="40"/>
      </w:pPr>
      <w:r>
        <w:rPr>
          <w:rFonts w:ascii="Calibri" w:hAnsi="Calibri"/>
          <w:b/>
          <w:i/>
          <w:color w:val="555555"/>
          <w:sz w:val="21"/>
        </w:rPr>
        <w:t>Legal Framework &amp; Exposure</w:t>
      </w:r>
    </w:p>
    <w:p>
      <w:pPr>
        <w:spacing w:before="120" w:after="120"/>
      </w:pPr>
      <w:r>
        <w:rPr>
          <w:rFonts w:ascii="Calibri" w:hAnsi="Calibri"/>
          <w:b w:val="0"/>
          <w:i w:val="0"/>
          <w:sz w:val="21"/>
        </w:rPr>
        <w:t>If Vaultline is “significantly engaged” in financial data processing or facilitating financial-product referrals, it may be a GLBA “financial institution,” triggering Reg. P privacy-notice and opt-out obligations it does not meet. Important interplay: if GLBA applies, CCPA §1798.145(a)(5) exempts personal information collected, processed, sold, or disclosed pursuant to the GLBA from the CCPA — so GLBA characterization reshapes the CCPA analysis (some CCPA issues may fall away for GLBA-covered NPI, but GLBA’s own obligations then apply). This mapping must be done carefully. Exposure: FTC enforcement and state AG actions.</w:t>
      </w:r>
    </w:p>
    <w:p>
      <w:pPr>
        <w:keepNext/>
        <w:spacing w:before="160" w:after="40"/>
      </w:pPr>
      <w:r>
        <w:rPr>
          <w:rFonts w:ascii="Calibri" w:hAnsi="Calibri"/>
          <w:b/>
          <w:i/>
          <w:color w:val="555555"/>
          <w:sz w:val="21"/>
        </w:rPr>
        <w:t>Recommended Remediation</w:t>
      </w:r>
    </w:p>
    <w:p>
      <w:pPr>
        <w:pStyle w:val="ListBullet"/>
        <w:spacing w:after="60" w:before="0"/>
      </w:pPr>
      <w:r>
        <w:rPr>
          <w:rFonts w:ascii="Calibri" w:hAnsi="Calibri"/>
          <w:sz w:val="21"/>
        </w:rPr>
        <w:t>Obtain a definitive GLBA characterization opinion.</w:t>
      </w:r>
    </w:p>
    <w:p>
      <w:pPr>
        <w:pStyle w:val="ListBullet"/>
        <w:spacing w:after="60" w:before="0"/>
      </w:pPr>
      <w:r>
        <w:rPr>
          <w:rFonts w:ascii="Calibri" w:hAnsi="Calibri"/>
          <w:sz w:val="21"/>
        </w:rPr>
        <w:t>If applicable: implement Reg. P initial/annual privacy notices and an NPI opt-out; map the GLBA/CCPA exemption boundary. If not applicable: document the analysis for the diligence record.</w:t>
      </w:r>
    </w:p>
    <w:p>
      <w:pPr>
        <w:keepNext/>
        <w:spacing w:before="240" w:after="80"/>
      </w:pPr>
      <w:r>
        <w:rPr>
          <w:rFonts w:ascii="Calibri" w:hAnsi="Calibri"/>
          <w:b/>
          <w:color w:val="1F3355"/>
          <w:sz w:val="23"/>
        </w:rPr>
        <w:t>No DPIAs Conducted Despite Multiple Mandatory Triggers</w:t>
      </w:r>
      <w:r>
        <w:rPr>
          <w:rFonts w:ascii="Calibri" w:hAnsi="Calibri"/>
          <w:b/>
          <w:color w:val="BF8F00"/>
          <w:sz w:val="20"/>
        </w:rPr>
        <w:t xml:space="preserve">   [MEDIUM-HIGH]</w:t>
      </w:r>
    </w:p>
    <w:p>
      <w:pPr>
        <w:keepNext/>
        <w:spacing w:before="160" w:after="40"/>
      </w:pPr>
      <w:r>
        <w:rPr>
          <w:rFonts w:ascii="Calibri" w:hAnsi="Calibri"/>
          <w:b/>
          <w:i/>
          <w:color w:val="555555"/>
          <w:sz w:val="21"/>
        </w:rPr>
        <w:t>Cross-Document Findings</w:t>
      </w:r>
    </w:p>
    <w:p>
      <w:pPr>
        <w:pStyle w:val="ListBullet"/>
        <w:spacing w:after="60" w:before="0"/>
      </w:pPr>
      <w:r>
        <w:rPr>
          <w:rFonts w:ascii="Calibri" w:hAnsi="Calibri"/>
          <w:b/>
          <w:sz w:val="21"/>
        </w:rPr>
        <w:t xml:space="preserve">Inventory: </w:t>
      </w:r>
      <w:r>
        <w:rPr>
          <w:rFonts w:ascii="Calibri" w:hAnsi="Calibri"/>
          <w:sz w:val="21"/>
        </w:rPr>
        <w:t>DPIA Status tab: all eight processing activities “Not Conducted.” Mandatory triggers: PA-001 (biometric, Art. 35(3)(b), High); PA-003 (automated decision-making, Art. 35(3)(a), Critical); PA-007 (international transfers without safeguards, Critical); PA-002 (large-scale financial, High); PA-004 (large-scale profiling for advertising, High).</w:t>
      </w:r>
    </w:p>
    <w:p>
      <w:pPr>
        <w:keepNext/>
        <w:spacing w:before="160" w:after="40"/>
      </w:pPr>
      <w:r>
        <w:rPr>
          <w:rFonts w:ascii="Calibri" w:hAnsi="Calibri"/>
          <w:b/>
          <w:i/>
          <w:color w:val="555555"/>
          <w:sz w:val="21"/>
        </w:rPr>
        <w:t>Legal Framework &amp; Exposure</w:t>
      </w:r>
    </w:p>
    <w:p>
      <w:pPr>
        <w:spacing w:before="120" w:after="120"/>
      </w:pPr>
      <w:r>
        <w:rPr>
          <w:rFonts w:ascii="Calibri" w:hAnsi="Calibri"/>
          <w:b w:val="0"/>
          <w:i w:val="0"/>
          <w:sz w:val="21"/>
        </w:rPr>
        <w:t>GDPR Art. 35 mandates a DPIA for high-risk processing; failure is a standalone Art. 83(4) infringement (up to €10M / 2%) independent of the underlying processing. DPIAs are also a prerequisite to lawful EU processing and to the EU launch.</w:t>
      </w:r>
    </w:p>
    <w:p>
      <w:pPr>
        <w:keepNext/>
        <w:spacing w:before="160" w:after="40"/>
      </w:pPr>
      <w:r>
        <w:rPr>
          <w:rFonts w:ascii="Calibri" w:hAnsi="Calibri"/>
          <w:b/>
          <w:i/>
          <w:color w:val="555555"/>
          <w:sz w:val="21"/>
        </w:rPr>
        <w:t>Recommended Remediation</w:t>
      </w:r>
    </w:p>
    <w:p>
      <w:pPr>
        <w:pStyle w:val="ListBullet"/>
        <w:spacing w:after="60" w:before="0"/>
      </w:pPr>
      <w:r>
        <w:rPr>
          <w:rFonts w:ascii="Calibri" w:hAnsi="Calibri"/>
          <w:sz w:val="21"/>
        </w:rPr>
        <w:t>Conduct DPIAs for all mandatory-trigger activities before the EU launch; document legitimate-interest assessments where legitimate interest is claimed (PA-008).</w:t>
      </w:r>
    </w:p>
    <w:p>
      <w:pPr>
        <w:keepNext/>
        <w:spacing w:before="240" w:after="80"/>
      </w:pPr>
      <w:r>
        <w:rPr>
          <w:rFonts w:ascii="Calibri" w:hAnsi="Calibri"/>
          <w:b/>
          <w:color w:val="1F3355"/>
          <w:sz w:val="23"/>
        </w:rPr>
        <w:t>Browsewrap Consent Only — Insufficient for GDPR and Special-Category Data</w:t>
      </w:r>
      <w:r>
        <w:rPr>
          <w:rFonts w:ascii="Calibri" w:hAnsi="Calibri"/>
          <w:b/>
          <w:color w:val="BF8F00"/>
          <w:sz w:val="20"/>
        </w:rPr>
        <w:t xml:space="preserve">   [MEDIUM-HIGH]</w:t>
      </w:r>
    </w:p>
    <w:p>
      <w:pPr>
        <w:keepNext/>
        <w:spacing w:before="160" w:after="40"/>
      </w:pPr>
      <w:r>
        <w:rPr>
          <w:rFonts w:ascii="Calibri" w:hAnsi="Calibri"/>
          <w:b/>
          <w:i/>
          <w:color w:val="555555"/>
          <w:sz w:val="21"/>
        </w:rPr>
        <w:t>Cross-Document Findings</w:t>
      </w:r>
    </w:p>
    <w:p>
      <w:pPr>
        <w:pStyle w:val="ListBullet"/>
        <w:spacing w:after="60" w:before="0"/>
      </w:pPr>
      <w:r>
        <w:rPr>
          <w:rFonts w:ascii="Calibri" w:hAnsi="Calibri"/>
          <w:b/>
          <w:sz w:val="21"/>
        </w:rPr>
        <w:t xml:space="preserve">Policy: </w:t>
      </w:r>
      <w:r>
        <w:rPr>
          <w:rFonts w:ascii="Calibri" w:hAnsi="Calibri"/>
          <w:sz w:val="21"/>
        </w:rPr>
        <w:t>“Your continued use of our services constitutes your consent to all data collection, use, processing, and sharing practices described herein” — browsewrap.</w:t>
      </w:r>
    </w:p>
    <w:p>
      <w:pPr>
        <w:pStyle w:val="ListBullet"/>
        <w:spacing w:after="60" w:before="0"/>
      </w:pPr>
      <w:r>
        <w:rPr>
          <w:rFonts w:ascii="Calibri" w:hAnsi="Calibri"/>
          <w:b/>
          <w:sz w:val="21"/>
        </w:rPr>
        <w:t xml:space="preserve">Inventory: </w:t>
      </w:r>
      <w:r>
        <w:rPr>
          <w:rFonts w:ascii="Calibri" w:hAnsi="Calibri"/>
          <w:sz w:val="21"/>
        </w:rPr>
        <w:t>“NOT DOCUMENTED — privacy policy relies solely on browsewrap consent for all processing”; “Browsewrap likely insufficient for GDPR consent standard (Art. 7). No legitimate interest assessment conducted.” Selfie Verify: “Browsewrap only… No separate biometric consent form”; “Browsewrap consent insufficient under Art. 9(2)(a).”</w:t>
      </w:r>
    </w:p>
    <w:p>
      <w:pPr>
        <w:pStyle w:val="ListBullet"/>
        <w:spacing w:after="60" w:before="0"/>
      </w:pPr>
      <w:r>
        <w:rPr>
          <w:rFonts w:ascii="Calibri" w:hAnsi="Calibri"/>
          <w:b/>
          <w:sz w:val="21"/>
        </w:rPr>
        <w:t xml:space="preserve">DSA: </w:t>
      </w:r>
      <w:r>
        <w:rPr>
          <w:rFonts w:ascii="Calibri" w:hAnsi="Calibri"/>
          <w:sz w:val="21"/>
        </w:rPr>
        <w:t>§7.1(c) represents that all necessary consents were obtained — questionable given browsewrap (compounds Issue 10).</w:t>
      </w:r>
    </w:p>
    <w:p>
      <w:pPr>
        <w:keepNext/>
        <w:spacing w:before="160" w:after="40"/>
      </w:pPr>
      <w:r>
        <w:rPr>
          <w:rFonts w:ascii="Calibri" w:hAnsi="Calibri"/>
          <w:b/>
          <w:i/>
          <w:color w:val="555555"/>
          <w:sz w:val="21"/>
        </w:rPr>
        <w:t>Legal Framework &amp; Exposure</w:t>
      </w:r>
    </w:p>
    <w:p>
      <w:pPr>
        <w:spacing w:before="120" w:after="120"/>
      </w:pPr>
      <w:r>
        <w:rPr>
          <w:rFonts w:ascii="Calibri" w:hAnsi="Calibri"/>
          <w:b w:val="0"/>
          <w:i w:val="0"/>
          <w:sz w:val="21"/>
        </w:rPr>
        <w:t>GDPR Art. 7: consent must be freely given, specific, informed, unambiguous, and demonstrable; browsewrap “continued use” fails this standard (Planet49). Art. 9(2)(a): special-category (biometric) data requires explicit consent — browsewrap is not explicit. CCPA: opt-in consent is required for the sale of sensitive PI and of minors’ data — browsewrap is insufficient. The DSA §7.1(c) representation compounds the contract risk (Issue 10).</w:t>
      </w:r>
    </w:p>
    <w:p>
      <w:pPr>
        <w:keepNext/>
        <w:spacing w:before="160" w:after="40"/>
      </w:pPr>
      <w:r>
        <w:rPr>
          <w:rFonts w:ascii="Calibri" w:hAnsi="Calibri"/>
          <w:b/>
          <w:i/>
          <w:color w:val="555555"/>
          <w:sz w:val="21"/>
        </w:rPr>
        <w:t>Recommended Remediation</w:t>
      </w:r>
    </w:p>
    <w:p>
      <w:pPr>
        <w:pStyle w:val="ListBullet"/>
        <w:spacing w:after="60" w:before="0"/>
      </w:pPr>
      <w:r>
        <w:rPr>
          <w:rFonts w:ascii="Calibri" w:hAnsi="Calibri"/>
          <w:sz w:val="21"/>
        </w:rPr>
        <w:t>Move to an explicit, layered consent mechanism (just-in-time notices, granular toggles) for non-essential processing, sensitive PI, and biometric data; document a lawful basis (Art. 6) for each activity and conduct legitimate-interest assessments.</w:t>
      </w:r>
    </w:p>
    <w:p>
      <w:pPr>
        <w:keepNext/>
        <w:spacing w:before="240" w:after="80"/>
      </w:pPr>
      <w:r>
        <w:rPr>
          <w:rFonts w:ascii="Calibri" w:hAnsi="Calibri"/>
          <w:b/>
          <w:color w:val="1F3355"/>
          <w:sz w:val="23"/>
        </w:rPr>
        <w:t>Privacy Policy Staleness &amp; Readability (Grade 18.2)</w:t>
      </w:r>
      <w:r>
        <w:rPr>
          <w:rFonts w:ascii="Calibri" w:hAnsi="Calibri"/>
          <w:b/>
          <w:color w:val="808080"/>
          <w:sz w:val="20"/>
        </w:rPr>
        <w:t xml:space="preserve">   [MEDIUM]</w:t>
      </w:r>
    </w:p>
    <w:p>
      <w:pPr>
        <w:keepNext/>
        <w:spacing w:before="160" w:after="40"/>
      </w:pPr>
      <w:r>
        <w:rPr>
          <w:rFonts w:ascii="Calibri" w:hAnsi="Calibri"/>
          <w:b/>
          <w:i/>
          <w:color w:val="555555"/>
          <w:sz w:val="21"/>
        </w:rPr>
        <w:t>Cross-Document Findings</w:t>
      </w:r>
    </w:p>
    <w:p>
      <w:pPr>
        <w:pStyle w:val="ListBullet"/>
        <w:spacing w:after="60" w:before="0"/>
      </w:pPr>
      <w:r>
        <w:rPr>
          <w:rFonts w:ascii="Calibri" w:hAnsi="Calibri"/>
          <w:b/>
          <w:sz w:val="21"/>
        </w:rPr>
        <w:t xml:space="preserve">Policy: </w:t>
      </w:r>
      <w:r>
        <w:rPr>
          <w:rFonts w:ascii="Calibri" w:hAnsi="Calibri"/>
          <w:sz w:val="21"/>
        </w:rPr>
        <w:t>Last updated January 15, 2023 — over two years old; not updated for Selfie Verify (March 2023), the Brightly amendment (June 2024), the August 2024 breach, the DPF (July 2023), or CPRA implementing regulations. The “Changes” clause states changes are “effective immediately upon posting” with no individual-notice obligation.</w:t>
      </w:r>
    </w:p>
    <w:p>
      <w:pPr>
        <w:pStyle w:val="ListBullet"/>
        <w:spacing w:after="60" w:before="0"/>
      </w:pPr>
      <w:r>
        <w:rPr>
          <w:rFonts w:ascii="Calibri" w:hAnsi="Calibri"/>
          <w:b/>
          <w:sz w:val="21"/>
        </w:rPr>
        <w:t xml:space="preserve">Ashford Barnes: </w:t>
      </w:r>
      <w:r>
        <w:rPr>
          <w:rFonts w:ascii="Calibri" w:hAnsi="Calibri"/>
          <w:sz w:val="21"/>
        </w:rPr>
        <w:t>~9,200 words; Flesch-Kincaid grade 18.2 (post-graduate); no headers, table of contents, or layered structure; FTC “clear and conspicuous” concerns.</w:t>
      </w:r>
    </w:p>
    <w:p>
      <w:pPr>
        <w:pStyle w:val="ListBullet"/>
        <w:spacing w:after="60" w:before="0"/>
      </w:pPr>
      <w:r>
        <w:rPr>
          <w:rFonts w:ascii="Calibri" w:hAnsi="Calibri"/>
          <w:b/>
          <w:sz w:val="21"/>
        </w:rPr>
        <w:t xml:space="preserve">Inventory: </w:t>
      </w:r>
      <w:r>
        <w:rPr>
          <w:rFonts w:ascii="Calibri" w:hAnsi="Calibri"/>
          <w:sz w:val="21"/>
        </w:rPr>
        <w:t>v3.4 notes “privacy policy disclosure gaps for outside counsel review.”</w:t>
      </w:r>
    </w:p>
    <w:p>
      <w:pPr>
        <w:keepNext/>
        <w:spacing w:before="160" w:after="40"/>
      </w:pPr>
      <w:r>
        <w:rPr>
          <w:rFonts w:ascii="Calibri" w:hAnsi="Calibri"/>
          <w:b/>
          <w:i/>
          <w:color w:val="555555"/>
          <w:sz w:val="21"/>
        </w:rPr>
        <w:t>Legal Framework &amp; Exposure</w:t>
      </w:r>
    </w:p>
    <w:p>
      <w:pPr>
        <w:spacing w:before="120" w:after="120"/>
      </w:pPr>
      <w:r>
        <w:rPr>
          <w:rFonts w:ascii="Calibri" w:hAnsi="Calibri"/>
          <w:b w:val="0"/>
          <w:i w:val="0"/>
          <w:sz w:val="21"/>
        </w:rPr>
        <w:t>FTC Section 5 “clear and conspicuous” disclosure standard: a grade-18.2, 9,200-word wall of text undermines the Policy as a transparency instrument. CPRA requires notice at collection and material-change notice; the Policy’s “no individual notice” clause is non-compliant for material changes. Staleness is the root cause of most disclosure gaps above.</w:t>
      </w:r>
    </w:p>
    <w:p>
      <w:pPr>
        <w:keepNext/>
        <w:spacing w:before="160" w:after="40"/>
      </w:pPr>
      <w:r>
        <w:rPr>
          <w:rFonts w:ascii="Calibri" w:hAnsi="Calibri"/>
          <w:b/>
          <w:i/>
          <w:color w:val="555555"/>
          <w:sz w:val="21"/>
        </w:rPr>
        <w:t>Recommended Remediation</w:t>
      </w:r>
    </w:p>
    <w:p>
      <w:pPr>
        <w:pStyle w:val="ListBullet"/>
        <w:spacing w:after="60" w:before="0"/>
      </w:pPr>
      <w:r>
        <w:rPr>
          <w:rFonts w:ascii="Calibri" w:hAnsi="Calibri"/>
          <w:sz w:val="21"/>
        </w:rPr>
        <w:t>Rewrite the Policy in plain language with a layered structure (summary + detailed sections), headers, and a table of contents; target a grade level of 10–12. Implement a material-change notification process (in-app/email notice for material changes).</w:t>
      </w:r>
    </w:p>
    <w:p>
      <w:pPr>
        <w:keepNext/>
        <w:spacing w:before="240" w:after="80"/>
      </w:pPr>
      <w:r>
        <w:rPr>
          <w:rFonts w:ascii="Calibri" w:hAnsi="Calibri"/>
          <w:b/>
          <w:color w:val="1F3355"/>
          <w:sz w:val="23"/>
        </w:rPr>
        <w:t>State Biometric Laws Beyond BIPA (Texas CUBI, Washington)</w:t>
      </w:r>
      <w:r>
        <w:rPr>
          <w:rFonts w:ascii="Calibri" w:hAnsi="Calibri"/>
          <w:b/>
          <w:color w:val="808080"/>
          <w:sz w:val="20"/>
        </w:rPr>
        <w:t xml:space="preserve">   [MEDIUM]</w:t>
      </w:r>
    </w:p>
    <w:p>
      <w:pPr>
        <w:keepNext/>
        <w:spacing w:before="160" w:after="40"/>
      </w:pPr>
      <w:r>
        <w:rPr>
          <w:rFonts w:ascii="Calibri" w:hAnsi="Calibri"/>
          <w:b/>
          <w:i/>
          <w:color w:val="555555"/>
          <w:sz w:val="21"/>
        </w:rPr>
        <w:t>Cross-Document Findings</w:t>
      </w:r>
    </w:p>
    <w:p>
      <w:pPr>
        <w:pStyle w:val="ListBullet"/>
        <w:spacing w:after="60" w:before="0"/>
      </w:pPr>
      <w:r>
        <w:rPr>
          <w:rFonts w:ascii="Calibri" w:hAnsi="Calibri"/>
          <w:b/>
          <w:sz w:val="21"/>
        </w:rPr>
        <w:t xml:space="preserve">Inventory: </w:t>
      </w:r>
      <w:r>
        <w:rPr>
          <w:rFonts w:ascii="Calibri" w:hAnsi="Calibri"/>
          <w:sz w:val="21"/>
        </w:rPr>
        <w:t>DC-011 lists TX CUBI and Washington biometric law as applicable; the Selfie Verify Details tab estimates ~310,000 Texas users (Washington users not separately quantified).</w:t>
      </w:r>
    </w:p>
    <w:p>
      <w:pPr>
        <w:pStyle w:val="ListBullet"/>
        <w:spacing w:after="60" w:before="0"/>
      </w:pPr>
      <w:r>
        <w:rPr>
          <w:rFonts w:ascii="Calibri" w:hAnsi="Calibri"/>
          <w:b/>
          <w:sz w:val="21"/>
        </w:rPr>
        <w:t xml:space="preserve">Policy: </w:t>
      </w:r>
      <w:r>
        <w:rPr>
          <w:rFonts w:ascii="Calibri" w:hAnsi="Calibri"/>
          <w:sz w:val="21"/>
        </w:rPr>
        <w:t>No biometric disclosure (Issue 1).</w:t>
      </w:r>
    </w:p>
    <w:p>
      <w:pPr>
        <w:keepNext/>
        <w:spacing w:before="160" w:after="40"/>
      </w:pPr>
      <w:r>
        <w:rPr>
          <w:rFonts w:ascii="Calibri" w:hAnsi="Calibri"/>
          <w:b/>
          <w:i/>
          <w:color w:val="555555"/>
          <w:sz w:val="21"/>
        </w:rPr>
        <w:t>Legal Framework &amp; Exposure</w:t>
      </w:r>
    </w:p>
    <w:p>
      <w:pPr>
        <w:spacing w:before="120" w:after="120"/>
      </w:pPr>
      <w:r>
        <w:rPr>
          <w:rFonts w:ascii="Calibri" w:hAnsi="Calibri"/>
          <w:b w:val="0"/>
          <w:i w:val="0"/>
          <w:sz w:val="21"/>
        </w:rPr>
        <w:t>Texas CUBI (Tex. Bus. &amp; Com. Code §503.001) requires consent before capturing biometric identifiers for a commercial purpose and is enforced by the Texas AG (civil penalty up to $25,000 per violation plus injunctive relief); ~310,000 Texas users is large-scale AG-enforcement exposure. Washington RCW 19.375 applies similarly (AG enforcement).</w:t>
      </w:r>
    </w:p>
    <w:p>
      <w:pPr>
        <w:keepNext/>
        <w:spacing w:before="160" w:after="40"/>
      </w:pPr>
      <w:r>
        <w:rPr>
          <w:rFonts w:ascii="Calibri" w:hAnsi="Calibri"/>
          <w:b/>
          <w:i/>
          <w:color w:val="555555"/>
          <w:sz w:val="21"/>
        </w:rPr>
        <w:t>Recommended Remediation</w:t>
      </w:r>
    </w:p>
    <w:p>
      <w:pPr>
        <w:pStyle w:val="ListBullet"/>
        <w:spacing w:after="60" w:before="0"/>
      </w:pPr>
      <w:r>
        <w:rPr>
          <w:rFonts w:ascii="Calibri" w:hAnsi="Calibri"/>
          <w:sz w:val="21"/>
        </w:rPr>
        <w:t>Extend the BIPA consent/policy remediation to cover Texas CUBI and Washington; obtain consent in all biometric-law states; publish the retention/destruction policy (satisfies BIPA, Texas, and Washington).</w:t>
      </w:r>
    </w:p>
    <w:p>
      <w:pPr>
        <w:keepNext/>
        <w:spacing w:before="240" w:after="80"/>
      </w:pPr>
      <w:r>
        <w:rPr>
          <w:rFonts w:ascii="Calibri" w:hAnsi="Calibri"/>
          <w:b/>
          <w:color w:val="1F3355"/>
          <w:sz w:val="23"/>
        </w:rPr>
        <w:t>State Privacy Laws (VCDPA/CPA/CTDPA) — Generic Disclosures, No Opt-Outs</w:t>
      </w:r>
      <w:r>
        <w:rPr>
          <w:rFonts w:ascii="Calibri" w:hAnsi="Calibri"/>
          <w:b/>
          <w:color w:val="808080"/>
          <w:sz w:val="20"/>
        </w:rPr>
        <w:t xml:space="preserve">   [MEDIUM]</w:t>
      </w:r>
    </w:p>
    <w:p>
      <w:pPr>
        <w:keepNext/>
        <w:spacing w:before="160" w:after="40"/>
      </w:pPr>
      <w:r>
        <w:rPr>
          <w:rFonts w:ascii="Calibri" w:hAnsi="Calibri"/>
          <w:b/>
          <w:i/>
          <w:color w:val="555555"/>
          <w:sz w:val="21"/>
        </w:rPr>
        <w:t>Cross-Document Findings</w:t>
      </w:r>
    </w:p>
    <w:p>
      <w:pPr>
        <w:pStyle w:val="ListBullet"/>
        <w:spacing w:after="60" w:before="0"/>
      </w:pPr>
      <w:r>
        <w:rPr>
          <w:rFonts w:ascii="Calibri" w:hAnsi="Calibri"/>
          <w:b/>
          <w:sz w:val="21"/>
        </w:rPr>
        <w:t xml:space="preserve">Policy: </w:t>
      </w:r>
      <w:r>
        <w:rPr>
          <w:rFonts w:ascii="Calibri" w:hAnsi="Calibri"/>
          <w:sz w:val="21"/>
        </w:rPr>
        <w:t>Supplemental disclosures for Virginia, Colorado, and Connecticut are generic (“may have certain rights… including access, correction, deletion, portability… opt out of certain processing”); no targeted-advertising opt-out mechanism, no sensitive-data opt-out, and no specific submission methods.</w:t>
      </w:r>
    </w:p>
    <w:p>
      <w:pPr>
        <w:pStyle w:val="ListBullet"/>
        <w:spacing w:after="60" w:before="0"/>
      </w:pPr>
      <w:r>
        <w:rPr>
          <w:rFonts w:ascii="Calibri" w:hAnsi="Calibri"/>
          <w:b/>
          <w:sz w:val="21"/>
        </w:rPr>
        <w:t xml:space="preserve">Inventory / DSA: </w:t>
      </w:r>
      <w:r>
        <w:rPr>
          <w:rFonts w:ascii="Calibri" w:hAnsi="Calibri"/>
          <w:sz w:val="21"/>
        </w:rPr>
        <w:t>Brightly cross-context behavioral advertising is “targeted advertising” under VCDPA/CPA/CTDPA; no opt-out exists.</w:t>
      </w:r>
    </w:p>
    <w:p>
      <w:pPr>
        <w:keepNext/>
        <w:spacing w:before="160" w:after="40"/>
      </w:pPr>
      <w:r>
        <w:rPr>
          <w:rFonts w:ascii="Calibri" w:hAnsi="Calibri"/>
          <w:b/>
          <w:i/>
          <w:color w:val="555555"/>
          <w:sz w:val="21"/>
        </w:rPr>
        <w:t>Legal Framework &amp; Exposure</w:t>
      </w:r>
    </w:p>
    <w:p>
      <w:pPr>
        <w:spacing w:before="120" w:after="120"/>
      </w:pPr>
      <w:r>
        <w:rPr>
          <w:rFonts w:ascii="Calibri" w:hAnsi="Calibri"/>
          <w:b w:val="0"/>
          <w:i w:val="0"/>
          <w:sz w:val="21"/>
        </w:rPr>
        <w:t>VCDPA/CPA/CTDPA require a targeted-advertising opt-out and a sensitive-data opt-out (and the CPA requires a universal opt-out mechanism by 2025); the generic Policy disclosures and the absence of mechanisms are non-compliant. Vaultline’s FY2024 revenue ($47.3M) and user counts likely exceed the thresholds for these laws.</w:t>
      </w:r>
    </w:p>
    <w:p>
      <w:pPr>
        <w:keepNext/>
        <w:spacing w:before="160" w:after="40"/>
      </w:pPr>
      <w:r>
        <w:rPr>
          <w:rFonts w:ascii="Calibri" w:hAnsi="Calibri"/>
          <w:b/>
          <w:i/>
          <w:color w:val="555555"/>
          <w:sz w:val="21"/>
        </w:rPr>
        <w:t>Recommended Remediation</w:t>
      </w:r>
    </w:p>
    <w:p>
      <w:pPr>
        <w:pStyle w:val="ListBullet"/>
        <w:spacing w:after="60" w:before="0"/>
      </w:pPr>
      <w:r>
        <w:rPr>
          <w:rFonts w:ascii="Calibri" w:hAnsi="Calibri"/>
          <w:sz w:val="21"/>
        </w:rPr>
        <w:t>Add state-specific opt-out mechanisms (targeted advertising, sensitive data) and a universal opt-out; tailor the supplemental disclosures with concrete submission methods and timelines.</w:t>
      </w:r>
    </w:p>
    <w:p>
      <w:pPr>
        <w:keepNext/>
        <w:spacing w:before="320" w:after="120"/>
        <w:pBdr>
          <w:bottom w:val="single" w:sz="6" w:space="2" w:color="1F3355"/>
        </w:pBdr>
      </w:pPr>
      <w:r>
        <w:rPr>
          <w:rFonts w:ascii="Calibri" w:hAnsi="Calibri"/>
          <w:b/>
          <w:color w:val="1F3355"/>
          <w:sz w:val="26"/>
        </w:rPr>
        <w:t>V.  Cross-Document Factual Inconsistencies</w:t>
      </w:r>
    </w:p>
    <w:p>
      <w:pPr>
        <w:spacing w:before="120" w:after="120"/>
      </w:pPr>
      <w:r>
        <w:rPr>
          <w:rFonts w:ascii="Calibri" w:hAnsi="Calibri"/>
          <w:b w:val="0"/>
          <w:i w:val="0"/>
          <w:sz w:val="21"/>
        </w:rPr>
        <w:t>The following inconsistencies among the documents must be reconciled before any external representation is made to Kessler Whitman, regulators, or data subjects. Each undermines the reliability of the Company’s privacy posture as presented and, if left uncorrected, could itself constitute a misrepresentation.</w:t>
      </w:r>
    </w:p>
    <w:p>
      <w:pPr>
        <w:keepNext/>
        <w:spacing w:before="160" w:after="40"/>
      </w:pPr>
      <w:r>
        <w:rPr>
          <w:rFonts w:ascii="Calibri" w:hAnsi="Calibri"/>
          <w:b/>
          <w:i/>
          <w:color w:val="555555"/>
          <w:sz w:val="21"/>
        </w:rPr>
        <w:t>A. Dublin Data Replication — Breach Log vs. Data Inventory</w:t>
      </w:r>
    </w:p>
    <w:p>
      <w:pPr>
        <w:pStyle w:val="ListBullet"/>
        <w:spacing w:after="60" w:before="0"/>
      </w:pPr>
      <w:r>
        <w:rPr>
          <w:rFonts w:ascii="Calibri" w:hAnsi="Calibri"/>
          <w:b/>
          <w:sz w:val="21"/>
        </w:rPr>
        <w:t xml:space="preserve">Breach Log: </w:t>
      </w:r>
      <w:r>
        <w:rPr>
          <w:rFonts w:ascii="Calibri" w:hAnsi="Calibri"/>
          <w:sz w:val="21"/>
        </w:rPr>
        <w:t>Entry 5 (Aug 13) states CloudFort “confirmed that all unauthorized data access occurred within its Ashburn, Virginia data center and that no access anomalies were detected on its Dublin, Ireland infrastructure, where EU-resident user data is partially replicated.”</w:t>
      </w:r>
    </w:p>
    <w:p>
      <w:pPr>
        <w:pStyle w:val="ListBullet"/>
        <w:spacing w:after="60" w:before="0"/>
      </w:pPr>
      <w:r>
        <w:rPr>
          <w:rFonts w:ascii="Calibri" w:hAnsi="Calibri"/>
          <w:b/>
          <w:sz w:val="21"/>
        </w:rPr>
        <w:t xml:space="preserve">Inventory: </w:t>
      </w:r>
      <w:r>
        <w:rPr>
          <w:rFonts w:ascii="Calibri" w:hAnsi="Calibri"/>
          <w:sz w:val="21"/>
        </w:rPr>
        <w:t>IT-001, PA-007, and TS-004 state “All EU-resident user data is processed and stored on CloudFort Virginia servers” and that the Dublin data center is “available” but EU data has not been migrated there.</w:t>
      </w:r>
    </w:p>
    <w:p>
      <w:pPr>
        <w:spacing w:before="120" w:after="120"/>
      </w:pPr>
      <w:r>
        <w:rPr>
          <w:rFonts w:ascii="Calibri" w:hAnsi="Calibri"/>
          <w:b w:val="0"/>
          <w:i w:val="0"/>
          <w:sz w:val="21"/>
        </w:rPr>
        <w:t>Conflict: the Breach Log states EU data is “partially replicated” to Dublin; the Inventory states all EU data is on Virginia servers (Dublin unused). These cannot both be correct. Implications: (1) the GDPR transfer analysis in the Inventory may be incomplete — if EU data is replicated to Dublin, there is an EU-to-EU replication (lawful) but the Virginia processing remains an unlawful transfer; (2) if EU data is NOT replicated to Dublin, the Breach Log’s statement is inaccurate and the breach-scope assessment (“no anomalies in Dublin”) is misleading; (3) the inconsistency undermines the reliability of both documents for diligence. Reconcile the actual data-residency architecture and correct both documents.</w:t>
      </w:r>
    </w:p>
    <w:p>
      <w:pPr>
        <w:keepNext/>
        <w:spacing w:before="160" w:after="40"/>
      </w:pPr>
      <w:r>
        <w:rPr>
          <w:rFonts w:ascii="Calibri" w:hAnsi="Calibri"/>
          <w:b/>
          <w:i/>
          <w:color w:val="555555"/>
          <w:sz w:val="21"/>
        </w:rPr>
        <w:t>B. Privacy Shield “Certification” Claim — Policy vs. Inventory</w:t>
      </w:r>
    </w:p>
    <w:p>
      <w:pPr>
        <w:pStyle w:val="ListBullet"/>
        <w:spacing w:after="60" w:before="0"/>
      </w:pPr>
      <w:r>
        <w:rPr>
          <w:rFonts w:ascii="Calibri" w:hAnsi="Calibri"/>
          <w:b/>
          <w:sz w:val="21"/>
        </w:rPr>
        <w:t xml:space="preserve">Policy: </w:t>
      </w:r>
      <w:r>
        <w:rPr>
          <w:rFonts w:ascii="Calibri" w:hAnsi="Calibri"/>
          <w:sz w:val="21"/>
        </w:rPr>
        <w:t>States “Vaultline has certified its compliance with the EU-US Privacy Shield Principles.”</w:t>
      </w:r>
    </w:p>
    <w:p>
      <w:pPr>
        <w:pStyle w:val="ListBullet"/>
        <w:spacing w:after="60" w:before="0"/>
      </w:pPr>
      <w:r>
        <w:rPr>
          <w:rFonts w:ascii="Calibri" w:hAnsi="Calibri"/>
          <w:b/>
          <w:sz w:val="21"/>
        </w:rPr>
        <w:t xml:space="preserve">Inventory: </w:t>
      </w:r>
      <w:r>
        <w:rPr>
          <w:rFonts w:ascii="Calibri" w:hAnsi="Calibri"/>
          <w:sz w:val="21"/>
        </w:rPr>
        <w:t>Does not confirm any prior Privacy Shield certification; states the DPF is “not utilized” and that Privacy Shield was “invalidated.”</w:t>
      </w:r>
    </w:p>
    <w:p>
      <w:pPr>
        <w:spacing w:before="120" w:after="120"/>
      </w:pPr>
      <w:r>
        <w:rPr>
          <w:rFonts w:ascii="Calibri" w:hAnsi="Calibri"/>
          <w:b w:val="0"/>
          <w:i w:val="0"/>
          <w:sz w:val="21"/>
        </w:rPr>
        <w:t>Conflict/question: if Vaultline was never actually Privacy-Shield-certified, the Policy’s statement is a misrepresentation (FTC Section 5 deception risk) independent of the invalidation. Confirm whether certification ever existed; if it did not, the statement must be removed as a misrepresentation (not merely as outdated). If it did exist, the certification lapsed when Privacy Shield was invalidated and the statement is still misleading today.</w:t>
      </w:r>
    </w:p>
    <w:p>
      <w:pPr>
        <w:keepNext/>
        <w:spacing w:before="160" w:after="40"/>
      </w:pPr>
      <w:r>
        <w:rPr>
          <w:rFonts w:ascii="Calibri" w:hAnsi="Calibri"/>
          <w:b/>
          <w:i/>
          <w:color w:val="555555"/>
          <w:sz w:val="21"/>
        </w:rPr>
        <w:t>C. Brightly Controller/Service-Provider Characterization — DSA vs. Policy</w:t>
      </w:r>
    </w:p>
    <w:p>
      <w:pPr>
        <w:pStyle w:val="ListBullet"/>
        <w:spacing w:after="60" w:before="0"/>
      </w:pPr>
      <w:r>
        <w:rPr>
          <w:rFonts w:ascii="Calibri" w:hAnsi="Calibri"/>
          <w:b/>
          <w:sz w:val="21"/>
        </w:rPr>
        <w:t xml:space="preserve">DSA: </w:t>
      </w:r>
      <w:r>
        <w:rPr>
          <w:rFonts w:ascii="Calibri" w:hAnsi="Calibri"/>
          <w:sz w:val="21"/>
        </w:rPr>
        <w:t>§4.1–4.2 classify Brightly as an “independent data controller (and not as a data processor, service provider, or contractor)” with the right to sell audience segments and combine data with other sources.</w:t>
      </w:r>
    </w:p>
    <w:p>
      <w:pPr>
        <w:pStyle w:val="ListBullet"/>
        <w:spacing w:after="60" w:before="0"/>
      </w:pPr>
      <w:r>
        <w:rPr>
          <w:rFonts w:ascii="Calibri" w:hAnsi="Calibri"/>
          <w:b/>
          <w:sz w:val="21"/>
        </w:rPr>
        <w:t xml:space="preserve">Policy: </w:t>
      </w:r>
      <w:r>
        <w:rPr>
          <w:rFonts w:ascii="Calibri" w:hAnsi="Calibri"/>
          <w:sz w:val="21"/>
        </w:rPr>
        <w:t>Describes “analytics and advertising partners” as parties with whom sharing is “governed by contractual agreements that impose certain limitations on the use and disclosure of shared information” — language that reads as service-provider-like limitations.</w:t>
      </w:r>
    </w:p>
    <w:p>
      <w:pPr>
        <w:spacing w:before="120" w:after="120"/>
      </w:pPr>
      <w:r>
        <w:rPr>
          <w:rFonts w:ascii="Calibri" w:hAnsi="Calibri"/>
          <w:b w:val="0"/>
          <w:i w:val="0"/>
          <w:sz w:val="21"/>
        </w:rPr>
        <w:t>Conflict: the Policy’s framing implies service-provider constraints that the DSA expressly disclaims. This misleads consumers about the nature of the Brightly relationship (independent controller that sells audience segments) and underlies the CCPA sale/sharing exposure in Issue 6 and the false-representation risk in Issue 10.</w:t>
      </w:r>
    </w:p>
    <w:p>
      <w:pPr>
        <w:keepNext/>
        <w:spacing w:before="160" w:after="40"/>
      </w:pPr>
      <w:r>
        <w:rPr>
          <w:rFonts w:ascii="Calibri" w:hAnsi="Calibri"/>
          <w:b/>
          <w:i/>
          <w:color w:val="555555"/>
          <w:sz w:val="21"/>
        </w:rPr>
        <w:t>D. Breach Affected-Data vs. Sensitive-PI Classification</w:t>
      </w:r>
    </w:p>
    <w:p>
      <w:pPr>
        <w:pStyle w:val="ListBullet"/>
        <w:spacing w:after="60" w:before="0"/>
      </w:pPr>
      <w:r>
        <w:rPr>
          <w:rFonts w:ascii="Calibri" w:hAnsi="Calibri"/>
          <w:b/>
          <w:sz w:val="21"/>
        </w:rPr>
        <w:t xml:space="preserve">Breach Log: </w:t>
      </w:r>
      <w:r>
        <w:rPr>
          <w:rFonts w:ascii="Calibri" w:hAnsi="Calibri"/>
          <w:sz w:val="21"/>
        </w:rPr>
        <w:t>Classifies exposed data as “Medium” (name, email) and “High” (SSN-last-4, transaction history) sensitivity, and states biometric templates were not accessed.</w:t>
      </w:r>
    </w:p>
    <w:p>
      <w:pPr>
        <w:pStyle w:val="ListBullet"/>
        <w:spacing w:after="60" w:before="0"/>
      </w:pPr>
      <w:r>
        <w:rPr>
          <w:rFonts w:ascii="Calibri" w:hAnsi="Calibri"/>
          <w:b/>
          <w:sz w:val="21"/>
        </w:rPr>
        <w:t xml:space="preserve">Inventory: </w:t>
      </w:r>
      <w:r>
        <w:rPr>
          <w:rFonts w:ascii="Calibri" w:hAnsi="Calibri"/>
          <w:sz w:val="21"/>
        </w:rPr>
        <w:t>Classifies SSN-last-4, transaction history, and biometric as CPRA sensitive personal information.</w:t>
      </w:r>
    </w:p>
    <w:p>
      <w:pPr>
        <w:spacing w:before="120" w:after="120"/>
      </w:pPr>
      <w:r>
        <w:rPr>
          <w:rFonts w:ascii="Calibri" w:hAnsi="Calibri"/>
          <w:b w:val="0"/>
          <w:i w:val="0"/>
          <w:sz w:val="21"/>
        </w:rPr>
        <w:t>Note (a disclosure gap rather than a hard conflict): the Breach Log’s consumer notice and the Policy do not frame the exposed SSN-last-4 and transaction data as “sensitive personal information” under the CPRA, which affects how affected California consumers should be advised of their sensitive-PI rights. Align the breach communications with the Inventory’s sensitive-PI classifications.</w:t>
      </w:r>
    </w:p>
    <w:p>
      <w:pPr>
        <w:keepNext/>
        <w:spacing w:before="320" w:after="120"/>
        <w:pBdr>
          <w:bottom w:val="single" w:sz="6" w:space="2" w:color="1F3355"/>
        </w:pBdr>
      </w:pPr>
      <w:r>
        <w:rPr>
          <w:rFonts w:ascii="Calibri" w:hAnsi="Calibri"/>
          <w:b/>
          <w:color w:val="1F3355"/>
          <w:sz w:val="26"/>
        </w:rPr>
        <w:t>VI.  Prioritized Remediation Roadmap</w:t>
      </w:r>
    </w:p>
    <w:p>
      <w:pPr>
        <w:spacing w:before="120" w:after="120"/>
      </w:pPr>
      <w:r>
        <w:rPr>
          <w:rFonts w:ascii="Calibri" w:hAnsi="Calibri"/>
          <w:b w:val="0"/>
          <w:i w:val="0"/>
          <w:sz w:val="21"/>
        </w:rPr>
        <w:t>The roadmap below is keyed to two external deadlines: the April 15, 2025 Series C diligence deadline and the Q3 2025 EU market launch. “Pre-closing” actions should be completed or under binding commitment before the Series C close; “Pre-EU-launch” actions must be completed before EU processing scales. Owners are suggested and should be confirmed by the General Counsel.</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792"/>
            <w:shd w:val="clear" w:color="auto" w:fill="1F3355"/>
          </w:tcPr>
          <w:p>
            <w:pPr>
              <w:spacing w:after="40" w:before="40"/>
            </w:pPr>
            <w:r/>
            <w:r>
              <w:rPr>
                <w:rFonts w:ascii="Calibri" w:hAnsi="Calibri"/>
                <w:b/>
                <w:color w:val="FFFFFF"/>
                <w:sz w:val="18"/>
              </w:rPr>
              <w:t>Priority</w:t>
            </w:r>
          </w:p>
        </w:tc>
        <w:tc>
          <w:tcPr>
            <w:tcW w:type="dxa" w:w="864"/>
            <w:shd w:val="clear" w:color="auto" w:fill="1F3355"/>
          </w:tcPr>
          <w:p>
            <w:pPr>
              <w:spacing w:after="40" w:before="40"/>
            </w:pPr>
            <w:r/>
            <w:r>
              <w:rPr>
                <w:rFonts w:ascii="Calibri" w:hAnsi="Calibri"/>
                <w:b/>
                <w:color w:val="FFFFFF"/>
                <w:sz w:val="18"/>
              </w:rPr>
              <w:t>Issue(s)</w:t>
            </w:r>
          </w:p>
        </w:tc>
        <w:tc>
          <w:tcPr>
            <w:tcW w:type="dxa" w:w="4896"/>
            <w:shd w:val="clear" w:color="auto" w:fill="1F3355"/>
          </w:tcPr>
          <w:p>
            <w:pPr>
              <w:spacing w:after="40" w:before="40"/>
            </w:pPr>
            <w:r/>
            <w:r>
              <w:rPr>
                <w:rFonts w:ascii="Calibri" w:hAnsi="Calibri"/>
                <w:b/>
                <w:color w:val="FFFFFF"/>
                <w:sz w:val="18"/>
              </w:rPr>
              <w:t>Key Action</w:t>
            </w:r>
          </w:p>
        </w:tc>
        <w:tc>
          <w:tcPr>
            <w:tcW w:type="dxa" w:w="1800"/>
            <w:shd w:val="clear" w:color="auto" w:fill="1F3355"/>
          </w:tcPr>
          <w:p>
            <w:pPr>
              <w:spacing w:after="40" w:before="40"/>
            </w:pPr>
            <w:r/>
            <w:r>
              <w:rPr>
                <w:rFonts w:ascii="Calibri" w:hAnsi="Calibri"/>
                <w:b/>
                <w:color w:val="FFFFFF"/>
                <w:sz w:val="18"/>
              </w:rPr>
              <w:t>Suggested Owner</w:t>
            </w:r>
          </w:p>
        </w:tc>
        <w:tc>
          <w:tcPr>
            <w:tcW w:type="dxa" w:w="1440"/>
            <w:shd w:val="clear" w:color="auto" w:fill="1F3355"/>
          </w:tcPr>
          <w:p>
            <w:pPr>
              <w:spacing w:after="40" w:before="40"/>
            </w:pPr>
            <w:r/>
            <w:r>
              <w:rPr>
                <w:rFonts w:ascii="Calibri" w:hAnsi="Calibri"/>
                <w:b/>
                <w:color w:val="FFFFFF"/>
                <w:sz w:val="18"/>
              </w:rPr>
              <w:t>Target</w:t>
            </w:r>
          </w:p>
        </w:tc>
      </w:tr>
      <w:tr>
        <w:tc>
          <w:tcPr>
            <w:tcW w:type="dxa" w:w="792"/>
            <w:shd w:val="clear" w:color="auto" w:fill="C00000"/>
          </w:tcPr>
          <w:p>
            <w:pPr>
              <w:spacing w:after="40" w:before="40"/>
              <w:jc w:val="center"/>
            </w:pPr>
            <w:r>
              <w:rPr>
                <w:color w:val="FFFFFF"/>
              </w:rPr>
            </w:r>
            <w:r>
              <w:rPr>
                <w:rFonts w:ascii="Calibri" w:hAnsi="Calibri"/>
                <w:b/>
                <w:sz w:val="17"/>
              </w:rPr>
              <w:t>P0</w:t>
            </w:r>
          </w:p>
        </w:tc>
        <w:tc>
          <w:tcPr>
            <w:tcW w:type="dxa" w:w="864"/>
          </w:tcPr>
          <w:p>
            <w:pPr>
              <w:spacing w:after="40" w:before="40"/>
              <w:jc w:val="center"/>
            </w:pPr>
            <w:r/>
            <w:r>
              <w:rPr>
                <w:rFonts w:ascii="Calibri" w:hAnsi="Calibri"/>
                <w:b w:val="0"/>
                <w:sz w:val="17"/>
              </w:rPr>
              <w:t>1, 16</w:t>
            </w:r>
          </w:p>
        </w:tc>
        <w:tc>
          <w:tcPr>
            <w:tcW w:type="dxa" w:w="4896"/>
          </w:tcPr>
          <w:p>
            <w:pPr>
              <w:spacing w:after="40" w:before="40"/>
            </w:pPr>
            <w:r/>
            <w:r>
              <w:rPr>
                <w:rFonts w:ascii="Calibri" w:hAnsi="Calibri"/>
                <w:b w:val="0"/>
                <w:sz w:val="17"/>
              </w:rPr>
              <w:t>Suspend/consent Selfie Verify in BIPA/TX/WA; publish biometric retention &amp; destruction policy; update Policy; quantify BIPA reserve</w:t>
            </w:r>
          </w:p>
        </w:tc>
        <w:tc>
          <w:tcPr>
            <w:tcW w:type="dxa" w:w="1800"/>
          </w:tcPr>
          <w:p>
            <w:pPr>
              <w:spacing w:after="40" w:before="40"/>
            </w:pPr>
            <w:r/>
            <w:r>
              <w:rPr>
                <w:rFonts w:ascii="Calibri" w:hAnsi="Calibri"/>
                <w:b w:val="0"/>
                <w:sz w:val="17"/>
              </w:rPr>
              <w:t>GC + Engineering</w:t>
            </w:r>
          </w:p>
        </w:tc>
        <w:tc>
          <w:tcPr>
            <w:tcW w:type="dxa" w:w="1440"/>
          </w:tcPr>
          <w:p>
            <w:pPr>
              <w:spacing w:after="40" w:before="40"/>
              <w:jc w:val="center"/>
            </w:pPr>
            <w:r/>
            <w:r>
              <w:rPr>
                <w:rFonts w:ascii="Calibri" w:hAnsi="Calibri"/>
                <w:b w:val="0"/>
                <w:sz w:val="17"/>
              </w:rPr>
              <w:t>Pre-closing</w:t>
            </w:r>
          </w:p>
        </w:tc>
      </w:tr>
      <w:tr>
        <w:tc>
          <w:tcPr>
            <w:tcW w:type="dxa" w:w="792"/>
            <w:shd w:val="clear" w:color="auto" w:fill="C00000"/>
          </w:tcPr>
          <w:p>
            <w:pPr>
              <w:spacing w:after="40" w:before="40"/>
              <w:jc w:val="center"/>
            </w:pPr>
            <w:r>
              <w:rPr>
                <w:color w:val="FFFFFF"/>
              </w:rPr>
            </w:r>
            <w:r>
              <w:rPr>
                <w:rFonts w:ascii="Calibri" w:hAnsi="Calibri"/>
                <w:b/>
                <w:sz w:val="17"/>
              </w:rPr>
              <w:t>P0</w:t>
            </w:r>
          </w:p>
        </w:tc>
        <w:tc>
          <w:tcPr>
            <w:tcW w:type="dxa" w:w="864"/>
          </w:tcPr>
          <w:p>
            <w:pPr>
              <w:spacing w:after="40" w:before="40"/>
              <w:jc w:val="center"/>
            </w:pPr>
            <w:r/>
            <w:r>
              <w:rPr>
                <w:rFonts w:ascii="Calibri" w:hAnsi="Calibri"/>
                <w:b w:val="0"/>
                <w:sz w:val="17"/>
              </w:rPr>
              <w:t>2</w:t>
            </w:r>
          </w:p>
        </w:tc>
        <w:tc>
          <w:tcPr>
            <w:tcW w:type="dxa" w:w="4896"/>
          </w:tcPr>
          <w:p>
            <w:pPr>
              <w:spacing w:after="40" w:before="40"/>
            </w:pPr>
            <w:r/>
            <w:r>
              <w:rPr>
                <w:rFonts w:ascii="Calibri" w:hAnsi="Calibri"/>
                <w:b w:val="0"/>
                <w:sz w:val="17"/>
              </w:rPr>
              <w:t>Remove Privacy Shield refs; execute SCCs + TIA with CloudFort/Brightly/FinLink (or DPF cert); migrate EU data to Dublin; appoint Art. 27 rep</w:t>
            </w:r>
          </w:p>
        </w:tc>
        <w:tc>
          <w:tcPr>
            <w:tcW w:type="dxa" w:w="1800"/>
          </w:tcPr>
          <w:p>
            <w:pPr>
              <w:spacing w:after="40" w:before="40"/>
            </w:pPr>
            <w:r/>
            <w:r>
              <w:rPr>
                <w:rFonts w:ascii="Calibri" w:hAnsi="Calibri"/>
                <w:b w:val="0"/>
                <w:sz w:val="17"/>
              </w:rPr>
              <w:t>GC + Engineering</w:t>
            </w:r>
          </w:p>
        </w:tc>
        <w:tc>
          <w:tcPr>
            <w:tcW w:type="dxa" w:w="1440"/>
          </w:tcPr>
          <w:p>
            <w:pPr>
              <w:spacing w:after="40" w:before="40"/>
              <w:jc w:val="center"/>
            </w:pPr>
            <w:r/>
            <w:r>
              <w:rPr>
                <w:rFonts w:ascii="Calibri" w:hAnsi="Calibri"/>
                <w:b w:val="0"/>
                <w:sz w:val="17"/>
              </w:rPr>
              <w:t>Pre-EU-launch</w:t>
            </w:r>
          </w:p>
        </w:tc>
      </w:tr>
      <w:tr>
        <w:tc>
          <w:tcPr>
            <w:tcW w:type="dxa" w:w="792"/>
            <w:shd w:val="clear" w:color="auto" w:fill="C00000"/>
          </w:tcPr>
          <w:p>
            <w:pPr>
              <w:spacing w:after="40" w:before="40"/>
              <w:jc w:val="center"/>
            </w:pPr>
            <w:r>
              <w:rPr>
                <w:color w:val="FFFFFF"/>
              </w:rPr>
            </w:r>
            <w:r>
              <w:rPr>
                <w:rFonts w:ascii="Calibri" w:hAnsi="Calibri"/>
                <w:b/>
                <w:sz w:val="17"/>
              </w:rPr>
              <w:t>P0</w:t>
            </w:r>
          </w:p>
        </w:tc>
        <w:tc>
          <w:tcPr>
            <w:tcW w:type="dxa" w:w="864"/>
          </w:tcPr>
          <w:p>
            <w:pPr>
              <w:spacing w:after="40" w:before="40"/>
              <w:jc w:val="center"/>
            </w:pPr>
            <w:r/>
            <w:r>
              <w:rPr>
                <w:rFonts w:ascii="Calibri" w:hAnsi="Calibri"/>
                <w:b w:val="0"/>
                <w:sz w:val="17"/>
              </w:rPr>
              <w:t>3</w:t>
            </w:r>
          </w:p>
        </w:tc>
        <w:tc>
          <w:tcPr>
            <w:tcW w:type="dxa" w:w="4896"/>
          </w:tcPr>
          <w:p>
            <w:pPr>
              <w:spacing w:after="40" w:before="40"/>
            </w:pPr>
            <w:r/>
            <w:r>
              <w:rPr>
                <w:rFonts w:ascii="Calibri" w:hAnsi="Calibri"/>
                <w:b w:val="0"/>
                <w:sz w:val="17"/>
              </w:rPr>
              <w:t>Disclose Smart Insights ADM; add human-review/opt-out; conduct Art. 35(3)(a) DPIA; FCRA analysis</w:t>
            </w:r>
          </w:p>
        </w:tc>
        <w:tc>
          <w:tcPr>
            <w:tcW w:type="dxa" w:w="1800"/>
          </w:tcPr>
          <w:p>
            <w:pPr>
              <w:spacing w:after="40" w:before="40"/>
            </w:pPr>
            <w:r/>
            <w:r>
              <w:rPr>
                <w:rFonts w:ascii="Calibri" w:hAnsi="Calibri"/>
                <w:b w:val="0"/>
                <w:sz w:val="17"/>
              </w:rPr>
              <w:t>GC + Product</w:t>
            </w:r>
          </w:p>
        </w:tc>
        <w:tc>
          <w:tcPr>
            <w:tcW w:type="dxa" w:w="1440"/>
          </w:tcPr>
          <w:p>
            <w:pPr>
              <w:spacing w:after="40" w:before="40"/>
              <w:jc w:val="center"/>
            </w:pPr>
            <w:r/>
            <w:r>
              <w:rPr>
                <w:rFonts w:ascii="Calibri" w:hAnsi="Calibri"/>
                <w:b w:val="0"/>
                <w:sz w:val="17"/>
              </w:rPr>
              <w:t>Pre-EU-launch</w:t>
            </w:r>
          </w:p>
        </w:tc>
      </w:tr>
      <w:tr>
        <w:tc>
          <w:tcPr>
            <w:tcW w:type="dxa" w:w="792"/>
            <w:shd w:val="clear" w:color="auto" w:fill="C00000"/>
          </w:tcPr>
          <w:p>
            <w:pPr>
              <w:spacing w:after="40" w:before="40"/>
              <w:jc w:val="center"/>
            </w:pPr>
            <w:r>
              <w:rPr>
                <w:color w:val="FFFFFF"/>
              </w:rPr>
            </w:r>
            <w:r>
              <w:rPr>
                <w:rFonts w:ascii="Calibri" w:hAnsi="Calibri"/>
                <w:b/>
                <w:sz w:val="17"/>
              </w:rPr>
              <w:t>P0</w:t>
            </w:r>
          </w:p>
        </w:tc>
        <w:tc>
          <w:tcPr>
            <w:tcW w:type="dxa" w:w="864"/>
          </w:tcPr>
          <w:p>
            <w:pPr>
              <w:spacing w:after="40" w:before="40"/>
              <w:jc w:val="center"/>
            </w:pPr>
            <w:r/>
            <w:r>
              <w:rPr>
                <w:rFonts w:ascii="Calibri" w:hAnsi="Calibri"/>
                <w:b w:val="0"/>
                <w:sz w:val="17"/>
              </w:rPr>
              <w:t>4</w:t>
            </w:r>
          </w:p>
        </w:tc>
        <w:tc>
          <w:tcPr>
            <w:tcW w:type="dxa" w:w="4896"/>
          </w:tcPr>
          <w:p>
            <w:pPr>
              <w:spacing w:after="40" w:before="40"/>
            </w:pPr>
            <w:r/>
            <w:r>
              <w:rPr>
                <w:rFonts w:ascii="Calibri" w:hAnsi="Calibri"/>
                <w:b w:val="0"/>
                <w:sz w:val="17"/>
              </w:rPr>
              <w:t>Reconstruct breach notification record; assess 47-day delay; resolve DSA §9.2 Brightly notice; update IR Plan</w:t>
            </w:r>
          </w:p>
        </w:tc>
        <w:tc>
          <w:tcPr>
            <w:tcW w:type="dxa" w:w="1800"/>
          </w:tcPr>
          <w:p>
            <w:pPr>
              <w:spacing w:after="40" w:before="40"/>
            </w:pPr>
            <w:r/>
            <w:r>
              <w:rPr>
                <w:rFonts w:ascii="Calibri" w:hAnsi="Calibri"/>
                <w:b w:val="0"/>
                <w:sz w:val="17"/>
              </w:rPr>
              <w:t>GC + Thornbury &amp; Locke</w:t>
            </w:r>
          </w:p>
        </w:tc>
        <w:tc>
          <w:tcPr>
            <w:tcW w:type="dxa" w:w="1440"/>
          </w:tcPr>
          <w:p>
            <w:pPr>
              <w:spacing w:after="40" w:before="40"/>
              <w:jc w:val="center"/>
            </w:pPr>
            <w:r/>
            <w:r>
              <w:rPr>
                <w:rFonts w:ascii="Calibri" w:hAnsi="Calibri"/>
                <w:b w:val="0"/>
                <w:sz w:val="17"/>
              </w:rPr>
              <w:t>Pre-closing</w:t>
            </w:r>
          </w:p>
        </w:tc>
      </w:tr>
      <w:tr>
        <w:tc>
          <w:tcPr>
            <w:tcW w:type="dxa" w:w="792"/>
            <w:shd w:val="clear" w:color="auto" w:fill="E26B0A"/>
          </w:tcPr>
          <w:p>
            <w:pPr>
              <w:spacing w:after="40" w:before="40"/>
              <w:jc w:val="center"/>
            </w:pPr>
            <w:r>
              <w:rPr>
                <w:color w:val="FFFFFF"/>
              </w:rPr>
            </w:r>
            <w:r>
              <w:rPr>
                <w:rFonts w:ascii="Calibri" w:hAnsi="Calibri"/>
                <w:b/>
                <w:sz w:val="17"/>
              </w:rPr>
              <w:t>P1</w:t>
            </w:r>
          </w:p>
        </w:tc>
        <w:tc>
          <w:tcPr>
            <w:tcW w:type="dxa" w:w="864"/>
          </w:tcPr>
          <w:p>
            <w:pPr>
              <w:spacing w:after="40" w:before="40"/>
              <w:jc w:val="center"/>
            </w:pPr>
            <w:r/>
            <w:r>
              <w:rPr>
                <w:rFonts w:ascii="Calibri" w:hAnsi="Calibri"/>
                <w:b w:val="0"/>
                <w:sz w:val="17"/>
              </w:rPr>
              <w:t>5, 13, 14</w:t>
            </w:r>
          </w:p>
        </w:tc>
        <w:tc>
          <w:tcPr>
            <w:tcW w:type="dxa" w:w="4896"/>
          </w:tcPr>
          <w:p>
            <w:pPr>
              <w:spacing w:after="40" w:before="40"/>
            </w:pPr>
            <w:r/>
            <w:r>
              <w:rPr>
                <w:rFonts w:ascii="Calibri" w:hAnsi="Calibri"/>
                <w:b w:val="0"/>
                <w:sz w:val="17"/>
              </w:rPr>
              <w:t>Draft Art. 13/14 layer; appoint DPO; document lawful bases; conduct all mandatory DPIAs; move to explicit consent</w:t>
            </w:r>
          </w:p>
        </w:tc>
        <w:tc>
          <w:tcPr>
            <w:tcW w:type="dxa" w:w="1800"/>
          </w:tcPr>
          <w:p>
            <w:pPr>
              <w:spacing w:after="40" w:before="40"/>
            </w:pPr>
            <w:r/>
            <w:r>
              <w:rPr>
                <w:rFonts w:ascii="Calibri" w:hAnsi="Calibri"/>
                <w:b w:val="0"/>
                <w:sz w:val="17"/>
              </w:rPr>
              <w:t>GC + DPO (new)</w:t>
            </w:r>
          </w:p>
        </w:tc>
        <w:tc>
          <w:tcPr>
            <w:tcW w:type="dxa" w:w="1440"/>
          </w:tcPr>
          <w:p>
            <w:pPr>
              <w:spacing w:after="40" w:before="40"/>
              <w:jc w:val="center"/>
            </w:pPr>
            <w:r/>
            <w:r>
              <w:rPr>
                <w:rFonts w:ascii="Calibri" w:hAnsi="Calibri"/>
                <w:b w:val="0"/>
                <w:sz w:val="17"/>
              </w:rPr>
              <w:t>Pre-EU-launch</w:t>
            </w:r>
          </w:p>
        </w:tc>
      </w:tr>
      <w:tr>
        <w:tc>
          <w:tcPr>
            <w:tcW w:type="dxa" w:w="792"/>
            <w:shd w:val="clear" w:color="auto" w:fill="E26B0A"/>
          </w:tcPr>
          <w:p>
            <w:pPr>
              <w:spacing w:after="40" w:before="40"/>
              <w:jc w:val="center"/>
            </w:pPr>
            <w:r>
              <w:rPr>
                <w:color w:val="FFFFFF"/>
              </w:rPr>
            </w:r>
            <w:r>
              <w:rPr>
                <w:rFonts w:ascii="Calibri" w:hAnsi="Calibri"/>
                <w:b/>
                <w:sz w:val="17"/>
              </w:rPr>
              <w:t>P1</w:t>
            </w:r>
          </w:p>
        </w:tc>
        <w:tc>
          <w:tcPr>
            <w:tcW w:type="dxa" w:w="864"/>
          </w:tcPr>
          <w:p>
            <w:pPr>
              <w:spacing w:after="40" w:before="40"/>
              <w:jc w:val="center"/>
            </w:pPr>
            <w:r/>
            <w:r>
              <w:rPr>
                <w:rFonts w:ascii="Calibri" w:hAnsi="Calibri"/>
                <w:b w:val="0"/>
                <w:sz w:val="17"/>
              </w:rPr>
              <w:t>6, 7, 8</w:t>
            </w:r>
          </w:p>
        </w:tc>
        <w:tc>
          <w:tcPr>
            <w:tcW w:type="dxa" w:w="4896"/>
          </w:tcPr>
          <w:p>
            <w:pPr>
              <w:spacing w:after="40" w:before="40"/>
            </w:pPr>
            <w:r/>
            <w:r>
              <w:rPr>
                <w:rFonts w:ascii="Calibri" w:hAnsi="Calibri"/>
                <w:b w:val="0"/>
                <w:sz w:val="17"/>
              </w:rPr>
              <w:t>CCPA sale/sharing analysis; add “Do Not Sell or Share” + “Limit Sensitive PI” links and opt-outs; rewrite CA rights section</w:t>
            </w:r>
          </w:p>
        </w:tc>
        <w:tc>
          <w:tcPr>
            <w:tcW w:type="dxa" w:w="1800"/>
          </w:tcPr>
          <w:p>
            <w:pPr>
              <w:spacing w:after="40" w:before="40"/>
            </w:pPr>
            <w:r/>
            <w:r>
              <w:rPr>
                <w:rFonts w:ascii="Calibri" w:hAnsi="Calibri"/>
                <w:b w:val="0"/>
                <w:sz w:val="17"/>
              </w:rPr>
              <w:t>GC + Engineering</w:t>
            </w:r>
          </w:p>
        </w:tc>
        <w:tc>
          <w:tcPr>
            <w:tcW w:type="dxa" w:w="1440"/>
          </w:tcPr>
          <w:p>
            <w:pPr>
              <w:spacing w:after="40" w:before="40"/>
              <w:jc w:val="center"/>
            </w:pPr>
            <w:r/>
            <w:r>
              <w:rPr>
                <w:rFonts w:ascii="Calibri" w:hAnsi="Calibri"/>
                <w:b w:val="0"/>
                <w:sz w:val="17"/>
              </w:rPr>
              <w:t>Pre-closing</w:t>
            </w:r>
          </w:p>
        </w:tc>
      </w:tr>
      <w:tr>
        <w:tc>
          <w:tcPr>
            <w:tcW w:type="dxa" w:w="792"/>
            <w:shd w:val="clear" w:color="auto" w:fill="E26B0A"/>
          </w:tcPr>
          <w:p>
            <w:pPr>
              <w:spacing w:after="40" w:before="40"/>
              <w:jc w:val="center"/>
            </w:pPr>
            <w:r>
              <w:rPr>
                <w:color w:val="FFFFFF"/>
              </w:rPr>
            </w:r>
            <w:r>
              <w:rPr>
                <w:rFonts w:ascii="Calibri" w:hAnsi="Calibri"/>
                <w:b/>
                <w:sz w:val="17"/>
              </w:rPr>
              <w:t>P1</w:t>
            </w:r>
          </w:p>
        </w:tc>
        <w:tc>
          <w:tcPr>
            <w:tcW w:type="dxa" w:w="864"/>
          </w:tcPr>
          <w:p>
            <w:pPr>
              <w:spacing w:after="40" w:before="40"/>
              <w:jc w:val="center"/>
            </w:pPr>
            <w:r/>
            <w:r>
              <w:rPr>
                <w:rFonts w:ascii="Calibri" w:hAnsi="Calibri"/>
                <w:b w:val="0"/>
                <w:sz w:val="17"/>
              </w:rPr>
              <w:t>9</w:t>
            </w:r>
          </w:p>
        </w:tc>
        <w:tc>
          <w:tcPr>
            <w:tcW w:type="dxa" w:w="4896"/>
          </w:tcPr>
          <w:p>
            <w:pPr>
              <w:spacing w:after="40" w:before="40"/>
            </w:pPr>
            <w:r/>
            <w:r>
              <w:rPr>
                <w:rFonts w:ascii="Calibri" w:hAnsi="Calibri"/>
                <w:b w:val="0"/>
                <w:sz w:val="17"/>
              </w:rPr>
              <w:t>Formal retention schedule + destruction methods; deletion-on-closure; publish retention periods</w:t>
            </w:r>
          </w:p>
        </w:tc>
        <w:tc>
          <w:tcPr>
            <w:tcW w:type="dxa" w:w="1800"/>
          </w:tcPr>
          <w:p>
            <w:pPr>
              <w:spacing w:after="40" w:before="40"/>
            </w:pPr>
            <w:r/>
            <w:r>
              <w:rPr>
                <w:rFonts w:ascii="Calibri" w:hAnsi="Calibri"/>
                <w:b w:val="0"/>
                <w:sz w:val="17"/>
              </w:rPr>
              <w:t>Data &amp; Analytics</w:t>
            </w:r>
          </w:p>
        </w:tc>
        <w:tc>
          <w:tcPr>
            <w:tcW w:type="dxa" w:w="1440"/>
          </w:tcPr>
          <w:p>
            <w:pPr>
              <w:spacing w:after="40" w:before="40"/>
              <w:jc w:val="center"/>
            </w:pPr>
            <w:r/>
            <w:r>
              <w:rPr>
                <w:rFonts w:ascii="Calibri" w:hAnsi="Calibri"/>
                <w:b w:val="0"/>
                <w:sz w:val="17"/>
              </w:rPr>
              <w:t>Pre-closing</w:t>
            </w:r>
          </w:p>
        </w:tc>
      </w:tr>
      <w:tr>
        <w:tc>
          <w:tcPr>
            <w:tcW w:type="dxa" w:w="792"/>
            <w:shd w:val="clear" w:color="auto" w:fill="E26B0A"/>
          </w:tcPr>
          <w:p>
            <w:pPr>
              <w:spacing w:after="40" w:before="40"/>
              <w:jc w:val="center"/>
            </w:pPr>
            <w:r>
              <w:rPr>
                <w:color w:val="FFFFFF"/>
              </w:rPr>
            </w:r>
            <w:r>
              <w:rPr>
                <w:rFonts w:ascii="Calibri" w:hAnsi="Calibri"/>
                <w:b/>
                <w:sz w:val="17"/>
              </w:rPr>
              <w:t>P1</w:t>
            </w:r>
          </w:p>
        </w:tc>
        <w:tc>
          <w:tcPr>
            <w:tcW w:type="dxa" w:w="864"/>
          </w:tcPr>
          <w:p>
            <w:pPr>
              <w:spacing w:after="40" w:before="40"/>
              <w:jc w:val="center"/>
            </w:pPr>
            <w:r/>
            <w:r>
              <w:rPr>
                <w:rFonts w:ascii="Calibri" w:hAnsi="Calibri"/>
                <w:b w:val="0"/>
                <w:sz w:val="17"/>
              </w:rPr>
              <w:t>10</w:t>
            </w:r>
          </w:p>
        </w:tc>
        <w:tc>
          <w:tcPr>
            <w:tcW w:type="dxa" w:w="4896"/>
          </w:tcPr>
          <w:p>
            <w:pPr>
              <w:spacing w:after="40" w:before="40"/>
            </w:pPr>
            <w:r/>
            <w:r>
              <w:rPr>
                <w:rFonts w:ascii="Calibri" w:hAnsi="Calibri"/>
                <w:b w:val="0"/>
                <w:sz w:val="17"/>
              </w:rPr>
              <w:t>Cure DSA §7.1(b)/(c); negotiate DPA/CPRA service-provider addendum or implement opt-out; reflect June 2024 amendment</w:t>
            </w:r>
          </w:p>
        </w:tc>
        <w:tc>
          <w:tcPr>
            <w:tcW w:type="dxa" w:w="1800"/>
          </w:tcPr>
          <w:p>
            <w:pPr>
              <w:spacing w:after="40" w:before="40"/>
            </w:pPr>
            <w:r/>
            <w:r>
              <w:rPr>
                <w:rFonts w:ascii="Calibri" w:hAnsi="Calibri"/>
                <w:b w:val="0"/>
                <w:sz w:val="17"/>
              </w:rPr>
              <w:t>GC + BD</w:t>
            </w:r>
          </w:p>
        </w:tc>
        <w:tc>
          <w:tcPr>
            <w:tcW w:type="dxa" w:w="1440"/>
          </w:tcPr>
          <w:p>
            <w:pPr>
              <w:spacing w:after="40" w:before="40"/>
              <w:jc w:val="center"/>
            </w:pPr>
            <w:r/>
            <w:r>
              <w:rPr>
                <w:rFonts w:ascii="Calibri" w:hAnsi="Calibri"/>
                <w:b w:val="0"/>
                <w:sz w:val="17"/>
              </w:rPr>
              <w:t>Pre-closing</w:t>
            </w:r>
          </w:p>
        </w:tc>
      </w:tr>
      <w:tr>
        <w:tc>
          <w:tcPr>
            <w:tcW w:type="dxa" w:w="792"/>
            <w:shd w:val="clear" w:color="auto" w:fill="E26B0A"/>
          </w:tcPr>
          <w:p>
            <w:pPr>
              <w:spacing w:after="40" w:before="40"/>
              <w:jc w:val="center"/>
            </w:pPr>
            <w:r>
              <w:rPr>
                <w:color w:val="FFFFFF"/>
              </w:rPr>
            </w:r>
            <w:r>
              <w:rPr>
                <w:rFonts w:ascii="Calibri" w:hAnsi="Calibri"/>
                <w:b/>
                <w:sz w:val="17"/>
              </w:rPr>
              <w:t>P1</w:t>
            </w:r>
          </w:p>
        </w:tc>
        <w:tc>
          <w:tcPr>
            <w:tcW w:type="dxa" w:w="864"/>
          </w:tcPr>
          <w:p>
            <w:pPr>
              <w:spacing w:after="40" w:before="40"/>
              <w:jc w:val="center"/>
            </w:pPr>
            <w:r/>
            <w:r>
              <w:rPr>
                <w:rFonts w:ascii="Calibri" w:hAnsi="Calibri"/>
                <w:b w:val="0"/>
                <w:sz w:val="17"/>
              </w:rPr>
              <w:t>11</w:t>
            </w:r>
          </w:p>
        </w:tc>
        <w:tc>
          <w:tcPr>
            <w:tcW w:type="dxa" w:w="4896"/>
          </w:tcPr>
          <w:p>
            <w:pPr>
              <w:spacing w:after="40" w:before="40"/>
            </w:pPr>
            <w:r/>
            <w:r>
              <w:rPr>
                <w:rFonts w:ascii="Calibri" w:hAnsi="Calibri"/>
                <w:b w:val="0"/>
                <w:sz w:val="17"/>
              </w:rPr>
              <w:t>Consent management platform (reject = accept prominence; block pre-consent); disclose ad networks; CalOPPA DNT</w:t>
            </w:r>
          </w:p>
        </w:tc>
        <w:tc>
          <w:tcPr>
            <w:tcW w:type="dxa" w:w="1800"/>
          </w:tcPr>
          <w:p>
            <w:pPr>
              <w:spacing w:after="40" w:before="40"/>
            </w:pPr>
            <w:r/>
            <w:r>
              <w:rPr>
                <w:rFonts w:ascii="Calibri" w:hAnsi="Calibri"/>
                <w:b w:val="0"/>
                <w:sz w:val="17"/>
              </w:rPr>
              <w:t>Engineering</w:t>
            </w:r>
          </w:p>
        </w:tc>
        <w:tc>
          <w:tcPr>
            <w:tcW w:type="dxa" w:w="1440"/>
          </w:tcPr>
          <w:p>
            <w:pPr>
              <w:spacing w:after="40" w:before="40"/>
              <w:jc w:val="center"/>
            </w:pPr>
            <w:r/>
            <w:r>
              <w:rPr>
                <w:rFonts w:ascii="Calibri" w:hAnsi="Calibri"/>
                <w:b w:val="0"/>
                <w:sz w:val="17"/>
              </w:rPr>
              <w:t>Pre-EU-launch</w:t>
            </w:r>
          </w:p>
        </w:tc>
      </w:tr>
      <w:tr>
        <w:tc>
          <w:tcPr>
            <w:tcW w:type="dxa" w:w="792"/>
            <w:shd w:val="clear" w:color="auto" w:fill="BF8F00"/>
          </w:tcPr>
          <w:p>
            <w:pPr>
              <w:spacing w:after="40" w:before="40"/>
              <w:jc w:val="center"/>
            </w:pPr>
            <w:r>
              <w:rPr>
                <w:color w:val="FFFFFF"/>
              </w:rPr>
            </w:r>
            <w:r>
              <w:rPr>
                <w:rFonts w:ascii="Calibri" w:hAnsi="Calibri"/>
                <w:b/>
                <w:sz w:val="17"/>
              </w:rPr>
              <w:t>P2</w:t>
            </w:r>
          </w:p>
        </w:tc>
        <w:tc>
          <w:tcPr>
            <w:tcW w:type="dxa" w:w="864"/>
          </w:tcPr>
          <w:p>
            <w:pPr>
              <w:spacing w:after="40" w:before="40"/>
              <w:jc w:val="center"/>
            </w:pPr>
            <w:r/>
            <w:r>
              <w:rPr>
                <w:rFonts w:ascii="Calibri" w:hAnsi="Calibri"/>
                <w:b w:val="0"/>
                <w:sz w:val="17"/>
              </w:rPr>
              <w:t>12</w:t>
            </w:r>
          </w:p>
        </w:tc>
        <w:tc>
          <w:tcPr>
            <w:tcW w:type="dxa" w:w="4896"/>
          </w:tcPr>
          <w:p>
            <w:pPr>
              <w:spacing w:after="40" w:before="40"/>
            </w:pPr>
            <w:r/>
            <w:r>
              <w:rPr>
                <w:rFonts w:ascii="Calibri" w:hAnsi="Calibri"/>
                <w:b w:val="0"/>
                <w:sz w:val="17"/>
              </w:rPr>
              <w:t>Definitive GLBA characterization opinion; if applicable, Reg. P notices + NPI opt-out; map GLBA/CCPA boundary</w:t>
            </w:r>
          </w:p>
        </w:tc>
        <w:tc>
          <w:tcPr>
            <w:tcW w:type="dxa" w:w="1800"/>
          </w:tcPr>
          <w:p>
            <w:pPr>
              <w:spacing w:after="40" w:before="40"/>
            </w:pPr>
            <w:r/>
            <w:r>
              <w:rPr>
                <w:rFonts w:ascii="Calibri" w:hAnsi="Calibri"/>
                <w:b w:val="0"/>
                <w:sz w:val="17"/>
              </w:rPr>
              <w:t>Thornbury &amp; Locke</w:t>
            </w:r>
          </w:p>
        </w:tc>
        <w:tc>
          <w:tcPr>
            <w:tcW w:type="dxa" w:w="1440"/>
          </w:tcPr>
          <w:p>
            <w:pPr>
              <w:spacing w:after="40" w:before="40"/>
              <w:jc w:val="center"/>
            </w:pPr>
            <w:r/>
            <w:r>
              <w:rPr>
                <w:rFonts w:ascii="Calibri" w:hAnsi="Calibri"/>
                <w:b w:val="0"/>
                <w:sz w:val="17"/>
              </w:rPr>
              <w:t>Pre-closing</w:t>
            </w:r>
          </w:p>
        </w:tc>
      </w:tr>
      <w:tr>
        <w:tc>
          <w:tcPr>
            <w:tcW w:type="dxa" w:w="792"/>
            <w:shd w:val="clear" w:color="auto" w:fill="BF8F00"/>
          </w:tcPr>
          <w:p>
            <w:pPr>
              <w:spacing w:after="40" w:before="40"/>
              <w:jc w:val="center"/>
            </w:pPr>
            <w:r>
              <w:rPr>
                <w:color w:val="FFFFFF"/>
              </w:rPr>
            </w:r>
            <w:r>
              <w:rPr>
                <w:rFonts w:ascii="Calibri" w:hAnsi="Calibri"/>
                <w:b/>
                <w:sz w:val="17"/>
              </w:rPr>
              <w:t>P2</w:t>
            </w:r>
          </w:p>
        </w:tc>
        <w:tc>
          <w:tcPr>
            <w:tcW w:type="dxa" w:w="864"/>
          </w:tcPr>
          <w:p>
            <w:pPr>
              <w:spacing w:after="40" w:before="40"/>
              <w:jc w:val="center"/>
            </w:pPr>
            <w:r/>
            <w:r>
              <w:rPr>
                <w:rFonts w:ascii="Calibri" w:hAnsi="Calibri"/>
                <w:b w:val="0"/>
                <w:sz w:val="17"/>
              </w:rPr>
              <w:t>15</w:t>
            </w:r>
          </w:p>
        </w:tc>
        <w:tc>
          <w:tcPr>
            <w:tcW w:type="dxa" w:w="4896"/>
          </w:tcPr>
          <w:p>
            <w:pPr>
              <w:spacing w:after="40" w:before="40"/>
            </w:pPr>
            <w:r/>
            <w:r>
              <w:rPr>
                <w:rFonts w:ascii="Calibri" w:hAnsi="Calibri"/>
                <w:b w:val="0"/>
                <w:sz w:val="17"/>
              </w:rPr>
              <w:t>Rewrite Policy in plain language (grade ≤ 12) with layered structure; material-change notice process</w:t>
            </w:r>
          </w:p>
        </w:tc>
        <w:tc>
          <w:tcPr>
            <w:tcW w:type="dxa" w:w="1800"/>
          </w:tcPr>
          <w:p>
            <w:pPr>
              <w:spacing w:after="40" w:before="40"/>
            </w:pPr>
            <w:r/>
            <w:r>
              <w:rPr>
                <w:rFonts w:ascii="Calibri" w:hAnsi="Calibri"/>
                <w:b w:val="0"/>
                <w:sz w:val="17"/>
              </w:rPr>
              <w:t>GC + Thornbury &amp; Locke</w:t>
            </w:r>
          </w:p>
        </w:tc>
        <w:tc>
          <w:tcPr>
            <w:tcW w:type="dxa" w:w="1440"/>
          </w:tcPr>
          <w:p>
            <w:pPr>
              <w:spacing w:after="40" w:before="40"/>
              <w:jc w:val="center"/>
            </w:pPr>
            <w:r/>
            <w:r>
              <w:rPr>
                <w:rFonts w:ascii="Calibri" w:hAnsi="Calibri"/>
                <w:b w:val="0"/>
                <w:sz w:val="17"/>
              </w:rPr>
              <w:t>Pre-closing</w:t>
            </w:r>
          </w:p>
        </w:tc>
      </w:tr>
      <w:tr>
        <w:tc>
          <w:tcPr>
            <w:tcW w:type="dxa" w:w="792"/>
            <w:shd w:val="clear" w:color="auto" w:fill="BF8F00"/>
          </w:tcPr>
          <w:p>
            <w:pPr>
              <w:spacing w:after="40" w:before="40"/>
              <w:jc w:val="center"/>
            </w:pPr>
            <w:r>
              <w:rPr>
                <w:color w:val="FFFFFF"/>
              </w:rPr>
            </w:r>
            <w:r>
              <w:rPr>
                <w:rFonts w:ascii="Calibri" w:hAnsi="Calibri"/>
                <w:b/>
                <w:sz w:val="17"/>
              </w:rPr>
              <w:t>P2</w:t>
            </w:r>
          </w:p>
        </w:tc>
        <w:tc>
          <w:tcPr>
            <w:tcW w:type="dxa" w:w="864"/>
          </w:tcPr>
          <w:p>
            <w:pPr>
              <w:spacing w:after="40" w:before="40"/>
              <w:jc w:val="center"/>
            </w:pPr>
            <w:r/>
            <w:r>
              <w:rPr>
                <w:rFonts w:ascii="Calibri" w:hAnsi="Calibri"/>
                <w:b w:val="0"/>
                <w:sz w:val="17"/>
              </w:rPr>
              <w:t>17</w:t>
            </w:r>
          </w:p>
        </w:tc>
        <w:tc>
          <w:tcPr>
            <w:tcW w:type="dxa" w:w="4896"/>
          </w:tcPr>
          <w:p>
            <w:pPr>
              <w:spacing w:after="40" w:before="40"/>
            </w:pPr>
            <w:r/>
            <w:r>
              <w:rPr>
                <w:rFonts w:ascii="Calibri" w:hAnsi="Calibri"/>
                <w:b w:val="0"/>
                <w:sz w:val="17"/>
              </w:rPr>
              <w:t>VCDPA/CPA/CTDPA targeted-ad &amp; sensitive-data opt-outs; universal opt-out; tailored disclosures</w:t>
            </w:r>
          </w:p>
        </w:tc>
        <w:tc>
          <w:tcPr>
            <w:tcW w:type="dxa" w:w="1800"/>
          </w:tcPr>
          <w:p>
            <w:pPr>
              <w:spacing w:after="40" w:before="40"/>
            </w:pPr>
            <w:r/>
            <w:r>
              <w:rPr>
                <w:rFonts w:ascii="Calibri" w:hAnsi="Calibri"/>
                <w:b w:val="0"/>
                <w:sz w:val="17"/>
              </w:rPr>
              <w:t>GC + Engineering</w:t>
            </w:r>
          </w:p>
        </w:tc>
        <w:tc>
          <w:tcPr>
            <w:tcW w:type="dxa" w:w="1440"/>
          </w:tcPr>
          <w:p>
            <w:pPr>
              <w:spacing w:after="40" w:before="40"/>
              <w:jc w:val="center"/>
            </w:pPr>
            <w:r/>
            <w:r>
              <w:rPr>
                <w:rFonts w:ascii="Calibri" w:hAnsi="Calibri"/>
                <w:b w:val="0"/>
                <w:sz w:val="17"/>
              </w:rPr>
              <w:t>Pre-EU-launch</w:t>
            </w:r>
          </w:p>
        </w:tc>
      </w:tr>
      <w:tr>
        <w:tc>
          <w:tcPr>
            <w:tcW w:type="dxa" w:w="792"/>
            <w:shd w:val="clear" w:color="auto" w:fill="BF8F00"/>
          </w:tcPr>
          <w:p>
            <w:pPr>
              <w:spacing w:after="40" w:before="40"/>
              <w:jc w:val="center"/>
            </w:pPr>
            <w:r>
              <w:rPr>
                <w:color w:val="FFFFFF"/>
              </w:rPr>
            </w:r>
            <w:r>
              <w:rPr>
                <w:rFonts w:ascii="Calibri" w:hAnsi="Calibri"/>
                <w:b/>
                <w:sz w:val="17"/>
              </w:rPr>
              <w:t>P2</w:t>
            </w:r>
          </w:p>
        </w:tc>
        <w:tc>
          <w:tcPr>
            <w:tcW w:type="dxa" w:w="864"/>
          </w:tcPr>
          <w:p>
            <w:pPr>
              <w:spacing w:after="40" w:before="40"/>
              <w:jc w:val="center"/>
            </w:pPr>
            <w:r/>
            <w:r>
              <w:rPr>
                <w:rFonts w:ascii="Calibri" w:hAnsi="Calibri"/>
                <w:b w:val="0"/>
                <w:sz w:val="17"/>
              </w:rPr>
              <w:t>V.A–D</w:t>
            </w:r>
          </w:p>
        </w:tc>
        <w:tc>
          <w:tcPr>
            <w:tcW w:type="dxa" w:w="4896"/>
          </w:tcPr>
          <w:p>
            <w:pPr>
              <w:spacing w:after="40" w:before="40"/>
            </w:pPr>
            <w:r/>
            <w:r>
              <w:rPr>
                <w:rFonts w:ascii="Calibri" w:hAnsi="Calibri"/>
                <w:b w:val="0"/>
                <w:sz w:val="17"/>
              </w:rPr>
              <w:t>Reconcile Dublin-replication, Privacy-Shield-certification, Brightly-characterization, and breach sensitive-PI inconsistencies across documents</w:t>
            </w:r>
          </w:p>
        </w:tc>
        <w:tc>
          <w:tcPr>
            <w:tcW w:type="dxa" w:w="1800"/>
          </w:tcPr>
          <w:p>
            <w:pPr>
              <w:spacing w:after="40" w:before="40"/>
            </w:pPr>
            <w:r/>
            <w:r>
              <w:rPr>
                <w:rFonts w:ascii="Calibri" w:hAnsi="Calibri"/>
                <w:b w:val="0"/>
                <w:sz w:val="17"/>
              </w:rPr>
              <w:t>GC + Data &amp; Analytics</w:t>
            </w:r>
          </w:p>
        </w:tc>
        <w:tc>
          <w:tcPr>
            <w:tcW w:type="dxa" w:w="1440"/>
          </w:tcPr>
          <w:p>
            <w:pPr>
              <w:spacing w:after="40" w:before="40"/>
              <w:jc w:val="center"/>
            </w:pPr>
            <w:r/>
            <w:r>
              <w:rPr>
                <w:rFonts w:ascii="Calibri" w:hAnsi="Calibri"/>
                <w:b w:val="0"/>
                <w:sz w:val="17"/>
              </w:rPr>
              <w:t>Pre-closing</w:t>
            </w:r>
          </w:p>
        </w:tc>
      </w:tr>
    </w:tbl>
    <w:p>
      <w:pPr>
        <w:spacing w:before="40" w:after="0"/>
      </w:pPr>
      <w:r>
        <w:rPr>
          <w:rFonts w:ascii="Calibri" w:hAnsi="Calibri"/>
          <w:b w:val="0"/>
          <w:i w:val="0"/>
          <w:sz w:val="8"/>
        </w:rPr>
      </w:r>
    </w:p>
    <w:p>
      <w:pPr>
        <w:keepNext/>
        <w:spacing w:before="320" w:after="120"/>
        <w:pBdr>
          <w:bottom w:val="single" w:sz="6" w:space="2" w:color="1F3355"/>
        </w:pBdr>
      </w:pPr>
      <w:r>
        <w:rPr>
          <w:rFonts w:ascii="Calibri" w:hAnsi="Calibri"/>
          <w:b/>
          <w:color w:val="1F3355"/>
          <w:sz w:val="26"/>
        </w:rPr>
        <w:t>VII.  Conclusion</w:t>
      </w:r>
    </w:p>
    <w:p>
      <w:pPr>
        <w:spacing w:before="120" w:after="120"/>
      </w:pPr>
      <w:r>
        <w:rPr>
          <w:rFonts w:ascii="Calibri" w:hAnsi="Calibri"/>
          <w:b w:val="0"/>
          <w:i w:val="0"/>
          <w:sz w:val="21"/>
        </w:rPr>
        <w:t>The cross-document review confirms a pattern in which Vaultline’s consumer-facing Privacy Policy has not kept pace with the Company’s actual data practices as documented internally and contracted externally. The most acute exposures — biometric data processing without BIPA consent or a retention schedule (estimated $87M–$435M), the absence of any lawful EU transfer mechanism for ~23,000 EU users ahead of a Q3 2025 launch, fully automated credit-product eligibility decisions affecting ~2.8M users with no disclosure or safeguard, and an August 2024 breach response that appears to have omitted several mandatory notifications — are each corroborated by the Company’s own Data Inventory and are independently flagged by investor counsel. The Brightly Data Sharing Agreement both evidences a likely CPRA “sale”/“sharing” without an opt-out and contains representations (§7.1(b)/(c)) that are arguably false given the Policy’s actual content, creating contract and indemnification exposure that flows back to Vaultline.</w:t>
      </w:r>
    </w:p>
    <w:p>
      <w:pPr>
        <w:spacing w:before="120" w:after="120"/>
      </w:pPr>
      <w:r>
        <w:rPr>
          <w:rFonts w:ascii="Calibri" w:hAnsi="Calibri"/>
          <w:b w:val="0"/>
          <w:i w:val="0"/>
          <w:sz w:val="21"/>
        </w:rPr>
        <w:t>Several issues (biometric consent and retention, EU transfer mechanism, automated decision-making safeguards, breach-notification completeness) should be treated as closing conditions or holdback triggers for the Series C, and none of the EU-launch items may remain open when EU processing scales in Q3 2025. We recommend that Vaultline (i) authorize the P0 remediation immediately, (ii) commission the GLBA characterization opinion and the mandatory DPIAs, (iii) reconcile the factual inconsistencies in Part V across all documents, and (iv) permit us to deliver a responsive assessment to Ashford Barnes before the March 31, 2025 target and the April 15, 2025 diligence deadline. We are available to discuss any of the foregoing at the General Counsel’s convenience.</w:t>
      </w:r>
    </w:p>
    <w:p>
      <w:pPr>
        <w:spacing w:before="40" w:after="0"/>
      </w:pPr>
      <w:r>
        <w:rPr>
          <w:rFonts w:ascii="Calibri" w:hAnsi="Calibri"/>
          <w:b w:val="0"/>
          <w:i w:val="0"/>
          <w:sz w:val="12"/>
        </w:rPr>
      </w:r>
    </w:p>
    <w:p>
      <w:pPr>
        <w:pBdr>
          <w:bottom w:val="single" w:sz="8" w:space="1" w:color="1F3355"/>
        </w:pBdr>
        <w:spacing w:before="40" w:after="120"/>
      </w:pPr>
    </w:p>
    <w:p>
      <w:pPr>
        <w:spacing w:before="120" w:after="120"/>
      </w:pPr>
      <w:r>
        <w:rPr>
          <w:rFonts w:ascii="Calibri" w:hAnsi="Calibri"/>
          <w:b w:val="0"/>
          <w:i/>
          <w:color w:val="555555"/>
          <w:sz w:val="17"/>
        </w:rPr>
        <w:t>This memorandum is privileged and confidential, was prepared at the direction of and in coordination with Vaultline Technologies, Inc.’s General Counsel, and constitutes attorney work product prepared in anticipation of litigation and/or regulatory proceedings. It is preliminary, is based solely on the five documents identified in Part II, and does not constitute an exhaustive compliance audit. Distribution is strictly limited to the authorized recipients. Additional issues may surface upon review of the underlying agreements, system architecture, and consent flows referenced but not produced.</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55555"/>
        <w:sz w:val="16"/>
      </w:rPr>
      <w:t xml:space="preserve">PRIVILEGED &amp; CONFIDENTIAL  |  ATTORNEY-CLIENT / WORK PRODUCT  |  Thornbury &amp; Locke LLP  |  Page </w:t>
    </w:r>
    <w:r>
      <w:rPr>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