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9092779eae0ca57705dede95c2ab5939f8b8355"/>
    <w:p>
      <w:pPr>
        <w:pStyle w:val="Heading1"/>
      </w:pPr>
      <w:r>
        <w:t xml:space="preserve">PRIVILEGED &amp; CONFIDENTIAL — ATTORNEY WORK PRODUCT</w:t>
      </w:r>
    </w:p>
    <w:bookmarkEnd w:id="20"/>
    <w:bookmarkStart w:id="44" w:name="Xdc80ed8e7d316f9bf07088e44cb254e0057feca"/>
    <w:p>
      <w:pPr>
        <w:pStyle w:val="Heading1"/>
      </w:pPr>
      <w:r>
        <w:t xml:space="preserve">Privacy Compliance Issues Identification Memorandum</w:t>
      </w:r>
    </w:p>
    <w:p>
      <w:pPr>
        <w:pStyle w:val="FirstParagraph"/>
      </w:pPr>
      <w:r>
        <w:rPr>
          <w:b/>
          <w:bCs/>
        </w:rPr>
        <w:t xml:space="preserve">To:</w:t>
      </w:r>
      <w:r>
        <w:t xml:space="preserve"> </w:t>
      </w:r>
      <w:r>
        <w:t xml:space="preserve">Catherine Aldridge, Esq. / Daniel Fong, Esq., Thornbury &amp; Locke LLP (Outside Privacy &amp; Regulatory Counsel to Vaultline Technologies, Inc.)</w:t>
      </w:r>
    </w:p>
    <w:p>
      <w:pPr>
        <w:pStyle w:val="BodyText"/>
      </w:pPr>
      <w:r>
        <w:rPr>
          <w:b/>
          <w:bCs/>
        </w:rPr>
        <w:t xml:space="preserve">From:</w:t>
      </w:r>
      <w:r>
        <w:t xml:space="preserve"> </w:t>
      </w:r>
      <w:r>
        <w:t xml:space="preserve">Privacy Compliance Review Team</w:t>
      </w:r>
    </w:p>
    <w:p>
      <w:pPr>
        <w:pStyle w:val="BodyText"/>
      </w:pPr>
      <w:r>
        <w:rPr>
          <w:b/>
          <w:bCs/>
        </w:rPr>
        <w:t xml:space="preserve">Date:</w:t>
      </w:r>
      <w:r>
        <w:t xml:space="preserve"> </w:t>
      </w:r>
      <w:r>
        <w:t xml:space="preserve">March 10, 2025</w:t>
      </w:r>
    </w:p>
    <w:p>
      <w:pPr>
        <w:pStyle w:val="BodyText"/>
      </w:pPr>
      <w:r>
        <w:rPr>
          <w:b/>
          <w:bCs/>
        </w:rPr>
        <w:t xml:space="preserve">Re:</w:t>
      </w:r>
      <w:r>
        <w:t xml:space="preserve"> </w:t>
      </w:r>
      <w:r>
        <w:t xml:space="preserve">Cross-Document Privacy and Data Protection Compliance Gaps — Vaultline Technologies, Inc. (Series C Due Diligence; Investor Counsel Request dated March 3, 2025)</w:t>
      </w:r>
    </w:p>
    <w:p>
      <w:pPr>
        <w:pStyle w:val="BodyText"/>
      </w:pPr>
      <w:r>
        <w:rPr>
          <w:b/>
          <w:bCs/>
        </w:rPr>
        <w:t xml:space="preserve">Prepared in response to:</w:t>
      </w:r>
      <w:r>
        <w:t xml:space="preserve"> </w:t>
      </w:r>
      <w:r>
        <w:t xml:space="preserve">March 3, 2025 email from Elena Marchetti, Ashford Barnes LLP (counsel to Kessler Whitman Ventures) requesting a comprehensive privacy compliance review. Written assessment requested by</w:t>
      </w:r>
      <w:r>
        <w:t xml:space="preserve"> </w:t>
      </w:r>
      <w:r>
        <w:rPr>
          <w:b/>
          <w:bCs/>
        </w:rPr>
        <w:t xml:space="preserve">March 31, 2025</w:t>
      </w:r>
      <w:r>
        <w:t xml:space="preserve">; Series C diligence deadline</w:t>
      </w:r>
      <w:r>
        <w:t xml:space="preserve"> </w:t>
      </w:r>
      <w:r>
        <w:rPr>
          <w:b/>
          <w:bCs/>
        </w:rPr>
        <w:t xml:space="preserve">April 15, 2025</w:t>
      </w:r>
      <w:r>
        <w:t xml:space="preserve">; EU market launch planned</w:t>
      </w:r>
      <w:r>
        <w:t xml:space="preserve"> </w:t>
      </w:r>
      <w:r>
        <w:rPr>
          <w:b/>
          <w:bCs/>
        </w:rPr>
        <w:t xml:space="preserve">Q3 2025</w:t>
      </w:r>
      <w:r>
        <w:t xml:space="preserve">.</w:t>
      </w:r>
    </w:p>
    <w:p>
      <w:r>
        <w:pict>
          <v:rect style="width:0;height:1.5pt" o:hralign="center" o:hrstd="t" o:hr="t"/>
        </w:pict>
      </w:r>
    </w:p>
    <w:bookmarkStart w:id="22" w:name="i.-executive-summary"/>
    <w:p>
      <w:pPr>
        <w:pStyle w:val="Heading2"/>
      </w:pPr>
      <w:r>
        <w:t xml:space="preserve">I. Executive Summary</w:t>
      </w:r>
    </w:p>
    <w:p>
      <w:pPr>
        <w:pStyle w:val="FirstParagraph"/>
      </w:pPr>
      <w:r>
        <w:t xml:space="preserve">This memorandum identifies cross-document privacy and data protection compliance gaps arising from a review of five Vaultline records: (1) the consumer Privacy Policy (last updated January 15, 2023); (2) the Internal Data Inventory (v. 3.4, dated February 18, 2025); (3) the Brightly Analytics Data Sharing Agreement (effective September 1, 2022, as amended June 15, 2024); (4) the August 2024 Incident Response Log (VT-IRL-2024-003); and (5) the March 3, 2025 investor-counsel diligence email.</w:t>
      </w:r>
    </w:p>
    <w:p>
      <w:pPr>
        <w:pStyle w:val="BodyText"/>
      </w:pPr>
      <w:r>
        <w:t xml:space="preserve">The review confirms that the investor counsel’s preliminary concerns are well-founded and, in several respects, understated. The Privacy Policy is more than two years stale and omits entire categories of processing that the company’s own internal inventory documents — most notably biometric data collection (the</w:t>
      </w:r>
      <w:r>
        <w:t xml:space="preserve"> </w:t>
      </w:r>
      <w:r>
        <w:t xml:space="preserve">“</w:t>
      </w:r>
      <w:r>
        <w:t xml:space="preserve">Selfie Verify</w:t>
      </w:r>
      <w:r>
        <w:t xml:space="preserve">”</w:t>
      </w:r>
      <w:r>
        <w:t xml:space="preserve"> </w:t>
      </w:r>
      <w:r>
        <w:t xml:space="preserve">feature), automated decision-making (the</w:t>
      </w:r>
      <w:r>
        <w:t xml:space="preserve"> </w:t>
      </w:r>
      <w:r>
        <w:t xml:space="preserve">“</w:t>
      </w:r>
      <w:r>
        <w:t xml:space="preserve">Smart Insights</w:t>
      </w:r>
      <w:r>
        <w:t xml:space="preserve">”</w:t>
      </w:r>
      <w:r>
        <w:t xml:space="preserve"> </w:t>
      </w:r>
      <w:r>
        <w:t xml:space="preserve">feature), and the sale/sharing of personal information to Brightly Analytics. The Privacy Policy also continues to rely on the EU-U.S. Privacy Shield, which was invalidated nearly five years ago. The August 2024 breach response documents consumer notification but no state attorney general notifications and no GDPR Article 33 supervisory authority notification, despite thresholds that triggered both. No Data Protection Impact Assessment has been conducted for any of eight processing activities, several of which carry mandatory triggers under GDPR Article 35.</w:t>
      </w:r>
    </w:p>
    <w:p>
      <w:pPr>
        <w:pStyle w:val="BodyText"/>
      </w:pPr>
      <w:r>
        <w:t xml:space="preserve">The issues below are organized by theme. Each issue is stated separately, cross-referenced to the supporting source document(s), assigned a preliminary risk level, and accompanied by a recommended remediation action. A consolidated risk summary appears in this section; a prioritized remediation roadmap appears at Section V.</w:t>
      </w:r>
    </w:p>
    <w:bookmarkStart w:id="21" w:name="Xaf49021a45ccc72ad7542022ad55214a9063c5d"/>
    <w:p>
      <w:pPr>
        <w:pStyle w:val="Heading3"/>
      </w:pPr>
      <w:r>
        <w:t xml:space="preserve">Preliminary Risk Summary (counts are approximate and include the eight DPIA sub-items at Section I)</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Risk Tier</w:t>
            </w:r>
          </w:p>
        </w:tc>
        <w:tc>
          <w:tcPr/>
          <w:p>
            <w:pPr>
              <w:pStyle w:val="Compact"/>
              <w:jc w:val="left"/>
            </w:pPr>
            <w:r>
              <w:t xml:space="preserve">Approx. Count</w:t>
            </w:r>
          </w:p>
        </w:tc>
        <w:tc>
          <w:tcPr/>
          <w:p>
            <w:pPr>
              <w:pStyle w:val="Compact"/>
              <w:jc w:val="left"/>
            </w:pPr>
            <w:r>
              <w:t xml:space="preserve">Representative Issues</w:t>
            </w:r>
          </w:p>
        </w:tc>
      </w:tr>
      <w:tr>
        <w:tc>
          <w:tcPr/>
          <w:p>
            <w:pPr>
              <w:pStyle w:val="Compact"/>
              <w:jc w:val="left"/>
            </w:pPr>
            <w:r>
              <w:t xml:space="preserve">Critical</w:t>
            </w:r>
          </w:p>
        </w:tc>
        <w:tc>
          <w:tcPr/>
          <w:p>
            <w:pPr>
              <w:pStyle w:val="Compact"/>
              <w:jc w:val="left"/>
            </w:pPr>
            <w:r>
              <w:t xml:space="preserve">~20</w:t>
            </w:r>
          </w:p>
        </w:tc>
        <w:tc>
          <w:tcPr/>
          <w:p>
            <w:pPr>
              <w:pStyle w:val="Compact"/>
              <w:jc w:val="left"/>
            </w:pPr>
            <w:r>
              <w:t xml:space="preserve">Invalidated Privacy Shield transfer mechanism; biometric data undisclosed + no BIPA consent/retention policy; Smart Insights automated decision-making undisclosed + no DPIA; no GDPR Art. 33 breach notification; no state AG breach notifications; Brightly</w:t>
            </w:r>
            <w:r>
              <w:t xml:space="preserve"> </w:t>
            </w:r>
            <w:r>
              <w:t xml:space="preserve">“</w:t>
            </w:r>
            <w:r>
              <w:t xml:space="preserve">sale</w:t>
            </w:r>
            <w:r>
              <w:t xml:space="preserve">”</w:t>
            </w:r>
            <w:r>
              <w:t xml:space="preserve">/</w:t>
            </w:r>
            <w:r>
              <w:t xml:space="preserve">“</w:t>
            </w:r>
            <w:r>
              <w:t xml:space="preserve">sharing</w:t>
            </w:r>
            <w:r>
              <w:t xml:space="preserve">”</w:t>
            </w:r>
            <w:r>
              <w:t xml:space="preserve"> </w:t>
            </w:r>
            <w:r>
              <w:t xml:space="preserve">undisclosed with no opt-out; cookies fire before consent</w:t>
            </w:r>
          </w:p>
        </w:tc>
      </w:tr>
      <w:tr>
        <w:tc>
          <w:tcPr/>
          <w:p>
            <w:pPr>
              <w:pStyle w:val="Compact"/>
              <w:jc w:val="left"/>
            </w:pPr>
            <w:r>
              <w:t xml:space="preserve">High</w:t>
            </w:r>
          </w:p>
        </w:tc>
        <w:tc>
          <w:tcPr/>
          <w:p>
            <w:pPr>
              <w:pStyle w:val="Compact"/>
              <w:jc w:val="left"/>
            </w:pPr>
            <w:r>
              <w:t xml:space="preserve">~50</w:t>
            </w:r>
          </w:p>
        </w:tc>
        <w:tc>
          <w:tcPr/>
          <w:p>
            <w:pPr>
              <w:pStyle w:val="Compact"/>
              <w:jc w:val="left"/>
            </w:pPr>
            <w:r>
              <w:t xml:space="preserve">Stale policy; no GDPR Art. 13/14 disclosures; no DPO/Art. 27 representative; no lawful basis; indefinite retention of all data; no DPIAs; cookie consent failures; GLBA/FCRA applicability; DSA opt-out conflict and indemnity asymmetry</w:t>
            </w:r>
          </w:p>
        </w:tc>
      </w:tr>
      <w:tr>
        <w:tc>
          <w:tcPr/>
          <w:p>
            <w:pPr>
              <w:pStyle w:val="Compact"/>
              <w:jc w:val="left"/>
            </w:pPr>
            <w:r>
              <w:t xml:space="preserve">Medium</w:t>
            </w:r>
          </w:p>
        </w:tc>
        <w:tc>
          <w:tcPr/>
          <w:p>
            <w:pPr>
              <w:pStyle w:val="Compact"/>
              <w:jc w:val="left"/>
            </w:pPr>
            <w:r>
              <w:t xml:space="preserve">~30</w:t>
            </w:r>
          </w:p>
        </w:tc>
        <w:tc>
          <w:tcPr/>
          <w:p>
            <w:pPr>
              <w:pStyle w:val="Compact"/>
              <w:jc w:val="left"/>
            </w:pPr>
            <w:r>
              <w:t xml:space="preserve">Incomplete CCPA rights disclosures; incomplete state-law coverage; third-party naming gaps; response-timeline mismatch; DSA indemnity/consent-representation exposure; aggregate-data de-identification gap; governing-law/forum inconsistency</w:t>
            </w:r>
          </w:p>
        </w:tc>
      </w:tr>
      <w:tr>
        <w:tc>
          <w:tcPr/>
          <w:p>
            <w:pPr>
              <w:pStyle w:val="Compact"/>
              <w:jc w:val="left"/>
            </w:pPr>
            <w:r>
              <w:t xml:space="preserve">Lower</w:t>
            </w:r>
          </w:p>
        </w:tc>
        <w:tc>
          <w:tcPr/>
          <w:p>
            <w:pPr>
              <w:pStyle w:val="Compact"/>
              <w:jc w:val="left"/>
            </w:pPr>
            <w:r>
              <w:t xml:space="preserve">~5</w:t>
            </w:r>
          </w:p>
        </w:tc>
        <w:tc>
          <w:tcPr/>
          <w:p>
            <w:pPr>
              <w:pStyle w:val="Compact"/>
              <w:jc w:val="left"/>
            </w:pPr>
            <w:r>
              <w:t xml:space="preserve">Readability/format; cookie-banner review lapse; credit-monitoring uptake; documentation hygiene</w:t>
            </w:r>
          </w:p>
        </w:tc>
      </w:tr>
    </w:tbl>
    <w:p>
      <w:r>
        <w:pict>
          <v:rect style="width:0;height:1.5pt" o:hralign="center" o:hrstd="t" o:hr="t"/>
        </w:pict>
      </w:r>
    </w:p>
    <w:bookmarkEnd w:id="21"/>
    <w:bookmarkEnd w:id="22"/>
    <w:bookmarkStart w:id="23" w:name="ii.-documents-reviewed"/>
    <w:p>
      <w:pPr>
        <w:pStyle w:val="Heading2"/>
      </w:pPr>
      <w:r>
        <w:t xml:space="preserve">II. Documents Reviewed</w:t>
      </w:r>
    </w:p>
    <w:p>
      <w:pPr>
        <w:pStyle w:val="Compact"/>
        <w:numPr>
          <w:ilvl w:val="0"/>
          <w:numId w:val="1001"/>
        </w:numPr>
      </w:pPr>
      <w:r>
        <w:rPr>
          <w:b/>
          <w:bCs/>
        </w:rPr>
        <w:t xml:space="preserve">Privacy Policy</w:t>
      </w:r>
      <w:r>
        <w:t xml:space="preserve"> </w:t>
      </w:r>
      <w:r>
        <w:t xml:space="preserve">—</w:t>
      </w:r>
      <w:r>
        <w:t xml:space="preserve"> </w:t>
      </w:r>
      <w:r>
        <w:rPr>
          <w:i/>
          <w:iCs/>
        </w:rPr>
        <w:t xml:space="preserve">Vaultline Technologies, Inc. Privacy Policy</w:t>
      </w:r>
      <w:r>
        <w:t xml:space="preserve">,</w:t>
      </w:r>
      <w:r>
        <w:t xml:space="preserve"> </w:t>
      </w:r>
      <w:r>
        <w:t xml:space="preserve">“</w:t>
      </w:r>
      <w:r>
        <w:t xml:space="preserve">Last Updated: January 15, 2023</w:t>
      </w:r>
      <w:r>
        <w:t xml:space="preserve">”</w:t>
      </w:r>
      <w:r>
        <w:t xml:space="preserve"> </w:t>
      </w:r>
      <w:r>
        <w:t xml:space="preserve">(vaultline-privacy-policy.docx). Approximately 9,200 words.</w:t>
      </w:r>
    </w:p>
    <w:p>
      <w:pPr>
        <w:pStyle w:val="Compact"/>
        <w:numPr>
          <w:ilvl w:val="0"/>
          <w:numId w:val="1001"/>
        </w:numPr>
      </w:pPr>
      <w:r>
        <w:rPr>
          <w:b/>
          <w:bCs/>
        </w:rPr>
        <w:t xml:space="preserve">Data Inventory</w:t>
      </w:r>
      <w:r>
        <w:t xml:space="preserve"> </w:t>
      </w:r>
      <w:r>
        <w:t xml:space="preserve">—</w:t>
      </w:r>
      <w:r>
        <w:t xml:space="preserve"> </w:t>
      </w:r>
      <w:r>
        <w:rPr>
          <w:i/>
          <w:iCs/>
        </w:rPr>
        <w:t xml:space="preserve">Vaultline Technologies, Inc. — Internal Data Inventory</w:t>
      </w:r>
      <w:r>
        <w:t xml:space="preserve">, v. 3.4,</w:t>
      </w:r>
      <w:r>
        <w:t xml:space="preserve"> </w:t>
      </w:r>
      <w:r>
        <w:t xml:space="preserve">“</w:t>
      </w:r>
      <w:r>
        <w:t xml:space="preserve">Last Updated: February 18, 2025,</w:t>
      </w:r>
      <w:r>
        <w:t xml:space="preserve">”</w:t>
      </w:r>
      <w:r>
        <w:t xml:space="preserve"> </w:t>
      </w:r>
      <w:r>
        <w:t xml:space="preserve">maintained by Sandra Linh, approved by Priya Venkatesh, General Counsel (vaultline-data-inventory.xlsx). Tabs: Cover &amp; Metadata; Data Categories; Processing Activities; Third-Party Sharing; Data Retention; DPIA Status; International Transfers; Selfie Verify Details; Cookie Inventory; EU Processing Summary; Revision Log.</w:t>
      </w:r>
    </w:p>
    <w:p>
      <w:pPr>
        <w:pStyle w:val="Compact"/>
        <w:numPr>
          <w:ilvl w:val="0"/>
          <w:numId w:val="1001"/>
        </w:numPr>
      </w:pPr>
      <w:r>
        <w:rPr>
          <w:b/>
          <w:bCs/>
        </w:rPr>
        <w:t xml:space="preserve">Data Sharing Agreement</w:t>
      </w:r>
      <w:r>
        <w:t xml:space="preserve"> </w:t>
      </w:r>
      <w:r>
        <w:t xml:space="preserve">—</w:t>
      </w:r>
      <w:r>
        <w:t xml:space="preserve"> </w:t>
      </w:r>
      <w:r>
        <w:rPr>
          <w:i/>
          <w:iCs/>
        </w:rPr>
        <w:t xml:space="preserve">Data Sharing Agreement</w:t>
      </w:r>
      <w:r>
        <w:t xml:space="preserve"> </w:t>
      </w:r>
      <w:r>
        <w:t xml:space="preserve">between Vaultline and Brightly Analytics, Inc., effective September 1, 2022, as amended by First Amendment dated June 15, 2024 (brightly-data-sharing-agreement.docx).</w:t>
      </w:r>
    </w:p>
    <w:p>
      <w:pPr>
        <w:pStyle w:val="Compact"/>
        <w:numPr>
          <w:ilvl w:val="0"/>
          <w:numId w:val="1001"/>
        </w:numPr>
      </w:pPr>
      <w:r>
        <w:rPr>
          <w:b/>
          <w:bCs/>
        </w:rPr>
        <w:t xml:space="preserve">Incident Response Log</w:t>
      </w:r>
      <w:r>
        <w:t xml:space="preserve"> </w:t>
      </w:r>
      <w:r>
        <w:t xml:space="preserve">—</w:t>
      </w:r>
      <w:r>
        <w:t xml:space="preserve"> </w:t>
      </w:r>
      <w:r>
        <w:rPr>
          <w:i/>
          <w:iCs/>
        </w:rPr>
        <w:t xml:space="preserve">Incident Response Log</w:t>
      </w:r>
      <w:r>
        <w:t xml:space="preserve">, Ref. VT-IRL-2024-003,</w:t>
      </w:r>
      <w:r>
        <w:t xml:space="preserve"> </w:t>
      </w:r>
      <w:r>
        <w:t xml:space="preserve">“</w:t>
      </w:r>
      <w:r>
        <w:t xml:space="preserve">Unauthorized Database Access — August 2024,</w:t>
      </w:r>
      <w:r>
        <w:t xml:space="preserve">”</w:t>
      </w:r>
      <w:r>
        <w:t xml:space="preserve"> </w:t>
      </w:r>
      <w:r>
        <w:t xml:space="preserve">prepared by Tomás Guerrero (VP Engineering) with Priya Venkatesh (GC), closed October 11, 2024 (incident-response-log-aug2024.docx).</w:t>
      </w:r>
    </w:p>
    <w:p>
      <w:pPr>
        <w:pStyle w:val="Compact"/>
        <w:numPr>
          <w:ilvl w:val="0"/>
          <w:numId w:val="1001"/>
        </w:numPr>
      </w:pPr>
      <w:r>
        <w:rPr>
          <w:b/>
          <w:bCs/>
        </w:rPr>
        <w:t xml:space="preserve">Investor Counsel Email</w:t>
      </w:r>
      <w:r>
        <w:t xml:space="preserve"> </w:t>
      </w:r>
      <w:r>
        <w:t xml:space="preserve">— March 3, 2025 email from Elena Marchetti (Ashford Barnes LLP) to Catherine Aldridge (Thornbury &amp; Locke LLP), cc Robert Haines (Kessler Whitman Ventures) and Daniel Fong (investor-dd-privacy-memo.eml).</w:t>
      </w:r>
    </w:p>
    <w:p>
      <w:pPr>
        <w:pStyle w:val="FirstParagraph"/>
      </w:pPr>
      <w:r>
        <w:t xml:space="preserve">Key baseline figures (consistent across documents): 3,800,000 registered users; ~142,000 California users; ~23,000 EU-resident users; ~87,000 Illinois users; FY 2024 revenue $47,300,000.</w:t>
      </w:r>
    </w:p>
    <w:p>
      <w:r>
        <w:pict>
          <v:rect style="width:0;height:1.5pt" o:hralign="center" o:hrstd="t" o:hr="t"/>
        </w:pict>
      </w:r>
    </w:p>
    <w:bookmarkEnd w:id="23"/>
    <w:bookmarkStart w:id="40" w:name="iii.-issues"/>
    <w:p>
      <w:pPr>
        <w:pStyle w:val="Heading2"/>
      </w:pPr>
      <w:r>
        <w:t xml:space="preserve">III. Issues</w:t>
      </w:r>
    </w:p>
    <w:bookmarkStart w:id="24" w:name="X9ae0f7d3f3517169d44e9f7af2a64bfc69c6f1a"/>
    <w:p>
      <w:pPr>
        <w:pStyle w:val="Heading3"/>
      </w:pPr>
      <w:r>
        <w:t xml:space="preserve">A. Privacy Policy Currency and Undisclosed Material Changes</w:t>
      </w:r>
    </w:p>
    <w:p>
      <w:pPr>
        <w:pStyle w:val="FirstParagraph"/>
      </w:pPr>
      <w:r>
        <w:rPr>
          <w:b/>
          <w:bCs/>
        </w:rPr>
        <w:t xml:space="preserve">A.1 — Privacy Policy is more than two years stale.</w:t>
      </w:r>
      <w:r>
        <w:t xml:space="preserve"> </w:t>
      </w:r>
      <w:r>
        <w:t xml:space="preserve">The Privacy Policy is dated January 15, 2023. The Data Inventory (Cover &amp; Metadata,</w:t>
      </w:r>
      <w:r>
        <w:t xml:space="preserve"> </w:t>
      </w:r>
      <w:r>
        <w:t xml:space="preserve">“</w:t>
      </w:r>
      <w:r>
        <w:t xml:space="preserve">Last Updated February 18, 2025</w:t>
      </w:r>
      <w:r>
        <w:t xml:space="preserve">”</w:t>
      </w:r>
      <w:r>
        <w:t xml:space="preserve">) and the investor email (§1) both flag that the policy has not been updated in over two years. It predates, at minimum: the CPRA implementing regulations finalized after January 1, 2023; the Selfie Verify launch (March 8, 2023); the Brightly Data Sharing Agreement First Amendment (June 15, 2024); the August 2024 breach; and the EU-U.S. Data Privacy Framework adequacy decision (July 10, 2023).</w:t>
      </w:r>
      <w:r>
        <w:t xml:space="preserve"> </w:t>
      </w:r>
      <w:r>
        <w:rPr>
          <w:i/>
          <w:iCs/>
        </w:rPr>
        <w:t xml:space="preserve">Risk: High.</w:t>
      </w:r>
      <w:r>
        <w:t xml:space="preserve"> </w:t>
      </w:r>
      <w:r>
        <w:rPr>
          <w:i/>
          <w:iCs/>
        </w:rPr>
        <w:t xml:space="preserve">Remediation: Comprehensive rewrite and republication before Series C closing and before EU launch.</w:t>
      </w:r>
    </w:p>
    <w:p>
      <w:pPr>
        <w:pStyle w:val="BodyText"/>
      </w:pPr>
      <w:r>
        <w:rPr>
          <w:b/>
          <w:bCs/>
        </w:rPr>
        <w:t xml:space="preserve">A.2 — Material changes to data practices are not reflected in the policy.</w:t>
      </w:r>
      <w:r>
        <w:t xml:space="preserve"> </w:t>
      </w:r>
      <w:r>
        <w:t xml:space="preserve">The Data Inventory Revision Log (v. 2.1, March 15, 2023) records that biometric data collection (Selfie Verify) was added to the internal inventory after the feature launched on March 8, 2023 — two months after the last policy update — yet the Privacy Policy was never updated to reflect this new collection. The June 15, 2024 Brightly amendment (expanding permitted uses) and the August 2024 breach likewise are not reflected.</w:t>
      </w:r>
      <w:r>
        <w:t xml:space="preserve"> </w:t>
      </w:r>
      <w:r>
        <w:rPr>
          <w:i/>
          <w:iCs/>
        </w:rPr>
        <w:t xml:space="preserve">Risk: High.</w:t>
      </w:r>
      <w:r>
        <w:t xml:space="preserve"> </w:t>
      </w:r>
      <w:r>
        <w:rPr>
          <w:i/>
          <w:iCs/>
        </w:rPr>
        <w:t xml:space="preserve">Remediation: Update policy to reflect all current processing; implement a change-control process tying product launches to policy updates.</w:t>
      </w:r>
    </w:p>
    <w:p>
      <w:pPr>
        <w:pStyle w:val="BodyText"/>
      </w:pPr>
      <w:r>
        <w:rPr>
          <w:b/>
          <w:bCs/>
        </w:rPr>
        <w:t xml:space="preserve">A.3 —</w:t>
      </w:r>
      <w:r>
        <w:rPr>
          <w:b/>
          <w:bCs/>
        </w:rPr>
        <w:t xml:space="preserve"> </w:t>
      </w:r>
      <w:r>
        <w:rPr>
          <w:b/>
          <w:bCs/>
        </w:rPr>
        <w:t xml:space="preserve">“</w:t>
      </w:r>
      <w:r>
        <w:rPr>
          <w:b/>
          <w:bCs/>
        </w:rPr>
        <w:t xml:space="preserve">Effective immediately upon posting</w:t>
      </w:r>
      <w:r>
        <w:rPr>
          <w:b/>
          <w:bCs/>
        </w:rPr>
        <w:t xml:space="preserve">”</w:t>
      </w:r>
      <w:r>
        <w:rPr>
          <w:b/>
          <w:bCs/>
        </w:rPr>
        <w:t xml:space="preserve"> </w:t>
      </w:r>
      <w:r>
        <w:rPr>
          <w:b/>
          <w:bCs/>
        </w:rPr>
        <w:t xml:space="preserve">amendment clause with no individual-notice obligation.</w:t>
      </w:r>
      <w:r>
        <w:t xml:space="preserve"> </w:t>
      </w:r>
      <w:r>
        <w:t xml:space="preserve">The Privacy Policy (</w:t>
      </w:r>
      <w:r>
        <w:t xml:space="preserve">“</w:t>
      </w:r>
      <w:r>
        <w:t xml:space="preserve">Changes to This Privacy Policy</w:t>
      </w:r>
      <w:r>
        <w:t xml:space="preserve">”</w:t>
      </w:r>
      <w:r>
        <w:t xml:space="preserve">) states that changes are</w:t>
      </w:r>
      <w:r>
        <w:t xml:space="preserve"> </w:t>
      </w:r>
      <w:r>
        <w:t xml:space="preserve">“</w:t>
      </w:r>
      <w:r>
        <w:t xml:space="preserve">effective immediately upon posting</w:t>
      </w:r>
      <w:r>
        <w:t xml:space="preserve">”</w:t>
      </w:r>
      <w:r>
        <w:t xml:space="preserve"> </w:t>
      </w:r>
      <w:r>
        <w:t xml:space="preserve">and that Vaultline</w:t>
      </w:r>
      <w:r>
        <w:t xml:space="preserve"> </w:t>
      </w:r>
      <w:r>
        <w:t xml:space="preserve">“</w:t>
      </w:r>
      <w:r>
        <w:t xml:space="preserve">does not undertake an obligation to provide individual notice.</w:t>
      </w:r>
      <w:r>
        <w:t xml:space="preserve">”</w:t>
      </w:r>
      <w:r>
        <w:t xml:space="preserve"> </w:t>
      </w:r>
      <w:r>
        <w:t xml:space="preserve">This is inconsistent with CPRA expectations of notice for material changes and with GDPR transparency, and — combined with A.2 — has resulted in material changes taking effect without any consumer notice.</w:t>
      </w:r>
      <w:r>
        <w:t xml:space="preserve"> </w:t>
      </w:r>
      <w:r>
        <w:rPr>
          <w:i/>
          <w:iCs/>
        </w:rPr>
        <w:t xml:space="preserve">Risk: Medium.</w:t>
      </w:r>
      <w:r>
        <w:t xml:space="preserve"> </w:t>
      </w:r>
      <w:r>
        <w:rPr>
          <w:i/>
          <w:iCs/>
        </w:rPr>
        <w:t xml:space="preserve">Remediation: Commit to direct notice (email/in-app) for material changes; revise the amendment clause.</w:t>
      </w:r>
    </w:p>
    <w:bookmarkEnd w:id="24"/>
    <w:bookmarkStart w:id="25" w:name="X2ba0c4b23ae47e97040fb26b1ed9ae5a05ed277"/>
    <w:p>
      <w:pPr>
        <w:pStyle w:val="Heading3"/>
      </w:pPr>
      <w:r>
        <w:t xml:space="preserve">B. Biometric Data —</w:t>
      </w:r>
      <w:r>
        <w:t xml:space="preserve"> </w:t>
      </w:r>
      <w:r>
        <w:t xml:space="preserve">“</w:t>
      </w:r>
      <w:r>
        <w:t xml:space="preserve">Selfie Verify</w:t>
      </w:r>
      <w:r>
        <w:t xml:space="preserve">”</w:t>
      </w:r>
      <w:r>
        <w:t xml:space="preserve"> </w:t>
      </w:r>
      <w:r>
        <w:t xml:space="preserve">(BIPA, GDPR Art. 9, CPRA)</w:t>
      </w:r>
    </w:p>
    <w:p>
      <w:pPr>
        <w:pStyle w:val="FirstParagraph"/>
      </w:pPr>
      <w:r>
        <w:rPr>
          <w:b/>
          <w:bCs/>
        </w:rPr>
        <w:t xml:space="preserve">B.1 — Biometric data collection is entirely undisclosed in the Privacy Policy.</w:t>
      </w:r>
      <w:r>
        <w:t xml:space="preserve"> </w:t>
      </w:r>
      <w:r>
        <w:t xml:space="preserve">The Data Inventory (Data Categories DC-011; Selfie Verify Details tab) documents a</w:t>
      </w:r>
      <w:r>
        <w:t xml:space="preserve"> </w:t>
      </w:r>
      <w:r>
        <w:t xml:space="preserve">“</w:t>
      </w:r>
      <w:r>
        <w:t xml:space="preserve">Selfie Verify</w:t>
      </w:r>
      <w:r>
        <w:t xml:space="preserve">”</w:t>
      </w:r>
      <w:r>
        <w:t xml:space="preserve"> </w:t>
      </w:r>
      <w:r>
        <w:t xml:space="preserve">facial-geometry identity-verification feature launched March 8, 2023, used by approximately 1,900,000 users. The Privacy Policy contains zero mention of biometric data, facial geometry,</w:t>
      </w:r>
      <w:r>
        <w:t xml:space="preserve"> </w:t>
      </w:r>
      <w:r>
        <w:t xml:space="preserve">“</w:t>
      </w:r>
      <w:r>
        <w:t xml:space="preserve">Selfie Verify,</w:t>
      </w:r>
      <w:r>
        <w:t xml:space="preserve">”</w:t>
      </w:r>
      <w:r>
        <w:t xml:space="preserve"> </w:t>
      </w:r>
      <w:r>
        <w:t xml:space="preserve">or faceprints. The inventory expressly states:</w:t>
      </w:r>
      <w:r>
        <w:t xml:space="preserve"> </w:t>
      </w:r>
      <w:r>
        <w:t xml:space="preserve">“</w:t>
      </w:r>
      <w:r>
        <w:t xml:space="preserve">Privacy policy contains ZERO mention of biometric data collection.</w:t>
      </w:r>
      <w:r>
        <w:t xml:space="preserve">”</w:t>
      </w:r>
      <w:r>
        <w:t xml:space="preserve"> </w:t>
      </w:r>
      <w:r>
        <w:rPr>
          <w:i/>
          <w:iCs/>
        </w:rPr>
        <w:t xml:space="preserve">Risk: Critical.</w:t>
      </w:r>
      <w:r>
        <w:t xml:space="preserve"> </w:t>
      </w:r>
      <w:r>
        <w:rPr>
          <w:i/>
          <w:iCs/>
        </w:rPr>
        <w:t xml:space="preserve">Remediation: Add a dedicated biometric-data disclosure section; obtain compliant consent before further collection.</w:t>
      </w:r>
    </w:p>
    <w:p>
      <w:pPr>
        <w:pStyle w:val="BodyText"/>
      </w:pPr>
      <w:r>
        <w:rPr>
          <w:b/>
          <w:bCs/>
        </w:rPr>
        <w:t xml:space="preserve">B.2 — No written informed consent for biometric collection (BIPA § 15(b)).</w:t>
      </w:r>
      <w:r>
        <w:t xml:space="preserve"> </w:t>
      </w:r>
      <w:r>
        <w:t xml:space="preserve">The Selfie Verify Details tab states that no written informed consent was obtained: the app displays only a brief in-app prompt (</w:t>
      </w:r>
      <w:r>
        <w:t xml:space="preserve">“</w:t>
      </w:r>
      <w:r>
        <w:t xml:space="preserve">Take a selfie to verify your identity</w:t>
      </w:r>
      <w:r>
        <w:t xml:space="preserve">”</w:t>
      </w:r>
      <w:r>
        <w:t xml:space="preserve">) with a browsewrap</w:t>
      </w:r>
      <w:r>
        <w:t xml:space="preserve"> </w:t>
      </w:r>
      <w:r>
        <w:t xml:space="preserve">“</w:t>
      </w:r>
      <w:r>
        <w:t xml:space="preserve">Continue</w:t>
      </w:r>
      <w:r>
        <w:t xml:space="preserve">”</w:t>
      </w:r>
      <w:r>
        <w:t xml:space="preserve"> </w:t>
      </w:r>
      <w:r>
        <w:t xml:space="preserve">tap, with no written disclosure of purpose, duration, or destruction, and no signature/affirmative written consent mechanism. 740 ILCS 14/15(b) requires written informed consent before collection.</w:t>
      </w:r>
      <w:r>
        <w:t xml:space="preserve"> </w:t>
      </w:r>
      <w:r>
        <w:rPr>
          <w:i/>
          <w:iCs/>
        </w:rPr>
        <w:t xml:space="preserve">Risk: Critical.</w:t>
      </w:r>
      <w:r>
        <w:t xml:space="preserve"> </w:t>
      </w:r>
      <w:r>
        <w:rPr>
          <w:i/>
          <w:iCs/>
        </w:rPr>
        <w:t xml:space="preserve">Remediation: Implement a BIPA-compliant written consent flow with retention-schedule disclosure; consider pausing the feature for Illinois users pending remediation.</w:t>
      </w:r>
    </w:p>
    <w:p>
      <w:pPr>
        <w:pStyle w:val="BodyText"/>
      </w:pPr>
      <w:r>
        <w:rPr>
          <w:b/>
          <w:bCs/>
        </w:rPr>
        <w:t xml:space="preserve">B.3 — No publicly available written biometric retention/destruction policy (BIPA § 15(a)).</w:t>
      </w:r>
      <w:r>
        <w:t xml:space="preserve"> </w:t>
      </w:r>
      <w:r>
        <w:t xml:space="preserve">740 ILCS 14/15(a) requires a publicly available written policy establishing a retention schedule and destruction guidelines. The Selfie Verify Details tab and Data Retention tab (DC-011) confirm neither exists.</w:t>
      </w:r>
      <w:r>
        <w:t xml:space="preserve"> </w:t>
      </w:r>
      <w:r>
        <w:rPr>
          <w:i/>
          <w:iCs/>
        </w:rPr>
        <w:t xml:space="preserve">Risk: Critical.</w:t>
      </w:r>
      <w:r>
        <w:t xml:space="preserve"> </w:t>
      </w:r>
      <w:r>
        <w:rPr>
          <w:i/>
          <w:iCs/>
        </w:rPr>
        <w:t xml:space="preserve">Remediation: Publish a biometric retention/destruction policy; establish and document destruction procedures.</w:t>
      </w:r>
    </w:p>
    <w:p>
      <w:pPr>
        <w:pStyle w:val="BodyText"/>
      </w:pPr>
      <w:r>
        <w:rPr>
          <w:b/>
          <w:bCs/>
        </w:rPr>
        <w:t xml:space="preserve">B.4 — Five-year biometric retention with no documented justification.</w:t>
      </w:r>
      <w:r>
        <w:t xml:space="preserve"> </w:t>
      </w:r>
      <w:r>
        <w:t xml:space="preserve">Facial-geometry templates are retained for five years after account creation regardless of account status, with the Selfie Verify Details tab stating the retention period is</w:t>
      </w:r>
      <w:r>
        <w:t xml:space="preserve"> </w:t>
      </w:r>
      <w:r>
        <w:t xml:space="preserve">“</w:t>
      </w:r>
      <w:r>
        <w:t xml:space="preserve">Not documented — no formal justification on file.</w:t>
      </w:r>
      <w:r>
        <w:t xml:space="preserve">”</w:t>
      </w:r>
      <w:r>
        <w:t xml:space="preserve"> </w:t>
      </w:r>
      <w:r>
        <w:rPr>
          <w:i/>
          <w:iCs/>
        </w:rPr>
        <w:t xml:space="preserve">Risk: High.</w:t>
      </w:r>
      <w:r>
        <w:t xml:space="preserve"> </w:t>
      </w:r>
      <w:r>
        <w:rPr>
          <w:i/>
          <w:iCs/>
        </w:rPr>
        <w:t xml:space="preserve">Remediation: Document a justified retention period aligned to the verification purpose; shorten if unsupported.</w:t>
      </w:r>
    </w:p>
    <w:p>
      <w:pPr>
        <w:pStyle w:val="BodyText"/>
      </w:pPr>
      <w:r>
        <w:rPr>
          <w:b/>
          <w:bCs/>
        </w:rPr>
        <w:t xml:space="preserve">B.5 — No destruction method or guidelines for biometric templates.</w:t>
      </w:r>
      <w:r>
        <w:t xml:space="preserve"> </w:t>
      </w:r>
      <w:r>
        <w:t xml:space="preserve">The Data Retention tab (DC-011) lists</w:t>
      </w:r>
      <w:r>
        <w:t xml:space="preserve"> </w:t>
      </w:r>
      <w:r>
        <w:t xml:space="preserve">“</w:t>
      </w:r>
      <w:r>
        <w:t xml:space="preserve">Destruction Method: Not defined — no destruction guidelines established.</w:t>
      </w:r>
      <w:r>
        <w:t xml:space="preserve">”</w:t>
      </w:r>
      <w:r>
        <w:t xml:space="preserve"> </w:t>
      </w:r>
      <w:r>
        <w:t xml:space="preserve">BIPA requires destruction no later than three years after collection absent a valid business purpose.</w:t>
      </w:r>
      <w:r>
        <w:t xml:space="preserve"> </w:t>
      </w:r>
      <w:r>
        <w:rPr>
          <w:i/>
          <w:iCs/>
        </w:rPr>
        <w:t xml:space="preserve">Risk: High.</w:t>
      </w:r>
      <w:r>
        <w:t xml:space="preserve"> </w:t>
      </w:r>
      <w:r>
        <w:rPr>
          <w:i/>
          <w:iCs/>
        </w:rPr>
        <w:t xml:space="preserve">Remediation: Define and implement a verified destruction process.</w:t>
      </w:r>
    </w:p>
    <w:p>
      <w:pPr>
        <w:pStyle w:val="BodyText"/>
      </w:pPr>
      <w:r>
        <w:rPr>
          <w:b/>
          <w:bCs/>
        </w:rPr>
        <w:t xml:space="preserve">B.6 — BIPA statutory-damages exposure.</w:t>
      </w:r>
      <w:r>
        <w:t xml:space="preserve"> </w:t>
      </w:r>
      <w:r>
        <w:t xml:space="preserve">Approximately 87,000 Illinois users have used Selfie Verify. The inventory estimates statutory damages of $87,000,000 (negligent, 87,000 × $1,000) to $435,000,000 (intentional/reckless, 87,000 × $5,000), with a private right of action and attorneys’ fees.</w:t>
      </w:r>
      <w:r>
        <w:t xml:space="preserve"> </w:t>
      </w:r>
      <w:r>
        <w:rPr>
          <w:i/>
          <w:iCs/>
        </w:rPr>
        <w:t xml:space="preserve">Risk: Critical.</w:t>
      </w:r>
      <w:r>
        <w:t xml:space="preserve"> </w:t>
      </w:r>
      <w:r>
        <w:rPr>
          <w:i/>
          <w:iCs/>
        </w:rPr>
        <w:t xml:space="preserve">Remediation: Immediate BIPA remediation; preserve evidence; assess litigation/strategy options; consider the impact on Series C disclosures.</w:t>
      </w:r>
    </w:p>
    <w:p>
      <w:pPr>
        <w:pStyle w:val="BodyText"/>
      </w:pPr>
      <w:r>
        <w:rPr>
          <w:b/>
          <w:bCs/>
        </w:rPr>
        <w:t xml:space="preserve">B.7 — GDPR Article 9 special-category biometric data processed without explicit consent.</w:t>
      </w:r>
      <w:r>
        <w:t xml:space="preserve"> </w:t>
      </w:r>
      <w:r>
        <w:t xml:space="preserve">The inventory estimates ~11,500 EU-resident users used Selfie Verify. Facial geometry for identification is Art. 9 special-category data; processing requires an Art. 9(2) exception (typically explicit consent). Browsewrap</w:t>
      </w:r>
      <w:r>
        <w:t xml:space="preserve"> </w:t>
      </w:r>
      <w:r>
        <w:t xml:space="preserve">“</w:t>
      </w:r>
      <w:r>
        <w:t xml:space="preserve">Continue</w:t>
      </w:r>
      <w:r>
        <w:t xml:space="preserve">”</w:t>
      </w:r>
      <w:r>
        <w:t xml:space="preserve"> </w:t>
      </w:r>
      <w:r>
        <w:t xml:space="preserve">is insufficient for Art. 9(2)(a) explicit consent.</w:t>
      </w:r>
      <w:r>
        <w:t xml:space="preserve"> </w:t>
      </w:r>
      <w:r>
        <w:rPr>
          <w:i/>
          <w:iCs/>
        </w:rPr>
        <w:t xml:space="preserve">Risk: Critical.</w:t>
      </w:r>
      <w:r>
        <w:t xml:space="preserve"> </w:t>
      </w:r>
      <w:r>
        <w:rPr>
          <w:i/>
          <w:iCs/>
        </w:rPr>
        <w:t xml:space="preserve">Remediation: Obtain explicit, separate Art. 9 consent for EU users or suspend the feature in the EU; complete the DPIA (see B.9).</w:t>
      </w:r>
    </w:p>
    <w:p>
      <w:pPr>
        <w:pStyle w:val="BodyText"/>
      </w:pPr>
      <w:r>
        <w:rPr>
          <w:b/>
          <w:bCs/>
        </w:rPr>
        <w:t xml:space="preserve">B.8 — Biometric data not flagged as CPRA sensitive personal information in the policy.</w:t>
      </w:r>
      <w:r>
        <w:t xml:space="preserve"> </w:t>
      </w:r>
      <w:r>
        <w:t xml:space="preserve">The inventory classifies DC-011 as CPRA Sensitive PI (</w:t>
      </w:r>
      <w:r>
        <w:t xml:space="preserve">“</w:t>
      </w:r>
      <w:r>
        <w:t xml:space="preserve">Yes</w:t>
      </w:r>
      <w:r>
        <w:t xml:space="preserve">”</w:t>
      </w:r>
      <w:r>
        <w:t xml:space="preserve">) and GDPR special category (</w:t>
      </w:r>
      <w:r>
        <w:t xml:space="preserve">“</w:t>
      </w:r>
      <w:r>
        <w:t xml:space="preserve">Yes, Art. 9</w:t>
      </w:r>
      <w:r>
        <w:t xml:space="preserve">”</w:t>
      </w:r>
      <w:r>
        <w:t xml:space="preserve">), but the Privacy Policy does not identify biometric data as sensitive PI and provides no</w:t>
      </w:r>
      <w:r>
        <w:t xml:space="preserve"> </w:t>
      </w:r>
      <w:r>
        <w:t xml:space="preserve">“</w:t>
      </w:r>
      <w:r>
        <w:t xml:space="preserve">limit the use of my sensitive personal information</w:t>
      </w:r>
      <w:r>
        <w:t xml:space="preserve">”</w:t>
      </w:r>
      <w:r>
        <w:t xml:space="preserve"> </w:t>
      </w:r>
      <w:r>
        <w:t xml:space="preserve">mechanism.</w:t>
      </w:r>
      <w:r>
        <w:t xml:space="preserve"> </w:t>
      </w:r>
      <w:r>
        <w:rPr>
          <w:i/>
          <w:iCs/>
        </w:rPr>
        <w:t xml:space="preserve">Risk: High.</w:t>
      </w:r>
      <w:r>
        <w:t xml:space="preserve"> </w:t>
      </w:r>
      <w:r>
        <w:rPr>
          <w:i/>
          <w:iCs/>
        </w:rPr>
        <w:t xml:space="preserve">Remediation: Classify and disclose biometric data as sensitive PI; provide the CPRA limit-use mechanism.</w:t>
      </w:r>
    </w:p>
    <w:p>
      <w:pPr>
        <w:pStyle w:val="BodyText"/>
      </w:pPr>
      <w:r>
        <w:rPr>
          <w:b/>
          <w:bCs/>
        </w:rPr>
        <w:t xml:space="preserve">B.9 — No DPIA for biometric processing (PA-001).</w:t>
      </w:r>
      <w:r>
        <w:t xml:space="preserve"> </w:t>
      </w:r>
      <w:r>
        <w:t xml:space="preserve">The DPIA Status tab marks PA-001 (Account Registration &amp; Identity Verification, including Selfie Verify)</w:t>
      </w:r>
      <w:r>
        <w:t xml:space="preserve"> </w:t>
      </w:r>
      <w:r>
        <w:t xml:space="preserve">“</w:t>
      </w:r>
      <w:r>
        <w:t xml:space="preserve">Not Conducted,</w:t>
      </w:r>
      <w:r>
        <w:t xml:space="preserve">”</w:t>
      </w:r>
      <w:r>
        <w:t xml:space="preserve"> </w:t>
      </w:r>
      <w:r>
        <w:t xml:space="preserve">risk level</w:t>
      </w:r>
      <w:r>
        <w:t xml:space="preserve"> </w:t>
      </w:r>
      <w:r>
        <w:t xml:space="preserve">“</w:t>
      </w:r>
      <w:r>
        <w:t xml:space="preserve">High,</w:t>
      </w:r>
      <w:r>
        <w:t xml:space="preserve">”</w:t>
      </w:r>
      <w:r>
        <w:t xml:space="preserve"> </w:t>
      </w:r>
      <w:r>
        <w:t xml:space="preserve">with the trigger</w:t>
      </w:r>
      <w:r>
        <w:t xml:space="preserve"> </w:t>
      </w:r>
      <w:r>
        <w:t xml:space="preserve">“</w:t>
      </w:r>
      <w:r>
        <w:t xml:space="preserve">large-scale processing of biometric data (Art. 9 special category); 1,900,000 users’ facial geometry processed.</w:t>
      </w:r>
      <w:r>
        <w:t xml:space="preserve">”</w:t>
      </w:r>
      <w:r>
        <w:t xml:space="preserve"> </w:t>
      </w:r>
      <w:r>
        <w:t xml:space="preserve">A DPIA is mandatory under GDPR Art. 35(3)(b).</w:t>
      </w:r>
      <w:r>
        <w:t xml:space="preserve"> </w:t>
      </w:r>
      <w:r>
        <w:rPr>
          <w:i/>
          <w:iCs/>
        </w:rPr>
        <w:t xml:space="preserve">Risk: Critical.</w:t>
      </w:r>
      <w:r>
        <w:t xml:space="preserve"> </w:t>
      </w:r>
      <w:r>
        <w:rPr>
          <w:i/>
          <w:iCs/>
        </w:rPr>
        <w:t xml:space="preserve">Remediation: Conduct and document a DPIA before further processing and before EU launch.</w:t>
      </w:r>
    </w:p>
    <w:p>
      <w:pPr>
        <w:pStyle w:val="BodyText"/>
      </w:pPr>
      <w:r>
        <w:rPr>
          <w:b/>
          <w:bCs/>
        </w:rPr>
        <w:t xml:space="preserve">B.10 — No state-by-state biometric-law analysis.</w:t>
      </w:r>
      <w:r>
        <w:t xml:space="preserve"> </w:t>
      </w:r>
      <w:r>
        <w:t xml:space="preserve">The Selfie Verify Details tab notes</w:t>
      </w:r>
      <w:r>
        <w:t xml:space="preserve"> </w:t>
      </w:r>
      <w:r>
        <w:t xml:space="preserve">“</w:t>
      </w:r>
      <w:r>
        <w:t xml:space="preserve">No state-by-state biometric law analysis performed.</w:t>
      </w:r>
      <w:r>
        <w:t xml:space="preserve">”</w:t>
      </w:r>
      <w:r>
        <w:t xml:space="preserve"> </w:t>
      </w:r>
      <w:r>
        <w:t xml:space="preserve">Beyond BIPA, the inventory flags Texas CUBI and Washington biometric law as applicable (DC-011), with approximately 310,000 Texas users.</w:t>
      </w:r>
      <w:r>
        <w:t xml:space="preserve"> </w:t>
      </w:r>
      <w:r>
        <w:rPr>
          <w:i/>
          <w:iCs/>
        </w:rPr>
        <w:t xml:space="preserve">Risk: High.</w:t>
      </w:r>
      <w:r>
        <w:t xml:space="preserve"> </w:t>
      </w:r>
      <w:r>
        <w:rPr>
          <w:i/>
          <w:iCs/>
        </w:rPr>
        <w:t xml:space="preserve">Remediation: Conduct a 50-state biometric-law analysis; address Texas CUBI (written consent + retention/disclosure requirements) and Washington law.</w:t>
      </w:r>
    </w:p>
    <w:bookmarkEnd w:id="25"/>
    <w:bookmarkStart w:id="26" w:name="X062a09a61c1552499417375890bbad8944db665"/>
    <w:p>
      <w:pPr>
        <w:pStyle w:val="Heading3"/>
      </w:pPr>
      <w:r>
        <w:t xml:space="preserve">C. International Data Transfers (GDPR Chapter V)</w:t>
      </w:r>
    </w:p>
    <w:p>
      <w:pPr>
        <w:pStyle w:val="FirstParagraph"/>
      </w:pPr>
      <w:r>
        <w:rPr>
          <w:b/>
          <w:bCs/>
        </w:rPr>
        <w:t xml:space="preserve">C.1 — Reliance on the invalidated EU-U.S. Privacy Shield.</w:t>
      </w:r>
      <w:r>
        <w:t xml:space="preserve"> </w:t>
      </w:r>
      <w:r>
        <w:t xml:space="preserve">The Privacy Policy (</w:t>
      </w:r>
      <w:r>
        <w:t xml:space="preserve">“</w:t>
      </w:r>
      <w:r>
        <w:t xml:space="preserve">International Data Transfers</w:t>
      </w:r>
      <w:r>
        <w:t xml:space="preserve">”</w:t>
      </w:r>
      <w:r>
        <w:t xml:space="preserve">) states that for EU/EEA/UK users, Vaultline transfers personal data to the United States</w:t>
      </w:r>
      <w:r>
        <w:t xml:space="preserve"> </w:t>
      </w:r>
      <w:r>
        <w:t xml:space="preserve">“</w:t>
      </w:r>
      <w:r>
        <w:t xml:space="preserve">in reliance on the EU-US Privacy Shield Framework</w:t>
      </w:r>
      <w:r>
        <w:t xml:space="preserve">”</w:t>
      </w:r>
      <w:r>
        <w:t xml:space="preserve"> </w:t>
      </w:r>
      <w:r>
        <w:t xml:space="preserve">and has</w:t>
      </w:r>
      <w:r>
        <w:t xml:space="preserve"> </w:t>
      </w:r>
      <w:r>
        <w:t xml:space="preserve">“</w:t>
      </w:r>
      <w:r>
        <w:t xml:space="preserve">certified its compliance with the EU-US Privacy Shield Principles.</w:t>
      </w:r>
      <w:r>
        <w:t xml:space="preserve">”</w:t>
      </w:r>
      <w:r>
        <w:t xml:space="preserve"> </w:t>
      </w:r>
      <w:r>
        <w:t xml:space="preserve">The Privacy Shield was invalidated by the CJEU in</w:t>
      </w:r>
      <w:r>
        <w:t xml:space="preserve"> </w:t>
      </w:r>
      <w:r>
        <w:rPr>
          <w:i/>
          <w:iCs/>
        </w:rPr>
        <w:t xml:space="preserve">Data Protection Commissioner v. Facebook Ireland</w:t>
      </w:r>
      <w:r>
        <w:t xml:space="preserve"> </w:t>
      </w:r>
      <w:r>
        <w:t xml:space="preserve">(Schrems II), Case C-311/18, decided July 16, 2020 — nearly five years ago. The Data Inventory (International Transfers IT-001; DPIA Status PA-007) and the investor email (§2) each independently flag this.</w:t>
      </w:r>
      <w:r>
        <w:t xml:space="preserve"> </w:t>
      </w:r>
      <w:r>
        <w:rPr>
          <w:i/>
          <w:iCs/>
        </w:rPr>
        <w:t xml:space="preserve">Risk: Critical.</w:t>
      </w:r>
      <w:r>
        <w:t xml:space="preserve"> </w:t>
      </w:r>
      <w:r>
        <w:rPr>
          <w:i/>
          <w:iCs/>
        </w:rPr>
        <w:t xml:space="preserve">Remediation: Remove all Privacy Shield references; implement a valid transfer mechanism (see C.2–C.4).</w:t>
      </w:r>
    </w:p>
    <w:p>
      <w:pPr>
        <w:pStyle w:val="BodyText"/>
      </w:pPr>
      <w:r>
        <w:rPr>
          <w:b/>
          <w:bCs/>
        </w:rPr>
        <w:t xml:space="preserve">C.2 — No Standard Contractual Clauses with CloudFort for EU data.</w:t>
      </w:r>
      <w:r>
        <w:t xml:space="preserve"> </w:t>
      </w:r>
      <w:r>
        <w:t xml:space="preserve">The International Transfers tab (IT-001) and Processing Activities tab (PA-007) state that no SCCs have been executed with CloudFort Systems, Inc. for the transfer of ~23,000 EU-resident users’ data to U.S. (Virginia) servers.</w:t>
      </w:r>
      <w:r>
        <w:t xml:space="preserve"> </w:t>
      </w:r>
      <w:r>
        <w:rPr>
          <w:i/>
          <w:iCs/>
        </w:rPr>
        <w:t xml:space="preserve">Risk: Critical.</w:t>
      </w:r>
      <w:r>
        <w:t xml:space="preserve"> </w:t>
      </w:r>
      <w:r>
        <w:rPr>
          <w:i/>
          <w:iCs/>
        </w:rPr>
        <w:t xml:space="preserve">Remediation: Execute EU Commission SCCs (2021 modules) with CloudFort; complete a transfer impact assessment.</w:t>
      </w:r>
    </w:p>
    <w:p>
      <w:pPr>
        <w:pStyle w:val="BodyText"/>
      </w:pPr>
      <w:r>
        <w:rPr>
          <w:b/>
          <w:bCs/>
        </w:rPr>
        <w:t xml:space="preserve">C.3 — No EU-U.S. Data Privacy Framework certification.</w:t>
      </w:r>
      <w:r>
        <w:t xml:space="preserve"> </w:t>
      </w:r>
      <w:r>
        <w:t xml:space="preserve">The DPF adequacy decision was issued July 10, 2023, and is available as a replacement mechanism, but the inventory (IT-001; EU Processing Summary) confirms Vaultline has not obtained DPF certification, and the Privacy Policy makes no reference to the DPF.</w:t>
      </w:r>
      <w:r>
        <w:t xml:space="preserve"> </w:t>
      </w:r>
      <w:r>
        <w:rPr>
          <w:i/>
          <w:iCs/>
        </w:rPr>
        <w:t xml:space="preserve">Risk: High.</w:t>
      </w:r>
      <w:r>
        <w:t xml:space="preserve"> </w:t>
      </w:r>
      <w:r>
        <w:rPr>
          <w:i/>
          <w:iCs/>
        </w:rPr>
        <w:t xml:space="preserve">Remediation: Evaluate DPF self-certification as an alternative or supplement to SCCs.</w:t>
      </w:r>
    </w:p>
    <w:p>
      <w:pPr>
        <w:pStyle w:val="BodyText"/>
      </w:pPr>
      <w:r>
        <w:rPr>
          <w:b/>
          <w:bCs/>
        </w:rPr>
        <w:t xml:space="preserve">C.4 — No Binding Corporate Rules and no Transfer Impact Assessment.</w:t>
      </w:r>
      <w:r>
        <w:t xml:space="preserve"> </w:t>
      </w:r>
      <w:r>
        <w:t xml:space="preserve">The International Transfers tab (IT-001) confirms no BCRs and no TIA.</w:t>
      </w:r>
      <w:r>
        <w:t xml:space="preserve"> </w:t>
      </w:r>
      <w:r>
        <w:rPr>
          <w:i/>
          <w:iCs/>
        </w:rPr>
        <w:t xml:space="preserve">Risk: High.</w:t>
      </w:r>
      <w:r>
        <w:t xml:space="preserve"> </w:t>
      </w:r>
      <w:r>
        <w:rPr>
          <w:i/>
          <w:iCs/>
        </w:rPr>
        <w:t xml:space="preserve">Remediation: Complete a TIA as part of SCC implementation; document the transfer mechanism decision.</w:t>
      </w:r>
    </w:p>
    <w:p>
      <w:pPr>
        <w:pStyle w:val="BodyText"/>
      </w:pPr>
      <w:r>
        <w:rPr>
          <w:b/>
          <w:bCs/>
        </w:rPr>
        <w:t xml:space="preserve">C.5 — EU data shared with Brightly and FinLink with no transfer mechanism.</w:t>
      </w:r>
      <w:r>
        <w:t xml:space="preserve"> </w:t>
      </w:r>
      <w:r>
        <w:t xml:space="preserve">IT-002 documents ~870 EU users’ data shared with Brightly Analytics (New York) for advertising, and IT-003 documents ~19,000 EU users’ bank credentials shared with FinLink (San Francisco) for aggregation — neither with a transfer mechanism. Brightly is classified an independent controller with no DPA (see G.3).</w:t>
      </w:r>
      <w:r>
        <w:t xml:space="preserve"> </w:t>
      </w:r>
      <w:r>
        <w:rPr>
          <w:i/>
          <w:iCs/>
        </w:rPr>
        <w:t xml:space="preserve">Risk: Critical.</w:t>
      </w:r>
      <w:r>
        <w:t xml:space="preserve"> </w:t>
      </w:r>
      <w:r>
        <w:rPr>
          <w:i/>
          <w:iCs/>
        </w:rPr>
        <w:t xml:space="preserve">Remediation: Put transfer mechanisms in place for all EU-data recipients; reassess Brightly controller/processor status.</w:t>
      </w:r>
    </w:p>
    <w:p>
      <w:pPr>
        <w:pStyle w:val="BodyText"/>
      </w:pPr>
      <w:r>
        <w:rPr>
          <w:b/>
          <w:bCs/>
        </w:rPr>
        <w:t xml:space="preserve">C.6 — Available Dublin data center not used for EU data.</w:t>
      </w:r>
      <w:r>
        <w:t xml:space="preserve"> </w:t>
      </w:r>
      <w:r>
        <w:t xml:space="preserve">The inventory (IT-001 notes) states CloudFort operates a Dublin, Ireland data center and that EU data</w:t>
      </w:r>
      <w:r>
        <w:t xml:space="preserve"> </w:t>
      </w:r>
      <w:r>
        <w:t xml:space="preserve">“</w:t>
      </w:r>
      <w:r>
        <w:t xml:space="preserve">could potentially be migrated but no action taken.</w:t>
      </w:r>
      <w:r>
        <w:t xml:space="preserve">”</w:t>
      </w:r>
      <w:r>
        <w:t xml:space="preserve"> </w:t>
      </w:r>
      <w:r>
        <w:rPr>
          <w:i/>
          <w:iCs/>
        </w:rPr>
        <w:t xml:space="preserve">Risk: Medium.</w:t>
      </w:r>
      <w:r>
        <w:t xml:space="preserve"> </w:t>
      </w:r>
      <w:r>
        <w:rPr>
          <w:i/>
          <w:iCs/>
        </w:rPr>
        <w:t xml:space="preserve">Remediation: Evaluate migrating EU-resident data to the Dublin facility to reduce transfer exposure.</w:t>
      </w:r>
    </w:p>
    <w:p>
      <w:pPr>
        <w:pStyle w:val="BodyText"/>
      </w:pPr>
      <w:r>
        <w:rPr>
          <w:b/>
          <w:bCs/>
        </w:rPr>
        <w:t xml:space="preserve">C.7 — Cross-document inconsistency on where EU data actually resides.</w:t>
      </w:r>
      <w:r>
        <w:t xml:space="preserve"> </w:t>
      </w:r>
      <w:r>
        <w:t xml:space="preserve">The Privacy Policy states data is</w:t>
      </w:r>
      <w:r>
        <w:t xml:space="preserve"> </w:t>
      </w:r>
      <w:r>
        <w:t xml:space="preserve">“</w:t>
      </w:r>
      <w:r>
        <w:t xml:space="preserve">primarily processed and stored on servers located in Ashburn, Virginia</w:t>
      </w:r>
      <w:r>
        <w:t xml:space="preserve">”</w:t>
      </w:r>
      <w:r>
        <w:t xml:space="preserve"> </w:t>
      </w:r>
      <w:r>
        <w:t xml:space="preserve">(omitting Dublin). The Data Inventory (PA-007; IT-001) states EU-resident user data is</w:t>
      </w:r>
      <w:r>
        <w:t xml:space="preserve"> </w:t>
      </w:r>
      <w:r>
        <w:t xml:space="preserve">“</w:t>
      </w:r>
      <w:r>
        <w:t xml:space="preserve">currently processed on Virginia (US) servers.</w:t>
      </w:r>
      <w:r>
        <w:t xml:space="preserve">”</w:t>
      </w:r>
      <w:r>
        <w:t xml:space="preserve"> </w:t>
      </w:r>
      <w:r>
        <w:t xml:space="preserve">But the Incident Response Log (Entry 5) states CloudFort confirmed</w:t>
      </w:r>
      <w:r>
        <w:t xml:space="preserve"> </w:t>
      </w:r>
      <w:r>
        <w:t xml:space="preserve">“</w:t>
      </w:r>
      <w:r>
        <w:t xml:space="preserve">no access anomalies were detected on its Dublin, Ireland infrastructure, where EU-resident user data is partially replicated</w:t>
      </w:r>
      <w:r>
        <w:t xml:space="preserve">”</w:t>
      </w:r>
      <w:r>
        <w:t xml:space="preserve"> </w:t>
      </w:r>
      <w:r>
        <w:t xml:space="preserve">— confirming EU data is partially replicated at Dublin. The three documents are inconsistent on EU data location, which directly affects the transfer-mechanism analysis and the accuracy of consumer disclosures.</w:t>
      </w:r>
      <w:r>
        <w:t xml:space="preserve"> </w:t>
      </w:r>
      <w:r>
        <w:rPr>
          <w:i/>
          <w:iCs/>
        </w:rPr>
        <w:t xml:space="preserve">Risk: High.</w:t>
      </w:r>
      <w:r>
        <w:t xml:space="preserve"> </w:t>
      </w:r>
      <w:r>
        <w:rPr>
          <w:i/>
          <w:iCs/>
        </w:rPr>
        <w:t xml:space="preserve">Remediation: Reconcile the actual data-residency architecture across all three documents; correct the Privacy Policy’s storage-location disclosure.</w:t>
      </w:r>
    </w:p>
    <w:bookmarkEnd w:id="26"/>
    <w:bookmarkStart w:id="27" w:name="X376a0c79dbe35faf342cf8b2af9c9aea61520ad"/>
    <w:p>
      <w:pPr>
        <w:pStyle w:val="Heading3"/>
      </w:pPr>
      <w:r>
        <w:t xml:space="preserve">D. GDPR Transparency and Governance (Articles 13/14, 6, 37, 27)</w:t>
      </w:r>
    </w:p>
    <w:p>
      <w:pPr>
        <w:pStyle w:val="FirstParagraph"/>
      </w:pPr>
      <w:r>
        <w:rPr>
          <w:b/>
          <w:bCs/>
        </w:rPr>
        <w:t xml:space="preserve">D.1 — GDPR disclosure confined to a single sentence.</w:t>
      </w:r>
      <w:r>
        <w:t xml:space="preserve"> </w:t>
      </w:r>
      <w:r>
        <w:t xml:space="preserve">The Privacy Policy’s</w:t>
      </w:r>
      <w:r>
        <w:t xml:space="preserve"> </w:t>
      </w:r>
      <w:r>
        <w:t xml:space="preserve">“</w:t>
      </w:r>
      <w:r>
        <w:t xml:space="preserve">Your Rights — European Union Residents</w:t>
      </w:r>
      <w:r>
        <w:t xml:space="preserve">”</w:t>
      </w:r>
      <w:r>
        <w:t xml:space="preserve"> </w:t>
      </w:r>
      <w:r>
        <w:t xml:space="preserve">section states only:</w:t>
      </w:r>
      <w:r>
        <w:t xml:space="preserve"> </w:t>
      </w:r>
      <w:r>
        <w:t xml:space="preserve">“</w:t>
      </w:r>
      <w:r>
        <w:t xml:space="preserve">If you are located in the European Union, you may have additional rights under applicable law.</w:t>
      </w:r>
      <w:r>
        <w:t xml:space="preserve">”</w:t>
      </w:r>
      <w:r>
        <w:t xml:space="preserve"> </w:t>
      </w:r>
      <w:r>
        <w:t xml:space="preserve">The Data Inventory (EU Processing Summary) and investor email (§3) confirm this is the entirety of Vaultline’s GDPR disclosure.</w:t>
      </w:r>
      <w:r>
        <w:t xml:space="preserve"> </w:t>
      </w:r>
      <w:r>
        <w:rPr>
          <w:i/>
          <w:iCs/>
        </w:rPr>
        <w:t xml:space="preserve">Risk: High.</w:t>
      </w:r>
      <w:r>
        <w:t xml:space="preserve"> </w:t>
      </w:r>
      <w:r>
        <w:rPr>
          <w:i/>
          <w:iCs/>
        </w:rPr>
        <w:t xml:space="preserve">Remediation: Add a full GDPR Art. 13/14 transparency section.</w:t>
      </w:r>
    </w:p>
    <w:p>
      <w:pPr>
        <w:pStyle w:val="BodyText"/>
      </w:pPr>
      <w:r>
        <w:rPr>
          <w:b/>
          <w:bCs/>
        </w:rPr>
        <w:t xml:space="preserve">D.2 — No lawful basis identified for any processing activity.</w:t>
      </w:r>
      <w:r>
        <w:t xml:space="preserve"> </w:t>
      </w:r>
      <w:r>
        <w:t xml:space="preserve">The Processing Activities tab lists</w:t>
      </w:r>
      <w:r>
        <w:t xml:space="preserve"> </w:t>
      </w:r>
      <w:r>
        <w:t xml:space="preserve">“</w:t>
      </w:r>
      <w:r>
        <w:t xml:space="preserve">Consent (browsewrap — app usage)</w:t>
      </w:r>
      <w:r>
        <w:t xml:space="preserve">”</w:t>
      </w:r>
      <w:r>
        <w:t xml:space="preserve"> </w:t>
      </w:r>
      <w:r>
        <w:t xml:space="preserve">as the legal basis for every activity (PA-001 through PA-008). No Art. 6 lawful-basis analysis has been performed, and no legitimate-interest assessment exists.</w:t>
      </w:r>
      <w:r>
        <w:t xml:space="preserve"> </w:t>
      </w:r>
      <w:r>
        <w:rPr>
          <w:i/>
          <w:iCs/>
        </w:rPr>
        <w:t xml:space="preserve">Risk: High.</w:t>
      </w:r>
      <w:r>
        <w:t xml:space="preserve"> </w:t>
      </w:r>
      <w:r>
        <w:rPr>
          <w:i/>
          <w:iCs/>
        </w:rPr>
        <w:t xml:space="preserve">Remediation: Map a lawful basis to each activity; conduct LIAs where legitimate interests is invoked.</w:t>
      </w:r>
    </w:p>
    <w:p>
      <w:pPr>
        <w:pStyle w:val="BodyText"/>
      </w:pPr>
      <w:r>
        <w:rPr>
          <w:b/>
          <w:bCs/>
        </w:rPr>
        <w:t xml:space="preserve">D.3 — No data-subject rights disclosed (Articles 15–22).</w:t>
      </w:r>
      <w:r>
        <w:t xml:space="preserve"> </w:t>
      </w:r>
      <w:r>
        <w:t xml:space="preserve">The policy does not disclose the rights of access, rectification, erasure, data portability, restriction of processing, or objection.</w:t>
      </w:r>
      <w:r>
        <w:t xml:space="preserve"> </w:t>
      </w:r>
      <w:r>
        <w:rPr>
          <w:i/>
          <w:iCs/>
        </w:rPr>
        <w:t xml:space="preserve">Risk: High.</w:t>
      </w:r>
      <w:r>
        <w:t xml:space="preserve"> </w:t>
      </w:r>
      <w:r>
        <w:rPr>
          <w:i/>
          <w:iCs/>
        </w:rPr>
        <w:t xml:space="preserve">Remediation: Enumerate all GDPR data-subject rights with exercise mechanisms.</w:t>
      </w:r>
    </w:p>
    <w:p>
      <w:pPr>
        <w:pStyle w:val="BodyText"/>
      </w:pPr>
      <w:r>
        <w:rPr>
          <w:b/>
          <w:bCs/>
        </w:rPr>
        <w:t xml:space="preserve">D.4 — No Data Protection Officer appointed or disclosed.</w:t>
      </w:r>
      <w:r>
        <w:t xml:space="preserve"> </w:t>
      </w:r>
      <w:r>
        <w:t xml:space="preserve">The EU Processing Summary states</w:t>
      </w:r>
      <w:r>
        <w:t xml:space="preserve"> </w:t>
      </w:r>
      <w:r>
        <w:t xml:space="preserve">“</w:t>
      </w:r>
      <w:r>
        <w:t xml:space="preserve">NOT APPOINTED</w:t>
      </w:r>
      <w:r>
        <w:t xml:space="preserve">”</w:t>
      </w:r>
      <w:r>
        <w:t xml:space="preserve"> </w:t>
      </w:r>
      <w:r>
        <w:t xml:space="preserve">and that the Privacy Policy contains no DPO contact information. Art. 37 requires a DPO for large-scale processing of special-category data and systematic monitoring — both present (biometrics; behavioral advertising).</w:t>
      </w:r>
      <w:r>
        <w:t xml:space="preserve"> </w:t>
      </w:r>
      <w:r>
        <w:rPr>
          <w:i/>
          <w:iCs/>
        </w:rPr>
        <w:t xml:space="preserve">Risk: High.</w:t>
      </w:r>
      <w:r>
        <w:t xml:space="preserve"> </w:t>
      </w:r>
      <w:r>
        <w:rPr>
          <w:i/>
          <w:iCs/>
        </w:rPr>
        <w:t xml:space="preserve">Remediation: Appoint and disclose a DPO.</w:t>
      </w:r>
    </w:p>
    <w:p>
      <w:pPr>
        <w:pStyle w:val="BodyText"/>
      </w:pPr>
      <w:r>
        <w:rPr>
          <w:b/>
          <w:bCs/>
        </w:rPr>
        <w:t xml:space="preserve">D.5 — No Article 27 EU representative designated.</w:t>
      </w:r>
      <w:r>
        <w:t xml:space="preserve"> </w:t>
      </w:r>
      <w:r>
        <w:t xml:space="preserve">Vaultline is a Delaware corporation with no EU establishment processing EU residents’ data at scale; Art. 27 requires designation of an EU representative. The EU Processing Summary confirms none is appointed.</w:t>
      </w:r>
      <w:r>
        <w:t xml:space="preserve"> </w:t>
      </w:r>
      <w:r>
        <w:rPr>
          <w:i/>
          <w:iCs/>
        </w:rPr>
        <w:t xml:space="preserve">Risk: High.</w:t>
      </w:r>
      <w:r>
        <w:t xml:space="preserve"> </w:t>
      </w:r>
      <w:r>
        <w:rPr>
          <w:i/>
          <w:iCs/>
        </w:rPr>
        <w:t xml:space="preserve">Remediation: Designate an Art. 27 EU representative before the Q3 2025 EU launch.</w:t>
      </w:r>
    </w:p>
    <w:p>
      <w:pPr>
        <w:pStyle w:val="BodyText"/>
      </w:pPr>
      <w:r>
        <w:rPr>
          <w:b/>
          <w:bCs/>
        </w:rPr>
        <w:t xml:space="preserve">D.6 — No right to lodge a complaint with a supervisory authority disclosed.</w:t>
      </w:r>
      <w:r>
        <w:t xml:space="preserve"> </w:t>
      </w:r>
      <w:r>
        <w:t xml:space="preserve">Required by Art. 13(2)(d); absent.</w:t>
      </w:r>
      <w:r>
        <w:t xml:space="preserve"> </w:t>
      </w:r>
      <w:r>
        <w:rPr>
          <w:i/>
          <w:iCs/>
        </w:rPr>
        <w:t xml:space="preserve">Risk: Medium.</w:t>
      </w:r>
      <w:r>
        <w:t xml:space="preserve"> </w:t>
      </w:r>
      <w:r>
        <w:rPr>
          <w:i/>
          <w:iCs/>
        </w:rPr>
        <w:t xml:space="preserve">Remediation: Add the right-to-complain disclosure.</w:t>
      </w:r>
    </w:p>
    <w:p>
      <w:pPr>
        <w:pStyle w:val="BodyText"/>
      </w:pPr>
      <w:r>
        <w:rPr>
          <w:b/>
          <w:bCs/>
        </w:rPr>
        <w:t xml:space="preserve">D.7 — Browsewrap consent insufficient for GDPR.</w:t>
      </w:r>
      <w:r>
        <w:t xml:space="preserve"> </w:t>
      </w:r>
      <w:r>
        <w:t xml:space="preserve">The Privacy Policy (</w:t>
      </w:r>
      <w:r>
        <w:t xml:space="preserve">“</w:t>
      </w:r>
      <w:r>
        <w:t xml:space="preserve">Introduction and Scope</w:t>
      </w:r>
      <w:r>
        <w:t xml:space="preserve">”</w:t>
      </w:r>
      <w:r>
        <w:t xml:space="preserve">) provides that</w:t>
      </w:r>
      <w:r>
        <w:t xml:space="preserve"> </w:t>
      </w:r>
      <w:r>
        <w:t xml:space="preserve">“</w:t>
      </w:r>
      <w:r>
        <w:t xml:space="preserve">continued use of our services constitutes your consent to all data collection, use, processing, and sharing practices.</w:t>
      </w:r>
      <w:r>
        <w:t xml:space="preserve">”</w:t>
      </w:r>
      <w:r>
        <w:t xml:space="preserve"> </w:t>
      </w:r>
      <w:r>
        <w:t xml:space="preserve">The EU Processing Summary notes browsewrap is</w:t>
      </w:r>
      <w:r>
        <w:t xml:space="preserve"> </w:t>
      </w:r>
      <w:r>
        <w:t xml:space="preserve">“</w:t>
      </w:r>
      <w:r>
        <w:t xml:space="preserve">likely insufficient for GDPR consent standard (Art. 7).</w:t>
      </w:r>
      <w:r>
        <w:t xml:space="preserve">”</w:t>
      </w:r>
      <w:r>
        <w:t xml:space="preserve"> </w:t>
      </w:r>
      <w:r>
        <w:rPr>
          <w:i/>
          <w:iCs/>
        </w:rPr>
        <w:t xml:space="preserve">Risk: High.</w:t>
      </w:r>
      <w:r>
        <w:t xml:space="preserve"> </w:t>
      </w:r>
      <w:r>
        <w:rPr>
          <w:i/>
          <w:iCs/>
        </w:rPr>
        <w:t xml:space="preserve">Remediation: Implement explicit, granular, opt-in consent for processing requiring consent; decouple consent from continued use.</w:t>
      </w:r>
    </w:p>
    <w:p>
      <w:pPr>
        <w:pStyle w:val="BodyText"/>
      </w:pPr>
      <w:r>
        <w:rPr>
          <w:b/>
          <w:bCs/>
        </w:rPr>
        <w:t xml:space="preserve">D.8 — GDPR fine exposure.</w:t>
      </w:r>
      <w:r>
        <w:t xml:space="preserve"> </w:t>
      </w:r>
      <w:r>
        <w:t xml:space="preserve">The investor email (§3) estimates administrative fines up to 4% of annual global turnover under Art. 83(5) — approximately $1.89 million on FY 2024 revenue of $47.3 million — for transparency and data-subject-rights infringements, in addition to injunctive relief and reputational harm.</w:t>
      </w:r>
      <w:r>
        <w:t xml:space="preserve"> </w:t>
      </w:r>
      <w:r>
        <w:rPr>
          <w:i/>
          <w:iCs/>
        </w:rPr>
        <w:t xml:space="preserve">Risk: High (contextual).</w:t>
      </w:r>
    </w:p>
    <w:p>
      <w:pPr>
        <w:pStyle w:val="BodyText"/>
      </w:pPr>
      <w:r>
        <w:rPr>
          <w:b/>
          <w:bCs/>
        </w:rPr>
        <w:t xml:space="preserve">D.9 — PA-008 invokes</w:t>
      </w:r>
      <w:r>
        <w:rPr>
          <w:b/>
          <w:bCs/>
        </w:rPr>
        <w:t xml:space="preserve"> </w:t>
      </w:r>
      <w:r>
        <w:rPr>
          <w:b/>
          <w:bCs/>
        </w:rPr>
        <w:t xml:space="preserve">“</w:t>
      </w:r>
      <w:r>
        <w:rPr>
          <w:b/>
          <w:bCs/>
        </w:rPr>
        <w:t xml:space="preserve">legitimate interest</w:t>
      </w:r>
      <w:r>
        <w:rPr>
          <w:b/>
          <w:bCs/>
        </w:rPr>
        <w:t xml:space="preserve">”</w:t>
      </w:r>
      <w:r>
        <w:rPr>
          <w:b/>
          <w:bCs/>
        </w:rPr>
        <w:t xml:space="preserve"> </w:t>
      </w:r>
      <w:r>
        <w:rPr>
          <w:b/>
          <w:bCs/>
        </w:rPr>
        <w:t xml:space="preserve">without a documented Legitimate Interest Assessment.</w:t>
      </w:r>
      <w:r>
        <w:t xml:space="preserve"> </w:t>
      </w:r>
      <w:r>
        <w:t xml:space="preserve">The Processing Activities tab is the only activity whose</w:t>
      </w:r>
      <w:r>
        <w:t xml:space="preserve"> </w:t>
      </w:r>
      <w:r>
        <w:t xml:space="preserve">“</w:t>
      </w:r>
      <w:r>
        <w:t xml:space="preserve">Legal Basis Claimed</w:t>
      </w:r>
      <w:r>
        <w:t xml:space="preserve">”</w:t>
      </w:r>
      <w:r>
        <w:t xml:space="preserve"> </w:t>
      </w:r>
      <w:r>
        <w:t xml:space="preserve">is</w:t>
      </w:r>
      <w:r>
        <w:t xml:space="preserve"> </w:t>
      </w:r>
      <w:r>
        <w:t xml:space="preserve">“</w:t>
      </w:r>
      <w:r>
        <w:t xml:space="preserve">Legitimate interest (claimed)</w:t>
      </w:r>
      <w:r>
        <w:t xml:space="preserve">”</w:t>
      </w:r>
      <w:r>
        <w:t xml:space="preserve"> </w:t>
      </w:r>
      <w:r>
        <w:t xml:space="preserve">(PA-008, Fraud Prevention &amp; Security Monitoring), rather than browsewrap consent. The EU Processing Summary confirms</w:t>
      </w:r>
      <w:r>
        <w:t xml:space="preserve"> </w:t>
      </w:r>
      <w:r>
        <w:t xml:space="preserve">“</w:t>
      </w:r>
      <w:r>
        <w:t xml:space="preserve">No legitimate interest assessment conducted.</w:t>
      </w:r>
      <w:r>
        <w:t xml:space="preserve">”</w:t>
      </w:r>
      <w:r>
        <w:t xml:space="preserve"> </w:t>
      </w:r>
      <w:r>
        <w:t xml:space="preserve">Invoking legitimate interests without a documented LIA (balancing test under Art. 6(1)(f)) is non-compliant.</w:t>
      </w:r>
      <w:r>
        <w:t xml:space="preserve"> </w:t>
      </w:r>
      <w:r>
        <w:rPr>
          <w:i/>
          <w:iCs/>
        </w:rPr>
        <w:t xml:space="preserve">Risk: Medium.</w:t>
      </w:r>
      <w:r>
        <w:t xml:space="preserve"> </w:t>
      </w:r>
      <w:r>
        <w:rPr>
          <w:i/>
          <w:iCs/>
        </w:rPr>
        <w:t xml:space="preserve">Remediation: Conduct and document an LIA for PA-008; map a lawful basis to each remaining activity (see D.2).</w:t>
      </w:r>
    </w:p>
    <w:bookmarkEnd w:id="27"/>
    <w:bookmarkStart w:id="28" w:name="Xcc864ca0ae6c1cf3d71161c6b4d98f1f648c60e"/>
    <w:p>
      <w:pPr>
        <w:pStyle w:val="Heading3"/>
      </w:pPr>
      <w:r>
        <w:t xml:space="preserve">E. Automated Decision-Making —</w:t>
      </w:r>
      <w:r>
        <w:t xml:space="preserve"> </w:t>
      </w:r>
      <w:r>
        <w:t xml:space="preserve">“</w:t>
      </w:r>
      <w:r>
        <w:t xml:space="preserve">Smart Insights</w:t>
      </w:r>
      <w:r>
        <w:t xml:space="preserve">”</w:t>
      </w:r>
      <w:r>
        <w:t xml:space="preserve"> </w:t>
      </w:r>
      <w:r>
        <w:t xml:space="preserve">(GDPR Art. 22; Art. 13(2)(f))</w:t>
      </w:r>
    </w:p>
    <w:p>
      <w:pPr>
        <w:pStyle w:val="FirstParagraph"/>
      </w:pPr>
      <w:r>
        <w:rPr>
          <w:b/>
          <w:bCs/>
        </w:rPr>
        <w:t xml:space="preserve">E.1 — Smart Insights automated decision-making is undisclosed in the Privacy Policy.</w:t>
      </w:r>
      <w:r>
        <w:t xml:space="preserve"> </w:t>
      </w:r>
      <w:r>
        <w:t xml:space="preserve">The Processing Activities tab (PA-003) documents that the</w:t>
      </w:r>
      <w:r>
        <w:t xml:space="preserve"> </w:t>
      </w:r>
      <w:r>
        <w:t xml:space="preserve">“</w:t>
      </w:r>
      <w:r>
        <w:t xml:space="preserve">Smart Insights</w:t>
      </w:r>
      <w:r>
        <w:t xml:space="preserve">”</w:t>
      </w:r>
      <w:r>
        <w:t xml:space="preserve"> </w:t>
      </w:r>
      <w:r>
        <w:t xml:space="preserve">feature uses machine-learning models to analyze transaction, income, and spending data and</w:t>
      </w:r>
      <w:r>
        <w:t xml:space="preserve"> </w:t>
      </w:r>
      <w:r>
        <w:t xml:space="preserve">“</w:t>
      </w:r>
      <w:r>
        <w:t xml:space="preserve">determines which credit product partner offers to show or hide based on assessment of the user’s financial profile,</w:t>
      </w:r>
      <w:r>
        <w:t xml:space="preserve">”</w:t>
      </w:r>
      <w:r>
        <w:t xml:space="preserve"> </w:t>
      </w:r>
      <w:r>
        <w:t xml:space="preserve">affecting ~2,800,000 active users. The Privacy Policy mentions</w:t>
      </w:r>
      <w:r>
        <w:t xml:space="preserve"> </w:t>
      </w:r>
      <w:r>
        <w:t xml:space="preserve">“</w:t>
      </w:r>
      <w:r>
        <w:t xml:space="preserve">personalized financial insights and recommendations</w:t>
      </w:r>
      <w:r>
        <w:t xml:space="preserve">”</w:t>
      </w:r>
      <w:r>
        <w:t xml:space="preserve"> </w:t>
      </w:r>
      <w:r>
        <w:t xml:space="preserve">but does not disclose that these are fully automated, that they gate credit-product offer visibility, or that they produce significant effects.</w:t>
      </w:r>
      <w:r>
        <w:t xml:space="preserve"> </w:t>
      </w:r>
      <w:r>
        <w:rPr>
          <w:i/>
          <w:iCs/>
        </w:rPr>
        <w:t xml:space="preserve">Risk: Critical.</w:t>
      </w:r>
      <w:r>
        <w:t xml:space="preserve"> </w:t>
      </w:r>
      <w:r>
        <w:rPr>
          <w:i/>
          <w:iCs/>
        </w:rPr>
        <w:t xml:space="preserve">Remediation: Add an automated-decision-making disclosure describing the logic, significance, and consequences.</w:t>
      </w:r>
    </w:p>
    <w:p>
      <w:pPr>
        <w:pStyle w:val="BodyText"/>
      </w:pPr>
      <w:r>
        <w:rPr>
          <w:b/>
          <w:bCs/>
        </w:rPr>
        <w:t xml:space="preserve">E.2 — Fully automated decisions producing legal/significant effects with no opt-out and no human review.</w:t>
      </w:r>
      <w:r>
        <w:t xml:space="preserve"> </w:t>
      </w:r>
      <w:r>
        <w:t xml:space="preserve">PA-003 states the feature is</w:t>
      </w:r>
      <w:r>
        <w:t xml:space="preserve"> </w:t>
      </w:r>
      <w:r>
        <w:t xml:space="preserve">“</w:t>
      </w:r>
      <w:r>
        <w:t xml:space="preserve">YES — Fully Automated</w:t>
      </w:r>
      <w:r>
        <w:t xml:space="preserve">”</w:t>
      </w:r>
      <w:r>
        <w:t xml:space="preserve"> </w:t>
      </w:r>
      <w:r>
        <w:t xml:space="preserve">and</w:t>
      </w:r>
      <w:r>
        <w:t xml:space="preserve"> </w:t>
      </w:r>
      <w:r>
        <w:t xml:space="preserve">“</w:t>
      </w:r>
      <w:r>
        <w:t xml:space="preserve">YES — Produces legal or similarly significant effects,</w:t>
      </w:r>
      <w:r>
        <w:t xml:space="preserve">”</w:t>
      </w:r>
      <w:r>
        <w:t xml:space="preserve"> </w:t>
      </w:r>
      <w:r>
        <w:t xml:space="preserve">with</w:t>
      </w:r>
      <w:r>
        <w:t xml:space="preserve"> </w:t>
      </w:r>
      <w:r>
        <w:t xml:space="preserve">“</w:t>
      </w:r>
      <w:r>
        <w:t xml:space="preserve">No opt-out mechanism provided</w:t>
      </w:r>
      <w:r>
        <w:t xml:space="preserve">”</w:t>
      </w:r>
      <w:r>
        <w:t xml:space="preserve"> </w:t>
      </w:r>
      <w:r>
        <w:t xml:space="preserve">and</w:t>
      </w:r>
      <w:r>
        <w:t xml:space="preserve"> </w:t>
      </w:r>
      <w:r>
        <w:t xml:space="preserve">“</w:t>
      </w:r>
      <w:r>
        <w:t xml:space="preserve">No human review option offered.</w:t>
      </w:r>
      <w:r>
        <w:t xml:space="preserve">”</w:t>
      </w:r>
      <w:r>
        <w:t xml:space="preserve"> </w:t>
      </w:r>
      <w:r>
        <w:t xml:space="preserve">This implicates GDPR Art. 22 and emerging U.S. state AI-governance requirements.</w:t>
      </w:r>
      <w:r>
        <w:t xml:space="preserve"> </w:t>
      </w:r>
      <w:r>
        <w:rPr>
          <w:i/>
          <w:iCs/>
        </w:rPr>
        <w:t xml:space="preserve">Risk: Critical.</w:t>
      </w:r>
      <w:r>
        <w:t xml:space="preserve"> </w:t>
      </w:r>
      <w:r>
        <w:rPr>
          <w:i/>
          <w:iCs/>
        </w:rPr>
        <w:t xml:space="preserve">Remediation: Provide an opt-out, a human-review avenue, and Art. 22 safeguards; reassess whether credit-access gating should be automated.</w:t>
      </w:r>
    </w:p>
    <w:p>
      <w:pPr>
        <w:pStyle w:val="BodyText"/>
      </w:pPr>
      <w:r>
        <w:rPr>
          <w:b/>
          <w:bCs/>
        </w:rPr>
        <w:t xml:space="preserve">E.3 — No Article 22 / Article 13(2)(f) disclosures.</w:t>
      </w:r>
      <w:r>
        <w:t xml:space="preserve"> </w:t>
      </w:r>
      <w:r>
        <w:t xml:space="preserve">The EU Processing Summary confirms</w:t>
      </w:r>
      <w:r>
        <w:t xml:space="preserve"> </w:t>
      </w:r>
      <w:r>
        <w:t xml:space="preserve">“</w:t>
      </w:r>
      <w:r>
        <w:t xml:space="preserve">NOT DISCLOSED — Smart Insights AI feature not mentioned in privacy policy.</w:t>
      </w:r>
      <w:r>
        <w:t xml:space="preserve">”</w:t>
      </w:r>
      <w:r>
        <w:t xml:space="preserve"> </w:t>
      </w:r>
      <w:r>
        <w:rPr>
          <w:i/>
          <w:iCs/>
        </w:rPr>
        <w:t xml:space="preserve">Risk: Critical.</w:t>
      </w:r>
      <w:r>
        <w:t xml:space="preserve"> </w:t>
      </w:r>
      <w:r>
        <w:rPr>
          <w:i/>
          <w:iCs/>
        </w:rPr>
        <w:t xml:space="preserve">Remediation: Provide the Art. 13(2)(f) information (existence of automated decision-making, logic, significance, consequences).</w:t>
      </w:r>
    </w:p>
    <w:p>
      <w:pPr>
        <w:pStyle w:val="BodyText"/>
      </w:pPr>
      <w:r>
        <w:rPr>
          <w:b/>
          <w:bCs/>
        </w:rPr>
        <w:t xml:space="preserve">E.4 — No DPIA for Smart Insights (PA-003).</w:t>
      </w:r>
      <w:r>
        <w:t xml:space="preserve"> </w:t>
      </w:r>
      <w:r>
        <w:t xml:space="preserve">The DPIA Status tab marks PA-003</w:t>
      </w:r>
      <w:r>
        <w:t xml:space="preserve"> </w:t>
      </w:r>
      <w:r>
        <w:t xml:space="preserve">“</w:t>
      </w:r>
      <w:r>
        <w:t xml:space="preserve">Not Conducted,</w:t>
      </w:r>
      <w:r>
        <w:t xml:space="preserve">”</w:t>
      </w:r>
      <w:r>
        <w:t xml:space="preserve"> </w:t>
      </w:r>
      <w:r>
        <w:t xml:space="preserve">risk level</w:t>
      </w:r>
      <w:r>
        <w:t xml:space="preserve"> </w:t>
      </w:r>
      <w:r>
        <w:t xml:space="preserve">“</w:t>
      </w:r>
      <w:r>
        <w:t xml:space="preserve">Critical,</w:t>
      </w:r>
      <w:r>
        <w:t xml:space="preserve">”</w:t>
      </w:r>
      <w:r>
        <w:t xml:space="preserve"> </w:t>
      </w:r>
      <w:r>
        <w:t xml:space="preserve">with the mandatory trigger</w:t>
      </w:r>
      <w:r>
        <w:t xml:space="preserve"> </w:t>
      </w:r>
      <w:r>
        <w:t xml:space="preserve">“</w:t>
      </w:r>
      <w:r>
        <w:t xml:space="preserve">automated decision-making producing significant effects (Art. 35(3)(a)).</w:t>
      </w:r>
      <w:r>
        <w:t xml:space="preserve">”</w:t>
      </w:r>
      <w:r>
        <w:t xml:space="preserve"> </w:t>
      </w:r>
      <w:r>
        <w:rPr>
          <w:i/>
          <w:iCs/>
        </w:rPr>
        <w:t xml:space="preserve">Risk: Critical.</w:t>
      </w:r>
      <w:r>
        <w:t xml:space="preserve"> </w:t>
      </w:r>
      <w:r>
        <w:rPr>
          <w:i/>
          <w:iCs/>
        </w:rPr>
        <w:t xml:space="preserve">Remediation: Conduct and document a DPIA before further processing and before EU launch.</w:t>
      </w:r>
    </w:p>
    <w:p>
      <w:pPr>
        <w:pStyle w:val="BodyText"/>
      </w:pPr>
      <w:r>
        <w:rPr>
          <w:b/>
          <w:bCs/>
        </w:rPr>
        <w:t xml:space="preserve">E.5 — Smart Insights uses credit-score data (DC-007) to gate credit-product offers, implicating the FCRA.</w:t>
      </w:r>
      <w:r>
        <w:t xml:space="preserve"> </w:t>
      </w:r>
      <w:r>
        <w:t xml:space="preserve">PA-003’s data categories include DC-007 (credit score), and the feature</w:t>
      </w:r>
      <w:r>
        <w:t xml:space="preserve"> </w:t>
      </w:r>
      <w:r>
        <w:t xml:space="preserve">“</w:t>
      </w:r>
      <w:r>
        <w:t xml:space="preserve">determines which credit product partner offers to show or hide based on assessment of the user’s financial profile.</w:t>
      </w:r>
      <w:r>
        <w:t xml:space="preserve">”</w:t>
      </w:r>
      <w:r>
        <w:t xml:space="preserve"> </w:t>
      </w:r>
      <w:r>
        <w:t xml:space="preserve">Using consumer-report information (credit score obtained from a consumer reporting agency) to determine eligibility/visibility for credit products may implicate the Fair Credit Reporting Act’s adverse-action and permissible-purpose requirements. The Privacy Policy does not disclose this use of credit-score data for credit-offer targeting.</w:t>
      </w:r>
      <w:r>
        <w:t xml:space="preserve"> </w:t>
      </w:r>
      <w:r>
        <w:rPr>
          <w:i/>
          <w:iCs/>
        </w:rPr>
        <w:t xml:space="preserve">Risk: High.</w:t>
      </w:r>
      <w:r>
        <w:t xml:space="preserve"> </w:t>
      </w:r>
      <w:r>
        <w:rPr>
          <w:i/>
          <w:iCs/>
        </w:rPr>
        <w:t xml:space="preserve">Remediation: Assess FCRA applicability to the Smart Insights credit-offer gating; provide any required adverse-action notices; disclose the use.</w:t>
      </w:r>
    </w:p>
    <w:p>
      <w:pPr>
        <w:pStyle w:val="BodyText"/>
      </w:pPr>
      <w:r>
        <w:rPr>
          <w:b/>
          <w:bCs/>
        </w:rPr>
        <w:t xml:space="preserve">E.6 — PA-004 (Brightly advertising) involves partial automated decision-making / profiling.</w:t>
      </w:r>
      <w:r>
        <w:t xml:space="preserve"> </w:t>
      </w:r>
      <w:r>
        <w:t xml:space="preserve">The Processing Activities tab marks PA-004’s</w:t>
      </w:r>
      <w:r>
        <w:t xml:space="preserve"> </w:t>
      </w:r>
      <w:r>
        <w:t xml:space="preserve">“</w:t>
      </w:r>
      <w:r>
        <w:t xml:space="preserve">Automated Decision-Making?</w:t>
      </w:r>
      <w:r>
        <w:t xml:space="preserve">”</w:t>
      </w:r>
      <w:r>
        <w:t xml:space="preserve"> </w:t>
      </w:r>
      <w:r>
        <w:t xml:space="preserve">as</w:t>
      </w:r>
      <w:r>
        <w:t xml:space="preserve"> </w:t>
      </w:r>
      <w:r>
        <w:t xml:space="preserve">“</w:t>
      </w:r>
      <w:r>
        <w:t xml:space="preserve">Partial (algorithmic ad targeting).</w:t>
      </w:r>
      <w:r>
        <w:t xml:space="preserve">”</w:t>
      </w:r>
      <w:r>
        <w:t xml:space="preserve"> </w:t>
      </w:r>
      <w:r>
        <w:t xml:space="preserve">Algorithmic ad targeting is profiling under GDPR Art. 4(4) and is not disclosed as automated processing in the Privacy Policy. This is distinct from the sale/sharing analysis in Section G.</w:t>
      </w:r>
      <w:r>
        <w:t xml:space="preserve"> </w:t>
      </w:r>
      <w:r>
        <w:rPr>
          <w:i/>
          <w:iCs/>
        </w:rPr>
        <w:t xml:space="preserve">Risk: Medium.</w:t>
      </w:r>
      <w:r>
        <w:t xml:space="preserve"> </w:t>
      </w:r>
      <w:r>
        <w:rPr>
          <w:i/>
          <w:iCs/>
        </w:rPr>
        <w:t xml:space="preserve">Remediation: Disclose algorithmic ad-targeting profiling; provide an objection right (Art. 21) for EU users.</w:t>
      </w:r>
    </w:p>
    <w:bookmarkEnd w:id="28"/>
    <w:bookmarkStart w:id="29" w:name="Xb4daa668db8f14318a4643c89829b298806d18f"/>
    <w:p>
      <w:pPr>
        <w:pStyle w:val="Heading3"/>
      </w:pPr>
      <w:r>
        <w:t xml:space="preserve">F. CCPA/CPRA Consumer Rights and Disclosures</w:t>
      </w:r>
    </w:p>
    <w:p>
      <w:pPr>
        <w:pStyle w:val="FirstParagraph"/>
      </w:pPr>
      <w:r>
        <w:rPr>
          <w:b/>
          <w:bCs/>
        </w:rPr>
        <w:t xml:space="preserve">F.1 — CCPA section discloses only the right to know.</w:t>
      </w:r>
      <w:r>
        <w:t xml:space="preserve"> </w:t>
      </w:r>
      <w:r>
        <w:t xml:space="preserve">The Privacy Policy’s</w:t>
      </w:r>
      <w:r>
        <w:t xml:space="preserve"> </w:t>
      </w:r>
      <w:r>
        <w:t xml:space="preserve">“</w:t>
      </w:r>
      <w:r>
        <w:t xml:space="preserve">Your Rights — California Residents</w:t>
      </w:r>
      <w:r>
        <w:t xml:space="preserve">”</w:t>
      </w:r>
      <w:r>
        <w:t xml:space="preserve"> </w:t>
      </w:r>
      <w:r>
        <w:t xml:space="preserve">section references only the right to request to know. It omits the rights to deletion, correction, opt-out of sale or sharing, limitation of use and disclosure of sensitive personal information, and non-discrimination. The investor email (§5) flags this.</w:t>
      </w:r>
      <w:r>
        <w:t xml:space="preserve"> </w:t>
      </w:r>
      <w:r>
        <w:rPr>
          <w:i/>
          <w:iCs/>
        </w:rPr>
        <w:t xml:space="preserve">Risk: High.</w:t>
      </w:r>
      <w:r>
        <w:t xml:space="preserve"> </w:t>
      </w:r>
      <w:r>
        <w:rPr>
          <w:i/>
          <w:iCs/>
        </w:rPr>
        <w:t xml:space="preserve">Remediation: Disclose the full CPRA rights suite.</w:t>
      </w:r>
    </w:p>
    <w:p>
      <w:pPr>
        <w:pStyle w:val="BodyText"/>
      </w:pPr>
      <w:r>
        <w:rPr>
          <w:b/>
          <w:bCs/>
        </w:rPr>
        <w:t xml:space="preserve">F.2 — No</w:t>
      </w:r>
      <w:r>
        <w:rPr>
          <w:b/>
          <w:bCs/>
        </w:rPr>
        <w:t xml:space="preserve"> </w:t>
      </w:r>
      <w:r>
        <w:rPr>
          <w:b/>
          <w:bCs/>
        </w:rPr>
        <w:t xml:space="preserve">“</w:t>
      </w:r>
      <w:r>
        <w:rPr>
          <w:b/>
          <w:bCs/>
        </w:rPr>
        <w:t xml:space="preserve">Do Not Sell or Share My Personal Information</w:t>
      </w:r>
      <w:r>
        <w:rPr>
          <w:b/>
          <w:bCs/>
        </w:rPr>
        <w:t xml:space="preserve">”</w:t>
      </w:r>
      <w:r>
        <w:rPr>
          <w:b/>
          <w:bCs/>
        </w:rPr>
        <w:t xml:space="preserve"> </w:t>
      </w:r>
      <w:r>
        <w:rPr>
          <w:b/>
          <w:bCs/>
        </w:rPr>
        <w:t xml:space="preserve">link and no</w:t>
      </w:r>
      <w:r>
        <w:rPr>
          <w:b/>
          <w:bCs/>
        </w:rPr>
        <w:t xml:space="preserve"> </w:t>
      </w:r>
      <w:r>
        <w:rPr>
          <w:b/>
          <w:bCs/>
        </w:rPr>
        <w:t xml:space="preserve">“</w:t>
      </w:r>
      <w:r>
        <w:rPr>
          <w:b/>
          <w:bCs/>
        </w:rPr>
        <w:t xml:space="preserve">Limit the Use of My Sensitive Personal Information</w:t>
      </w:r>
      <w:r>
        <w:rPr>
          <w:b/>
          <w:bCs/>
        </w:rPr>
        <w:t xml:space="preserve">”</w:t>
      </w:r>
      <w:r>
        <w:rPr>
          <w:b/>
          <w:bCs/>
        </w:rPr>
        <w:t xml:space="preserve"> </w:t>
      </w:r>
      <w:r>
        <w:rPr>
          <w:b/>
          <w:bCs/>
        </w:rPr>
        <w:t xml:space="preserve">link.</w:t>
      </w:r>
      <w:r>
        <w:t xml:space="preserve"> </w:t>
      </w:r>
      <w:r>
        <w:t xml:space="preserve">The Privacy Policy provides only an email address (privacy@vaultline.com) for requests. The Data Inventory (Third-Party Sharing TS-002) confirms</w:t>
      </w:r>
      <w:r>
        <w:t xml:space="preserve"> </w:t>
      </w:r>
      <w:r>
        <w:t xml:space="preserve">“</w:t>
      </w:r>
      <w:r>
        <w:t xml:space="preserve">No opt-out mechanism provided to users.</w:t>
      </w:r>
      <w:r>
        <w:t xml:space="preserve">”</w:t>
      </w:r>
      <w:r>
        <w:t xml:space="preserve"> </w:t>
      </w:r>
      <w:r>
        <w:t xml:space="preserve">CPRA requires both opt-out links.</w:t>
      </w:r>
      <w:r>
        <w:t xml:space="preserve"> </w:t>
      </w:r>
      <w:r>
        <w:rPr>
          <w:i/>
          <w:iCs/>
        </w:rPr>
        <w:t xml:space="preserve">Risk: High.</w:t>
      </w:r>
      <w:r>
        <w:t xml:space="preserve"> </w:t>
      </w:r>
      <w:r>
        <w:rPr>
          <w:i/>
          <w:iCs/>
        </w:rPr>
        <w:t xml:space="preserve">Remediation: Implement and surface both opt-out links on the website and app.</w:t>
      </w:r>
    </w:p>
    <w:p>
      <w:pPr>
        <w:pStyle w:val="BodyText"/>
      </w:pPr>
      <w:r>
        <w:rPr>
          <w:b/>
          <w:bCs/>
        </w:rPr>
        <w:t xml:space="preserve">F.3 — Sensitive personal information not flagged as sensitive in the policy.</w:t>
      </w:r>
      <w:r>
        <w:t xml:space="preserve"> </w:t>
      </w:r>
      <w:r>
        <w:t xml:space="preserve">The Data Categories tab classifies DC-003 (SSN last four), DC-004 (financial account information), DC-005 (transaction history), DC-010 (precise geolocation), and DC-011 (biometric) as CPRA Sensitive PI, but the Privacy Policy does not identify these as sensitive PI and provides no limit-use mechanism. The inventory notes for DC-003, DC-004, DC-005, and DC-010 each state the policy does not classify them as sensitive.</w:t>
      </w:r>
      <w:r>
        <w:t xml:space="preserve"> </w:t>
      </w:r>
      <w:r>
        <w:rPr>
          <w:i/>
          <w:iCs/>
        </w:rPr>
        <w:t xml:space="preserve">Risk: High.</w:t>
      </w:r>
      <w:r>
        <w:t xml:space="preserve"> </w:t>
      </w:r>
      <w:r>
        <w:rPr>
          <w:i/>
          <w:iCs/>
        </w:rPr>
        <w:t xml:space="preserve">Remediation: Identify sensitive-PI categories; provide the limit-use right.</w:t>
      </w:r>
    </w:p>
    <w:p>
      <w:pPr>
        <w:pStyle w:val="BodyText"/>
      </w:pPr>
      <w:r>
        <w:rPr>
          <w:b/>
          <w:bCs/>
        </w:rPr>
        <w:t xml:space="preserve">F.4 — No CPRA 12-month look-back structured disclosures.</w:t>
      </w:r>
      <w:r>
        <w:t xml:space="preserve"> </w:t>
      </w:r>
      <w:r>
        <w:t xml:space="preserve">The policy does not provide the CPRA-required structured disclosure of categories of PI collected, sources, business/commercial purposes, categories of third parties to whom disclosed, and categories sold/shared in the preceding 12 months.</w:t>
      </w:r>
      <w:r>
        <w:t xml:space="preserve"> </w:t>
      </w:r>
      <w:r>
        <w:rPr>
          <w:i/>
          <w:iCs/>
        </w:rPr>
        <w:t xml:space="preserve">Risk: Medium.</w:t>
      </w:r>
      <w:r>
        <w:t xml:space="preserve"> </w:t>
      </w:r>
      <w:r>
        <w:rPr>
          <w:i/>
          <w:iCs/>
        </w:rPr>
        <w:t xml:space="preserve">Remediation: Add the CPRA structured disclosures.</w:t>
      </w:r>
    </w:p>
    <w:p>
      <w:pPr>
        <w:pStyle w:val="BodyText"/>
      </w:pPr>
      <w:r>
        <w:rPr>
          <w:b/>
          <w:bCs/>
        </w:rPr>
        <w:t xml:space="preserve">F.5 — No appeal process for denied requests;</w:t>
      </w:r>
      <w:r>
        <w:rPr>
          <w:b/>
          <w:bCs/>
        </w:rPr>
        <w:t xml:space="preserve"> </w:t>
      </w:r>
      <w:r>
        <w:rPr>
          <w:b/>
          <w:bCs/>
        </w:rPr>
        <w:t xml:space="preserve">“</w:t>
      </w:r>
      <w:r>
        <w:rPr>
          <w:b/>
          <w:bCs/>
        </w:rPr>
        <w:t xml:space="preserve">sole discretion</w:t>
      </w:r>
      <w:r>
        <w:rPr>
          <w:b/>
          <w:bCs/>
        </w:rPr>
        <w:t xml:space="preserve">”</w:t>
      </w:r>
      <w:r>
        <w:rPr>
          <w:b/>
          <w:bCs/>
        </w:rPr>
        <w:t xml:space="preserve"> </w:t>
      </w:r>
      <w:r>
        <w:rPr>
          <w:b/>
          <w:bCs/>
        </w:rPr>
        <w:t xml:space="preserve">verification language.</w:t>
      </w:r>
      <w:r>
        <w:t xml:space="preserve"> </w:t>
      </w:r>
      <w:r>
        <w:t xml:space="preserve">The Privacy Policy conditions responses on Vaultline’s ability to verify identity</w:t>
      </w:r>
      <w:r>
        <w:t xml:space="preserve"> </w:t>
      </w:r>
      <w:r>
        <w:t xml:space="preserve">“</w:t>
      </w:r>
      <w:r>
        <w:t xml:space="preserve">in its sole discretion.</w:t>
      </w:r>
      <w:r>
        <w:t xml:space="preserve">”</w:t>
      </w:r>
      <w:r>
        <w:t xml:space="preserve"> </w:t>
      </w:r>
      <w:r>
        <w:t xml:space="preserve">CPRA regulations require a process for consumers to appeal a denied request.</w:t>
      </w:r>
      <w:r>
        <w:t xml:space="preserve"> </w:t>
      </w:r>
      <w:r>
        <w:rPr>
          <w:i/>
          <w:iCs/>
        </w:rPr>
        <w:t xml:space="preserve">Risk: Medium.</w:t>
      </w:r>
      <w:r>
        <w:t xml:space="preserve"> </w:t>
      </w:r>
      <w:r>
        <w:rPr>
          <w:i/>
          <w:iCs/>
        </w:rPr>
        <w:t xml:space="preserve">Remediation: Add an appeal process and conform verification language to CPRA regulations.</w:t>
      </w:r>
    </w:p>
    <w:p>
      <w:pPr>
        <w:pStyle w:val="BodyText"/>
      </w:pPr>
      <w:r>
        <w:rPr>
          <w:b/>
          <w:bCs/>
        </w:rPr>
        <w:t xml:space="preserve">F.6 — No CalOPPA Do Not Track disclosure; no DNT signal detection.</w:t>
      </w:r>
      <w:r>
        <w:t xml:space="preserve"> </w:t>
      </w:r>
      <w:r>
        <w:t xml:space="preserve">The Cookie Inventory tab notes</w:t>
      </w:r>
      <w:r>
        <w:t xml:space="preserve"> </w:t>
      </w:r>
      <w:r>
        <w:t xml:space="preserve">“</w:t>
      </w:r>
      <w:r>
        <w:t xml:space="preserve">No Do Not Track signal detection implemented. CalOPPA DNT disclosure not included in privacy policy.</w:t>
      </w:r>
      <w:r>
        <w:t xml:space="preserve">”</w:t>
      </w:r>
      <w:r>
        <w:t xml:space="preserve"> </w:t>
      </w:r>
      <w:r>
        <w:rPr>
          <w:i/>
          <w:iCs/>
        </w:rPr>
        <w:t xml:space="preserve">Risk: Medium.</w:t>
      </w:r>
      <w:r>
        <w:t xml:space="preserve"> </w:t>
      </w:r>
      <w:r>
        <w:rPr>
          <w:i/>
          <w:iCs/>
        </w:rPr>
        <w:t xml:space="preserve">Remediation: Add a CalOPPA DNT disclosure and implement DNT signal handling.</w:t>
      </w:r>
    </w:p>
    <w:p>
      <w:pPr>
        <w:pStyle w:val="BodyText"/>
      </w:pPr>
      <w:r>
        <w:rPr>
          <w:b/>
          <w:bCs/>
        </w:rPr>
        <w:t xml:space="preserve">F.7 — Income data (DC-006) only partially disclosed.</w:t>
      </w:r>
      <w:r>
        <w:t xml:space="preserve"> </w:t>
      </w:r>
      <w:r>
        <w:t xml:space="preserve">The Data Categories tab marks DC-006 (income data — salary, income sources, pay frequency) as</w:t>
      </w:r>
      <w:r>
        <w:t xml:space="preserve"> </w:t>
      </w:r>
      <w:r>
        <w:t xml:space="preserve">“</w:t>
      </w:r>
      <w:r>
        <w:t xml:space="preserve">Partial</w:t>
      </w:r>
      <w:r>
        <w:t xml:space="preserve">”</w:t>
      </w:r>
      <w:r>
        <w:t xml:space="preserve"> </w:t>
      </w:r>
      <w:r>
        <w:t xml:space="preserve">disclosure in the Privacy Policy. Income data is used for the Smart Insights feature and shared with Brightly (as income bracket) and the 14 partners (as income bracket). The partial disclosure understates the collection and downstream sharing.</w:t>
      </w:r>
      <w:r>
        <w:t xml:space="preserve"> </w:t>
      </w:r>
      <w:r>
        <w:rPr>
          <w:i/>
          <w:iCs/>
        </w:rPr>
        <w:t xml:space="preserve">Risk: Medium.</w:t>
      </w:r>
      <w:r>
        <w:t xml:space="preserve"> </w:t>
      </w:r>
      <w:r>
        <w:rPr>
          <w:i/>
          <w:iCs/>
        </w:rPr>
        <w:t xml:space="preserve">Remediation: Disclose income-data collection, derivation, and sharing in full.</w:t>
      </w:r>
    </w:p>
    <w:p>
      <w:pPr>
        <w:pStyle w:val="BodyText"/>
      </w:pPr>
      <w:r>
        <w:rPr>
          <w:b/>
          <w:bCs/>
        </w:rPr>
        <w:t xml:space="preserve">F.8 — Sensitive financial data disclosed only as a</w:t>
      </w:r>
      <w:r>
        <w:rPr>
          <w:b/>
          <w:bCs/>
        </w:rPr>
        <w:t xml:space="preserve"> </w:t>
      </w:r>
      <w:r>
        <w:rPr>
          <w:b/>
          <w:bCs/>
        </w:rPr>
        <w:t xml:space="preserve">“</w:t>
      </w:r>
      <w:r>
        <w:rPr>
          <w:b/>
          <w:bCs/>
        </w:rPr>
        <w:t xml:space="preserve">general reference,</w:t>
      </w:r>
      <w:r>
        <w:rPr>
          <w:b/>
          <w:bCs/>
        </w:rPr>
        <w:t xml:space="preserve">”</w:t>
      </w:r>
      <w:r>
        <w:rPr>
          <w:b/>
          <w:bCs/>
        </w:rPr>
        <w:t xml:space="preserve"> </w:t>
      </w:r>
      <w:r>
        <w:rPr>
          <w:b/>
          <w:bCs/>
        </w:rPr>
        <w:t xml:space="preserve">not the specific elements.</w:t>
      </w:r>
      <w:r>
        <w:t xml:space="preserve"> </w:t>
      </w:r>
      <w:r>
        <w:t xml:space="preserve">The Data Categories tab marks DC-004 (financial account information — bank account numbers, credit/debit card numbers, investment account holdings) and DC-005 (transaction history) as</w:t>
      </w:r>
      <w:r>
        <w:t xml:space="preserve"> </w:t>
      </w:r>
      <w:r>
        <w:t xml:space="preserve">“</w:t>
      </w:r>
      <w:r>
        <w:t xml:space="preserve">Yes — general reference only.</w:t>
      </w:r>
      <w:r>
        <w:t xml:space="preserve">”</w:t>
      </w:r>
      <w:r>
        <w:t xml:space="preserve"> </w:t>
      </w:r>
      <w:r>
        <w:t xml:space="preserve">The Privacy Policy refers to financial data in general terms but does not disclose the specific sensitive elements collected (e.g., bank account numbers, card numbers, investment holdings). This is a specificity gap distinct from the sensitive-PI classification gap in F.3.</w:t>
      </w:r>
      <w:r>
        <w:t xml:space="preserve"> </w:t>
      </w:r>
      <w:r>
        <w:rPr>
          <w:i/>
          <w:iCs/>
        </w:rPr>
        <w:t xml:space="preserve">Risk: Medium.</w:t>
      </w:r>
      <w:r>
        <w:t xml:space="preserve"> </w:t>
      </w:r>
      <w:r>
        <w:rPr>
          <w:i/>
          <w:iCs/>
        </w:rPr>
        <w:t xml:space="preserve">Remediation: Disclose the specific financial data elements collected, not merely a general reference.</w:t>
      </w:r>
    </w:p>
    <w:bookmarkEnd w:id="29"/>
    <w:bookmarkStart w:id="30" w:name="X0e47985073150333ddfb032d7ae61857472e625"/>
    <w:p>
      <w:pPr>
        <w:pStyle w:val="Heading3"/>
      </w:pPr>
      <w:r>
        <w:t xml:space="preserve">G. Brightly Analytics —</w:t>
      </w:r>
      <w:r>
        <w:t xml:space="preserve"> </w:t>
      </w:r>
      <w:r>
        <w:t xml:space="preserve">“</w:t>
      </w:r>
      <w:r>
        <w:t xml:space="preserve">Sale</w:t>
      </w:r>
      <w:r>
        <w:t xml:space="preserve">”</w:t>
      </w:r>
      <w:r>
        <w:t xml:space="preserve">/</w:t>
      </w:r>
      <w:r>
        <w:t xml:space="preserve">“</w:t>
      </w:r>
      <w:r>
        <w:t xml:space="preserve">Sharing</w:t>
      </w:r>
      <w:r>
        <w:t xml:space="preserve">”</w:t>
      </w:r>
      <w:r>
        <w:t xml:space="preserve"> </w:t>
      </w:r>
      <w:r>
        <w:t xml:space="preserve">and Contractual Gaps</w:t>
      </w:r>
    </w:p>
    <w:p>
      <w:pPr>
        <w:pStyle w:val="FirstParagraph"/>
      </w:pPr>
      <w:r>
        <w:rPr>
          <w:b/>
          <w:bCs/>
        </w:rPr>
        <w:t xml:space="preserve">G.1 — Brightly revenue share likely constitutes a</w:t>
      </w:r>
      <w:r>
        <w:rPr>
          <w:b/>
          <w:bCs/>
        </w:rPr>
        <w:t xml:space="preserve"> </w:t>
      </w:r>
      <w:r>
        <w:rPr>
          <w:b/>
          <w:bCs/>
        </w:rPr>
        <w:t xml:space="preserve">“</w:t>
      </w:r>
      <w:r>
        <w:rPr>
          <w:b/>
          <w:bCs/>
        </w:rPr>
        <w:t xml:space="preserve">sale</w:t>
      </w:r>
      <w:r>
        <w:rPr>
          <w:b/>
          <w:bCs/>
        </w:rPr>
        <w:t xml:space="preserve">”</w:t>
      </w:r>
      <w:r>
        <w:rPr>
          <w:b/>
          <w:bCs/>
        </w:rPr>
        <w:t xml:space="preserve"> </w:t>
      </w:r>
      <w:r>
        <w:rPr>
          <w:b/>
          <w:bCs/>
        </w:rPr>
        <w:t xml:space="preserve">under CPRA.</w:t>
      </w:r>
      <w:r>
        <w:t xml:space="preserve"> </w:t>
      </w:r>
      <w:r>
        <w:t xml:space="preserve">The Data Sharing Agreement (§5.1, as amended) provides Brightly pays Vaultline $0.87 per MAU per month; the Data Inventory (TS-002; PA-004) calculates ~$2,641,320 annually for ~253,000 MAUs. The inventory states this</w:t>
      </w:r>
      <w:r>
        <w:t xml:space="preserve"> </w:t>
      </w:r>
      <w:r>
        <w:t xml:space="preserve">“</w:t>
      </w:r>
      <w:r>
        <w:t xml:space="preserve">constitutes monetary consideration — likely</w:t>
      </w:r>
      <w:r>
        <w:t xml:space="preserve"> </w:t>
      </w:r>
      <w:r>
        <w:t xml:space="preserve">‘</w:t>
      </w:r>
      <w:r>
        <w:t xml:space="preserve">sale</w:t>
      </w:r>
      <w:r>
        <w:t xml:space="preserve">’</w:t>
      </w:r>
      <w:r>
        <w:t xml:space="preserve"> </w:t>
      </w:r>
      <w:r>
        <w:t xml:space="preserve">under CPRA.</w:t>
      </w:r>
      <w:r>
        <w:t xml:space="preserve">”</w:t>
      </w:r>
      <w:r>
        <w:t xml:space="preserve"> </w:t>
      </w:r>
      <w:r>
        <w:t xml:space="preserve">The Privacy Policy does not disclose any sale.</w:t>
      </w:r>
      <w:r>
        <w:t xml:space="preserve"> </w:t>
      </w:r>
      <w:r>
        <w:rPr>
          <w:i/>
          <w:iCs/>
        </w:rPr>
        <w:t xml:space="preserve">Risk: Critical.</w:t>
      </w:r>
      <w:r>
        <w:t xml:space="preserve"> </w:t>
      </w:r>
      <w:r>
        <w:rPr>
          <w:i/>
          <w:iCs/>
        </w:rPr>
        <w:t xml:space="preserve">Remediation: Treat the Brightly arrangement as a sale; disclose it; provide the opt-out (see F.2).</w:t>
      </w:r>
    </w:p>
    <w:p>
      <w:pPr>
        <w:pStyle w:val="BodyText"/>
      </w:pPr>
      <w:r>
        <w:rPr>
          <w:b/>
          <w:bCs/>
        </w:rPr>
        <w:t xml:space="preserve">G.2 — Brightly cross-app behavioral advertising likely constitutes</w:t>
      </w:r>
      <w:r>
        <w:rPr>
          <w:b/>
          <w:bCs/>
        </w:rPr>
        <w:t xml:space="preserve"> </w:t>
      </w:r>
      <w:r>
        <w:rPr>
          <w:b/>
          <w:bCs/>
        </w:rPr>
        <w:t xml:space="preserve">“</w:t>
      </w:r>
      <w:r>
        <w:rPr>
          <w:b/>
          <w:bCs/>
        </w:rPr>
        <w:t xml:space="preserve">sharing</w:t>
      </w:r>
      <w:r>
        <w:rPr>
          <w:b/>
          <w:bCs/>
        </w:rPr>
        <w:t xml:space="preserve">”</w:t>
      </w:r>
      <w:r>
        <w:rPr>
          <w:b/>
          <w:bCs/>
        </w:rPr>
        <w:t xml:space="preserve"> </w:t>
      </w:r>
      <w:r>
        <w:rPr>
          <w:b/>
          <w:bCs/>
        </w:rPr>
        <w:t xml:space="preserve">under CPRA.</w:t>
      </w:r>
      <w:r>
        <w:t xml:space="preserve"> </w:t>
      </w:r>
      <w:r>
        <w:t xml:space="preserve">The DSA (§3.1(a)) authorizes cross-application behavioral advertising to Company Users across Brightly’s network; the inventory (TS-002) states this is</w:t>
      </w:r>
      <w:r>
        <w:t xml:space="preserve"> </w:t>
      </w:r>
      <w:r>
        <w:t xml:space="preserve">“</w:t>
      </w:r>
      <w:r>
        <w:t xml:space="preserve">likely</w:t>
      </w:r>
      <w:r>
        <w:t xml:space="preserve"> </w:t>
      </w:r>
      <w:r>
        <w:t xml:space="preserve">‘</w:t>
      </w:r>
      <w:r>
        <w:t xml:space="preserve">sharing</w:t>
      </w:r>
      <w:r>
        <w:t xml:space="preserve">’</w:t>
      </w:r>
      <w:r>
        <w:t xml:space="preserve"> </w:t>
      </w:r>
      <w:r>
        <w:t xml:space="preserve">under CPRA.</w:t>
      </w:r>
      <w:r>
        <w:t xml:space="preserve">”</w:t>
      </w:r>
      <w:r>
        <w:t xml:space="preserve"> </w:t>
      </w:r>
      <w:r>
        <w:t xml:space="preserve">Not disclosed; no opt-out.</w:t>
      </w:r>
      <w:r>
        <w:t xml:space="preserve"> </w:t>
      </w:r>
      <w:r>
        <w:rPr>
          <w:i/>
          <w:iCs/>
        </w:rPr>
        <w:t xml:space="preserve">Risk: Critical.</w:t>
      </w:r>
      <w:r>
        <w:t xml:space="preserve"> </w:t>
      </w:r>
      <w:r>
        <w:rPr>
          <w:i/>
          <w:iCs/>
        </w:rPr>
        <w:t xml:space="preserve">Remediation: Treat as sharing; disclose; provide opt-out.</w:t>
      </w:r>
    </w:p>
    <w:p>
      <w:pPr>
        <w:pStyle w:val="BodyText"/>
      </w:pPr>
      <w:r>
        <w:rPr>
          <w:b/>
          <w:bCs/>
        </w:rPr>
        <w:t xml:space="preserve">G.3 — No CCPA-specific provisions and no Data Processing Addendum with Brightly.</w:t>
      </w:r>
      <w:r>
        <w:t xml:space="preserve"> </w:t>
      </w:r>
      <w:r>
        <w:t xml:space="preserve">The DSA §14.3 expressly states</w:t>
      </w:r>
      <w:r>
        <w:t xml:space="preserve"> </w:t>
      </w:r>
      <w:r>
        <w:t xml:space="preserve">“</w:t>
      </w:r>
      <w:r>
        <w:t xml:space="preserve">There are no data processing addenda, supplemental privacy agreements, or other side agreements.</w:t>
      </w:r>
      <w:r>
        <w:t xml:space="preserve">”</w:t>
      </w:r>
      <w:r>
        <w:t xml:space="preserve"> </w:t>
      </w:r>
      <w:r>
        <w:t xml:space="preserve">The inventory (TS-002) confirms</w:t>
      </w:r>
      <w:r>
        <w:t xml:space="preserve"> </w:t>
      </w:r>
      <w:r>
        <w:t xml:space="preserve">“</w:t>
      </w:r>
      <w:r>
        <w:t xml:space="preserve">No CCPA-specific provisions in agreement. No data processing addendum.</w:t>
      </w:r>
      <w:r>
        <w:t xml:space="preserve">”</w:t>
      </w:r>
      <w:r>
        <w:t xml:space="preserve"> </w:t>
      </w:r>
      <w:r>
        <w:rPr>
          <w:i/>
          <w:iCs/>
        </w:rPr>
        <w:t xml:space="preserve">Risk: High.</w:t>
      </w:r>
      <w:r>
        <w:t xml:space="preserve"> </w:t>
      </w:r>
      <w:r>
        <w:rPr>
          <w:i/>
          <w:iCs/>
        </w:rPr>
        <w:t xml:space="preserve">Remediation: Negotiate CCPA service-provider/contractor terms or restructure the relationship; add a DPA where processor terms apply.</w:t>
      </w:r>
    </w:p>
    <w:p>
      <w:pPr>
        <w:pStyle w:val="BodyText"/>
      </w:pPr>
      <w:r>
        <w:rPr>
          <w:b/>
          <w:bCs/>
        </w:rPr>
        <w:t xml:space="preserve">G.4 — Brightly classified as an independent controller, not a service provider.</w:t>
      </w:r>
      <w:r>
        <w:t xml:space="preserve"> </w:t>
      </w:r>
      <w:r>
        <w:t xml:space="preserve">DSA §4.1 and §4.2 designate Brightly an</w:t>
      </w:r>
      <w:r>
        <w:t xml:space="preserve"> </w:t>
      </w:r>
      <w:r>
        <w:t xml:space="preserve">“</w:t>
      </w:r>
      <w:r>
        <w:t xml:space="preserve">independent data controller</w:t>
      </w:r>
      <w:r>
        <w:t xml:space="preserve">”</w:t>
      </w:r>
      <w:r>
        <w:t xml:space="preserve"> </w:t>
      </w:r>
      <w:r>
        <w:t xml:space="preserve">that is</w:t>
      </w:r>
      <w:r>
        <w:t xml:space="preserve"> </w:t>
      </w:r>
      <w:r>
        <w:t xml:space="preserve">“</w:t>
      </w:r>
      <w:r>
        <w:t xml:space="preserve">not a</w:t>
      </w:r>
      <w:r>
        <w:t xml:space="preserve"> </w:t>
      </w:r>
      <w:r>
        <w:t xml:space="preserve">‘</w:t>
      </w:r>
      <w:r>
        <w:t xml:space="preserve">service provider</w:t>
      </w:r>
      <w:r>
        <w:t xml:space="preserve">’</w:t>
      </w:r>
      <w:r>
        <w:t xml:space="preserve"> </w:t>
      </w:r>
      <w:r>
        <w:t xml:space="preserve">or</w:t>
      </w:r>
      <w:r>
        <w:t xml:space="preserve"> </w:t>
      </w:r>
      <w:r>
        <w:t xml:space="preserve">‘</w:t>
      </w:r>
      <w:r>
        <w:t xml:space="preserve">contractor.</w:t>
      </w:r>
      <w:r>
        <w:t xml:space="preserve">’</w:t>
      </w:r>
      <w:r>
        <w:t xml:space="preserve">”</w:t>
      </w:r>
      <w:r>
        <w:t xml:space="preserve"> </w:t>
      </w:r>
      <w:r>
        <w:t xml:space="preserve">Because Brightly is not a service provider/contractor, Vaultline cannot rely on the service-provider exception to the CPRA sale/sharing definitions, reinforcing G.1–G.2.</w:t>
      </w:r>
      <w:r>
        <w:t xml:space="preserve"> </w:t>
      </w:r>
      <w:r>
        <w:rPr>
          <w:i/>
          <w:iCs/>
        </w:rPr>
        <w:t xml:space="preserve">Risk: High.</w:t>
      </w:r>
      <w:r>
        <w:t xml:space="preserve"> </w:t>
      </w:r>
      <w:r>
        <w:rPr>
          <w:i/>
          <w:iCs/>
        </w:rPr>
        <w:t xml:space="preserve">Remediation: Reassess the controller/service-provider characterization; if Brightly acts for its own purposes, the sale/sharing analysis stands.</w:t>
      </w:r>
    </w:p>
    <w:p>
      <w:pPr>
        <w:pStyle w:val="BodyText"/>
      </w:pPr>
      <w:r>
        <w:rPr>
          <w:b/>
          <w:bCs/>
        </w:rPr>
        <w:t xml:space="preserve">G.5 — No opt-out mechanism for the Brightly sale/sharing.</w:t>
      </w:r>
      <w:r>
        <w:t xml:space="preserve"> </w:t>
      </w:r>
      <w:r>
        <w:t xml:space="preserve">TS-002 confirms</w:t>
      </w:r>
      <w:r>
        <w:t xml:space="preserve"> </w:t>
      </w:r>
      <w:r>
        <w:t xml:space="preserve">“</w:t>
      </w:r>
      <w:r>
        <w:t xml:space="preserve">NO — No opt-out mechanism provided to users.</w:t>
      </w:r>
      <w:r>
        <w:t xml:space="preserve">”</w:t>
      </w:r>
      <w:r>
        <w:t xml:space="preserve"> </w:t>
      </w:r>
      <w:r>
        <w:rPr>
          <w:i/>
          <w:iCs/>
        </w:rPr>
        <w:t xml:space="preserve">Risk: Critical.</w:t>
      </w:r>
      <w:r>
        <w:t xml:space="preserve"> </w:t>
      </w:r>
      <w:r>
        <w:rPr>
          <w:i/>
          <w:iCs/>
        </w:rPr>
        <w:t xml:space="preserve">Remediation: Implement the CPRA opt-out for the Brightly data flows.</w:t>
      </w:r>
    </w:p>
    <w:p>
      <w:pPr>
        <w:pStyle w:val="BodyText"/>
      </w:pPr>
      <w:r>
        <w:rPr>
          <w:b/>
          <w:bCs/>
        </w:rPr>
        <w:t xml:space="preserve">G.6 — No internal CCPA sale/sharing analysis performed for Brightly.</w:t>
      </w:r>
      <w:r>
        <w:t xml:space="preserve"> </w:t>
      </w:r>
      <w:r>
        <w:t xml:space="preserve">TS-002 states</w:t>
      </w:r>
      <w:r>
        <w:t xml:space="preserve"> </w:t>
      </w:r>
      <w:r>
        <w:t xml:space="preserve">“</w:t>
      </w:r>
      <w:r>
        <w:t xml:space="preserve">NOT CLASSIFIED — No internal CCPA sale/sharing analysis performed.</w:t>
      </w:r>
      <w:r>
        <w:t xml:space="preserve">”</w:t>
      </w:r>
      <w:r>
        <w:t xml:space="preserve"> </w:t>
      </w:r>
      <w:r>
        <w:rPr>
          <w:i/>
          <w:iCs/>
        </w:rPr>
        <w:t xml:space="preserve">Risk: Medium.</w:t>
      </w:r>
      <w:r>
        <w:t xml:space="preserve"> </w:t>
      </w:r>
      <w:r>
        <w:rPr>
          <w:i/>
          <w:iCs/>
        </w:rPr>
        <w:t xml:space="preserve">Remediation: Complete and document the sale/sharing analysis.</w:t>
      </w:r>
    </w:p>
    <w:p>
      <w:pPr>
        <w:pStyle w:val="BodyText"/>
      </w:pPr>
      <w:r>
        <w:rPr>
          <w:b/>
          <w:bCs/>
        </w:rPr>
        <w:t xml:space="preserve">G.7 — Brightly combines Vaultline data with other sources and sells audience segments to third-party advertisers.</w:t>
      </w:r>
      <w:r>
        <w:t xml:space="preserve"> </w:t>
      </w:r>
      <w:r>
        <w:t xml:space="preserve">DSA §3.1(c) and §3.2 authorize Brightly to create, license, and sell Audience Segments (including those derived from Shared Data/SDK Data) to Third-Party Advertisers and to combine Vaultline data with data from other sources. This is not disclosed in the Privacy Policy and reinforces the sale/sharing characterization.</w:t>
      </w:r>
      <w:r>
        <w:t xml:space="preserve"> </w:t>
      </w:r>
      <w:r>
        <w:rPr>
          <w:i/>
          <w:iCs/>
        </w:rPr>
        <w:t xml:space="preserve">Risk: High.</w:t>
      </w:r>
      <w:r>
        <w:t xml:space="preserve"> </w:t>
      </w:r>
      <w:r>
        <w:rPr>
          <w:i/>
          <w:iCs/>
        </w:rPr>
        <w:t xml:space="preserve">Remediation: Disclose Brightly’s onward sale/combination practices; assess whether Vaultline can lawfully enable them.</w:t>
      </w:r>
    </w:p>
    <w:p>
      <w:pPr>
        <w:pStyle w:val="BodyText"/>
      </w:pPr>
      <w:r>
        <w:rPr>
          <w:b/>
          <w:bCs/>
        </w:rPr>
        <w:t xml:space="preserve">G.8 — Brightly is not named in the Privacy Policy.</w:t>
      </w:r>
      <w:r>
        <w:t xml:space="preserve"> </w:t>
      </w:r>
      <w:r>
        <w:t xml:space="preserve">The Privacy Policy names FinLink Data Services, LLC and CloudFort Systems, Inc. specifically, and references</w:t>
      </w:r>
      <w:r>
        <w:t xml:space="preserve"> </w:t>
      </w:r>
      <w:r>
        <w:t xml:space="preserve">“</w:t>
      </w:r>
      <w:r>
        <w:t xml:space="preserve">approximately fourteen partner financial product providers</w:t>
      </w:r>
      <w:r>
        <w:t xml:space="preserve">”</w:t>
      </w:r>
      <w:r>
        <w:t xml:space="preserve"> </w:t>
      </w:r>
      <w:r>
        <w:t xml:space="preserve">by count, but refers to Brightly only generically as</w:t>
      </w:r>
      <w:r>
        <w:t xml:space="preserve"> </w:t>
      </w:r>
      <w:r>
        <w:t xml:space="preserve">“</w:t>
      </w:r>
      <w:r>
        <w:t xml:space="preserve">analytics and advertising partners.</w:t>
      </w:r>
      <w:r>
        <w:t xml:space="preserve">”</w:t>
      </w:r>
      <w:r>
        <w:t xml:space="preserve"> </w:t>
      </w:r>
      <w:r>
        <w:rPr>
          <w:i/>
          <w:iCs/>
        </w:rPr>
        <w:t xml:space="preserve">Risk: Medium.</w:t>
      </w:r>
      <w:r>
        <w:t xml:space="preserve"> </w:t>
      </w:r>
      <w:r>
        <w:rPr>
          <w:i/>
          <w:iCs/>
        </w:rPr>
        <w:t xml:space="preserve">Remediation: Name Brightly (or, at minimum, clearly describe the recipient and the data/consideration involved).</w:t>
      </w:r>
    </w:p>
    <w:p>
      <w:pPr>
        <w:pStyle w:val="BodyText"/>
      </w:pPr>
      <w:r>
        <w:rPr>
          <w:b/>
          <w:bCs/>
        </w:rPr>
        <w:t xml:space="preserve">G.9 — Hashed emails and demographic/financial profile summaries shared with Brightly are not specifically disclosed.</w:t>
      </w:r>
      <w:r>
        <w:t xml:space="preserve"> </w:t>
      </w:r>
      <w:r>
        <w:t xml:space="preserve">The Data Categories tab states DC-014 (hashed email addresses) and DC-015 (demographic/financial profile summaries) are</w:t>
      </w:r>
      <w:r>
        <w:t xml:space="preserve"> </w:t>
      </w:r>
      <w:r>
        <w:t xml:space="preserve">“</w:t>
      </w:r>
      <w:r>
        <w:t xml:space="preserve">No — not specifically disclosed as shared</w:t>
      </w:r>
      <w:r>
        <w:t xml:space="preserve">”</w:t>
      </w:r>
      <w:r>
        <w:t xml:space="preserve"> </w:t>
      </w:r>
      <w:r>
        <w:t xml:space="preserve">in the Privacy Policy, though DSA §2.1 confirms they are transmitted to Brightly.</w:t>
      </w:r>
      <w:r>
        <w:t xml:space="preserve"> </w:t>
      </w:r>
      <w:r>
        <w:rPr>
          <w:i/>
          <w:iCs/>
        </w:rPr>
        <w:t xml:space="preserve">Risk: Medium.</w:t>
      </w:r>
      <w:r>
        <w:t xml:space="preserve"> </w:t>
      </w:r>
      <w:r>
        <w:rPr>
          <w:i/>
          <w:iCs/>
        </w:rPr>
        <w:t xml:space="preserve">Remediation: Disclose these specific shared categories.</w:t>
      </w:r>
    </w:p>
    <w:p>
      <w:pPr>
        <w:pStyle w:val="BodyText"/>
      </w:pPr>
      <w:r>
        <w:rPr>
          <w:b/>
          <w:bCs/>
        </w:rPr>
        <w:t xml:space="preserve">G.10 — June 15, 2024 amendment expanded Brightly’s permitted uses; not reflected in the policy.</w:t>
      </w:r>
      <w:r>
        <w:t xml:space="preserve"> </w:t>
      </w:r>
      <w:r>
        <w:t xml:space="preserve">The First Amendment added</w:t>
      </w:r>
      <w:r>
        <w:t xml:space="preserve"> </w:t>
      </w:r>
      <w:r>
        <w:t xml:space="preserve">“</w:t>
      </w:r>
      <w:r>
        <w:t xml:space="preserve">Aggregate reporting</w:t>
      </w:r>
      <w:r>
        <w:t xml:space="preserve">”</w:t>
      </w:r>
      <w:r>
        <w:t xml:space="preserve"> </w:t>
      </w:r>
      <w:r>
        <w:t xml:space="preserve">(generating and distributing Aggregate Data reports to Third-Party Advertisers) as a permitted use (DSA §3.1(f)) and increased the revenue rate. The Privacy Policy (dated January 15, 2023) predates and does not reflect this expansion.</w:t>
      </w:r>
      <w:r>
        <w:t xml:space="preserve"> </w:t>
      </w:r>
      <w:r>
        <w:rPr>
          <w:i/>
          <w:iCs/>
        </w:rPr>
        <w:t xml:space="preserve">Risk: Medium.</w:t>
      </w:r>
      <w:r>
        <w:t xml:space="preserve"> </w:t>
      </w:r>
      <w:r>
        <w:rPr>
          <w:i/>
          <w:iCs/>
        </w:rPr>
        <w:t xml:space="preserve">Remediation: Update the policy to reflect the amended permitted uses.</w:t>
      </w:r>
    </w:p>
    <w:p>
      <w:pPr>
        <w:pStyle w:val="BodyText"/>
      </w:pPr>
      <w:r>
        <w:rPr>
          <w:b/>
          <w:bCs/>
        </w:rPr>
        <w:t xml:space="preserve">G.11 — Brightly retains and sells derived audience segments in perpetuity after termination.</w:t>
      </w:r>
      <w:r>
        <w:t xml:space="preserve"> </w:t>
      </w:r>
      <w:r>
        <w:t xml:space="preserve">DSA §10.5(c) provides that upon termination Brightly</w:t>
      </w:r>
      <w:r>
        <w:t xml:space="preserve"> </w:t>
      </w:r>
      <w:r>
        <w:t xml:space="preserve">“</w:t>
      </w:r>
      <w:r>
        <w:t xml:space="preserve">may continue to use, license, sell, and otherwise exploit Audience Segments created prior to the effective date of termination … without restriction and in perpetuity.</w:t>
      </w:r>
      <w:r>
        <w:t xml:space="preserve">”</w:t>
      </w:r>
      <w:r>
        <w:t xml:space="preserve"> </w:t>
      </w:r>
      <w:r>
        <w:t xml:space="preserve">This undermines users’ deletion/erasure rights (GDPR Art. 17; CCPA deletion) and is not disclosed.</w:t>
      </w:r>
      <w:r>
        <w:t xml:space="preserve"> </w:t>
      </w:r>
      <w:r>
        <w:rPr>
          <w:i/>
          <w:iCs/>
        </w:rPr>
        <w:t xml:space="preserve">Risk: High.</w:t>
      </w:r>
      <w:r>
        <w:t xml:space="preserve"> </w:t>
      </w:r>
      <w:r>
        <w:rPr>
          <w:i/>
          <w:iCs/>
        </w:rPr>
        <w:t xml:space="preserve">Remediation: Renegotiate the perpetual-retention clause; disclose the limitation on deletion effectiveness.</w:t>
      </w:r>
    </w:p>
    <w:p>
      <w:pPr>
        <w:pStyle w:val="BodyText"/>
      </w:pPr>
      <w:r>
        <w:rPr>
          <w:b/>
          <w:bCs/>
        </w:rPr>
        <w:t xml:space="preserve">G.12 — Brightly owns all derivative works created from user data.</w:t>
      </w:r>
      <w:r>
        <w:t xml:space="preserve"> </w:t>
      </w:r>
      <w:r>
        <w:t xml:space="preserve">DSA §4.3 grants Brightly all right, title, and interest in Audience Segments, models, and derivative works created from Shared Data/SDK Data. Users cannot exercise data-subject rights over these derived assets.</w:t>
      </w:r>
      <w:r>
        <w:t xml:space="preserve"> </w:t>
      </w:r>
      <w:r>
        <w:rPr>
          <w:i/>
          <w:iCs/>
        </w:rPr>
        <w:t xml:space="preserve">Risk: Medium.</w:t>
      </w:r>
      <w:r>
        <w:t xml:space="preserve"> </w:t>
      </w:r>
      <w:r>
        <w:rPr>
          <w:i/>
          <w:iCs/>
        </w:rPr>
        <w:t xml:space="preserve">Remediation: Assess the erasure/portability implications; disclose.</w:t>
      </w:r>
    </w:p>
    <w:p>
      <w:pPr>
        <w:pStyle w:val="BodyText"/>
      </w:pPr>
      <w:r>
        <w:rPr>
          <w:b/>
          <w:bCs/>
        </w:rPr>
        <w:t xml:space="preserve">G.13 — Vaultline’s DSA consent representation is likely breached.</w:t>
      </w:r>
      <w:r>
        <w:t xml:space="preserve"> </w:t>
      </w:r>
      <w:r>
        <w:t xml:space="preserve">DSA §7.1(c) represents that Vaultline</w:t>
      </w:r>
      <w:r>
        <w:t xml:space="preserve"> </w:t>
      </w:r>
      <w:r>
        <w:t xml:space="preserve">“</w:t>
      </w:r>
      <w:r>
        <w:t xml:space="preserve">has obtained all necessary consents, authorizations, and approvals from Company Users required for the sharing of Shared Data.</w:t>
      </w:r>
      <w:r>
        <w:t xml:space="preserve">”</w:t>
      </w:r>
      <w:r>
        <w:t xml:space="preserve"> </w:t>
      </w:r>
      <w:r>
        <w:t xml:space="preserve">Given browsewrap-only consent, no CPRA sale/sharing disclosure, and no opt-out (see D.7, F.2, G.5), this representation may be inaccurate.</w:t>
      </w:r>
      <w:r>
        <w:t xml:space="preserve"> </w:t>
      </w:r>
      <w:r>
        <w:rPr>
          <w:i/>
          <w:iCs/>
        </w:rPr>
        <w:t xml:space="preserve">Risk: High.</w:t>
      </w:r>
      <w:r>
        <w:t xml:space="preserve"> </w:t>
      </w:r>
      <w:r>
        <w:rPr>
          <w:i/>
          <w:iCs/>
        </w:rPr>
        <w:t xml:space="preserve">Remediation: Cure the consent failures or notify Brightly of the potential breach.</w:t>
      </w:r>
    </w:p>
    <w:p>
      <w:pPr>
        <w:pStyle w:val="BodyText"/>
      </w:pPr>
      <w:r>
        <w:rPr>
          <w:b/>
          <w:bCs/>
        </w:rPr>
        <w:t xml:space="preserve">G.14 — Broad indemnity exposure to Brightly.</w:t>
      </w:r>
      <w:r>
        <w:t xml:space="preserve"> </w:t>
      </w:r>
      <w:r>
        <w:t xml:space="preserve">DSA §11.1 obligates Vaultline to indemnify Brightly for claims arising from Vaultline’s failure to obtain required consents or any privacy-law violation. The consent and disclosure failures identified here create material indemnity exposure.</w:t>
      </w:r>
      <w:r>
        <w:t xml:space="preserve"> </w:t>
      </w:r>
      <w:r>
        <w:rPr>
          <w:i/>
          <w:iCs/>
        </w:rPr>
        <w:t xml:space="preserve">Risk: High.</w:t>
      </w:r>
      <w:r>
        <w:t xml:space="preserve"> </w:t>
      </w:r>
      <w:r>
        <w:rPr>
          <w:i/>
          <w:iCs/>
        </w:rPr>
        <w:t xml:space="preserve">Remediation: Quantify indemnity exposure; remediate to reduce it; consider notice to Brightly.</w:t>
      </w:r>
    </w:p>
    <w:p>
      <w:pPr>
        <w:pStyle w:val="BodyText"/>
      </w:pPr>
      <w:r>
        <w:rPr>
          <w:b/>
          <w:bCs/>
        </w:rPr>
        <w:t xml:space="preserve">G.15 — DSA §6.4</w:t>
      </w:r>
      <w:r>
        <w:rPr>
          <w:b/>
          <w:bCs/>
        </w:rPr>
        <w:t xml:space="preserve"> </w:t>
      </w:r>
      <w:r>
        <w:rPr>
          <w:b/>
          <w:bCs/>
        </w:rPr>
        <w:t xml:space="preserve">“</w:t>
      </w:r>
      <w:r>
        <w:rPr>
          <w:b/>
          <w:bCs/>
        </w:rPr>
        <w:t xml:space="preserve">No Interference</w:t>
      </w:r>
      <w:r>
        <w:rPr>
          <w:b/>
          <w:bCs/>
        </w:rPr>
        <w:t xml:space="preserve">”</w:t>
      </w:r>
      <w:r>
        <w:rPr>
          <w:b/>
          <w:bCs/>
        </w:rPr>
        <w:t xml:space="preserve"> </w:t>
      </w:r>
      <w:r>
        <w:rPr>
          <w:b/>
          <w:bCs/>
        </w:rPr>
        <w:t xml:space="preserve">clause conflicts with opt-out obligations.</w:t>
      </w:r>
      <w:r>
        <w:t xml:space="preserve"> </w:t>
      </w:r>
      <w:r>
        <w:t xml:space="preserve">DSA §6.4 prohibits Vaultline from implementing</w:t>
      </w:r>
      <w:r>
        <w:t xml:space="preserve"> </w:t>
      </w:r>
      <w:r>
        <w:t xml:space="preserve">“</w:t>
      </w:r>
      <w:r>
        <w:t xml:space="preserve">any technical measures that would prevent, limit, or impair the SDK’s ability to collect SDK Data.</w:t>
      </w:r>
      <w:r>
        <w:t xml:space="preserve">”</w:t>
      </w:r>
      <w:r>
        <w:t xml:space="preserve"> </w:t>
      </w:r>
      <w:r>
        <w:t xml:space="preserve">This contractually bars Vaultline from blocking Brightly’s SDK collection, which conflicts with Vaultline’s duty to honor CPRA opt-out of sale/sharing (F.2, G.5) and GDPR objection to profiling (E.6) — a user who opts out cannot be technically effectuated against the SDK under the current contract.</w:t>
      </w:r>
      <w:r>
        <w:t xml:space="preserve"> </w:t>
      </w:r>
      <w:r>
        <w:rPr>
          <w:i/>
          <w:iCs/>
        </w:rPr>
        <w:t xml:space="preserve">Risk: High.</w:t>
      </w:r>
      <w:r>
        <w:t xml:space="preserve"> </w:t>
      </w:r>
      <w:r>
        <w:rPr>
          <w:i/>
          <w:iCs/>
        </w:rPr>
        <w:t xml:space="preserve">Remediation: Renegotiate §6.4 to permit opt-out enforcement; implement SDK suppression on opt-out.</w:t>
      </w:r>
    </w:p>
    <w:p>
      <w:pPr>
        <w:pStyle w:val="BodyText"/>
      </w:pPr>
      <w:r>
        <w:rPr>
          <w:b/>
          <w:bCs/>
        </w:rPr>
        <w:t xml:space="preserve">G.16 — DSA §7.1(b) consistency-with-privacy-policy representation is likely false.</w:t>
      </w:r>
      <w:r>
        <w:t xml:space="preserve"> </w:t>
      </w:r>
      <w:r>
        <w:t xml:space="preserve">DSA §7.1(b) represents that</w:t>
      </w:r>
      <w:r>
        <w:t xml:space="preserve"> </w:t>
      </w:r>
      <w:r>
        <w:t xml:space="preserve">“</w:t>
      </w:r>
      <w:r>
        <w:t xml:space="preserve">the sharing of Shared Data with Brightly is consistent with Vaultline’s privacy policy as published on vaultline.com.</w:t>
      </w:r>
      <w:r>
        <w:t xml:space="preserve">”</w:t>
      </w:r>
      <w:r>
        <w:t xml:space="preserve"> </w:t>
      </w:r>
      <w:r>
        <w:t xml:space="preserve">Because the Privacy Policy does not disclose the Brightly sale/sharing, hashed-email transmission, or audience-segment sale (see G.1, G.2, G.7, G.9), this representation is likely inaccurate — a distinct breach from the consent representation in G.13.</w:t>
      </w:r>
      <w:r>
        <w:t xml:space="preserve"> </w:t>
      </w:r>
      <w:r>
        <w:rPr>
          <w:i/>
          <w:iCs/>
        </w:rPr>
        <w:t xml:space="preserve">Risk: High.</w:t>
      </w:r>
      <w:r>
        <w:t xml:space="preserve"> </w:t>
      </w:r>
      <w:r>
        <w:rPr>
          <w:i/>
          <w:iCs/>
        </w:rPr>
        <w:t xml:space="preserve">Remediation: Cure the policy-disclosure gap or notify Brightly of the potential breach.</w:t>
      </w:r>
    </w:p>
    <w:p>
      <w:pPr>
        <w:pStyle w:val="BodyText"/>
      </w:pPr>
      <w:r>
        <w:rPr>
          <w:b/>
          <w:bCs/>
        </w:rPr>
        <w:t xml:space="preserve">G.17 — DSA liability-cap asymmetry leaves Vaultline under-protected.</w:t>
      </w:r>
      <w:r>
        <w:t xml:space="preserve"> </w:t>
      </w:r>
      <w:r>
        <w:t xml:space="preserve">DSA §12.1 caps each party’s aggregate liability at the Revenue Share Payments paid to Vaultline in the preceding 12 months (~$2.64M), but expressly excludes §11 (Indemnification) and §8 (Confidentiality) from the cap. Because Vaultline’s indemnity to Brightly (§11.1) is uncapped while Vaultline’s recovery against Brightly is capped at ~$2.64M, the indemnity exposure (G.14) is asymmetric and disproportionate to Vaultline’s potential recovery.</w:t>
      </w:r>
      <w:r>
        <w:t xml:space="preserve"> </w:t>
      </w:r>
      <w:r>
        <w:rPr>
          <w:i/>
          <w:iCs/>
        </w:rPr>
        <w:t xml:space="preserve">Risk: Medium.</w:t>
      </w:r>
      <w:r>
        <w:t xml:space="preserve"> </w:t>
      </w:r>
      <w:r>
        <w:rPr>
          <w:i/>
          <w:iCs/>
        </w:rPr>
        <w:t xml:space="preserve">Remediation: Renegotiate a mutual, symmetrical liability cap; consider a reciprocal indemnity cap.</w:t>
      </w:r>
    </w:p>
    <w:p>
      <w:pPr>
        <w:pStyle w:val="BodyText"/>
      </w:pPr>
      <w:r>
        <w:rPr>
          <w:b/>
          <w:bCs/>
        </w:rPr>
        <w:t xml:space="preserve">G.18 — Brightly’s</w:t>
      </w:r>
      <w:r>
        <w:rPr>
          <w:b/>
          <w:bCs/>
        </w:rPr>
        <w:t xml:space="preserve"> </w:t>
      </w:r>
      <w:r>
        <w:rPr>
          <w:b/>
          <w:bCs/>
        </w:rPr>
        <w:t xml:space="preserve">“</w:t>
      </w:r>
      <w:r>
        <w:rPr>
          <w:b/>
          <w:bCs/>
        </w:rPr>
        <w:t xml:space="preserve">Aggregate Data</w:t>
      </w:r>
      <w:r>
        <w:rPr>
          <w:b/>
          <w:bCs/>
        </w:rPr>
        <w:t xml:space="preserve">”</w:t>
      </w:r>
      <w:r>
        <w:rPr>
          <w:b/>
          <w:bCs/>
        </w:rPr>
        <w:t xml:space="preserve">/Audience Segments may not meet CCPA de-identification standards.</w:t>
      </w:r>
      <w:r>
        <w:t xml:space="preserve"> </w:t>
      </w:r>
      <w:r>
        <w:t xml:space="preserve">The inventory (TS-002) states Brightly</w:t>
      </w:r>
      <w:r>
        <w:t xml:space="preserve"> </w:t>
      </w:r>
      <w:r>
        <w:t xml:space="preserve">“</w:t>
      </w:r>
      <w:r>
        <w:t xml:space="preserve">sells aggregated (but not de-identified per CCPA standards) audience segments to third-party advertisers.</w:t>
      </w:r>
      <w:r>
        <w:t xml:space="preserve">”</w:t>
      </w:r>
      <w:r>
        <w:t xml:space="preserve"> </w:t>
      </w:r>
      <w:r>
        <w:t xml:space="preserve">DSA §3.3 and the Privacy Policy both rely on broad aggregate/de-identified-data exemptions (DSA §3.3:</w:t>
      </w:r>
      <w:r>
        <w:t xml:space="preserve"> </w:t>
      </w:r>
      <w:r>
        <w:t xml:space="preserve">“</w:t>
      </w:r>
      <w:r>
        <w:t xml:space="preserve">No Restrictions on Aggregate Data</w:t>
      </w:r>
      <w:r>
        <w:t xml:space="preserve">”</w:t>
      </w:r>
      <w:r>
        <w:t xml:space="preserve">; policy: de-identified data usable</w:t>
      </w:r>
      <w:r>
        <w:t xml:space="preserve"> </w:t>
      </w:r>
      <w:r>
        <w:t xml:space="preserve">“</w:t>
      </w:r>
      <w:r>
        <w:t xml:space="preserve">for any lawful purpose whatsoever … without restriction</w:t>
      </w:r>
      <w:r>
        <w:t xml:space="preserve">”</w:t>
      </w:r>
      <w:r>
        <w:t xml:space="preserve">). If the audience segments do not meet CCPA de-identification standards, those exemptions fail and the activity remains a regulated sale/sharing.</w:t>
      </w:r>
      <w:r>
        <w:t xml:space="preserve"> </w:t>
      </w:r>
      <w:r>
        <w:rPr>
          <w:i/>
          <w:iCs/>
        </w:rPr>
        <w:t xml:space="preserve">Risk: High.</w:t>
      </w:r>
      <w:r>
        <w:t xml:space="preserve"> </w:t>
      </w:r>
      <w:r>
        <w:rPr>
          <w:i/>
          <w:iCs/>
        </w:rPr>
        <w:t xml:space="preserve">Remediation: Verify de-identification against CCPA standards; if it fails, treat as a sale/sharing and disclose/opt-out.</w:t>
      </w:r>
    </w:p>
    <w:bookmarkEnd w:id="30"/>
    <w:bookmarkStart w:id="31" w:name="h.-data-retention"/>
    <w:p>
      <w:pPr>
        <w:pStyle w:val="Heading3"/>
      </w:pPr>
      <w:r>
        <w:t xml:space="preserve">H. Data Retention</w:t>
      </w:r>
    </w:p>
    <w:p>
      <w:pPr>
        <w:pStyle w:val="FirstParagraph"/>
      </w:pPr>
      <w:r>
        <w:rPr>
          <w:b/>
          <w:bCs/>
        </w:rPr>
        <w:t xml:space="preserve">H.1 — No data retention periods disclosed in the Privacy Policy.</w:t>
      </w:r>
      <w:r>
        <w:t xml:space="preserve"> </w:t>
      </w:r>
      <w:r>
        <w:t xml:space="preserve">The Privacy Policy’s</w:t>
      </w:r>
      <w:r>
        <w:t xml:space="preserve"> </w:t>
      </w:r>
      <w:r>
        <w:t xml:space="preserve">“</w:t>
      </w:r>
      <w:r>
        <w:t xml:space="preserve">Data Retention</w:t>
      </w:r>
      <w:r>
        <w:t xml:space="preserve">”</w:t>
      </w:r>
      <w:r>
        <w:t xml:space="preserve"> </w:t>
      </w:r>
      <w:r>
        <w:t xml:space="preserve">section states only that data is retained</w:t>
      </w:r>
      <w:r>
        <w:t xml:space="preserve"> </w:t>
      </w:r>
      <w:r>
        <w:t xml:space="preserve">“</w:t>
      </w:r>
      <w:r>
        <w:t xml:space="preserve">as long as necessary</w:t>
      </w:r>
      <w:r>
        <w:t xml:space="preserve">”</w:t>
      </w:r>
      <w:r>
        <w:t xml:space="preserve"> </w:t>
      </w:r>
      <w:r>
        <w:t xml:space="preserve">with no specific periods. The investor email (§5) flags this as both a CPRA disclosure gap and a GDPR Art. 5(1)(e) storage-limitation issue.</w:t>
      </w:r>
      <w:r>
        <w:t xml:space="preserve"> </w:t>
      </w:r>
      <w:r>
        <w:rPr>
          <w:i/>
          <w:iCs/>
        </w:rPr>
        <w:t xml:space="preserve">Risk: High.</w:t>
      </w:r>
      <w:r>
        <w:t xml:space="preserve"> </w:t>
      </w:r>
      <w:r>
        <w:rPr>
          <w:i/>
          <w:iCs/>
        </w:rPr>
        <w:t xml:space="preserve">Remediation: Disclose specific retention periods by category.</w:t>
      </w:r>
    </w:p>
    <w:p>
      <w:pPr>
        <w:pStyle w:val="BodyText"/>
      </w:pPr>
      <w:r>
        <w:rPr>
          <w:b/>
          <w:bCs/>
        </w:rPr>
        <w:t xml:space="preserve">H.2 — All data categories retained indefinitely, including sensitive PI.</w:t>
      </w:r>
      <w:r>
        <w:t xml:space="preserve"> </w:t>
      </w:r>
      <w:r>
        <w:t xml:space="preserve">The Data Retention tab lists</w:t>
      </w:r>
      <w:r>
        <w:t xml:space="preserve"> </w:t>
      </w:r>
      <w:r>
        <w:t xml:space="preserve">“</w:t>
      </w:r>
      <w:r>
        <w:t xml:space="preserve">Indefinite</w:t>
      </w:r>
      <w:r>
        <w:t xml:space="preserve">”</w:t>
      </w:r>
      <w:r>
        <w:t xml:space="preserve"> </w:t>
      </w:r>
      <w:r>
        <w:t xml:space="preserve">retention for every category (DC-001 through DC-015), including SSN last four, financial account information, transaction history, precise geolocation, and biometric templates.</w:t>
      </w:r>
      <w:r>
        <w:t xml:space="preserve"> </w:t>
      </w:r>
      <w:r>
        <w:rPr>
          <w:i/>
          <w:iCs/>
        </w:rPr>
        <w:t xml:space="preserve">Risk: High.</w:t>
      </w:r>
      <w:r>
        <w:t xml:space="preserve"> </w:t>
      </w:r>
      <w:r>
        <w:rPr>
          <w:i/>
          <w:iCs/>
        </w:rPr>
        <w:t xml:space="preserve">Remediation: Establish and apply defined retention periods; cap sensitive-PI retention.</w:t>
      </w:r>
    </w:p>
    <w:p>
      <w:pPr>
        <w:pStyle w:val="BodyText"/>
      </w:pPr>
      <w:r>
        <w:rPr>
          <w:b/>
          <w:bCs/>
        </w:rPr>
        <w:t xml:space="preserve">H.3 — No formal retention schedule, no deletion on account closure, no destruction methods.</w:t>
      </w:r>
      <w:r>
        <w:t xml:space="preserve"> </w:t>
      </w:r>
      <w:r>
        <w:t xml:space="preserve">The Data Retention tab records</w:t>
      </w:r>
      <w:r>
        <w:t xml:space="preserve"> </w:t>
      </w:r>
      <w:r>
        <w:t xml:space="preserve">“</w:t>
      </w:r>
      <w:r>
        <w:t xml:space="preserve">Formal Retention Schedule Documented? No,</w:t>
      </w:r>
      <w:r>
        <w:t xml:space="preserve">”</w:t>
      </w:r>
      <w:r>
        <w:t xml:space="preserve"> </w:t>
      </w:r>
      <w:r>
        <w:t xml:space="preserve">“</w:t>
      </w:r>
      <w:r>
        <w:t xml:space="preserve">Deletion Upon Account Closure? No — retained indefinitely after account deletion,</w:t>
      </w:r>
      <w:r>
        <w:t xml:space="preserve">”</w:t>
      </w:r>
      <w:r>
        <w:t xml:space="preserve"> </w:t>
      </w:r>
      <w:r>
        <w:t xml:space="preserve">and</w:t>
      </w:r>
      <w:r>
        <w:t xml:space="preserve"> </w:t>
      </w:r>
      <w:r>
        <w:t xml:space="preserve">“</w:t>
      </w:r>
      <w:r>
        <w:t xml:space="preserve">Destruction Method: Not defined</w:t>
      </w:r>
      <w:r>
        <w:t xml:space="preserve">”</w:t>
      </w:r>
      <w:r>
        <w:t xml:space="preserve"> </w:t>
      </w:r>
      <w:r>
        <w:t xml:space="preserve">for every category.</w:t>
      </w:r>
      <w:r>
        <w:t xml:space="preserve"> </w:t>
      </w:r>
      <w:r>
        <w:rPr>
          <w:i/>
          <w:iCs/>
        </w:rPr>
        <w:t xml:space="preserve">Risk: High.</w:t>
      </w:r>
      <w:r>
        <w:t xml:space="preserve"> </w:t>
      </w:r>
      <w:r>
        <w:rPr>
          <w:i/>
          <w:iCs/>
        </w:rPr>
        <w:t xml:space="preserve">Remediation: Adopt a formal retention schedule; implement account-closure deletion; define destruction methods.</w:t>
      </w:r>
    </w:p>
    <w:p>
      <w:pPr>
        <w:pStyle w:val="BodyText"/>
      </w:pPr>
      <w:r>
        <w:rPr>
          <w:b/>
          <w:bCs/>
        </w:rPr>
        <w:t xml:space="preserve">H.4 — GDPR storage-limitation and CPRA retention-disclosure violations.</w:t>
      </w:r>
      <w:r>
        <w:t xml:space="preserve"> </w:t>
      </w:r>
      <w:r>
        <w:t xml:space="preserve">Indefinite retention of all categories conflicts with GDPR Art. 5(1)(e) and the CPRA retention-disclosure requirement.</w:t>
      </w:r>
      <w:r>
        <w:t xml:space="preserve"> </w:t>
      </w:r>
      <w:r>
        <w:rPr>
          <w:i/>
          <w:iCs/>
        </w:rPr>
        <w:t xml:space="preserve">Risk: High.</w:t>
      </w:r>
      <w:r>
        <w:t xml:space="preserve"> </w:t>
      </w:r>
      <w:r>
        <w:rPr>
          <w:i/>
          <w:iCs/>
        </w:rPr>
        <w:t xml:space="preserve">Remediation: Same as H.1–H.3.</w:t>
      </w:r>
    </w:p>
    <w:bookmarkEnd w:id="31"/>
    <w:bookmarkStart w:id="32" w:name="X8d3ab445e3e6f845280d6b875d3a636732692f9"/>
    <w:p>
      <w:pPr>
        <w:pStyle w:val="Heading3"/>
      </w:pPr>
      <w:r>
        <w:t xml:space="preserve">I. Data Protection Impact Assessments (GDPR Article 35)</w:t>
      </w:r>
    </w:p>
    <w:p>
      <w:pPr>
        <w:pStyle w:val="FirstParagraph"/>
      </w:pPr>
      <w:r>
        <w:rPr>
          <w:b/>
          <w:bCs/>
        </w:rPr>
        <w:t xml:space="preserve">I.1 — No DPIA conducted for any processing activity.</w:t>
      </w:r>
      <w:r>
        <w:t xml:space="preserve"> </w:t>
      </w:r>
      <w:r>
        <w:t xml:space="preserve">The DPIA Status tab marks all eight processing activities</w:t>
      </w:r>
      <w:r>
        <w:t xml:space="preserve"> </w:t>
      </w:r>
      <w:r>
        <w:t xml:space="preserve">“</w:t>
      </w:r>
      <w:r>
        <w:t xml:space="preserve">Not Conducted,</w:t>
      </w:r>
      <w:r>
        <w:t xml:space="preserve">”</w:t>
      </w:r>
      <w:r>
        <w:t xml:space="preserve"> </w:t>
      </w:r>
      <w:r>
        <w:t xml:space="preserve">despite multiple mandatory triggers. Each is addressed by name below.</w:t>
      </w:r>
    </w:p>
    <w:p>
      <w:pPr>
        <w:pStyle w:val="Compact"/>
        <w:numPr>
          <w:ilvl w:val="0"/>
          <w:numId w:val="1002"/>
        </w:numPr>
      </w:pPr>
      <w:r>
        <w:rPr>
          <w:b/>
          <w:bCs/>
        </w:rPr>
        <w:t xml:space="preserve">I.1.a — PA-001 (Account Registration &amp; Identity Verification, incl. Selfie Verify):</w:t>
      </w:r>
      <w:r>
        <w:t xml:space="preserve"> </w:t>
      </w:r>
      <w:r>
        <w:t xml:space="preserve">Mandatory (Art. 35(3)(b), large-scale biometric special-category data); risk</w:t>
      </w:r>
      <w:r>
        <w:t xml:space="preserve"> </w:t>
      </w:r>
      <w:r>
        <w:t xml:space="preserve">“</w:t>
      </w:r>
      <w:r>
        <w:t xml:space="preserve">High</w:t>
      </w:r>
      <w:r>
        <w:t xml:space="preserve">”</w:t>
      </w:r>
      <w:r>
        <w:t xml:space="preserve">; 1,900,000 users. (See B.9.)</w:t>
      </w:r>
    </w:p>
    <w:p>
      <w:pPr>
        <w:pStyle w:val="Compact"/>
        <w:numPr>
          <w:ilvl w:val="0"/>
          <w:numId w:val="1002"/>
        </w:numPr>
      </w:pPr>
      <w:r>
        <w:rPr>
          <w:b/>
          <w:bCs/>
        </w:rPr>
        <w:t xml:space="preserve">I.1.b — PA-002 (Financial Account Aggregation):</w:t>
      </w:r>
      <w:r>
        <w:t xml:space="preserve"> </w:t>
      </w:r>
      <w:r>
        <w:t xml:space="preserve">Mandatory (large-scale processing of financial data); risk</w:t>
      </w:r>
      <w:r>
        <w:t xml:space="preserve"> </w:t>
      </w:r>
      <w:r>
        <w:t xml:space="preserve">“</w:t>
      </w:r>
      <w:r>
        <w:t xml:space="preserve">High</w:t>
      </w:r>
      <w:r>
        <w:t xml:space="preserve">”</w:t>
      </w:r>
      <w:r>
        <w:t xml:space="preserve">; ~3,200,000 users with linked accounts.</w:t>
      </w:r>
    </w:p>
    <w:p>
      <w:pPr>
        <w:pStyle w:val="Compact"/>
        <w:numPr>
          <w:ilvl w:val="0"/>
          <w:numId w:val="1002"/>
        </w:numPr>
      </w:pPr>
      <w:r>
        <w:rPr>
          <w:b/>
          <w:bCs/>
        </w:rPr>
        <w:t xml:space="preserve">I.1.c — PA-003 (Smart Insights — AI-Powered Financial Recommendations):</w:t>
      </w:r>
      <w:r>
        <w:t xml:space="preserve"> </w:t>
      </w:r>
      <w:r>
        <w:t xml:space="preserve">Mandatory (Art. 35(3)(a), automated decision-making producing significant effects); risk</w:t>
      </w:r>
      <w:r>
        <w:t xml:space="preserve"> </w:t>
      </w:r>
      <w:r>
        <w:t xml:space="preserve">“</w:t>
      </w:r>
      <w:r>
        <w:t xml:space="preserve">Critical</w:t>
      </w:r>
      <w:r>
        <w:t xml:space="preserve">”</w:t>
      </w:r>
      <w:r>
        <w:t xml:space="preserve">; ~2,800,000 users. (See E.4.)</w:t>
      </w:r>
    </w:p>
    <w:p>
      <w:pPr>
        <w:pStyle w:val="Compact"/>
        <w:numPr>
          <w:ilvl w:val="0"/>
          <w:numId w:val="1002"/>
        </w:numPr>
      </w:pPr>
      <w:r>
        <w:rPr>
          <w:b/>
          <w:bCs/>
        </w:rPr>
        <w:t xml:space="preserve">I.1.d — PA-004 (Targeted Advertising &amp; Analytics — Brightly):</w:t>
      </w:r>
      <w:r>
        <w:t xml:space="preserve"> </w:t>
      </w:r>
      <w:r>
        <w:t xml:space="preserve">Mandatory (large-scale profiling for behavioral advertising); risk</w:t>
      </w:r>
      <w:r>
        <w:t xml:space="preserve"> </w:t>
      </w:r>
      <w:r>
        <w:t xml:space="preserve">“</w:t>
      </w:r>
      <w:r>
        <w:t xml:space="preserve">High</w:t>
      </w:r>
      <w:r>
        <w:t xml:space="preserve">”</w:t>
      </w:r>
      <w:r>
        <w:t xml:space="preserve">; ~253,000 MAUs.</w:t>
      </w:r>
    </w:p>
    <w:p>
      <w:pPr>
        <w:pStyle w:val="Compact"/>
        <w:numPr>
          <w:ilvl w:val="0"/>
          <w:numId w:val="1002"/>
        </w:numPr>
      </w:pPr>
      <w:r>
        <w:rPr>
          <w:b/>
          <w:bCs/>
        </w:rPr>
        <w:t xml:space="preserve">I.1.e — PA-005 (Partner Financial Product Referrals):</w:t>
      </w:r>
      <w:r>
        <w:t xml:space="preserve"> </w:t>
      </w:r>
      <w:r>
        <w:t xml:space="preserve">Recommended; risk</w:t>
      </w:r>
      <w:r>
        <w:t xml:space="preserve"> </w:t>
      </w:r>
      <w:r>
        <w:t xml:space="preserve">“</w:t>
      </w:r>
      <w:r>
        <w:t xml:space="preserve">Medium</w:t>
      </w:r>
      <w:r>
        <w:t xml:space="preserve">”</w:t>
      </w:r>
      <w:r>
        <w:t xml:space="preserve">; 14 partners.</w:t>
      </w:r>
    </w:p>
    <w:p>
      <w:pPr>
        <w:pStyle w:val="Compact"/>
        <w:numPr>
          <w:ilvl w:val="0"/>
          <w:numId w:val="1002"/>
        </w:numPr>
      </w:pPr>
      <w:r>
        <w:rPr>
          <w:b/>
          <w:bCs/>
        </w:rPr>
        <w:t xml:space="preserve">I.1.f — PA-006 (Credit Score Retrieval):</w:t>
      </w:r>
      <w:r>
        <w:t xml:space="preserve"> </w:t>
      </w:r>
      <w:r>
        <w:t xml:space="preserve">Recommended; risk</w:t>
      </w:r>
      <w:r>
        <w:t xml:space="preserve"> </w:t>
      </w:r>
      <w:r>
        <w:t xml:space="preserve">“</w:t>
      </w:r>
      <w:r>
        <w:t xml:space="preserve">Medium</w:t>
      </w:r>
      <w:r>
        <w:t xml:space="preserve">”</w:t>
      </w:r>
      <w:r>
        <w:t xml:space="preserve">; ~2,100,000 users.</w:t>
      </w:r>
    </w:p>
    <w:p>
      <w:pPr>
        <w:pStyle w:val="Compact"/>
        <w:numPr>
          <w:ilvl w:val="0"/>
          <w:numId w:val="1002"/>
        </w:numPr>
      </w:pPr>
      <w:r>
        <w:rPr>
          <w:b/>
          <w:bCs/>
        </w:rPr>
        <w:t xml:space="preserve">I.1.g — PA-007 (Cloud Data Storage &amp; Processing, incl. international transfers):</w:t>
      </w:r>
      <w:r>
        <w:t xml:space="preserve"> </w:t>
      </w:r>
      <w:r>
        <w:t xml:space="preserve">Mandatory (international transfer of EU data without adequate safeguards); risk</w:t>
      </w:r>
      <w:r>
        <w:t xml:space="preserve"> </w:t>
      </w:r>
      <w:r>
        <w:t xml:space="preserve">“</w:t>
      </w:r>
      <w:r>
        <w:t xml:space="preserve">Critical</w:t>
      </w:r>
      <w:r>
        <w:t xml:space="preserve">”</w:t>
      </w:r>
      <w:r>
        <w:t xml:space="preserve">; ~23,000 EU users. (See C.1–C.4.)</w:t>
      </w:r>
    </w:p>
    <w:p>
      <w:pPr>
        <w:pStyle w:val="Compact"/>
        <w:numPr>
          <w:ilvl w:val="0"/>
          <w:numId w:val="1002"/>
        </w:numPr>
      </w:pPr>
      <w:r>
        <w:rPr>
          <w:b/>
          <w:bCs/>
        </w:rPr>
        <w:t xml:space="preserve">I.1.h — PA-008 (Fraud Prevention &amp; Security Monitoring):</w:t>
      </w:r>
      <w:r>
        <w:t xml:space="preserve"> </w:t>
      </w:r>
      <w:r>
        <w:t xml:space="preserve">Recommended; risk</w:t>
      </w:r>
      <w:r>
        <w:t xml:space="preserve"> </w:t>
      </w:r>
      <w:r>
        <w:t xml:space="preserve">“</w:t>
      </w:r>
      <w:r>
        <w:t xml:space="preserve">Low-Medium</w:t>
      </w:r>
      <w:r>
        <w:t xml:space="preserve">”</w:t>
      </w:r>
      <w:r>
        <w:t xml:space="preserve">; all users.</w:t>
      </w:r>
    </w:p>
    <w:p>
      <w:pPr>
        <w:pStyle w:val="FirstParagraph"/>
      </w:pPr>
      <w:r>
        <w:rPr>
          <w:i/>
          <w:iCs/>
        </w:rPr>
        <w:t xml:space="preserve">Risk: Critical (aggregate).</w:t>
      </w:r>
      <w:r>
        <w:t xml:space="preserve"> </w:t>
      </w:r>
      <w:r>
        <w:rPr>
          <w:i/>
          <w:iCs/>
        </w:rPr>
        <w:t xml:space="preserve">Remediation: Conduct DPIAs for all mandatory-trigger activities before EU launch and before further high-risk processing; document the recommended ones.</w:t>
      </w:r>
    </w:p>
    <w:bookmarkEnd w:id="32"/>
    <w:bookmarkStart w:id="33" w:name="Xfce78afdf260fe9d5e426348c4ea0ae92b16596"/>
    <w:p>
      <w:pPr>
        <w:pStyle w:val="Heading3"/>
      </w:pPr>
      <w:r>
        <w:t xml:space="preserve">J. August 2024 Data Breach — Notification Compliance</w:t>
      </w:r>
    </w:p>
    <w:p>
      <w:pPr>
        <w:pStyle w:val="FirstParagraph"/>
      </w:pPr>
      <w:r>
        <w:rPr>
          <w:b/>
          <w:bCs/>
        </w:rPr>
        <w:t xml:space="preserve">J.1 — Consumer notification 47 days after discovery.</w:t>
      </w:r>
      <w:r>
        <w:t xml:space="preserve"> </w:t>
      </w:r>
      <w:r>
        <w:t xml:space="preserve">The Incident Response Log (Section 1; Entry 12) records discovery on August 12, 2024 and consumer notification on September 28, 2024 — 47 days elapsed. California Civil Code § 1798.82 requires notification</w:t>
      </w:r>
      <w:r>
        <w:t xml:space="preserve"> </w:t>
      </w:r>
      <w:r>
        <w:t xml:space="preserve">“</w:t>
      </w:r>
      <w:r>
        <w:t xml:space="preserve">in the most expedient time possible and without unreasonable delay.</w:t>
      </w:r>
      <w:r>
        <w:t xml:space="preserve">”</w:t>
      </w:r>
      <w:r>
        <w:t xml:space="preserve"> </w:t>
      </w:r>
      <w:r>
        <w:t xml:space="preserve">The investor email (§5) requests confirmation of compliance with state breach-notification laws.</w:t>
      </w:r>
      <w:r>
        <w:t xml:space="preserve"> </w:t>
      </w:r>
      <w:r>
        <w:rPr>
          <w:i/>
          <w:iCs/>
        </w:rPr>
        <w:t xml:space="preserve">Risk: High.</w:t>
      </w:r>
      <w:r>
        <w:t xml:space="preserve"> </w:t>
      </w:r>
      <w:r>
        <w:rPr>
          <w:i/>
          <w:iCs/>
        </w:rPr>
        <w:t xml:space="preserve">Remediation: Document the legal basis for the timeline (forensic/law-enforcement hold); tighten the notification SLA in the Incident Response Plan.</w:t>
      </w:r>
    </w:p>
    <w:p>
      <w:pPr>
        <w:pStyle w:val="BodyText"/>
      </w:pPr>
      <w:r>
        <w:rPr>
          <w:b/>
          <w:bCs/>
        </w:rPr>
        <w:t xml:space="preserve">J.2 — No California Attorney General notification documented.</w:t>
      </w:r>
      <w:r>
        <w:t xml:space="preserve"> </w:t>
      </w:r>
      <w:r>
        <w:t xml:space="preserve">Approximately 3,100 affected users are California residents (Entry 6; Section 4), exceeding the 500-resident threshold of Cal. Civ. Code § 1798.82(f) requiring AG notification. The Notification Log (Section 6) lists no California AG notification.</w:t>
      </w:r>
      <w:r>
        <w:t xml:space="preserve"> </w:t>
      </w:r>
      <w:r>
        <w:rPr>
          <w:i/>
          <w:iCs/>
        </w:rPr>
        <w:t xml:space="preserve">Risk: Critical.</w:t>
      </w:r>
      <w:r>
        <w:t xml:space="preserve"> </w:t>
      </w:r>
      <w:r>
        <w:rPr>
          <w:i/>
          <w:iCs/>
        </w:rPr>
        <w:t xml:space="preserve">Remediation: Confirm whether CA AG notice was given; if not, assess cure options and self-report.</w:t>
      </w:r>
    </w:p>
    <w:p>
      <w:pPr>
        <w:pStyle w:val="BodyText"/>
      </w:pPr>
      <w:r>
        <w:rPr>
          <w:b/>
          <w:bCs/>
        </w:rPr>
        <w:t xml:space="preserve">J.3 — No New York notifications documented.</w:t>
      </w:r>
      <w:r>
        <w:t xml:space="preserve"> </w:t>
      </w:r>
      <w:r>
        <w:t xml:space="preserve">Approximately 5,800 affected users are New York residents. The NY SHIELD Act requires notification to the NY Attorney General, Department of State, and State Police. The Notification Log lists none.</w:t>
      </w:r>
      <w:r>
        <w:t xml:space="preserve"> </w:t>
      </w:r>
      <w:r>
        <w:rPr>
          <w:i/>
          <w:iCs/>
        </w:rPr>
        <w:t xml:space="preserve">Risk: High.</w:t>
      </w:r>
      <w:r>
        <w:t xml:space="preserve"> </w:t>
      </w:r>
      <w:r>
        <w:rPr>
          <w:i/>
          <w:iCs/>
        </w:rPr>
        <w:t xml:space="preserve">Remediation: Confirm and cure NY notifications.</w:t>
      </w:r>
    </w:p>
    <w:p>
      <w:pPr>
        <w:pStyle w:val="BodyText"/>
      </w:pPr>
      <w:r>
        <w:rPr>
          <w:b/>
          <w:bCs/>
        </w:rPr>
        <w:t xml:space="preserve">J.4 — No Florida Attorney General notification documented.</w:t>
      </w:r>
      <w:r>
        <w:t xml:space="preserve"> </w:t>
      </w:r>
      <w:r>
        <w:t xml:space="preserve">Approximately 4,500 affected users are Florida residents; Fla. Stat. § 501.171 requires AG (Department of Legal Affairs) notification for breaches affecting 500+ Florida residents. The Notification Log lists none.</w:t>
      </w:r>
      <w:r>
        <w:t xml:space="preserve"> </w:t>
      </w:r>
      <w:r>
        <w:rPr>
          <w:i/>
          <w:iCs/>
        </w:rPr>
        <w:t xml:space="preserve">Risk: High.</w:t>
      </w:r>
      <w:r>
        <w:t xml:space="preserve"> </w:t>
      </w:r>
      <w:r>
        <w:rPr>
          <w:i/>
          <w:iCs/>
        </w:rPr>
        <w:t xml:space="preserve">Remediation: Confirm and cure FL AG notification.</w:t>
      </w:r>
    </w:p>
    <w:p>
      <w:pPr>
        <w:pStyle w:val="BodyText"/>
      </w:pPr>
      <w:r>
        <w:rPr>
          <w:b/>
          <w:bCs/>
        </w:rPr>
        <w:t xml:space="preserve">J.5 — No Illinois Attorney General notification documented.</w:t>
      </w:r>
      <w:r>
        <w:t xml:space="preserve"> </w:t>
      </w:r>
      <w:r>
        <w:t xml:space="preserve">Approximately 2,800 affected users are Illinois residents; 815 ILCS 530 requires AG notification. The Notification Log lists none. (Separate from the BIPA biometric exposure in Section B.)</w:t>
      </w:r>
      <w:r>
        <w:t xml:space="preserve"> </w:t>
      </w:r>
      <w:r>
        <w:rPr>
          <w:i/>
          <w:iCs/>
        </w:rPr>
        <w:t xml:space="preserve">Risk: High.</w:t>
      </w:r>
      <w:r>
        <w:t xml:space="preserve"> </w:t>
      </w:r>
      <w:r>
        <w:rPr>
          <w:i/>
          <w:iCs/>
        </w:rPr>
        <w:t xml:space="preserve">Remediation: Confirm and cure IL AG notification.</w:t>
      </w:r>
    </w:p>
    <w:p>
      <w:pPr>
        <w:pStyle w:val="BodyText"/>
      </w:pPr>
      <w:r>
        <w:rPr>
          <w:b/>
          <w:bCs/>
        </w:rPr>
        <w:t xml:space="preserve">J.6 — No Texas Attorney General notification documented.</w:t>
      </w:r>
      <w:r>
        <w:t xml:space="preserve"> </w:t>
      </w:r>
      <w:r>
        <w:t xml:space="preserve">Approximately 7,200 affected users are Texas residents; Tex. Bus. &amp; Com. Code § 521.053 requires AG notification for breaches affecting 250+ Texas residents. The Notification Log lists none.</w:t>
      </w:r>
      <w:r>
        <w:t xml:space="preserve"> </w:t>
      </w:r>
      <w:r>
        <w:rPr>
          <w:i/>
          <w:iCs/>
        </w:rPr>
        <w:t xml:space="preserve">Risk: High.</w:t>
      </w:r>
      <w:r>
        <w:t xml:space="preserve"> </w:t>
      </w:r>
      <w:r>
        <w:rPr>
          <w:i/>
          <w:iCs/>
        </w:rPr>
        <w:t xml:space="preserve">Remediation: Confirm and cure TX AG notification.</w:t>
      </w:r>
    </w:p>
    <w:p>
      <w:pPr>
        <w:pStyle w:val="BodyText"/>
      </w:pPr>
      <w:r>
        <w:rPr>
          <w:b/>
          <w:bCs/>
        </w:rPr>
        <w:t xml:space="preserve">J.7 — No other-state AG notifications documented.</w:t>
      </w:r>
      <w:r>
        <w:t xml:space="preserve"> </w:t>
      </w:r>
      <w:r>
        <w:t xml:space="preserve">Approximately 60,600 affected users reside in</w:t>
      </w:r>
      <w:r>
        <w:t xml:space="preserve"> </w:t>
      </w:r>
      <w:r>
        <w:t xml:space="preserve">“</w:t>
      </w:r>
      <w:r>
        <w:t xml:space="preserve">All Other States,</w:t>
      </w:r>
      <w:r>
        <w:t xml:space="preserve">”</w:t>
      </w:r>
      <w:r>
        <w:t xml:space="preserve"> </w:t>
      </w:r>
      <w:r>
        <w:t xml:space="preserve">many of which have AG-notification thresholds. The Notification Log documents no state AG notifications of any kind.</w:t>
      </w:r>
      <w:r>
        <w:t xml:space="preserve"> </w:t>
      </w:r>
      <w:r>
        <w:rPr>
          <w:i/>
          <w:iCs/>
        </w:rPr>
        <w:t xml:space="preserve">Risk: High.</w:t>
      </w:r>
      <w:r>
        <w:t xml:space="preserve"> </w:t>
      </w:r>
      <w:r>
        <w:rPr>
          <w:i/>
          <w:iCs/>
        </w:rPr>
        <w:t xml:space="preserve">Remediation: Conduct a 50-state notification analysis and cure all triggered AG notifications.</w:t>
      </w:r>
    </w:p>
    <w:p>
      <w:pPr>
        <w:pStyle w:val="BodyText"/>
      </w:pPr>
      <w:r>
        <w:rPr>
          <w:b/>
          <w:bCs/>
        </w:rPr>
        <w:t xml:space="preserve">J.8 — No GDPR Article 33 supervisory authority notification.</w:t>
      </w:r>
      <w:r>
        <w:t xml:space="preserve"> </w:t>
      </w:r>
      <w:r>
        <w:t xml:space="preserve">Approximately 510 affected users self-identified as EU residents (Entry 7; Section 4). GDPR Art. 33 requires notification to the competent supervisory authority within 72 hours of becoming aware of a personal data breach. Entry 7 (August 16) only</w:t>
      </w:r>
      <w:r>
        <w:t xml:space="preserve"> </w:t>
      </w:r>
      <w:r>
        <w:t xml:space="preserve">“</w:t>
      </w:r>
      <w:r>
        <w:t xml:space="preserve">flagged</w:t>
      </w:r>
      <w:r>
        <w:t xml:space="preserve">”</w:t>
      </w:r>
      <w:r>
        <w:t xml:space="preserve"> </w:t>
      </w:r>
      <w:r>
        <w:t xml:space="preserve">the obligation for review; the Notification Log (Section 6) contains no supervisory-authority notification. The 72-hour deadline (approximately August 15) was in all likelihood missed.</w:t>
      </w:r>
      <w:r>
        <w:t xml:space="preserve"> </w:t>
      </w:r>
      <w:r>
        <w:rPr>
          <w:i/>
          <w:iCs/>
        </w:rPr>
        <w:t xml:space="preserve">Risk: Critical.</w:t>
      </w:r>
      <w:r>
        <w:t xml:space="preserve"> </w:t>
      </w:r>
      <w:r>
        <w:rPr>
          <w:i/>
          <w:iCs/>
        </w:rPr>
        <w:t xml:space="preserve">Remediation: Confirm whether Art. 33 notice was given; if not, assess mitigation and document the rationale; update the Incident Response Plan to include EU SA notification.</w:t>
      </w:r>
    </w:p>
    <w:p>
      <w:pPr>
        <w:pStyle w:val="BodyText"/>
      </w:pPr>
      <w:r>
        <w:rPr>
          <w:b/>
          <w:bCs/>
        </w:rPr>
        <w:t xml:space="preserve">J.9 — No GDPR Article 34 data-subject breach communication analysis.</w:t>
      </w:r>
      <w:r>
        <w:t xml:space="preserve"> </w:t>
      </w:r>
      <w:r>
        <w:t xml:space="preserve">The breach exposed names, email addresses, last-four SSN, and transaction histories — sensitive financial data presenting a high risk of fraud/identity theft, which triggers Art. 34 communication</w:t>
      </w:r>
      <w:r>
        <w:t xml:space="preserve"> </w:t>
      </w:r>
      <w:r>
        <w:t xml:space="preserve">“</w:t>
      </w:r>
      <w:r>
        <w:t xml:space="preserve">without undue delay.</w:t>
      </w:r>
      <w:r>
        <w:t xml:space="preserve">”</w:t>
      </w:r>
      <w:r>
        <w:t xml:space="preserve"> </w:t>
      </w:r>
      <w:r>
        <w:t xml:space="preserve">The 47-day consumer notification and the absence of any documented Art. 34 analysis are concerns.</w:t>
      </w:r>
      <w:r>
        <w:t xml:space="preserve"> </w:t>
      </w:r>
      <w:r>
        <w:rPr>
          <w:i/>
          <w:iCs/>
        </w:rPr>
        <w:t xml:space="preserve">Risk: High.</w:t>
      </w:r>
      <w:r>
        <w:t xml:space="preserve"> </w:t>
      </w:r>
      <w:r>
        <w:rPr>
          <w:i/>
          <w:iCs/>
        </w:rPr>
        <w:t xml:space="preserve">Remediation: Document an Art. 34 risk assessment; align consumer notification with the</w:t>
      </w:r>
      <w:r>
        <w:rPr>
          <w:i/>
          <w:iCs/>
        </w:rPr>
        <w:t xml:space="preserve"> </w:t>
      </w:r>
      <w:r>
        <w:rPr>
          <w:i/>
          <w:iCs/>
        </w:rPr>
        <w:t xml:space="preserve">“</w:t>
      </w:r>
      <w:r>
        <w:rPr>
          <w:i/>
          <w:iCs/>
        </w:rPr>
        <w:t xml:space="preserve">without undue delay</w:t>
      </w:r>
      <w:r>
        <w:rPr>
          <w:i/>
          <w:iCs/>
        </w:rPr>
        <w:t xml:space="preserve">”</w:t>
      </w:r>
      <w:r>
        <w:rPr>
          <w:i/>
          <w:iCs/>
        </w:rPr>
        <w:t xml:space="preserve"> </w:t>
      </w:r>
      <w:r>
        <w:rPr>
          <w:i/>
          <w:iCs/>
        </w:rPr>
        <w:t xml:space="preserve">standard.</w:t>
      </w:r>
    </w:p>
    <w:p>
      <w:pPr>
        <w:pStyle w:val="BodyText"/>
      </w:pPr>
      <w:r>
        <w:rPr>
          <w:b/>
          <w:bCs/>
        </w:rPr>
        <w:t xml:space="preserve">J.10 — ~2,800 affected users may not have received notification.</w:t>
      </w:r>
      <w:r>
        <w:t xml:space="preserve"> </w:t>
      </w:r>
      <w:r>
        <w:t xml:space="preserve">Entry 12 and the Notification Log (Section 6) state ~2,800 emails were undeliverable and physical letters were</w:t>
      </w:r>
      <w:r>
        <w:t xml:space="preserve"> </w:t>
      </w:r>
      <w:r>
        <w:t xml:space="preserve">“</w:t>
      </w:r>
      <w:r>
        <w:t xml:space="preserve">queued for mailing,</w:t>
      </w:r>
      <w:r>
        <w:t xml:space="preserve">”</w:t>
      </w:r>
      <w:r>
        <w:t xml:space="preserve"> </w:t>
      </w:r>
      <w:r>
        <w:t xml:space="preserve">but the log closes October 11, 2024 without confirming the physical letters were sent.</w:t>
      </w:r>
      <w:r>
        <w:t xml:space="preserve"> </w:t>
      </w:r>
      <w:r>
        <w:rPr>
          <w:i/>
          <w:iCs/>
        </w:rPr>
        <w:t xml:space="preserve">Risk: Medium.</w:t>
      </w:r>
      <w:r>
        <w:t xml:space="preserve"> </w:t>
      </w:r>
      <w:r>
        <w:rPr>
          <w:i/>
          <w:iCs/>
        </w:rPr>
        <w:t xml:space="preserve">Remediation: Confirm delivery to all 84,000 affected users; document follow-up for undeliverable notices.</w:t>
      </w:r>
    </w:p>
    <w:p>
      <w:pPr>
        <w:pStyle w:val="BodyText"/>
      </w:pPr>
      <w:r>
        <w:rPr>
          <w:b/>
          <w:bCs/>
        </w:rPr>
        <w:t xml:space="preserve">J.11 — Potential DSA §9.2 breach-notification gap to Brightly.</w:t>
      </w:r>
      <w:r>
        <w:t xml:space="preserve"> </w:t>
      </w:r>
      <w:r>
        <w:t xml:space="preserve">DSA §9.2 requires each party to notify the other within 72 hours of discovering a breach involving Shared Data or SDK Data. The breach exposed transaction histories, which are the source of the</w:t>
      </w:r>
      <w:r>
        <w:t xml:space="preserve"> </w:t>
      </w:r>
      <w:r>
        <w:t xml:space="preserve">“</w:t>
      </w:r>
      <w:r>
        <w:t xml:space="preserve">spending category summaries</w:t>
      </w:r>
      <w:r>
        <w:t xml:space="preserve">”</w:t>
      </w:r>
      <w:r>
        <w:t xml:space="preserve"> </w:t>
      </w:r>
      <w:r>
        <w:t xml:space="preserve">transmitted to Brightly as Shared Data (DSA §2.1(d)). The Notification Log (Section 6) does not list Brightly as a recipient.</w:t>
      </w:r>
      <w:r>
        <w:t xml:space="preserve"> </w:t>
      </w:r>
      <w:r>
        <w:rPr>
          <w:i/>
          <w:iCs/>
        </w:rPr>
        <w:t xml:space="preserve">Risk: Medium.</w:t>
      </w:r>
      <w:r>
        <w:t xml:space="preserve"> </w:t>
      </w:r>
      <w:r>
        <w:rPr>
          <w:i/>
          <w:iCs/>
        </w:rPr>
        <w:t xml:space="preserve">Remediation: Confirm whether Brightly was notified within 72 hours; if not, assess contractual exposure.</w:t>
      </w:r>
    </w:p>
    <w:p>
      <w:pPr>
        <w:pStyle w:val="BodyText"/>
      </w:pPr>
      <w:r>
        <w:rPr>
          <w:b/>
          <w:bCs/>
        </w:rPr>
        <w:t xml:space="preserve">J.12 — Breach revealed security-control gaps inconsistent with the Privacy Policy’s security representations.</w:t>
      </w:r>
      <w:r>
        <w:t xml:space="preserve"> </w:t>
      </w:r>
      <w:r>
        <w:t xml:space="preserve">The Privacy Policy (</w:t>
      </w:r>
      <w:r>
        <w:t xml:space="preserve">“</w:t>
      </w:r>
      <w:r>
        <w:t xml:space="preserve">Data Security</w:t>
      </w:r>
      <w:r>
        <w:t xml:space="preserve">”</w:t>
      </w:r>
      <w:r>
        <w:t xml:space="preserve">) represents a</w:t>
      </w:r>
      <w:r>
        <w:t xml:space="preserve"> </w:t>
      </w:r>
      <w:r>
        <w:t xml:space="preserve">“</w:t>
      </w:r>
      <w:r>
        <w:t xml:space="preserve">comprehensive information security program.</w:t>
      </w:r>
      <w:r>
        <w:t xml:space="preserve">”</w:t>
      </w:r>
      <w:r>
        <w:t xml:space="preserve"> </w:t>
      </w:r>
      <w:r>
        <w:t xml:space="preserve">The Incident Response Log (Entry 9) discloses that, before the breach, VPN MFA was optional (now mandatory) and DevOps service accounts had overly permissive broad read-access to the production database (now tightened). These pre-breach conditions are difficult to reconcile with the</w:t>
      </w:r>
      <w:r>
        <w:t xml:space="preserve"> </w:t>
      </w:r>
      <w:r>
        <w:t xml:space="preserve">“</w:t>
      </w:r>
      <w:r>
        <w:t xml:space="preserve">comprehensive program</w:t>
      </w:r>
      <w:r>
        <w:t xml:space="preserve">”</w:t>
      </w:r>
      <w:r>
        <w:t xml:space="preserve"> </w:t>
      </w:r>
      <w:r>
        <w:t xml:space="preserve">representation and, if GLBA applies (see K), with the Safeguards Rule.</w:t>
      </w:r>
      <w:r>
        <w:t xml:space="preserve"> </w:t>
      </w:r>
      <w:r>
        <w:rPr>
          <w:i/>
          <w:iCs/>
        </w:rPr>
        <w:t xml:space="preserve">Risk: High.</w:t>
      </w:r>
      <w:r>
        <w:t xml:space="preserve"> </w:t>
      </w:r>
      <w:r>
        <w:rPr>
          <w:i/>
          <w:iCs/>
        </w:rPr>
        <w:t xml:space="preserve">Remediation: Strengthen and document the security program; align policy representations with actual controls.</w:t>
      </w:r>
    </w:p>
    <w:p>
      <w:pPr>
        <w:pStyle w:val="BodyText"/>
      </w:pPr>
      <w:r>
        <w:rPr>
          <w:b/>
          <w:bCs/>
        </w:rPr>
        <w:t xml:space="preserve">J.13 — Low credit-monitoring enrollment undermines remediation effectiveness.</w:t>
      </w:r>
      <w:r>
        <w:t xml:space="preserve"> </w:t>
      </w:r>
      <w:r>
        <w:t xml:space="preserve">Entry 14 records a credit-monitoring enrollment rate of approximately 12% (~10,080 of 84,000 affected users) as of October 11, 2024. While not itself a legal violation, the low uptake means the principal consumer remedy for the exposed sensitive financial data (last-four SSN + transaction histories) reached only a small fraction of affected users, increasing residual harm and potential damages exposure.</w:t>
      </w:r>
      <w:r>
        <w:t xml:space="preserve"> </w:t>
      </w:r>
      <w:r>
        <w:rPr>
          <w:i/>
          <w:iCs/>
        </w:rPr>
        <w:t xml:space="preserve">Risk: Lower.</w:t>
      </w:r>
      <w:r>
        <w:t xml:space="preserve"> </w:t>
      </w:r>
      <w:r>
        <w:rPr>
          <w:i/>
          <w:iCs/>
        </w:rPr>
        <w:t xml:space="preserve">Remediation: Re-notify and promote enrollment; extend the enrollment window; track uptake.</w:t>
      </w:r>
    </w:p>
    <w:bookmarkEnd w:id="33"/>
    <w:bookmarkStart w:id="34" w:name="X6a7781f1d87b1b2575e02a3ac3e3c97159a962c"/>
    <w:p>
      <w:pPr>
        <w:pStyle w:val="Heading3"/>
      </w:pPr>
      <w:r>
        <w:t xml:space="preserve">K. Gramm-Leach-Bliley Act and FCRA Applicability</w:t>
      </w:r>
    </w:p>
    <w:p>
      <w:pPr>
        <w:pStyle w:val="FirstParagraph"/>
      </w:pPr>
      <w:r>
        <w:rPr>
          <w:b/>
          <w:bCs/>
        </w:rPr>
        <w:t xml:space="preserve">K.1 — Vaultline may qualify as a GLBA</w:t>
      </w:r>
      <w:r>
        <w:rPr>
          <w:b/>
          <w:bCs/>
        </w:rPr>
        <w:t xml:space="preserve"> </w:t>
      </w:r>
      <w:r>
        <w:rPr>
          <w:b/>
          <w:bCs/>
        </w:rPr>
        <w:t xml:space="preserve">“</w:t>
      </w:r>
      <w:r>
        <w:rPr>
          <w:b/>
          <w:bCs/>
        </w:rPr>
        <w:t xml:space="preserve">financial institution</w:t>
      </w:r>
      <w:r>
        <w:rPr>
          <w:b/>
          <w:bCs/>
        </w:rPr>
        <w:t xml:space="preserve">”</w:t>
      </w:r>
      <w:r>
        <w:rPr>
          <w:b/>
          <w:bCs/>
        </w:rPr>
        <w:t xml:space="preserve">; no GLBA disclosures exist.</w:t>
      </w:r>
      <w:r>
        <w:t xml:space="preserve"> </w:t>
      </w:r>
      <w:r>
        <w:t xml:space="preserve">The investor email (§4) flags that Vaultline’s aggregation, analysis, and monetization of consumer financial data, plus financial-product referrals for fees, may make it</w:t>
      </w:r>
      <w:r>
        <w:t xml:space="preserve"> </w:t>
      </w:r>
      <w:r>
        <w:t xml:space="preserve">“</w:t>
      </w:r>
      <w:r>
        <w:t xml:space="preserve">significantly engaged</w:t>
      </w:r>
      <w:r>
        <w:t xml:space="preserve">”</w:t>
      </w:r>
      <w:r>
        <w:t xml:space="preserve"> </w:t>
      </w:r>
      <w:r>
        <w:t xml:space="preserve">in financial activities under 15 U.S.C. § 6809(3). If the GLBA applies, Vaultline must provide initial and annual privacy notices and an opt-out of sharing nonpublic personal information with non-affiliated third parties (Regulation P, 16 C.F.R. Part 313). The Privacy Policy contains no GLBA disclosures and no financial-data opt-out.</w:t>
      </w:r>
      <w:r>
        <w:t xml:space="preserve"> </w:t>
      </w:r>
      <w:r>
        <w:rPr>
          <w:i/>
          <w:iCs/>
        </w:rPr>
        <w:t xml:space="preserve">Risk: High.</w:t>
      </w:r>
      <w:r>
        <w:t xml:space="preserve"> </w:t>
      </w:r>
      <w:r>
        <w:rPr>
          <w:i/>
          <w:iCs/>
        </w:rPr>
        <w:t xml:space="preserve">Remediation: Obtain a definitive GLBA characterization; if applicable, implement GLBA notices and opt-out.</w:t>
      </w:r>
    </w:p>
    <w:p>
      <w:pPr>
        <w:pStyle w:val="BodyText"/>
      </w:pPr>
      <w:r>
        <w:rPr>
          <w:b/>
          <w:bCs/>
        </w:rPr>
        <w:t xml:space="preserve">K.2 — The company’s own inventory flags GLBA for financial data, yet the policy is silent.</w:t>
      </w:r>
      <w:r>
        <w:t xml:space="preserve"> </w:t>
      </w:r>
      <w:r>
        <w:t xml:space="preserve">The Data Categories tab lists</w:t>
      </w:r>
      <w:r>
        <w:t xml:space="preserve"> </w:t>
      </w:r>
      <w:r>
        <w:t xml:space="preserve">“</w:t>
      </w:r>
      <w:r>
        <w:t xml:space="preserve">GLBA</w:t>
      </w:r>
      <w:r>
        <w:t xml:space="preserve">”</w:t>
      </w:r>
      <w:r>
        <w:t xml:space="preserve"> </w:t>
      </w:r>
      <w:r>
        <w:t xml:space="preserve">as an applicable regulation for DC-003 (SSN last four), DC-004 (financial account information), DC-005 (transaction history), DC-006 (income data), and DC-007 (credit score). The Privacy Policy makes no GLBA disclosure of any kind — a direct cross-document gap.</w:t>
      </w:r>
      <w:r>
        <w:t xml:space="preserve"> </w:t>
      </w:r>
      <w:r>
        <w:rPr>
          <w:i/>
          <w:iCs/>
        </w:rPr>
        <w:t xml:space="preserve">Risk: High.</w:t>
      </w:r>
      <w:r>
        <w:t xml:space="preserve"> </w:t>
      </w:r>
      <w:r>
        <w:rPr>
          <w:i/>
          <w:iCs/>
        </w:rPr>
        <w:t xml:space="preserve">Remediation: Reconcile the inventory’s GLBA flag with the policy’s silence; resolve the characterization.</w:t>
      </w:r>
    </w:p>
    <w:p>
      <w:pPr>
        <w:pStyle w:val="BodyText"/>
      </w:pPr>
      <w:r>
        <w:rPr>
          <w:b/>
          <w:bCs/>
        </w:rPr>
        <w:t xml:space="preserve">K.3 — GLBA Safeguards Rule exposure.</w:t>
      </w:r>
      <w:r>
        <w:t xml:space="preserve"> </w:t>
      </w:r>
      <w:r>
        <w:t xml:space="preserve">If the GLBA applies, the Safeguards Rule (16 C.F.R. Part 314) requires a comprehensive information security program. The August 2024 breach (phishing-compromised credential, optional VPN MFA, overly permissive access) raises questions about safeguards adequacy.</w:t>
      </w:r>
      <w:r>
        <w:t xml:space="preserve"> </w:t>
      </w:r>
      <w:r>
        <w:rPr>
          <w:i/>
          <w:iCs/>
        </w:rPr>
        <w:t xml:space="preserve">Risk: High.</w:t>
      </w:r>
      <w:r>
        <w:t xml:space="preserve"> </w:t>
      </w:r>
      <w:r>
        <w:rPr>
          <w:i/>
          <w:iCs/>
        </w:rPr>
        <w:t xml:space="preserve">Remediation: Assess Safeguards Rule compliance; remediate the control gaps identified in the breach log.</w:t>
      </w:r>
    </w:p>
    <w:p>
      <w:pPr>
        <w:pStyle w:val="BodyText"/>
      </w:pPr>
      <w:r>
        <w:rPr>
          <w:b/>
          <w:bCs/>
        </w:rPr>
        <w:t xml:space="preserve">K.4 — FCRA applicability for credit-score retrieval and credit-offer targeting.</w:t>
      </w:r>
      <w:r>
        <w:t xml:space="preserve"> </w:t>
      </w:r>
      <w:r>
        <w:t xml:space="preserve">The Data Categories tab lists</w:t>
      </w:r>
      <w:r>
        <w:t xml:space="preserve"> </w:t>
      </w:r>
      <w:r>
        <w:t xml:space="preserve">“</w:t>
      </w:r>
      <w:r>
        <w:t xml:space="preserve">FCRA</w:t>
      </w:r>
      <w:r>
        <w:t xml:space="preserve">”</w:t>
      </w:r>
      <w:r>
        <w:t xml:space="preserve"> </w:t>
      </w:r>
      <w:r>
        <w:t xml:space="preserve">as an applicable regulation for DC-007 (credit score obtained via soft inquiry from a consumer reporting agency), and PA-006 (Credit Score Retrieval) pulls credit scores for ~2,100,000 users. Separately, Smart Insights (PA-003) uses that credit-score data to gate credit-product offer visibility (see E.5). The Privacy Policy does not address FCRA obligations (e.g., permissible purpose, adverse-action notice, user-authorization scope).</w:t>
      </w:r>
      <w:r>
        <w:t xml:space="preserve"> </w:t>
      </w:r>
      <w:r>
        <w:rPr>
          <w:i/>
          <w:iCs/>
        </w:rPr>
        <w:t xml:space="preserve">Risk: High.</w:t>
      </w:r>
      <w:r>
        <w:t xml:space="preserve"> </w:t>
      </w:r>
      <w:r>
        <w:rPr>
          <w:i/>
          <w:iCs/>
        </w:rPr>
        <w:t xml:space="preserve">Remediation: Obtain a definitive FCRA characterization; if consumer-report information is used for credit eligibility decisions, implement adverse-action notices and permissible-purpose controls; disclose.</w:t>
      </w:r>
    </w:p>
    <w:bookmarkEnd w:id="34"/>
    <w:bookmarkStart w:id="35" w:name="l.-cookies-tracking-and-eprivacy"/>
    <w:p>
      <w:pPr>
        <w:pStyle w:val="Heading3"/>
      </w:pPr>
      <w:r>
        <w:t xml:space="preserve">L. Cookies, Tracking, and ePrivacy</w:t>
      </w:r>
    </w:p>
    <w:p>
      <w:pPr>
        <w:pStyle w:val="FirstParagraph"/>
      </w:pPr>
      <w:r>
        <w:rPr>
          <w:b/>
          <w:bCs/>
        </w:rPr>
        <w:t xml:space="preserve">L.1 — 34 cookies deployed; 29 are third-party advertising/tracking cookies.</w:t>
      </w:r>
      <w:r>
        <w:t xml:space="preserve"> </w:t>
      </w:r>
      <w:r>
        <w:t xml:space="preserve">The Cookie Inventory tab identifies 34 cookies: 2 strictly necessary, 2 functional, 1 analytics, and 29 advertising/tracking (4 Brightly + 25 other third-party ad networks, exchanges, DMPs, and identity-resolution vendors).</w:t>
      </w:r>
      <w:r>
        <w:t xml:space="preserve"> </w:t>
      </w:r>
      <w:r>
        <w:rPr>
          <w:i/>
          <w:iCs/>
        </w:rPr>
        <w:t xml:space="preserve">Risk: High.</w:t>
      </w:r>
      <w:r>
        <w:t xml:space="preserve"> </w:t>
      </w:r>
      <w:r>
        <w:rPr>
          <w:i/>
          <w:iCs/>
        </w:rPr>
        <w:t xml:space="preserve">Remediation: Audit and reduce third-party tracking; map each to a lawful basis/consent.</w:t>
      </w:r>
    </w:p>
    <w:p>
      <w:pPr>
        <w:pStyle w:val="BodyText"/>
      </w:pPr>
      <w:r>
        <w:rPr>
          <w:b/>
          <w:bCs/>
        </w:rPr>
        <w:t xml:space="preserve">L.2 — Cookie consent banner is</w:t>
      </w:r>
      <w:r>
        <w:rPr>
          <w:b/>
          <w:bCs/>
        </w:rPr>
        <w:t xml:space="preserve"> </w:t>
      </w:r>
      <w:r>
        <w:rPr>
          <w:b/>
          <w:bCs/>
        </w:rPr>
        <w:t xml:space="preserve">“</w:t>
      </w:r>
      <w:r>
        <w:rPr>
          <w:b/>
          <w:bCs/>
        </w:rPr>
        <w:t xml:space="preserve">Accept All</w:t>
      </w:r>
      <w:r>
        <w:rPr>
          <w:b/>
          <w:bCs/>
        </w:rPr>
        <w:t xml:space="preserve">”</w:t>
      </w:r>
      <w:r>
        <w:rPr>
          <w:b/>
          <w:bCs/>
        </w:rPr>
        <w:t xml:space="preserve"> </w:t>
      </w:r>
      <w:r>
        <w:rPr>
          <w:b/>
          <w:bCs/>
        </w:rPr>
        <w:t xml:space="preserve">only.</w:t>
      </w:r>
      <w:r>
        <w:t xml:space="preserve"> </w:t>
      </w:r>
      <w:r>
        <w:t xml:space="preserve">The Cookie Inventory tab states the banner provides only an</w:t>
      </w:r>
      <w:r>
        <w:t xml:space="preserve"> </w:t>
      </w:r>
      <w:r>
        <w:t xml:space="preserve">“</w:t>
      </w:r>
      <w:r>
        <w:t xml:space="preserve">Accept All</w:t>
      </w:r>
      <w:r>
        <w:t xml:space="preserve">”</w:t>
      </w:r>
      <w:r>
        <w:t xml:space="preserve"> </w:t>
      </w:r>
      <w:r>
        <w:t xml:space="preserve">button, with no reject option, no customize/manage-preferences option, and no granular category consent.</w:t>
      </w:r>
      <w:r>
        <w:t xml:space="preserve"> </w:t>
      </w:r>
      <w:r>
        <w:rPr>
          <w:i/>
          <w:iCs/>
        </w:rPr>
        <w:t xml:space="preserve">Risk: High.</w:t>
      </w:r>
      <w:r>
        <w:t xml:space="preserve"> </w:t>
      </w:r>
      <w:r>
        <w:rPr>
          <w:i/>
          <w:iCs/>
        </w:rPr>
        <w:t xml:space="preserve">Remediation: Implement a consent management platform with reject and granular options.</w:t>
      </w:r>
    </w:p>
    <w:p>
      <w:pPr>
        <w:pStyle w:val="BodyText"/>
      </w:pPr>
      <w:r>
        <w:rPr>
          <w:b/>
          <w:bCs/>
        </w:rPr>
        <w:t xml:space="preserve">L.3 — Cookies fire before consent.</w:t>
      </w:r>
      <w:r>
        <w:t xml:space="preserve"> </w:t>
      </w:r>
      <w:r>
        <w:t xml:space="preserve">The Cookie Inventory tab states</w:t>
      </w:r>
      <w:r>
        <w:t xml:space="preserve"> </w:t>
      </w:r>
      <w:r>
        <w:t xml:space="preserve">“</w:t>
      </w:r>
      <w:r>
        <w:t xml:space="preserve">all cookies fire on page load regardless of banner interaction.</w:t>
      </w:r>
      <w:r>
        <w:t xml:space="preserve">”</w:t>
      </w:r>
      <w:r>
        <w:t xml:space="preserve"> </w:t>
      </w:r>
      <w:r>
        <w:rPr>
          <w:i/>
          <w:iCs/>
        </w:rPr>
        <w:t xml:space="preserve">Risk: Critical (for EU users).</w:t>
      </w:r>
      <w:r>
        <w:t xml:space="preserve"> </w:t>
      </w:r>
      <w:r>
        <w:rPr>
          <w:i/>
          <w:iCs/>
        </w:rPr>
        <w:t xml:space="preserve">Remediation: Block non-essential cookies until consent is given.</w:t>
      </w:r>
    </w:p>
    <w:p>
      <w:pPr>
        <w:pStyle w:val="BodyText"/>
      </w:pPr>
      <w:r>
        <w:rPr>
          <w:b/>
          <w:bCs/>
        </w:rPr>
        <w:t xml:space="preserve">L.4 — ePrivacy/GDPR consent violation for EU users.</w:t>
      </w:r>
      <w:r>
        <w:t xml:space="preserve"> </w:t>
      </w:r>
      <w:r>
        <w:t xml:space="preserve">The Cookie Inventory tab concludes the banner</w:t>
      </w:r>
      <w:r>
        <w:t xml:space="preserve"> </w:t>
      </w:r>
      <w:r>
        <w:t xml:space="preserve">“</w:t>
      </w:r>
      <w:r>
        <w:t xml:space="preserve">violates the ePrivacy Directive requirement for freely given, specific, and informed consent</w:t>
      </w:r>
      <w:r>
        <w:t xml:space="preserve">”</w:t>
      </w:r>
      <w:r>
        <w:t xml:space="preserve"> </w:t>
      </w:r>
      <w:r>
        <w:t xml:space="preserve">and</w:t>
      </w:r>
      <w:r>
        <w:t xml:space="preserve"> </w:t>
      </w:r>
      <w:r>
        <w:t xml:space="preserve">“</w:t>
      </w:r>
      <w:r>
        <w:t xml:space="preserve">does not meet GDPR consent standards (Art. 4(11)).</w:t>
      </w:r>
      <w:r>
        <w:t xml:space="preserve">”</w:t>
      </w:r>
      <w:r>
        <w:t xml:space="preserve"> </w:t>
      </w:r>
      <w:r>
        <w:t xml:space="preserve">With ~23,000 EU users plus unknown website visitors and an imminent EU launch, this is acute.</w:t>
      </w:r>
      <w:r>
        <w:t xml:space="preserve"> </w:t>
      </w:r>
      <w:r>
        <w:rPr>
          <w:i/>
          <w:iCs/>
        </w:rPr>
        <w:t xml:space="preserve">Risk: Critical.</w:t>
      </w:r>
      <w:r>
        <w:t xml:space="preserve"> </w:t>
      </w:r>
      <w:r>
        <w:rPr>
          <w:i/>
          <w:iCs/>
        </w:rPr>
        <w:t xml:space="preserve">Remediation: Deploy a GDPR/ePrivacy-compliant consent banner before EU launch.</w:t>
      </w:r>
    </w:p>
    <w:p>
      <w:pPr>
        <w:pStyle w:val="BodyText"/>
      </w:pPr>
      <w:r>
        <w:rPr>
          <w:b/>
          <w:bCs/>
        </w:rPr>
        <w:t xml:space="preserve">L.5 — Privacy Policy cookie section does not disclose the specific cookies or partners.</w:t>
      </w:r>
      <w:r>
        <w:t xml:space="preserve"> </w:t>
      </w:r>
      <w:r>
        <w:t xml:space="preserve">The Privacy Policy’s</w:t>
      </w:r>
      <w:r>
        <w:t xml:space="preserve"> </w:t>
      </w:r>
      <w:r>
        <w:t xml:space="preserve">“</w:t>
      </w:r>
      <w:r>
        <w:t xml:space="preserve">Cookies and Tracking Technologies</w:t>
      </w:r>
      <w:r>
        <w:t xml:space="preserve">”</w:t>
      </w:r>
      <w:r>
        <w:t xml:space="preserve"> </w:t>
      </w:r>
      <w:r>
        <w:t xml:space="preserve">section refers generically to</w:t>
      </w:r>
      <w:r>
        <w:t xml:space="preserve"> </w:t>
      </w:r>
      <w:r>
        <w:t xml:space="preserve">“</w:t>
      </w:r>
      <w:r>
        <w:t xml:space="preserve">third-party analytics and advertising partners</w:t>
      </w:r>
      <w:r>
        <w:t xml:space="preserve">”</w:t>
      </w:r>
      <w:r>
        <w:t xml:space="preserve"> </w:t>
      </w:r>
      <w:r>
        <w:t xml:space="preserve">and advises users to adjust browser settings, but does not disclose the 29 third-party tracking cookies or the specific partners (e.g., AdNetwork Alpha through FinServAds Network).</w:t>
      </w:r>
      <w:r>
        <w:t xml:space="preserve"> </w:t>
      </w:r>
      <w:r>
        <w:rPr>
          <w:i/>
          <w:iCs/>
        </w:rPr>
        <w:t xml:space="preserve">Risk: Medium.</w:t>
      </w:r>
      <w:r>
        <w:t xml:space="preserve"> </w:t>
      </w:r>
      <w:r>
        <w:rPr>
          <w:i/>
          <w:iCs/>
        </w:rPr>
        <w:t xml:space="preserve">Remediation: Disclose cookie categories and key partners; link to a cookie table.</w:t>
      </w:r>
    </w:p>
    <w:p>
      <w:pPr>
        <w:pStyle w:val="BodyText"/>
      </w:pPr>
      <w:r>
        <w:rPr>
          <w:b/>
          <w:bCs/>
        </w:rPr>
        <w:t xml:space="preserve">L.6 — Cookie consent banner implemented October 2021 and never reviewed.</w:t>
      </w:r>
      <w:r>
        <w:t xml:space="preserve"> </w:t>
      </w:r>
      <w:r>
        <w:t xml:space="preserve">The Cookie Inventory tab records the banner</w:t>
      </w:r>
      <w:r>
        <w:t xml:space="preserve"> </w:t>
      </w:r>
      <w:r>
        <w:t xml:space="preserve">“</w:t>
      </w:r>
      <w:r>
        <w:t xml:space="preserve">Implementation Date: October 2021</w:t>
      </w:r>
      <w:r>
        <w:t xml:space="preserve">”</w:t>
      </w:r>
      <w:r>
        <w:t xml:space="preserve"> </w:t>
      </w:r>
      <w:r>
        <w:t xml:space="preserve">with</w:t>
      </w:r>
      <w:r>
        <w:t xml:space="preserve"> </w:t>
      </w:r>
      <w:r>
        <w:t xml:space="preserve">“</w:t>
      </w:r>
      <w:r>
        <w:t xml:space="preserve">Last Review: NaN</w:t>
      </w:r>
      <w:r>
        <w:t xml:space="preserve">”</w:t>
      </w:r>
      <w:r>
        <w:t xml:space="preserve"> </w:t>
      </w:r>
      <w:r>
        <w:t xml:space="preserve">(no review date). A consent mechanism that has not been reviewed in over three years — through the CPRA effective date, the DPF adequacy decision, and the planned EU launch — is stale and untested against current standards.</w:t>
      </w:r>
      <w:r>
        <w:t xml:space="preserve"> </w:t>
      </w:r>
      <w:r>
        <w:rPr>
          <w:i/>
          <w:iCs/>
        </w:rPr>
        <w:t xml:space="preserve">Risk: Lower.</w:t>
      </w:r>
      <w:r>
        <w:t xml:space="preserve"> </w:t>
      </w:r>
      <w:r>
        <w:rPr>
          <w:i/>
          <w:iCs/>
        </w:rPr>
        <w:t xml:space="preserve">Remediation: Establish a periodic consent-banner review cycle; review and update before EU launch.</w:t>
      </w:r>
    </w:p>
    <w:bookmarkEnd w:id="35"/>
    <w:bookmarkStart w:id="36" w:name="X2cc313965d6c8d23920928fea0a8deda76472c8"/>
    <w:p>
      <w:pPr>
        <w:pStyle w:val="Heading3"/>
      </w:pPr>
      <w:r>
        <w:t xml:space="preserve">M. Third-Party Sharing Disclosure Completeness</w:t>
      </w:r>
    </w:p>
    <w:p>
      <w:pPr>
        <w:pStyle w:val="FirstParagraph"/>
      </w:pPr>
      <w:r>
        <w:rPr>
          <w:b/>
          <w:bCs/>
        </w:rPr>
        <w:t xml:space="preserve">M.1 — Privacy Policy does not disclose categories of PI shared with each recipient.</w:t>
      </w:r>
      <w:r>
        <w:t xml:space="preserve"> </w:t>
      </w:r>
      <w:r>
        <w:t xml:space="preserve">CPRA requires disclosure of the categories of personal information disclosed to third parties for business/commercial purposes and the categories sold/shared. The Privacy Policy does not provide this by-recipient breakdown.</w:t>
      </w:r>
      <w:r>
        <w:t xml:space="preserve"> </w:t>
      </w:r>
      <w:r>
        <w:rPr>
          <w:i/>
          <w:iCs/>
        </w:rPr>
        <w:t xml:space="preserve">Risk: Medium.</w:t>
      </w:r>
      <w:r>
        <w:t xml:space="preserve"> </w:t>
      </w:r>
      <w:r>
        <w:rPr>
          <w:i/>
          <w:iCs/>
        </w:rPr>
        <w:t xml:space="preserve">Remediation: Add a by-recipient, by-category disclosure matrix.</w:t>
      </w:r>
    </w:p>
    <w:p>
      <w:pPr>
        <w:pStyle w:val="BodyText"/>
      </w:pPr>
      <w:r>
        <w:rPr>
          <w:b/>
          <w:bCs/>
        </w:rPr>
        <w:t xml:space="preserve">M.2 — Third-party credit bureau and Peregrine Audit Group not disclosed.</w:t>
      </w:r>
      <w:r>
        <w:t xml:space="preserve"> </w:t>
      </w:r>
      <w:r>
        <w:t xml:space="preserve">The Data Inventory (Third-Party Sharing TS-005, TS-006) lists a third-party credit bureau (receiving SSN last four, name, date of birth) and Peregrine Audit Group LLP (receiving financial records, aggregated user data, system access logs). Neither is named or described in the Privacy Policy.</w:t>
      </w:r>
      <w:r>
        <w:t xml:space="preserve"> </w:t>
      </w:r>
      <w:r>
        <w:rPr>
          <w:i/>
          <w:iCs/>
        </w:rPr>
        <w:t xml:space="preserve">Risk: Medium.</w:t>
      </w:r>
      <w:r>
        <w:t xml:space="preserve"> </w:t>
      </w:r>
      <w:r>
        <w:rPr>
          <w:i/>
          <w:iCs/>
        </w:rPr>
        <w:t xml:space="preserve">Remediation: Disclose these recipients and the data shared.</w:t>
      </w:r>
    </w:p>
    <w:p>
      <w:pPr>
        <w:pStyle w:val="BodyText"/>
      </w:pPr>
      <w:r>
        <w:rPr>
          <w:b/>
          <w:bCs/>
        </w:rPr>
        <w:t xml:space="preserve">M.3 — 14 partner financial-product referrals with referral fees are a potential</w:t>
      </w:r>
      <w:r>
        <w:rPr>
          <w:b/>
          <w:bCs/>
        </w:rPr>
        <w:t xml:space="preserve"> </w:t>
      </w:r>
      <w:r>
        <w:rPr>
          <w:b/>
          <w:bCs/>
        </w:rPr>
        <w:t xml:space="preserve">“</w:t>
      </w:r>
      <w:r>
        <w:rPr>
          <w:b/>
          <w:bCs/>
        </w:rPr>
        <w:t xml:space="preserve">sale.</w:t>
      </w:r>
      <w:r>
        <w:rPr>
          <w:b/>
          <w:bCs/>
        </w:rPr>
        <w:t xml:space="preserve">”</w:t>
      </w:r>
      <w:r>
        <w:t xml:space="preserve"> </w:t>
      </w:r>
      <w:r>
        <w:t xml:space="preserve">TS-003 classifies the 14 partner referrals as</w:t>
      </w:r>
      <w:r>
        <w:t xml:space="preserve"> </w:t>
      </w:r>
      <w:r>
        <w:t xml:space="preserve">“</w:t>
      </w:r>
      <w:r>
        <w:t xml:space="preserve">Business Purpose / potentially Sale (referral fee received),</w:t>
      </w:r>
      <w:r>
        <w:t xml:space="preserve">”</w:t>
      </w:r>
      <w:r>
        <w:t xml:space="preserve"> </w:t>
      </w:r>
      <w:r>
        <w:t xml:space="preserve">with data (name, email, age, income bracket, credit score range) shared on click-through for a referral fee. The Privacy Policy does not disclose this as a sale and provides no opt-out.</w:t>
      </w:r>
      <w:r>
        <w:t xml:space="preserve"> </w:t>
      </w:r>
      <w:r>
        <w:rPr>
          <w:i/>
          <w:iCs/>
        </w:rPr>
        <w:t xml:space="preserve">Risk: High.</w:t>
      </w:r>
      <w:r>
        <w:t xml:space="preserve"> </w:t>
      </w:r>
      <w:r>
        <w:rPr>
          <w:i/>
          <w:iCs/>
        </w:rPr>
        <w:t xml:space="preserve">Remediation: Assess sale characterization; disclose; provide opt-out.</w:t>
      </w:r>
    </w:p>
    <w:p>
      <w:pPr>
        <w:pStyle w:val="BodyText"/>
      </w:pPr>
      <w:r>
        <w:rPr>
          <w:b/>
          <w:bCs/>
        </w:rPr>
        <w:t xml:space="preserve">M.4 — Privacy Policy’s</w:t>
      </w:r>
      <w:r>
        <w:rPr>
          <w:b/>
          <w:bCs/>
        </w:rPr>
        <w:t xml:space="preserve"> </w:t>
      </w:r>
      <w:r>
        <w:rPr>
          <w:b/>
          <w:bCs/>
        </w:rPr>
        <w:t xml:space="preserve">“</w:t>
      </w:r>
      <w:r>
        <w:rPr>
          <w:b/>
          <w:bCs/>
        </w:rPr>
        <w:t xml:space="preserve">does not sell</w:t>
      </w:r>
      <w:r>
        <w:rPr>
          <w:b/>
          <w:bCs/>
        </w:rPr>
        <w:t xml:space="preserve">”</w:t>
      </w:r>
      <w:r>
        <w:rPr>
          <w:b/>
          <w:bCs/>
        </w:rPr>
        <w:t xml:space="preserve"> </w:t>
      </w:r>
      <w:r>
        <w:rPr>
          <w:b/>
          <w:bCs/>
        </w:rPr>
        <w:t xml:space="preserve">Nevada statement is potentially inaccurate.</w:t>
      </w:r>
      <w:r>
        <w:t xml:space="preserve"> </w:t>
      </w:r>
      <w:r>
        <w:t xml:space="preserve">The Privacy Policy (</w:t>
      </w:r>
      <w:r>
        <w:t xml:space="preserve">“</w:t>
      </w:r>
      <w:r>
        <w:t xml:space="preserve">Supplemental Disclosures</w:t>
      </w:r>
      <w:r>
        <w:t xml:space="preserve">”</w:t>
      </w:r>
      <w:r>
        <w:t xml:space="preserve">) states Vaultline</w:t>
      </w:r>
      <w:r>
        <w:t xml:space="preserve"> </w:t>
      </w:r>
      <w:r>
        <w:t xml:space="preserve">“</w:t>
      </w:r>
      <w:r>
        <w:t xml:space="preserve">does not currently engage in the sale of covered information as defined by Nevada Revised Statutes Chapter 603A.</w:t>
      </w:r>
      <w:r>
        <w:t xml:space="preserve">”</w:t>
      </w:r>
      <w:r>
        <w:t xml:space="preserve"> </w:t>
      </w:r>
      <w:r>
        <w:t xml:space="preserve">Given the Brightly revenue share (G.1) and partner referral fees (M.3), both of which the inventory characterizes as likely sales for monetary consideration, this statement may be inaccurate.</w:t>
      </w:r>
      <w:r>
        <w:t xml:space="preserve"> </w:t>
      </w:r>
      <w:r>
        <w:rPr>
          <w:i/>
          <w:iCs/>
        </w:rPr>
        <w:t xml:space="preserve">Risk: High.</w:t>
      </w:r>
      <w:r>
        <w:t xml:space="preserve"> </w:t>
      </w:r>
      <w:r>
        <w:rPr>
          <w:i/>
          <w:iCs/>
        </w:rPr>
        <w:t xml:space="preserve">Remediation: Reassess the</w:t>
      </w:r>
      <w:r>
        <w:rPr>
          <w:i/>
          <w:iCs/>
        </w:rPr>
        <w:t xml:space="preserve"> </w:t>
      </w:r>
      <w:r>
        <w:rPr>
          <w:i/>
          <w:iCs/>
        </w:rPr>
        <w:t xml:space="preserve">“</w:t>
      </w:r>
      <w:r>
        <w:rPr>
          <w:i/>
          <w:iCs/>
        </w:rPr>
        <w:t xml:space="preserve">does not sell</w:t>
      </w:r>
      <w:r>
        <w:rPr>
          <w:i/>
          <w:iCs/>
        </w:rPr>
        <w:t xml:space="preserve">”</w:t>
      </w:r>
      <w:r>
        <w:rPr>
          <w:i/>
          <w:iCs/>
        </w:rPr>
        <w:t xml:space="preserve"> </w:t>
      </w:r>
      <w:r>
        <w:rPr>
          <w:i/>
          <w:iCs/>
        </w:rPr>
        <w:t xml:space="preserve">representation; correct if inaccurate.</w:t>
      </w:r>
    </w:p>
    <w:p>
      <w:pPr>
        <w:pStyle w:val="BodyText"/>
      </w:pPr>
      <w:r>
        <w:rPr>
          <w:b/>
          <w:bCs/>
        </w:rPr>
        <w:t xml:space="preserve">M.5 — Privacy Policy’s service-provider representation is misleading as to Brightly.</w:t>
      </w:r>
      <w:r>
        <w:t xml:space="preserve"> </w:t>
      </w:r>
      <w:r>
        <w:t xml:space="preserve">The Privacy Policy states service providers are</w:t>
      </w:r>
      <w:r>
        <w:t xml:space="preserve"> </w:t>
      </w:r>
      <w:r>
        <w:t xml:space="preserve">“</w:t>
      </w:r>
      <w:r>
        <w:t xml:space="preserve">contractually obligated to use information shared with them solely for the purpose of performing the services.</w:t>
      </w:r>
      <w:r>
        <w:t xml:space="preserve">”</w:t>
      </w:r>
      <w:r>
        <w:t xml:space="preserve"> </w:t>
      </w:r>
      <w:r>
        <w:t xml:space="preserve">Brightly is an independent controller (DSA §4) with its own commercial purposes (cross-app advertising, audience-segment sale, perpetual derived-data retention), not a service provider so limited.</w:t>
      </w:r>
      <w:r>
        <w:t xml:space="preserve"> </w:t>
      </w:r>
      <w:r>
        <w:rPr>
          <w:i/>
          <w:iCs/>
        </w:rPr>
        <w:t xml:space="preserve">Risk: Medium.</w:t>
      </w:r>
      <w:r>
        <w:t xml:space="preserve"> </w:t>
      </w:r>
      <w:r>
        <w:rPr>
          <w:i/>
          <w:iCs/>
        </w:rPr>
        <w:t xml:space="preserve">Remediation: Correct the representation; distinguish service providers from independent controllers like Brightly.</w:t>
      </w:r>
    </w:p>
    <w:bookmarkEnd w:id="36"/>
    <w:bookmarkStart w:id="37" w:name="n.-consent-mechanism-browsewrap"/>
    <w:p>
      <w:pPr>
        <w:pStyle w:val="Heading3"/>
      </w:pPr>
      <w:r>
        <w:t xml:space="preserve">N. Consent Mechanism (Browsewrap)</w:t>
      </w:r>
    </w:p>
    <w:p>
      <w:pPr>
        <w:pStyle w:val="FirstParagraph"/>
      </w:pPr>
      <w:r>
        <w:rPr>
          <w:b/>
          <w:bCs/>
        </w:rPr>
        <w:t xml:space="preserve">N.1 — Browsewrap is the sole consent mechanism for all processing.</w:t>
      </w:r>
      <w:r>
        <w:t xml:space="preserve"> </w:t>
      </w:r>
      <w:r>
        <w:t xml:space="preserve">The Processing Activities tab lists</w:t>
      </w:r>
      <w:r>
        <w:t xml:space="preserve"> </w:t>
      </w:r>
      <w:r>
        <w:t xml:space="preserve">“</w:t>
      </w:r>
      <w:r>
        <w:t xml:space="preserve">Consent (browsewrap — app usage)</w:t>
      </w:r>
      <w:r>
        <w:t xml:space="preserve">”</w:t>
      </w:r>
      <w:r>
        <w:t xml:space="preserve"> </w:t>
      </w:r>
      <w:r>
        <w:t xml:space="preserve">for every activity, and the Privacy Policy makes continued use the consent trigger. This is insufficient for GDPR consent (D.7), for CPRA opt-in for sensitive-PI use and sale/sharing of minors’ data, and for biometric explicit consent (B.2, B.7).</w:t>
      </w:r>
      <w:r>
        <w:t xml:space="preserve"> </w:t>
      </w:r>
      <w:r>
        <w:rPr>
          <w:i/>
          <w:iCs/>
        </w:rPr>
        <w:t xml:space="preserve">Risk: High.</w:t>
      </w:r>
      <w:r>
        <w:t xml:space="preserve"> </w:t>
      </w:r>
      <w:r>
        <w:rPr>
          <w:i/>
          <w:iCs/>
        </w:rPr>
        <w:t xml:space="preserve">Remediation: Implement layered, purpose-specific, opt-in consent; retire browsewrap as the sole mechanism.</w:t>
      </w:r>
    </w:p>
    <w:bookmarkEnd w:id="37"/>
    <w:bookmarkStart w:id="38" w:name="X8ce537510b4f4ad650890d626649c5e39daafa7"/>
    <w:p>
      <w:pPr>
        <w:pStyle w:val="Heading3"/>
      </w:pPr>
      <w:r>
        <w:t xml:space="preserve">O. Privacy Policy Readability, Format, Governing Law, and State-Law Coverage</w:t>
      </w:r>
    </w:p>
    <w:p>
      <w:pPr>
        <w:pStyle w:val="FirstParagraph"/>
      </w:pPr>
      <w:r>
        <w:rPr>
          <w:b/>
          <w:bCs/>
        </w:rPr>
        <w:t xml:space="preserve">O.1 — Readability and format concerns.</w:t>
      </w:r>
      <w:r>
        <w:t xml:space="preserve"> </w:t>
      </w:r>
      <w:r>
        <w:t xml:space="preserve">The investor email (§1) reports the published policy is approximately 9,200 words of dense prose with an estimated Flesch-Kincaid grade level of ~18.2 (post-graduate), no table of contents, and no layered disclosure structure, raising FTC</w:t>
      </w:r>
      <w:r>
        <w:t xml:space="preserve"> </w:t>
      </w:r>
      <w:r>
        <w:t xml:space="preserve">“</w:t>
      </w:r>
      <w:r>
        <w:t xml:space="preserve">clear and conspicuous</w:t>
      </w:r>
      <w:r>
        <w:t xml:space="preserve">”</w:t>
      </w:r>
      <w:r>
        <w:t xml:space="preserve"> </w:t>
      </w:r>
      <w:r>
        <w:t xml:space="preserve">concerns. The source document contains section headings, but each section is a single dense block paragraph, supporting the navigability concern.</w:t>
      </w:r>
      <w:r>
        <w:t xml:space="preserve"> </w:t>
      </w:r>
      <w:r>
        <w:rPr>
          <w:i/>
          <w:iCs/>
        </w:rPr>
        <w:t xml:space="preserve">Risk: Medium.</w:t>
      </w:r>
      <w:r>
        <w:t xml:space="preserve"> </w:t>
      </w:r>
      <w:r>
        <w:rPr>
          <w:i/>
          <w:iCs/>
        </w:rPr>
        <w:t xml:space="preserve">Remediation: Restructure with a layered format (short summary + detailed sections), headings, and a table of contents; lower reading level.</w:t>
      </w:r>
    </w:p>
    <w:p>
      <w:pPr>
        <w:pStyle w:val="BodyText"/>
      </w:pPr>
      <w:r>
        <w:rPr>
          <w:b/>
          <w:bCs/>
        </w:rPr>
        <w:t xml:space="preserve">O.2 — Incomplete state-law coverage.</w:t>
      </w:r>
      <w:r>
        <w:t xml:space="preserve"> </w:t>
      </w:r>
      <w:r>
        <w:t xml:space="preserve">The Privacy Policy’s</w:t>
      </w:r>
      <w:r>
        <w:t xml:space="preserve"> </w:t>
      </w:r>
      <w:r>
        <w:t xml:space="preserve">“</w:t>
      </w:r>
      <w:r>
        <w:t xml:space="preserve">Supplemental Disclosures</w:t>
      </w:r>
      <w:r>
        <w:t xml:space="preserve">”</w:t>
      </w:r>
      <w:r>
        <w:t xml:space="preserve"> </w:t>
      </w:r>
      <w:r>
        <w:t xml:space="preserve">addresses California, Nevada, Virginia, Colorado, and Connecticut, but omits other states with comprehensive privacy laws effective 2023–2025 (e.g., Utah, Iowa, Indiana, Tennessee, Montana, Oregon, Delaware, New Jersey, New Hampshire) despite a nationwide user base of 3,800,000.</w:t>
      </w:r>
      <w:r>
        <w:t xml:space="preserve"> </w:t>
      </w:r>
      <w:r>
        <w:rPr>
          <w:i/>
          <w:iCs/>
        </w:rPr>
        <w:t xml:space="preserve">Risk: Medium.</w:t>
      </w:r>
      <w:r>
        <w:t xml:space="preserve"> </w:t>
      </w:r>
      <w:r>
        <w:rPr>
          <w:i/>
          <w:iCs/>
        </w:rPr>
        <w:t xml:space="preserve">Remediation: Add disclosures for all applicable state privacy laws based on user geography.</w:t>
      </w:r>
    </w:p>
    <w:p>
      <w:pPr>
        <w:pStyle w:val="BodyText"/>
      </w:pPr>
      <w:r>
        <w:rPr>
          <w:b/>
          <w:bCs/>
        </w:rPr>
        <w:t xml:space="preserve">O.3 — Response-timeline mismatch with GDPR.</w:t>
      </w:r>
      <w:r>
        <w:t xml:space="preserve"> </w:t>
      </w:r>
      <w:r>
        <w:t xml:space="preserve">The Privacy Policy (</w:t>
      </w:r>
      <w:r>
        <w:t xml:space="preserve">“</w:t>
      </w:r>
      <w:r>
        <w:t xml:space="preserve">Contact Us</w:t>
      </w:r>
      <w:r>
        <w:t xml:space="preserve">”</w:t>
      </w:r>
      <w:r>
        <w:t xml:space="preserve">) states inquiries are answered</w:t>
      </w:r>
      <w:r>
        <w:t xml:space="preserve"> </w:t>
      </w:r>
      <w:r>
        <w:t xml:space="preserve">“</w:t>
      </w:r>
      <w:r>
        <w:t xml:space="preserve">typically within thirty business days.</w:t>
      </w:r>
      <w:r>
        <w:t xml:space="preserve">”</w:t>
      </w:r>
      <w:r>
        <w:t xml:space="preserve"> </w:t>
      </w:r>
      <w:r>
        <w:t xml:space="preserve">Thirty business days approximates 42 calendar days, exceeding the GDPR Art. 12(3) one-month deadline (extendable only with notice for complex requests).</w:t>
      </w:r>
      <w:r>
        <w:t xml:space="preserve"> </w:t>
      </w:r>
      <w:r>
        <w:rPr>
          <w:i/>
          <w:iCs/>
        </w:rPr>
        <w:t xml:space="preserve">Risk: Medium.</w:t>
      </w:r>
      <w:r>
        <w:t xml:space="preserve"> </w:t>
      </w:r>
      <w:r>
        <w:rPr>
          <w:i/>
          <w:iCs/>
        </w:rPr>
        <w:t xml:space="preserve">Remediation: Commit to a one-month response for GDPR requests; conform the stated timeline.</w:t>
      </w:r>
    </w:p>
    <w:p>
      <w:pPr>
        <w:pStyle w:val="BodyText"/>
      </w:pPr>
      <w:r>
        <w:rPr>
          <w:b/>
          <w:bCs/>
        </w:rPr>
        <w:t xml:space="preserve">O.4 — Texas governing law and exclusive Travis County forum inconsistent with EU data-subject rights.</w:t>
      </w:r>
      <w:r>
        <w:t xml:space="preserve"> </w:t>
      </w:r>
      <w:r>
        <w:t xml:space="preserve">The Privacy Policy (</w:t>
      </w:r>
      <w:r>
        <w:t xml:space="preserve">“</w:t>
      </w:r>
      <w:r>
        <w:t xml:space="preserve">Additional Legal Provisions</w:t>
      </w:r>
      <w:r>
        <w:t xml:space="preserve">”</w:t>
      </w:r>
      <w:r>
        <w:t xml:space="preserve">) mandates Texas governing law and the</w:t>
      </w:r>
      <w:r>
        <w:t xml:space="preserve"> </w:t>
      </w:r>
      <w:r>
        <w:t xml:space="preserve">“</w:t>
      </w:r>
      <w:r>
        <w:t xml:space="preserve">exclusive jurisdiction of the state and federal courts located in Travis County, Texas,</w:t>
      </w:r>
      <w:r>
        <w:t xml:space="preserve">”</w:t>
      </w:r>
      <w:r>
        <w:t xml:space="preserve"> </w:t>
      </w:r>
      <w:r>
        <w:t xml:space="preserve">with users deemed to</w:t>
      </w:r>
      <w:r>
        <w:t xml:space="preserve"> </w:t>
      </w:r>
      <w:r>
        <w:t xml:space="preserve">“</w:t>
      </w:r>
      <w:r>
        <w:t xml:space="preserve">consent to the personal jurisdiction and venue of such courts and waive any objection based upon inconvenient forum.</w:t>
      </w:r>
      <w:r>
        <w:t xml:space="preserve">”</w:t>
      </w:r>
      <w:r>
        <w:t xml:space="preserve"> </w:t>
      </w:r>
      <w:r>
        <w:t xml:space="preserve">For EU users, a U.S.-only forum and choice of law conflict with the GDPR right to lodge a complaint with a supervisory authority (Art. 13(2)(d), which the EU Processing Summary confirms is not disclosed) and with EU consumer-protection rules that preserve consumers’ home-jurisdiction rights.</w:t>
      </w:r>
      <w:r>
        <w:t xml:space="preserve"> </w:t>
      </w:r>
      <w:r>
        <w:rPr>
          <w:i/>
          <w:iCs/>
        </w:rPr>
        <w:t xml:space="preserve">Risk: Medium.</w:t>
      </w:r>
      <w:r>
        <w:t xml:space="preserve"> </w:t>
      </w:r>
      <w:r>
        <w:rPr>
          <w:i/>
          <w:iCs/>
        </w:rPr>
        <w:t xml:space="preserve">Remediation: Add an EU-specific dispute/complaint pathway; preserve EU data subjects’ rights to local supervisory-authority complaints; reconcile the forum clause for EU users.</w:t>
      </w:r>
    </w:p>
    <w:p>
      <w:pPr>
        <w:pStyle w:val="BodyText"/>
      </w:pPr>
      <w:r>
        <w:rPr>
          <w:b/>
          <w:bCs/>
        </w:rPr>
        <w:t xml:space="preserve">O.5 — Privacy Policy disclaims contractual effect, undermining the notice/consent framework.</w:t>
      </w:r>
      <w:r>
        <w:t xml:space="preserve"> </w:t>
      </w:r>
      <w:r>
        <w:t xml:space="preserve">The Privacy Policy (</w:t>
      </w:r>
      <w:r>
        <w:t xml:space="preserve">“</w:t>
      </w:r>
      <w:r>
        <w:t xml:space="preserve">Additional Legal Provisions</w:t>
      </w:r>
      <w:r>
        <w:t xml:space="preserve">”</w:t>
      </w:r>
      <w:r>
        <w:t xml:space="preserve">) states it</w:t>
      </w:r>
      <w:r>
        <w:t xml:space="preserve"> </w:t>
      </w:r>
      <w:r>
        <w:t xml:space="preserve">“</w:t>
      </w:r>
      <w:r>
        <w:t xml:space="preserve">does not create any contractual or other legal right in or on behalf of any party, nor does it constitute a contract between Vaultline and any user.</w:t>
      </w:r>
      <w:r>
        <w:t xml:space="preserve">”</w:t>
      </w:r>
      <w:r>
        <w:t xml:space="preserve"> </w:t>
      </w:r>
      <w:r>
        <w:t xml:space="preserve">A non-contractual notice weakens the enforceability of the representations on which the DSA §7.1(b) consistency representation relies (see G.16) and complicates any reliance on the policy as the basis for</w:t>
      </w:r>
      <w:r>
        <w:t xml:space="preserve"> </w:t>
      </w:r>
      <w:r>
        <w:t xml:space="preserve">“</w:t>
      </w:r>
      <w:r>
        <w:t xml:space="preserve">consent.</w:t>
      </w:r>
      <w:r>
        <w:t xml:space="preserve">”</w:t>
      </w:r>
      <w:r>
        <w:t xml:space="preserve"> </w:t>
      </w:r>
      <w:r>
        <w:rPr>
          <w:i/>
          <w:iCs/>
        </w:rPr>
        <w:t xml:space="preserve">Risk: Medium.</w:t>
      </w:r>
      <w:r>
        <w:t xml:space="preserve"> </w:t>
      </w:r>
      <w:r>
        <w:rPr>
          <w:i/>
          <w:iCs/>
        </w:rPr>
        <w:t xml:space="preserve">Remediation: Reconcile the non-contractual disclaimer with the consent and third-party-consistency representations; clarify the policy’s legal status.</w:t>
      </w:r>
    </w:p>
    <w:bookmarkEnd w:id="38"/>
    <w:bookmarkStart w:id="39" w:name="Xd425ca6c58e5a96c53fd69262b3385e8b817324"/>
    <w:p>
      <w:pPr>
        <w:pStyle w:val="Heading3"/>
      </w:pPr>
      <w:r>
        <w:t xml:space="preserve">P. Investor Diligence Implications and Timeline</w:t>
      </w:r>
    </w:p>
    <w:p>
      <w:pPr>
        <w:pStyle w:val="FirstParagraph"/>
      </w:pPr>
      <w:r>
        <w:rPr>
          <w:b/>
          <w:bCs/>
        </w:rPr>
        <w:t xml:space="preserve">P.1 — Investment may be conditioned on remediation; valuation impact.</w:t>
      </w:r>
      <w:r>
        <w:t xml:space="preserve"> </w:t>
      </w:r>
      <w:r>
        <w:t xml:space="preserve">The investor email (§6) states Kessler Whitman Ventures may condition its Series C investment on satisfactory remediation of material privacy deficiencies prior to closing, or require binding post-closing remediation commitments with holdback/escrow, and that the issues may affect valuation if they indicate undisclosed regulatory risk. The magnitude of the BIPA exposure (B.6), GDPR transfer exposure (C), and breach-notification gaps (J) is material to the investment decision and to Vaultline’s representations.</w:t>
      </w:r>
      <w:r>
        <w:t xml:space="preserve"> </w:t>
      </w:r>
      <w:r>
        <w:rPr>
          <w:i/>
          <w:iCs/>
        </w:rPr>
        <w:t xml:space="preserve">Risk: High (transactional).</w:t>
      </w:r>
      <w:r>
        <w:t xml:space="preserve"> </w:t>
      </w:r>
      <w:r>
        <w:rPr>
          <w:i/>
          <w:iCs/>
        </w:rPr>
        <w:t xml:space="preserve">Remediation: Prioritize critical remediation before the April 15, 2025 deadline; prepare a remediation plan and disclosure schedule for the data room.</w:t>
      </w:r>
    </w:p>
    <w:p>
      <w:pPr>
        <w:pStyle w:val="BodyText"/>
      </w:pPr>
      <w:r>
        <w:rPr>
          <w:b/>
          <w:bCs/>
        </w:rPr>
        <w:t xml:space="preserve">P.2 — EU launch amplifies all EU-related exposure.</w:t>
      </w:r>
      <w:r>
        <w:t xml:space="preserve"> </w:t>
      </w:r>
      <w:r>
        <w:t xml:space="preserve">The Data Inventory (Cover &amp; Metadata) and investor email note a Q3 2025 EU market launch, which will substantially increase the EU user base and regulatory exposure for the unresolved GDPR transfer, transparency, DPO, Art. 27 representative, DPIA, cookie-consent, and biometric-consent gaps.</w:t>
      </w:r>
      <w:r>
        <w:t xml:space="preserve"> </w:t>
      </w:r>
      <w:r>
        <w:rPr>
          <w:i/>
          <w:iCs/>
        </w:rPr>
        <w:t xml:space="preserve">Risk: Critical.</w:t>
      </w:r>
      <w:r>
        <w:t xml:space="preserve"> </w:t>
      </w:r>
      <w:r>
        <w:rPr>
          <w:i/>
          <w:iCs/>
        </w:rPr>
        <w:t xml:space="preserve">Remediation: Complete all EU remediation before launch; obtain DPF certification or execute SCCs; appoint DPO and Art. 27 representative.</w:t>
      </w:r>
    </w:p>
    <w:p>
      <w:r>
        <w:pict>
          <v:rect style="width:0;height:1.5pt" o:hralign="center" o:hrstd="t" o:hr="t"/>
        </w:pict>
      </w:r>
    </w:p>
    <w:bookmarkEnd w:id="39"/>
    <w:bookmarkEnd w:id="40"/>
    <w:bookmarkStart w:id="41" w:name="X398a6144ba6436bc25435125b8dce0c76ee58d2"/>
    <w:p>
      <w:pPr>
        <w:pStyle w:val="Heading2"/>
      </w:pPr>
      <w:r>
        <w:t xml:space="preserve">IV. Cross-Document Inconsistencies Requiring Reconciliation</w:t>
      </w:r>
    </w:p>
    <w:p>
      <w:pPr>
        <w:pStyle w:val="FirstParagraph"/>
      </w:pPr>
      <w:r>
        <w:t xml:space="preserve">The following inconsistencies cut across two or more documents and should be reconciled before any external disclosure:</w:t>
      </w:r>
    </w:p>
    <w:p>
      <w:pPr>
        <w:pStyle w:val="Compact"/>
        <w:numPr>
          <w:ilvl w:val="0"/>
          <w:numId w:val="1003"/>
        </w:numPr>
      </w:pPr>
      <w:r>
        <w:rPr>
          <w:b/>
          <w:bCs/>
        </w:rPr>
        <w:t xml:space="preserve">EU data location</w:t>
      </w:r>
      <w:r>
        <w:t xml:space="preserve"> </w:t>
      </w:r>
      <w:r>
        <w:t xml:space="preserve">— Privacy Policy (Ashburn only) vs. Data Inventory PA-007/IT-001 (Virginia, with Dublin available but unused) vs. Incident Log Entry 5 (EU data</w:t>
      </w:r>
      <w:r>
        <w:t xml:space="preserve"> </w:t>
      </w:r>
      <w:r>
        <w:t xml:space="preserve">“</w:t>
      </w:r>
      <w:r>
        <w:t xml:space="preserve">partially replicated</w:t>
      </w:r>
      <w:r>
        <w:t xml:space="preserve">”</w:t>
      </w:r>
      <w:r>
        <w:t xml:space="preserve"> </w:t>
      </w:r>
      <w:r>
        <w:t xml:space="preserve">at Dublin). (See C.7.)</w:t>
      </w:r>
    </w:p>
    <w:p>
      <w:pPr>
        <w:pStyle w:val="Compact"/>
        <w:numPr>
          <w:ilvl w:val="0"/>
          <w:numId w:val="1003"/>
        </w:numPr>
      </w:pPr>
      <w:r>
        <w:rPr>
          <w:b/>
          <w:bCs/>
        </w:rPr>
        <w:t xml:space="preserve">“</w:t>
      </w:r>
      <w:r>
        <w:rPr>
          <w:b/>
          <w:bCs/>
        </w:rPr>
        <w:t xml:space="preserve">Sale</w:t>
      </w:r>
      <w:r>
        <w:rPr>
          <w:b/>
          <w:bCs/>
        </w:rPr>
        <w:t xml:space="preserve">”</w:t>
      </w:r>
      <w:r>
        <w:rPr>
          <w:b/>
          <w:bCs/>
        </w:rPr>
        <w:t xml:space="preserve"> </w:t>
      </w:r>
      <w:r>
        <w:rPr>
          <w:b/>
          <w:bCs/>
        </w:rPr>
        <w:t xml:space="preserve">characterization</w:t>
      </w:r>
      <w:r>
        <w:t xml:space="preserve"> </w:t>
      </w:r>
      <w:r>
        <w:t xml:space="preserve">— Privacy Policy/Nevada disclosure (</w:t>
      </w:r>
      <w:r>
        <w:t xml:space="preserve">“</w:t>
      </w:r>
      <w:r>
        <w:t xml:space="preserve">does not sell</w:t>
      </w:r>
      <w:r>
        <w:t xml:space="preserve">”</w:t>
      </w:r>
      <w:r>
        <w:t xml:space="preserve">) vs. Data Inventory TS-002/TS-003 (Brightly and partner referrals</w:t>
      </w:r>
      <w:r>
        <w:t xml:space="preserve"> </w:t>
      </w:r>
      <w:r>
        <w:t xml:space="preserve">“</w:t>
      </w:r>
      <w:r>
        <w:t xml:space="preserve">likely sale</w:t>
      </w:r>
      <w:r>
        <w:t xml:space="preserve">”</w:t>
      </w:r>
      <w:r>
        <w:t xml:space="preserve"> </w:t>
      </w:r>
      <w:r>
        <w:t xml:space="preserve">for monetary consideration). (See M.4, G.1.)</w:t>
      </w:r>
    </w:p>
    <w:p>
      <w:pPr>
        <w:pStyle w:val="Compact"/>
        <w:numPr>
          <w:ilvl w:val="0"/>
          <w:numId w:val="1003"/>
        </w:numPr>
      </w:pPr>
      <w:r>
        <w:rPr>
          <w:b/>
          <w:bCs/>
        </w:rPr>
        <w:t xml:space="preserve">Service-provider vs. independent-controller status</w:t>
      </w:r>
      <w:r>
        <w:t xml:space="preserve"> </w:t>
      </w:r>
      <w:r>
        <w:t xml:space="preserve">— Privacy Policy (service providers</w:t>
      </w:r>
      <w:r>
        <w:t xml:space="preserve"> </w:t>
      </w:r>
      <w:r>
        <w:t xml:space="preserve">“</w:t>
      </w:r>
      <w:r>
        <w:t xml:space="preserve">solely for performing services</w:t>
      </w:r>
      <w:r>
        <w:t xml:space="preserve">”</w:t>
      </w:r>
      <w:r>
        <w:t xml:space="preserve">) vs. DSA §4 (Brightly is an independent controller). (See M.5.)</w:t>
      </w:r>
    </w:p>
    <w:p>
      <w:pPr>
        <w:pStyle w:val="Compact"/>
        <w:numPr>
          <w:ilvl w:val="0"/>
          <w:numId w:val="1003"/>
        </w:numPr>
      </w:pPr>
      <w:r>
        <w:rPr>
          <w:b/>
          <w:bCs/>
        </w:rPr>
        <w:t xml:space="preserve">Biometric data</w:t>
      </w:r>
      <w:r>
        <w:t xml:space="preserve"> </w:t>
      </w:r>
      <w:r>
        <w:t xml:space="preserve">— Data Inventory DC-011/Selfie Verify Details (biometric collection since March 2023) vs. Privacy Policy (no mention). (See B.1.)</w:t>
      </w:r>
    </w:p>
    <w:p>
      <w:pPr>
        <w:pStyle w:val="Compact"/>
        <w:numPr>
          <w:ilvl w:val="0"/>
          <w:numId w:val="1003"/>
        </w:numPr>
      </w:pPr>
      <w:r>
        <w:rPr>
          <w:b/>
          <w:bCs/>
        </w:rPr>
        <w:t xml:space="preserve">Automated decision-making</w:t>
      </w:r>
      <w:r>
        <w:t xml:space="preserve"> </w:t>
      </w:r>
      <w:r>
        <w:t xml:space="preserve">— Data Inventory PA-003 (fully automated, significant effects) vs. Privacy Policy (no disclosure). (See E.1.)</w:t>
      </w:r>
    </w:p>
    <w:p>
      <w:pPr>
        <w:pStyle w:val="Compact"/>
        <w:numPr>
          <w:ilvl w:val="0"/>
          <w:numId w:val="1003"/>
        </w:numPr>
      </w:pPr>
      <w:r>
        <w:rPr>
          <w:b/>
          <w:bCs/>
        </w:rPr>
        <w:t xml:space="preserve">Transfer mechanism</w:t>
      </w:r>
      <w:r>
        <w:t xml:space="preserve"> </w:t>
      </w:r>
      <w:r>
        <w:t xml:space="preserve">— Privacy Policy (Privacy Shield) vs. Data Inventory IT-001 (Privacy Shield invalidated; no SCCs/DPF) vs. investor email (§2). (See C.1.)</w:t>
      </w:r>
    </w:p>
    <w:p>
      <w:pPr>
        <w:pStyle w:val="Compact"/>
        <w:numPr>
          <w:ilvl w:val="0"/>
          <w:numId w:val="1003"/>
        </w:numPr>
      </w:pPr>
      <w:r>
        <w:rPr>
          <w:b/>
          <w:bCs/>
        </w:rPr>
        <w:t xml:space="preserve">GLBA/FCRA</w:t>
      </w:r>
      <w:r>
        <w:t xml:space="preserve"> </w:t>
      </w:r>
      <w:r>
        <w:t xml:space="preserve">— Data Inventory Data Categories (GLBA flagged for DC-003–DC-006; FCRA flagged for DC-007) vs. Privacy Policy (no GLBA or FCRA disclosure). (See K.2, K.4.)</w:t>
      </w:r>
    </w:p>
    <w:p>
      <w:pPr>
        <w:pStyle w:val="Compact"/>
        <w:numPr>
          <w:ilvl w:val="0"/>
          <w:numId w:val="1003"/>
        </w:numPr>
      </w:pPr>
      <w:r>
        <w:rPr>
          <w:b/>
          <w:bCs/>
        </w:rPr>
        <w:t xml:space="preserve">Breach regulatory notifications</w:t>
      </w:r>
      <w:r>
        <w:t xml:space="preserve"> </w:t>
      </w:r>
      <w:r>
        <w:t xml:space="preserve">— Incident Log Notification Log (no AG/EU SA notifications) vs. investor email (§5, requesting confirmation of state breach-law compliance) and the thresholds that plainly triggered CA AG and GDPR Art. 33 notice. (See J.2, J.8.)</w:t>
      </w:r>
    </w:p>
    <w:p>
      <w:pPr>
        <w:pStyle w:val="Compact"/>
        <w:numPr>
          <w:ilvl w:val="0"/>
          <w:numId w:val="1003"/>
        </w:numPr>
      </w:pPr>
      <w:r>
        <w:rPr>
          <w:b/>
          <w:bCs/>
        </w:rPr>
        <w:t xml:space="preserve">Aggregate/de-identified data treatment</w:t>
      </w:r>
      <w:r>
        <w:t xml:space="preserve"> </w:t>
      </w:r>
      <w:r>
        <w:t xml:space="preserve">— Privacy Policy and DSA §3.3 (broad, unrestricted use of</w:t>
      </w:r>
      <w:r>
        <w:t xml:space="preserve"> </w:t>
      </w:r>
      <w:r>
        <w:t xml:space="preserve">“</w:t>
      </w:r>
      <w:r>
        <w:t xml:space="preserve">de-identified</w:t>
      </w:r>
      <w:r>
        <w:t xml:space="preserve">”</w:t>
      </w:r>
      <w:r>
        <w:t xml:space="preserve">/</w:t>
      </w:r>
      <w:r>
        <w:t xml:space="preserve">“</w:t>
      </w:r>
      <w:r>
        <w:t xml:space="preserve">aggregate</w:t>
      </w:r>
      <w:r>
        <w:t xml:space="preserve">”</w:t>
      </w:r>
      <w:r>
        <w:t xml:space="preserve"> </w:t>
      </w:r>
      <w:r>
        <w:t xml:space="preserve">data) vs. Data Inventory TS-002 (Brightly’s audience segments are</w:t>
      </w:r>
      <w:r>
        <w:t xml:space="preserve"> </w:t>
      </w:r>
      <w:r>
        <w:t xml:space="preserve">“</w:t>
      </w:r>
      <w:r>
        <w:t xml:space="preserve">aggregated (but not de-identified per CCPA standards)</w:t>
      </w:r>
      <w:r>
        <w:t xml:space="preserve">”</w:t>
      </w:r>
      <w:r>
        <w:t xml:space="preserve">). (See G.18.)</w:t>
      </w:r>
    </w:p>
    <w:p>
      <w:pPr>
        <w:pStyle w:val="Compact"/>
        <w:numPr>
          <w:ilvl w:val="0"/>
          <w:numId w:val="1003"/>
        </w:numPr>
      </w:pPr>
      <w:r>
        <w:rPr>
          <w:b/>
          <w:bCs/>
        </w:rPr>
        <w:t xml:space="preserve">Policy consistency representation</w:t>
      </w:r>
      <w:r>
        <w:t xml:space="preserve"> </w:t>
      </w:r>
      <w:r>
        <w:t xml:space="preserve">— DSA §7.1(b) (sharing</w:t>
      </w:r>
      <w:r>
        <w:t xml:space="preserve"> </w:t>
      </w:r>
      <w:r>
        <w:t xml:space="preserve">“</w:t>
      </w:r>
      <w:r>
        <w:t xml:space="preserve">consistent with Vaultline’s privacy policy</w:t>
      </w:r>
      <w:r>
        <w:t xml:space="preserve">”</w:t>
      </w:r>
      <w:r>
        <w:t xml:space="preserve">) vs. Privacy Policy (no Brightly sale/sharing disclosure) and DSA §7.1(b) reliance on a policy the policy itself says is non-contractual (O.5). (See G.16.)</w:t>
      </w:r>
    </w:p>
    <w:p>
      <w:r>
        <w:pict>
          <v:rect style="width:0;height:1.5pt" o:hralign="center" o:hrstd="t" o:hr="t"/>
        </w:pict>
      </w:r>
    </w:p>
    <w:bookmarkEnd w:id="41"/>
    <w:bookmarkStart w:id="42" w:name="v.-prioritized-remediation-roadmap"/>
    <w:p>
      <w:pPr>
        <w:pStyle w:val="Heading2"/>
      </w:pPr>
      <w:r>
        <w:t xml:space="preserve">V. Prioritized Remediation Roadmap</w:t>
      </w:r>
    </w:p>
    <w:p>
      <w:pPr>
        <w:pStyle w:val="FirstParagraph"/>
      </w:pPr>
      <w:r>
        <w:rPr>
          <w:b/>
          <w:bCs/>
        </w:rPr>
        <w:t xml:space="preserve">Before March 31, 2025 (investor assessment deadline):</w:t>
      </w:r>
    </w:p>
    <w:p>
      <w:pPr>
        <w:pStyle w:val="Compact"/>
        <w:numPr>
          <w:ilvl w:val="0"/>
          <w:numId w:val="1004"/>
        </w:numPr>
      </w:pPr>
      <w:r>
        <w:t xml:space="preserve">Confirm and document the August 2024 breach notification compliance posture (state AGs; GDPR Art. 33/34) and any cure options (J.2–J.9).</w:t>
      </w:r>
    </w:p>
    <w:p>
      <w:pPr>
        <w:pStyle w:val="Compact"/>
        <w:numPr>
          <w:ilvl w:val="0"/>
          <w:numId w:val="1004"/>
        </w:numPr>
      </w:pPr>
      <w:r>
        <w:t xml:space="preserve">Quantify BIPA exposure and assess Selfie Verify pause/consent remediation (B.1–B.6).</w:t>
      </w:r>
    </w:p>
    <w:p>
      <w:pPr>
        <w:pStyle w:val="Compact"/>
        <w:numPr>
          <w:ilvl w:val="0"/>
          <w:numId w:val="1004"/>
        </w:numPr>
      </w:pPr>
      <w:r>
        <w:t xml:space="preserve">Confirm the GLBA and FCRA characterizations (K.1–K.2, K.4).</w:t>
      </w:r>
    </w:p>
    <w:p>
      <w:pPr>
        <w:pStyle w:val="Compact"/>
        <w:numPr>
          <w:ilvl w:val="0"/>
          <w:numId w:val="1004"/>
        </w:numPr>
      </w:pPr>
      <w:r>
        <w:t xml:space="preserve">Prepare a remediation plan and disclosure schedule for the data room (P.1).</w:t>
      </w:r>
    </w:p>
    <w:p>
      <w:pPr>
        <w:pStyle w:val="FirstParagraph"/>
      </w:pPr>
      <w:r>
        <w:rPr>
          <w:b/>
          <w:bCs/>
        </w:rPr>
        <w:t xml:space="preserve">Before April 15, 2025 (Series C diligence deadline):</w:t>
      </w:r>
    </w:p>
    <w:p>
      <w:pPr>
        <w:pStyle w:val="Compact"/>
        <w:numPr>
          <w:ilvl w:val="0"/>
          <w:numId w:val="1005"/>
        </w:numPr>
      </w:pPr>
      <w:r>
        <w:t xml:space="preserve">Remove Privacy Shield references; execute SCCs with CloudFort and complete a TIA; initiate DPF self-certification (C.1–C.4).</w:t>
      </w:r>
    </w:p>
    <w:p>
      <w:pPr>
        <w:pStyle w:val="Compact"/>
        <w:numPr>
          <w:ilvl w:val="0"/>
          <w:numId w:val="1005"/>
        </w:numPr>
      </w:pPr>
      <w:r>
        <w:t xml:space="preserve">Draft a rewritten Privacy Policy addressing Sections A, B, D, E, F, G, H, M, O.</w:t>
      </w:r>
    </w:p>
    <w:p>
      <w:pPr>
        <w:pStyle w:val="Compact"/>
        <w:numPr>
          <w:ilvl w:val="0"/>
          <w:numId w:val="1005"/>
        </w:numPr>
      </w:pPr>
      <w:r>
        <w:t xml:space="preserve">Implement the CPRA</w:t>
      </w:r>
      <w:r>
        <w:t xml:space="preserve"> </w:t>
      </w:r>
      <w:r>
        <w:t xml:space="preserve">“</w:t>
      </w:r>
      <w:r>
        <w:t xml:space="preserve">Do Not Sell or Share</w:t>
      </w:r>
      <w:r>
        <w:t xml:space="preserve">”</w:t>
      </w:r>
      <w:r>
        <w:t xml:space="preserve"> </w:t>
      </w:r>
      <w:r>
        <w:t xml:space="preserve">and</w:t>
      </w:r>
      <w:r>
        <w:t xml:space="preserve"> </w:t>
      </w:r>
      <w:r>
        <w:t xml:space="preserve">“</w:t>
      </w:r>
      <w:r>
        <w:t xml:space="preserve">Limit Sensitive PI</w:t>
      </w:r>
      <w:r>
        <w:t xml:space="preserve">”</w:t>
      </w:r>
      <w:r>
        <w:t xml:space="preserve"> </w:t>
      </w:r>
      <w:r>
        <w:t xml:space="preserve">opt-out links (F.2, G.5); reconcile DSA §6.4 to permit opt-out enforcement (G.15).</w:t>
      </w:r>
    </w:p>
    <w:p>
      <w:pPr>
        <w:pStyle w:val="Compact"/>
        <w:numPr>
          <w:ilvl w:val="0"/>
          <w:numId w:val="1005"/>
        </w:numPr>
      </w:pPr>
      <w:r>
        <w:t xml:space="preserve">Conduct mandatory DPIAs (PA-001, PA-002, PA-003, PA-004, PA-007) (I.1).</w:t>
      </w:r>
    </w:p>
    <w:p>
      <w:pPr>
        <w:pStyle w:val="FirstParagraph"/>
      </w:pPr>
      <w:r>
        <w:rPr>
          <w:b/>
          <w:bCs/>
        </w:rPr>
        <w:t xml:space="preserve">Before Q3 2025 (EU launch):</w:t>
      </w:r>
    </w:p>
    <w:p>
      <w:pPr>
        <w:pStyle w:val="Compact"/>
        <w:numPr>
          <w:ilvl w:val="0"/>
          <w:numId w:val="1006"/>
        </w:numPr>
      </w:pPr>
      <w:r>
        <w:t xml:space="preserve">Appoint a DPO and an Art. 27 EU representative (D.4, D.5).</w:t>
      </w:r>
    </w:p>
    <w:p>
      <w:pPr>
        <w:pStyle w:val="Compact"/>
        <w:numPr>
          <w:ilvl w:val="0"/>
          <w:numId w:val="1006"/>
        </w:numPr>
      </w:pPr>
      <w:r>
        <w:t xml:space="preserve">Deploy a GDPR/ePrivacy-compliant cookie consent banner (L.2–L.4).</w:t>
      </w:r>
    </w:p>
    <w:p>
      <w:pPr>
        <w:pStyle w:val="Compact"/>
        <w:numPr>
          <w:ilvl w:val="0"/>
          <w:numId w:val="1006"/>
        </w:numPr>
      </w:pPr>
      <w:r>
        <w:t xml:space="preserve">Obtain explicit Art. 9 biometric consent or suspend Selfie Verify in the EU (B.7).</w:t>
      </w:r>
    </w:p>
    <w:p>
      <w:pPr>
        <w:pStyle w:val="Compact"/>
        <w:numPr>
          <w:ilvl w:val="0"/>
          <w:numId w:val="1006"/>
        </w:numPr>
      </w:pPr>
      <w:r>
        <w:t xml:space="preserve">Provide Art. 22 automated-decision-making disclosures and safeguards for Smart Insights (E.1–E.3).</w:t>
      </w:r>
    </w:p>
    <w:p>
      <w:pPr>
        <w:pStyle w:val="Compact"/>
        <w:numPr>
          <w:ilvl w:val="0"/>
          <w:numId w:val="1006"/>
        </w:numPr>
      </w:pPr>
      <w:r>
        <w:t xml:space="preserve">Establish defined data-retention periods and a formal retention schedule (H.1–H.3).</w:t>
      </w:r>
    </w:p>
    <w:p>
      <w:pPr>
        <w:pStyle w:val="Compact"/>
        <w:numPr>
          <w:ilvl w:val="0"/>
          <w:numId w:val="1006"/>
        </w:numPr>
      </w:pPr>
      <w:r>
        <w:t xml:space="preserve">Add an EU-specific dispute/complaint pathway and reconcile the forum clause (O.4).</w:t>
      </w:r>
    </w:p>
    <w:p>
      <w:r>
        <w:pict>
          <v:rect style="width:0;height:1.5pt" o:hralign="center" o:hrstd="t" o:hr="t"/>
        </w:pict>
      </w:r>
    </w:p>
    <w:bookmarkEnd w:id="42"/>
    <w:bookmarkStart w:id="43" w:name="vi.-scope-and-limitations"/>
    <w:p>
      <w:pPr>
        <w:pStyle w:val="Heading2"/>
      </w:pPr>
      <w:r>
        <w:t xml:space="preserve">VI. Scope and Limitations</w:t>
      </w:r>
    </w:p>
    <w:p>
      <w:pPr>
        <w:pStyle w:val="FirstParagraph"/>
      </w:pPr>
      <w:r>
        <w:t xml:space="preserve">This memorandum identifies compliance gaps evident on the face of the five documents reviewed. It is based on the documents as provided and does not constitute a definitive legal opinion on GLBA or FCRA characterization, BIPA liability, CPRA sale/sharing status, or breach-notification compliance, each of which requires further factual development and legal analysis. Several issues (e.g., whether state AG breach notices were in fact given outside the logged record, whether Brightly was notified under DSA §9.2, and the actual EU data-residency architecture) require confirmation against records not included in this review. This memorandum is privileged and confidential, prepared in anticipation of the Series C diligence process, and should be treated as attorney work product.</w:t>
      </w:r>
    </w:p>
    <w:p>
      <w:pPr>
        <w:pStyle w:val="BodyText"/>
      </w:pPr>
      <w:r>
        <w:rPr>
          <w:i/>
          <w:iCs/>
        </w:rPr>
        <w:t xml:space="preserve">End of memorandum.</w:t>
      </w:r>
    </w:p>
    <w:bookmarkEnd w:id="43"/>
    <w:bookmarkEnd w:id="4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2026-06-27T01:40:31Z</dcterms:created>
  <dcterms:modified xsi:type="dcterms:W3CDTF">2026-06-27T01:40:31Z</dcterms:modified>
</cp:coreProperties>
</file>

<file path=docProps/custom.xml><?xml version="1.0" encoding="utf-8"?>
<Properties xmlns="http://schemas.openxmlformats.org/officeDocument/2006/custom-properties" xmlns:vt="http://schemas.openxmlformats.org/officeDocument/2006/docPropsVTypes"/>
</file>