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PRIVILEGED &amp; CONFIDENTIAL — ATTORNEY-CLIENT COMMUNICATION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Tyler Huang, General Counsel, Greenleaf Organic Foods, Inc.</w:t>
            </w:r>
          </w:p>
        </w:tc>
      </w:tr>
      <w:tr>
        <w:tc>
          <w:tcPr/>
          <w:p>
            <w:pPr>
              <w:pStyle w:val="Compact"/>
              <w:jc w:val="left"/>
            </w:pPr>
            <w:r>
              <w:rPr>
                <w:b/>
                <w:bCs/>
              </w:rPr>
              <w:t xml:space="preserve">FROM:</w:t>
            </w:r>
          </w:p>
        </w:tc>
        <w:tc>
          <w:tcPr/>
          <w:p>
            <w:pPr>
              <w:pStyle w:val="Compact"/>
              <w:jc w:val="left"/>
            </w:pPr>
            <w:r>
              <w:t xml:space="preserve">Employment &amp; Litigation Counsel</w:t>
            </w:r>
          </w:p>
        </w:tc>
      </w:tr>
      <w:tr>
        <w:tc>
          <w:tcPr/>
          <w:p>
            <w:pPr>
              <w:pStyle w:val="Compact"/>
              <w:jc w:val="left"/>
            </w:pPr>
            <w:r>
              <w:rPr>
                <w:b/>
                <w:bCs/>
              </w:rPr>
              <w:t xml:space="preserve">DATE:</w:t>
            </w:r>
          </w:p>
        </w:tc>
        <w:tc>
          <w:tcPr/>
          <w:p>
            <w:pPr>
              <w:pStyle w:val="Compact"/>
              <w:jc w:val="left"/>
            </w:pPr>
            <w:r>
              <w:t xml:space="preserve">May 12, 2025</w:t>
            </w:r>
          </w:p>
        </w:tc>
      </w:tr>
      <w:tr>
        <w:tc>
          <w:tcPr/>
          <w:p>
            <w:pPr>
              <w:pStyle w:val="Compact"/>
              <w:jc w:val="left"/>
            </w:pPr>
            <w:r>
              <w:rPr>
                <w:b/>
                <w:bCs/>
              </w:rPr>
              <w:t xml:space="preserve">RE:</w:t>
            </w:r>
          </w:p>
        </w:tc>
        <w:tc>
          <w:tcPr/>
          <w:p>
            <w:pPr>
              <w:pStyle w:val="Compact"/>
              <w:jc w:val="left"/>
            </w:pPr>
            <w:r>
              <w:t xml:space="preserve">Review of Draft Settlement Agreement —</w:t>
            </w:r>
            <w:r>
              <w:t xml:space="preserve"> </w:t>
            </w:r>
            <w:r>
              <w:rPr>
                <w:i/>
                <w:iCs/>
              </w:rPr>
              <w:t xml:space="preserve">Marcus R. Delano v. Greenleaf Organic Foods, Inc.</w:t>
            </w:r>
          </w:p>
        </w:tc>
      </w:tr>
      <w:tr>
        <w:tc>
          <w:tcPr/>
          <w:p>
            <w:pPr>
              <w:pStyle w:val="Compact"/>
              <w:jc w:val="left"/>
            </w:pPr>
            <w:r>
              <w:rPr>
                <w:b/>
                <w:bCs/>
              </w:rPr>
              <w:t xml:space="preserve">Attachment:</w:t>
            </w:r>
          </w:p>
        </w:tc>
        <w:tc>
          <w:tcPr/>
          <w:p>
            <w:pPr>
              <w:pStyle w:val="Compact"/>
              <w:jc w:val="left"/>
            </w:pPr>
            <w:r>
              <w:t xml:space="preserve">Redlined Settlement Agreement (</w:t>
            </w:r>
            <w:r>
              <w:rPr>
                <w:rStyle w:val="VerbatimChar"/>
              </w:rPr>
              <w:t xml:space="preserve">settlement-agreement-markup.docx</w:t>
            </w:r>
            <w:r>
              <w:t xml:space="preserve">)</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We reviewed the draft Settlement Agreement and General Release of All Claims (the</w:t>
      </w:r>
      <w:r>
        <w:t xml:space="preserve"> </w:t>
      </w:r>
      <w:r>
        <w:t xml:space="preserve">“</w:t>
      </w:r>
      <w:r>
        <w:t xml:space="preserve">Draft</w:t>
      </w:r>
      <w:r>
        <w:t xml:space="preserve">”</w:t>
      </w:r>
      <w:r>
        <w:t xml:space="preserve">), prepared by Delano’s counsel (Engel &amp; Associates, P.C.), against Delano’s employment records and the Company’s equity-plan policies.</w:t>
      </w:r>
      <w:r>
        <w:t xml:space="preserve"> </w:t>
      </w:r>
      <w:r>
        <w:rPr>
          <w:b/>
          <w:bCs/>
        </w:rPr>
        <w:t xml:space="preserve">The Draft should not be executed in its current form.</w:t>
      </w:r>
      <w:r>
        <w:t xml:space="preserve"> </w:t>
      </w:r>
      <w:r>
        <w:t xml:space="preserve">As written, it would (1) likely fail to deliver a valid release of Delano’s Age Discrimination in Employment Act (</w:t>
      </w:r>
      <w:r>
        <w:t xml:space="preserve">“</w:t>
      </w:r>
      <w:r>
        <w:t xml:space="preserve">ADEA</w:t>
      </w:r>
      <w:r>
        <w:t xml:space="preserve">”</w:t>
      </w:r>
      <w:r>
        <w:t xml:space="preserve">) claims; (2) value the equity component using a stale, inaccurate valuation; (3) include restrictive covenants that are void in two of the four covered states; and (4) create retaliation and obstruction exposure by potentially chilling Delano’s cooperation with the pending Oregon OSHA investigation.</w:t>
      </w:r>
    </w:p>
    <w:p>
      <w:pPr>
        <w:pStyle w:val="BodyText"/>
      </w:pPr>
      <w:r>
        <w:t xml:space="preserve">We have redlined the Draft with proposed revisions (see attachment) and summarize the issues, risks, and required actions below. The redline also adds several standard provisions that were omitted entirely (governing law/venue, notices, return of property, trade-secret protections).</w:t>
      </w:r>
    </w:p>
    <w:bookmarkEnd w:id="20"/>
    <w:bookmarkStart w:id="21" w:name="Xf56e7591ae2875157e175414628ed245afb2d17"/>
    <w:p>
      <w:pPr>
        <w:pStyle w:val="Heading2"/>
      </w:pPr>
      <w:r>
        <w:t xml:space="preserve">II. Factual Background and Litigation-Risk Assessment</w:t>
      </w:r>
    </w:p>
    <w:p>
      <w:pPr>
        <w:pStyle w:val="Compact"/>
        <w:numPr>
          <w:ilvl w:val="0"/>
          <w:numId w:val="1001"/>
        </w:numPr>
      </w:pPr>
      <w:r>
        <w:rPr>
          <w:b/>
          <w:bCs/>
        </w:rPr>
        <w:t xml:space="preserve">Employee.</w:t>
      </w:r>
      <w:r>
        <w:t xml:space="preserve"> </w:t>
      </w:r>
      <w:r>
        <w:t xml:space="preserve">Marcus Delano, age 58, Vice President of Supply Chain Operations since January 1, 2020; base salary $218,000; ~7 years, 9 months tenure.</w:t>
      </w:r>
    </w:p>
    <w:p>
      <w:pPr>
        <w:pStyle w:val="Compact"/>
        <w:numPr>
          <w:ilvl w:val="0"/>
          <w:numId w:val="1001"/>
        </w:numPr>
      </w:pPr>
      <w:r>
        <w:rPr>
          <w:b/>
          <w:bCs/>
        </w:rPr>
        <w:t xml:space="preserve">Protected activity.</w:t>
      </w:r>
      <w:r>
        <w:t xml:space="preserve"> </w:t>
      </w:r>
      <w:r>
        <w:t xml:space="preserve">November 8, 2024 internal complaint to HR Director Leanne Foss regarding cold-chain protocol failures at the Bend, Oregon facility (alleged FDA/FSMA violations); December 3, 2024 Oregon OSHA complaint (No. OR-OSHA-2024-11872); OSHA opened a formal investigation on January 22, 2025, which</w:t>
      </w:r>
      <w:r>
        <w:t xml:space="preserve"> </w:t>
      </w:r>
      <w:r>
        <w:rPr>
          <w:b/>
          <w:bCs/>
        </w:rPr>
        <w:t xml:space="preserve">remains pending and unresolved</w:t>
      </w:r>
      <w:r>
        <w:t xml:space="preserve">.</w:t>
      </w:r>
    </w:p>
    <w:p>
      <w:pPr>
        <w:pStyle w:val="Compact"/>
        <w:numPr>
          <w:ilvl w:val="0"/>
          <w:numId w:val="1001"/>
        </w:numPr>
      </w:pPr>
      <w:r>
        <w:rPr>
          <w:b/>
          <w:bCs/>
        </w:rPr>
        <w:t xml:space="preserve">Termination.</w:t>
      </w:r>
      <w:r>
        <w:t xml:space="preserve"> </w:t>
      </w:r>
      <w:r>
        <w:t xml:space="preserve">Placed on paid administrative leave February 10, 2025; terminated March 14, 2025 for</w:t>
      </w:r>
      <w:r>
        <w:t xml:space="preserve"> </w:t>
      </w:r>
      <w:r>
        <w:t xml:space="preserve">“</w:t>
      </w:r>
      <w:r>
        <w:t xml:space="preserve">elimination of position due to restructuring of supply chain division.</w:t>
      </w:r>
      <w:r>
        <w:t xml:space="preserve">”</w:t>
      </w:r>
    </w:p>
    <w:p>
      <w:pPr>
        <w:pStyle w:val="Compact"/>
        <w:numPr>
          <w:ilvl w:val="0"/>
          <w:numId w:val="1001"/>
        </w:numPr>
      </w:pPr>
      <w:r>
        <w:rPr>
          <w:b/>
          <w:bCs/>
        </w:rPr>
        <w:t xml:space="preserve">Key pretext risk.</w:t>
      </w:r>
      <w:r>
        <w:t xml:space="preserve"> </w:t>
      </w:r>
      <w:r>
        <w:t xml:space="preserve">Company records show that</w:t>
      </w:r>
      <w:r>
        <w:t xml:space="preserve"> </w:t>
      </w:r>
      <w:r>
        <w:rPr>
          <w:b/>
          <w:bCs/>
        </w:rPr>
        <w:t xml:space="preserve">Raj Mehta was hired on March 20, 2025 — six days after Delano’s termination — as Senior Director of Supply Chain &amp; Logistics at $185,000.</w:t>
      </w:r>
      <w:r>
        <w:t xml:space="preserve"> </w:t>
      </w:r>
      <w:r>
        <w:t xml:space="preserve">A replacement hired within days of an</w:t>
      </w:r>
      <w:r>
        <w:t xml:space="preserve"> </w:t>
      </w:r>
      <w:r>
        <w:t xml:space="preserve">“</w:t>
      </w:r>
      <w:r>
        <w:t xml:space="preserve">elimination of position</w:t>
      </w:r>
      <w:r>
        <w:t xml:space="preserve">”</w:t>
      </w:r>
      <w:r>
        <w:t xml:space="preserve"> </w:t>
      </w:r>
      <w:r>
        <w:t xml:space="preserve">is powerful evidence of pretext and substantially undermines the</w:t>
      </w:r>
      <w:r>
        <w:t xml:space="preserve"> </w:t>
      </w:r>
      <w:r>
        <w:t xml:space="preserve">“</w:t>
      </w:r>
      <w:r>
        <w:t xml:space="preserve">legitimate business reorganization</w:t>
      </w:r>
      <w:r>
        <w:t xml:space="preserve">”</w:t>
      </w:r>
      <w:r>
        <w:t xml:space="preserve"> </w:t>
      </w:r>
      <w:r>
        <w:t xml:space="preserve">defense. Combined with the close temporal proximity between Delano’s protected activity and his termination, Delano presents a strong prima facie retaliation claim under ORS 654.062(5) and a viable ADEA claim.</w:t>
      </w:r>
    </w:p>
    <w:p>
      <w:pPr>
        <w:pStyle w:val="Compact"/>
        <w:numPr>
          <w:ilvl w:val="0"/>
          <w:numId w:val="1001"/>
        </w:numPr>
      </w:pPr>
      <w:r>
        <w:rPr>
          <w:b/>
          <w:bCs/>
        </w:rPr>
        <w:t xml:space="preserve">OSHA exposure is separate.</w:t>
      </w:r>
      <w:r>
        <w:t xml:space="preserve"> </w:t>
      </w:r>
      <w:r>
        <w:t xml:space="preserve">The settlement releases Delano’s private claims but does</w:t>
      </w:r>
      <w:r>
        <w:t xml:space="preserve"> </w:t>
      </w:r>
      <w:r>
        <w:rPr>
          <w:b/>
          <w:bCs/>
        </w:rPr>
        <w:t xml:space="preserve">not</w:t>
      </w:r>
      <w:r>
        <w:t xml:space="preserve"> </w:t>
      </w:r>
      <w:r>
        <w:t xml:space="preserve">resolve the pending OSHA investigation, which is a government enforcement matter the Company cannot settle by private agreement.</w:t>
      </w:r>
    </w:p>
    <w:p>
      <w:pPr>
        <w:pStyle w:val="FirstParagraph"/>
      </w:pPr>
      <w:r>
        <w:rPr>
          <w:b/>
          <w:bCs/>
        </w:rPr>
        <w:t xml:space="preserve">Bottom line on value.</w:t>
      </w:r>
      <w:r>
        <w:t xml:space="preserve"> </w:t>
      </w:r>
      <w:r>
        <w:t xml:space="preserve">The corrected settlement value of</w:t>
      </w:r>
      <w:r>
        <w:t xml:space="preserve"> </w:t>
      </w:r>
      <w:r>
        <w:rPr>
          <w:b/>
          <w:bCs/>
        </w:rPr>
        <w:t xml:space="preserve">$537,500</w:t>
      </w:r>
      <w:r>
        <w:t xml:space="preserve"> </w:t>
      </w:r>
      <w:r>
        <w:t xml:space="preserve">is reasonable in light of the pretext risk and the pending OSHA matter. The priority is to convert the Draft into an agreement that actually delivers a valid, enforceable release.</w:t>
      </w:r>
    </w:p>
    <w:bookmarkEnd w:id="21"/>
    <w:bookmarkStart w:id="26" w:name="X964bd44dd337a4d323ef4cf282b0b3c106f94d0"/>
    <w:p>
      <w:pPr>
        <w:pStyle w:val="Heading2"/>
      </w:pPr>
      <w:r>
        <w:t xml:space="preserve">III. Critical Issues (must be corrected before execution)</w:t>
      </w:r>
    </w:p>
    <w:bookmarkStart w:id="22" w:name="Xfe0164a1a5f789434397db7cc433bb5f69323b4"/>
    <w:p>
      <w:pPr>
        <w:pStyle w:val="Heading3"/>
      </w:pPr>
      <w:r>
        <w:t xml:space="preserve">A. The ADEA release is likely invalid — OWBPA failures (Sections 1(b), 5, 16)</w:t>
      </w:r>
    </w:p>
    <w:p>
      <w:pPr>
        <w:pStyle w:val="FirstParagraph"/>
      </w:pPr>
      <w:r>
        <w:t xml:space="preserve">The Older Workers Benefit Protection Act (</w:t>
      </w:r>
      <w:r>
        <w:t xml:space="preserve">“</w:t>
      </w:r>
      <w:r>
        <w:t xml:space="preserve">OWBPA</w:t>
      </w:r>
      <w:r>
        <w:t xml:space="preserve">”</w:t>
      </w:r>
      <w:r>
        <w:t xml:space="preserve">), 29 U.S.C. § 626(f), sets mandatory requirements for any waiver of ADEA claims. The Draft fails three of them:</w:t>
      </w:r>
    </w:p>
    <w:p>
      <w:pPr>
        <w:pStyle w:val="Compact"/>
        <w:numPr>
          <w:ilvl w:val="0"/>
          <w:numId w:val="1002"/>
        </w:numPr>
      </w:pPr>
      <w:r>
        <w:rPr>
          <w:b/>
          <w:bCs/>
        </w:rPr>
        <w:t xml:space="preserve">Consideration period.</w:t>
      </w:r>
      <w:r>
        <w:t xml:space="preserve"> </w:t>
      </w:r>
      <w:r>
        <w:t xml:space="preserve">The Draft allows only</w:t>
      </w:r>
      <w:r>
        <w:t xml:space="preserve"> </w:t>
      </w:r>
      <w:r>
        <w:rPr>
          <w:b/>
          <w:bCs/>
        </w:rPr>
        <w:t xml:space="preserve">14 days</w:t>
      </w:r>
      <w:r>
        <w:t xml:space="preserve"> </w:t>
      </w:r>
      <w:r>
        <w:t xml:space="preserve">to consider the agreement. OWBPA requires</w:t>
      </w:r>
      <w:r>
        <w:t xml:space="preserve"> </w:t>
      </w:r>
      <w:r>
        <w:rPr>
          <w:b/>
          <w:bCs/>
        </w:rPr>
        <w:t xml:space="preserve">21 days</w:t>
      </w:r>
      <w:r>
        <w:t xml:space="preserve"> </w:t>
      </w:r>
      <w:r>
        <w:t xml:space="preserve">for an individual waiver. The 14-day expiration deadline in Section 16 is shorter than the statutory minimum.</w:t>
      </w:r>
    </w:p>
    <w:p>
      <w:pPr>
        <w:pStyle w:val="Compact"/>
        <w:numPr>
          <w:ilvl w:val="0"/>
          <w:numId w:val="1002"/>
        </w:numPr>
      </w:pPr>
      <w:r>
        <w:rPr>
          <w:b/>
          <w:bCs/>
        </w:rPr>
        <w:t xml:space="preserve">No revocation period.</w:t>
      </w:r>
      <w:r>
        <w:t xml:space="preserve"> </w:t>
      </w:r>
      <w:r>
        <w:t xml:space="preserve">The Draft contains</w:t>
      </w:r>
      <w:r>
        <w:t xml:space="preserve"> </w:t>
      </w:r>
      <w:r>
        <w:rPr>
          <w:b/>
          <w:bCs/>
        </w:rPr>
        <w:t xml:space="preserve">no 7-day revocation right</w:t>
      </w:r>
      <w:r>
        <w:t xml:space="preserve"> </w:t>
      </w:r>
      <w:r>
        <w:t xml:space="preserve">after signing. OWBPA requires a revocation period of at least seven days, and the release is not effective until that period expires.</w:t>
      </w:r>
    </w:p>
    <w:p>
      <w:pPr>
        <w:pStyle w:val="Compact"/>
        <w:numPr>
          <w:ilvl w:val="0"/>
          <w:numId w:val="1002"/>
        </w:numPr>
      </w:pPr>
      <w:r>
        <w:rPr>
          <w:b/>
          <w:bCs/>
        </w:rPr>
        <w:t xml:space="preserve">No attorney-consultation advisory.</w:t>
      </w:r>
      <w:r>
        <w:t xml:space="preserve"> </w:t>
      </w:r>
      <w:r>
        <w:t xml:space="preserve">The Draft does not advise Delano in writing to consult an attorney, as OWBPA requires.</w:t>
      </w:r>
    </w:p>
    <w:p>
      <w:pPr>
        <w:pStyle w:val="Compact"/>
        <w:numPr>
          <w:ilvl w:val="0"/>
          <w:numId w:val="1002"/>
        </w:numPr>
      </w:pPr>
      <w:r>
        <w:rPr>
          <w:b/>
          <w:bCs/>
        </w:rPr>
        <w:t xml:space="preserve">Effective Date.</w:t>
      </w:r>
      <w:r>
        <w:t xml:space="preserve"> </w:t>
      </w:r>
      <w:r>
        <w:t xml:space="preserve">The</w:t>
      </w:r>
      <w:r>
        <w:t xml:space="preserve"> </w:t>
      </w:r>
      <w:r>
        <w:t xml:space="preserve">“</w:t>
      </w:r>
      <w:r>
        <w:t xml:space="preserve">Effective Date</w:t>
      </w:r>
      <w:r>
        <w:t xml:space="preserve">”</w:t>
      </w:r>
      <w:r>
        <w:t xml:space="preserve"> </w:t>
      </w:r>
      <w:r>
        <w:t xml:space="preserve">is fixed at May 5, 2025 (pre-signature), so payments could issue before any revocation period runs.</w:t>
      </w:r>
    </w:p>
    <w:p>
      <w:pPr>
        <w:pStyle w:val="FirstParagraph"/>
      </w:pPr>
      <w:r>
        <w:rPr>
          <w:b/>
          <w:bCs/>
        </w:rPr>
        <w:t xml:space="preserve">Consequence:</w:t>
      </w:r>
      <w:r>
        <w:t xml:space="preserve"> </w:t>
      </w:r>
      <w:r>
        <w:t xml:space="preserve">If signed as drafted, the ADEA waiver is likely invalid and Delano could still sue under the ADEA — defeating a principal purpose of the settlement.</w:t>
      </w:r>
      <w:r>
        <w:t xml:space="preserve"> </w:t>
      </w:r>
      <w:r>
        <w:rPr>
          <w:b/>
          <w:bCs/>
        </w:rPr>
        <w:t xml:space="preserve">Redlined:</w:t>
      </w:r>
      <w:r>
        <w:t xml:space="preserve"> </w:t>
      </w:r>
      <w:r>
        <w:t xml:space="preserve">21-day consideration period; new Section 5(g) adding a 7-day revocation right; written attorney-consultation advisory; Effective Date redefined to occur only after the revocation period expires; and no payment or RSU delivery before that date.</w:t>
      </w:r>
    </w:p>
    <w:bookmarkEnd w:id="22"/>
    <w:bookmarkStart w:id="23" w:name="X57ef34f6d9c9a7dffe2c9c9083df431611062d1"/>
    <w:p>
      <w:pPr>
        <w:pStyle w:val="Heading3"/>
      </w:pPr>
      <w:r>
        <w:t xml:space="preserve">B. RSU valuation error — stale 409A valuation (Sections 3(d), 3(e), 8(d))</w:t>
      </w:r>
    </w:p>
    <w:p>
      <w:pPr>
        <w:pStyle w:val="FirstParagraph"/>
      </w:pPr>
      <w:r>
        <w:t xml:space="preserve">The Draft values the 5,000 accelerated RSUs at</w:t>
      </w:r>
      <w:r>
        <w:t xml:space="preserve"> </w:t>
      </w:r>
      <w:r>
        <w:rPr>
          <w:b/>
          <w:bCs/>
        </w:rPr>
        <w:t xml:space="preserve">$10.00/share</w:t>
      </w:r>
      <w:r>
        <w:t xml:space="preserve">, citing</w:t>
      </w:r>
      <w:r>
        <w:t xml:space="preserve"> </w:t>
      </w:r>
      <w:r>
        <w:t xml:space="preserve">“</w:t>
      </w:r>
      <w:r>
        <w:t xml:space="preserve">the most recent independent valuation conducted by Ridgepoint Valuation Services.</w:t>
      </w:r>
      <w:r>
        <w:t xml:space="preserve">”</w:t>
      </w:r>
      <w:r>
        <w:t xml:space="preserve"> </w:t>
      </w:r>
      <w:r>
        <w:t xml:space="preserve">That is the</w:t>
      </w:r>
      <w:r>
        <w:t xml:space="preserve"> </w:t>
      </w:r>
      <w:r>
        <w:rPr>
          <w:b/>
          <w:bCs/>
        </w:rPr>
        <w:t xml:space="preserve">July 1, 2024</w:t>
      </w:r>
      <w:r>
        <w:t xml:space="preserve"> </w:t>
      </w:r>
      <w:r>
        <w:t xml:space="preserve">valuation. The</w:t>
      </w:r>
      <w:r>
        <w:t xml:space="preserve"> </w:t>
      </w:r>
      <w:r>
        <w:rPr>
          <w:b/>
          <w:bCs/>
        </w:rPr>
        <w:t xml:space="preserve">most recent</w:t>
      </w:r>
      <w:r>
        <w:t xml:space="preserve"> </w:t>
      </w:r>
      <w:r>
        <w:t xml:space="preserve">409A valuation, dated</w:t>
      </w:r>
      <w:r>
        <w:t xml:space="preserve"> </w:t>
      </w:r>
      <w:r>
        <w:rPr>
          <w:b/>
          <w:bCs/>
        </w:rPr>
        <w:t xml:space="preserve">January 15, 2025</w:t>
      </w:r>
      <w:r>
        <w:t xml:space="preserve">, values the shares at</w:t>
      </w:r>
      <w:r>
        <w:t xml:space="preserve"> </w:t>
      </w:r>
      <w:r>
        <w:rPr>
          <w:b/>
          <w:bCs/>
        </w:rPr>
        <w:t xml:space="preserve">$12.50/share</w:t>
      </w:r>
      <w:r>
        <w:t xml:space="preserve">. The Draft therefore contains a material factual misstatement and understates the equity component.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Draft</w:t>
            </w:r>
          </w:p>
        </w:tc>
        <w:tc>
          <w:tcPr/>
          <w:p>
            <w:pPr>
              <w:pStyle w:val="Compact"/>
              <w:jc w:val="left"/>
            </w:pPr>
            <w:r>
              <w:t xml:space="preserve">Corrected (Jan. 15, 2025 409A)</w:t>
            </w:r>
          </w:p>
        </w:tc>
      </w:tr>
      <w:tr>
        <w:tc>
          <w:tcPr/>
          <w:p>
            <w:pPr>
              <w:pStyle w:val="Compact"/>
              <w:jc w:val="left"/>
            </w:pPr>
            <w:r>
              <w:t xml:space="preserve">Per-share value</w:t>
            </w:r>
          </w:p>
        </w:tc>
        <w:tc>
          <w:tcPr/>
          <w:p>
            <w:pPr>
              <w:pStyle w:val="Compact"/>
              <w:jc w:val="left"/>
            </w:pPr>
            <w:r>
              <w:t xml:space="preserve">$10.00</w:t>
            </w:r>
          </w:p>
        </w:tc>
        <w:tc>
          <w:tcPr/>
          <w:p>
            <w:pPr>
              <w:pStyle w:val="Compact"/>
              <w:jc w:val="left"/>
            </w:pPr>
            <w:r>
              <w:t xml:space="preserve">$12.50</w:t>
            </w:r>
          </w:p>
        </w:tc>
      </w:tr>
      <w:tr>
        <w:tc>
          <w:tcPr/>
          <w:p>
            <w:pPr>
              <w:pStyle w:val="Compact"/>
              <w:jc w:val="left"/>
            </w:pPr>
            <w:r>
              <w:t xml:space="preserve">5,000 RSU value</w:t>
            </w:r>
          </w:p>
        </w:tc>
        <w:tc>
          <w:tcPr/>
          <w:p>
            <w:pPr>
              <w:pStyle w:val="Compact"/>
              <w:jc w:val="left"/>
            </w:pPr>
            <w:r>
              <w:t xml:space="preserve">$50,000</w:t>
            </w:r>
          </w:p>
        </w:tc>
        <w:tc>
          <w:tcPr/>
          <w:p>
            <w:pPr>
              <w:pStyle w:val="Compact"/>
              <w:jc w:val="left"/>
            </w:pPr>
            <w:r>
              <w:t xml:space="preserve">$62,500</w:t>
            </w:r>
          </w:p>
        </w:tc>
      </w:tr>
      <w:tr>
        <w:tc>
          <w:tcPr/>
          <w:p>
            <w:pPr>
              <w:pStyle w:val="Compact"/>
              <w:jc w:val="left"/>
            </w:pPr>
            <w:r>
              <w:rPr>
                <w:b/>
                <w:bCs/>
              </w:rPr>
              <w:t xml:space="preserve">Aggregate settlement value</w:t>
            </w:r>
          </w:p>
        </w:tc>
        <w:tc>
          <w:tcPr/>
          <w:p>
            <w:pPr>
              <w:pStyle w:val="Compact"/>
              <w:jc w:val="left"/>
            </w:pPr>
            <w:r>
              <w:rPr>
                <w:b/>
                <w:bCs/>
              </w:rPr>
              <w:t xml:space="preserve">$525,000</w:t>
            </w:r>
          </w:p>
        </w:tc>
        <w:tc>
          <w:tcPr/>
          <w:p>
            <w:pPr>
              <w:pStyle w:val="Compact"/>
              <w:jc w:val="left"/>
            </w:pPr>
            <w:r>
              <w:rPr>
                <w:b/>
                <w:bCs/>
              </w:rPr>
              <w:t xml:space="preserve">$537,500</w:t>
            </w:r>
          </w:p>
        </w:tc>
      </w:tr>
    </w:tbl>
    <w:p>
      <w:pPr>
        <w:pStyle w:val="BodyText"/>
      </w:pPr>
      <w:r>
        <w:t xml:space="preserve">The Draft also omits two operational requirements from the equity records: (i) the</w:t>
      </w:r>
      <w:r>
        <w:t xml:space="preserve"> </w:t>
      </w:r>
      <w:r>
        <w:rPr>
          <w:b/>
          <w:bCs/>
        </w:rPr>
        <w:t xml:space="preserve">Compensation Committee’s</w:t>
      </w:r>
      <w:r>
        <w:t xml:space="preserve"> </w:t>
      </w:r>
      <w:r>
        <w:t xml:space="preserve">approval is required to accelerate vesting (the Plan grants the Committee discretion to approve acceleration in connection with separation agreements); and (ii) the</w:t>
      </w:r>
      <w:r>
        <w:t xml:space="preserve"> </w:t>
      </w:r>
      <w:r>
        <w:rPr>
          <w:b/>
          <w:bCs/>
        </w:rPr>
        <w:t xml:space="preserve">tax-withholding mechanics</w:t>
      </w:r>
      <w:r>
        <w:t xml:space="preserve"> </w:t>
      </w:r>
      <w:r>
        <w:t xml:space="preserve">for vesting (the value at vesting is ordinary wage income requiring FICA/supplemental withholding and W-2 reporting).</w:t>
      </w:r>
      <w:r>
        <w:t xml:space="preserve"> </w:t>
      </w:r>
      <w:r>
        <w:rPr>
          <w:b/>
          <w:bCs/>
        </w:rPr>
        <w:t xml:space="preserve">Redlined</w:t>
      </w:r>
      <w:r>
        <w:t xml:space="preserve"> </w:t>
      </w:r>
      <w:r>
        <w:t xml:space="preserve">to correct the valuation, condition delivery on Compensation Committee approval, and specify sell-to-cover withholding.</w:t>
      </w:r>
    </w:p>
    <w:bookmarkEnd w:id="23"/>
    <w:bookmarkStart w:id="24" w:name="X74e6781206671380371a1bf99a7c0fe0d1f82f2"/>
    <w:p>
      <w:pPr>
        <w:pStyle w:val="Heading3"/>
      </w:pPr>
      <w:r>
        <w:t xml:space="preserve">C. No government-agency / whistleblower carve-outs (Sections 4, 6, 7)</w:t>
      </w:r>
    </w:p>
    <w:p>
      <w:pPr>
        <w:pStyle w:val="FirstParagraph"/>
      </w:pPr>
      <w:r>
        <w:t xml:space="preserve">The broad release, the confidentiality clause, and the non-disparagement clause each lack any carve-out for communications with government agencies. Read together, they could be construed to</w:t>
      </w:r>
      <w:r>
        <w:t xml:space="preserve"> </w:t>
      </w:r>
      <w:r>
        <w:rPr>
          <w:b/>
          <w:bCs/>
        </w:rPr>
        <w:t xml:space="preserve">prohibit Delano from cooperating with the pending Oregon OSHA investigation</w:t>
      </w:r>
      <w:r>
        <w:t xml:space="preserve"> </w:t>
      </w:r>
      <w:r>
        <w:t xml:space="preserve">— the same investigation that is central to his retaliation claim.</w:t>
      </w:r>
    </w:p>
    <w:p>
      <w:pPr>
        <w:pStyle w:val="BodyText"/>
      </w:pPr>
      <w:r>
        <w:rPr>
          <w:b/>
          <w:bCs/>
        </w:rPr>
        <w:t xml:space="preserve">Risk:</w:t>
      </w:r>
      <w:r>
        <w:t xml:space="preserve"> </w:t>
      </w:r>
      <w:r>
        <w:t xml:space="preserve">(1) Such provisions are likely</w:t>
      </w:r>
      <w:r>
        <w:t xml:space="preserve"> </w:t>
      </w:r>
      <w:r>
        <w:rPr>
          <w:b/>
          <w:bCs/>
        </w:rPr>
        <w:t xml:space="preserve">unenforceable</w:t>
      </w:r>
      <w:r>
        <w:t xml:space="preserve"> </w:t>
      </w:r>
      <w:r>
        <w:t xml:space="preserve">under federal whistleblower statutes, the Defend Trade Secrets Act (18 U.S.C. § 1833(b)), and the National Labor Relations Act; (2) the Company faces</w:t>
      </w:r>
      <w:r>
        <w:t xml:space="preserve"> </w:t>
      </w:r>
      <w:r>
        <w:rPr>
          <w:b/>
          <w:bCs/>
        </w:rPr>
        <w:t xml:space="preserve">retaliation and obstruction exposure</w:t>
      </w:r>
      <w:r>
        <w:t xml:space="preserve"> </w:t>
      </w:r>
      <w:r>
        <w:t xml:space="preserve">for seeking to chill Delano’s protected cooperation; and (3) the overbreadth gives Delano a basis to challenge the release.</w:t>
      </w:r>
      <w:r>
        <w:t xml:space="preserve"> </w:t>
      </w:r>
      <w:r>
        <w:rPr>
          <w:b/>
          <w:bCs/>
        </w:rPr>
        <w:t xml:space="preserve">Redlined:</w:t>
      </w:r>
      <w:r>
        <w:t xml:space="preserve"> </w:t>
      </w:r>
      <w:r>
        <w:t xml:space="preserve">added an agency-cooperation/whistleblower carve-out to the release (Section 4), a confidentiality exception for governmental agencies (Section 6(v)), and a truth/agency carve-out to non-disparagement (Section 7).</w:t>
      </w:r>
    </w:p>
    <w:bookmarkEnd w:id="24"/>
    <w:bookmarkStart w:id="25" w:name="Xa59a01139ba2b0d18784cac645e392603dfbdae"/>
    <w:p>
      <w:pPr>
        <w:pStyle w:val="Heading3"/>
      </w:pPr>
      <w:r>
        <w:t xml:space="preserve">D. Restrictive covenants are unenforceable in two states (Sections 9, 10)</w:t>
      </w:r>
    </w:p>
    <w:p>
      <w:pPr>
        <w:pStyle w:val="Compact"/>
        <w:numPr>
          <w:ilvl w:val="0"/>
          <w:numId w:val="1003"/>
        </w:numPr>
      </w:pPr>
      <w:r>
        <w:rPr>
          <w:b/>
          <w:bCs/>
        </w:rPr>
        <w:t xml:space="preserve">California.</w:t>
      </w:r>
      <w:r>
        <w:t xml:space="preserve"> </w:t>
      </w:r>
      <w:r>
        <w:t xml:space="preserve">A non-compete covering California is</w:t>
      </w:r>
      <w:r>
        <w:t xml:space="preserve"> </w:t>
      </w:r>
      <w:r>
        <w:rPr>
          <w:b/>
          <w:bCs/>
        </w:rPr>
        <w:t xml:space="preserve">void</w:t>
      </w:r>
      <w:r>
        <w:t xml:space="preserve"> </w:t>
      </w:r>
      <w:r>
        <w:t xml:space="preserve">under California Business &amp; Professions Code § 16600.</w:t>
      </w:r>
    </w:p>
    <w:p>
      <w:pPr>
        <w:pStyle w:val="Compact"/>
        <w:numPr>
          <w:ilvl w:val="0"/>
          <w:numId w:val="1003"/>
        </w:numPr>
      </w:pPr>
      <w:r>
        <w:rPr>
          <w:b/>
          <w:bCs/>
        </w:rPr>
        <w:t xml:space="preserve">Washington.</w:t>
      </w:r>
      <w:r>
        <w:t xml:space="preserve"> </w:t>
      </w:r>
      <w:r>
        <w:t xml:space="preserve">The non-compete is</w:t>
      </w:r>
      <w:r>
        <w:t xml:space="preserve"> </w:t>
      </w:r>
      <w:r>
        <w:rPr>
          <w:b/>
          <w:bCs/>
        </w:rPr>
        <w:t xml:space="preserve">void</w:t>
      </w:r>
      <w:r>
        <w:t xml:space="preserve"> </w:t>
      </w:r>
      <w:r>
        <w:t xml:space="preserve">under RCW 49.62.020 because Delano was terminated as the result of a</w:t>
      </w:r>
      <w:r>
        <w:t xml:space="preserve"> </w:t>
      </w:r>
      <w:r>
        <w:rPr>
          <w:b/>
          <w:bCs/>
        </w:rPr>
        <w:t xml:space="preserve">layoff</w:t>
      </w:r>
      <w:r>
        <w:t xml:space="preserve"> </w:t>
      </w:r>
      <w:r>
        <w:t xml:space="preserve">and the agreement provides no garden-leave compensation during the restraint period. The same statute’s layoff rule also reaches the</w:t>
      </w:r>
      <w:r>
        <w:t xml:space="preserve"> </w:t>
      </w:r>
      <w:r>
        <w:rPr>
          <w:b/>
          <w:bCs/>
        </w:rPr>
        <w:t xml:space="preserve">employee non-solicitation</w:t>
      </w:r>
      <w:r>
        <w:t xml:space="preserve"> </w:t>
      </w:r>
      <w:r>
        <w:t xml:space="preserve">in Section 10(a) (RCW 49.62 covers employee non-solicits; it excludes customer non-solicits).</w:t>
      </w:r>
    </w:p>
    <w:p>
      <w:pPr>
        <w:pStyle w:val="Compact"/>
        <w:numPr>
          <w:ilvl w:val="0"/>
          <w:numId w:val="1003"/>
        </w:numPr>
      </w:pPr>
      <w:r>
        <w:rPr>
          <w:b/>
          <w:bCs/>
        </w:rPr>
        <w:t xml:space="preserve">Oregon.</w:t>
      </w:r>
      <w:r>
        <w:t xml:space="preserve"> </w:t>
      </w:r>
      <w:r>
        <w:t xml:space="preserve">ORS 653.295 permits a severance-based non-compete; the salary threshold ($218,000) and the 18-month maximum are satisfied, but the notice/form requirements and overall reasonableness should be confirmed.</w:t>
      </w:r>
      <w:r>
        <w:t xml:space="preserve"> </w:t>
      </w:r>
      <w:r>
        <w:rPr>
          <w:b/>
          <w:bCs/>
        </w:rPr>
        <w:t xml:space="preserve">Idaho</w:t>
      </w:r>
      <w:r>
        <w:t xml:space="preserve"> </w:t>
      </w:r>
      <w:r>
        <w:t xml:space="preserve">requires reasonableness.</w:t>
      </w:r>
    </w:p>
    <w:p>
      <w:pPr>
        <w:pStyle w:val="FirstParagraph"/>
      </w:pPr>
      <w:r>
        <w:rPr>
          <w:b/>
          <w:bCs/>
        </w:rPr>
        <w:t xml:space="preserve">Redlined:</w:t>
      </w:r>
      <w:r>
        <w:t xml:space="preserve"> </w:t>
      </w:r>
      <w:r>
        <w:t xml:space="preserve">removed California and Washington from the non-compete’s operative scope; added a savings clause for the employee non-solicit; and added a blue-pencil reformation clause (Section 17).</w:t>
      </w:r>
      <w:r>
        <w:t xml:space="preserve"> </w:t>
      </w:r>
      <w:r>
        <w:rPr>
          <w:b/>
          <w:bCs/>
        </w:rPr>
        <w:t xml:space="preserve">Strategic note:</w:t>
      </w:r>
      <w:r>
        <w:t xml:space="preserve"> </w:t>
      </w:r>
      <w:r>
        <w:t xml:space="preserve">imposing a non-compete on a whistleblower who was terminated for raising food-safety concerns carries significant optics and retaliation risk; the Company should consider whether to retain any non-compete at all (see Section VI).</w:t>
      </w:r>
    </w:p>
    <w:bookmarkEnd w:id="25"/>
    <w:bookmarkEnd w:id="26"/>
    <w:bookmarkStart w:id="32" w:name="iv.-significant-issues"/>
    <w:p>
      <w:pPr>
        <w:pStyle w:val="Heading2"/>
      </w:pPr>
      <w:r>
        <w:t xml:space="preserve">IV. Significant Issues</w:t>
      </w:r>
    </w:p>
    <w:bookmarkStart w:id="27" w:name="X4e820af4a2d417b1f77e05c56a30307f5ec067e"/>
    <w:p>
      <w:pPr>
        <w:pStyle w:val="Heading3"/>
      </w:pPr>
      <w:r>
        <w:t xml:space="preserve">E. Workers’ compensation release (Section 4(xii))</w:t>
      </w:r>
    </w:p>
    <w:p>
      <w:pPr>
        <w:pStyle w:val="FirstParagraph"/>
      </w:pPr>
      <w:r>
        <w:t xml:space="preserve">A blanket release of ORS Chapter 656 claims is generally</w:t>
      </w:r>
      <w:r>
        <w:t xml:space="preserve"> </w:t>
      </w:r>
      <w:r>
        <w:rPr>
          <w:b/>
          <w:bCs/>
        </w:rPr>
        <w:t xml:space="preserve">ineffective without approval of the Oregon Workers’ Compensation Board</w:t>
      </w:r>
      <w:r>
        <w:t xml:space="preserve"> </w:t>
      </w:r>
      <w:r>
        <w:t xml:space="preserve">under ORS 656.236.</w:t>
      </w:r>
      <w:r>
        <w:t xml:space="preserve"> </w:t>
      </w:r>
      <w:r>
        <w:rPr>
          <w:b/>
          <w:bCs/>
        </w:rPr>
        <w:t xml:space="preserve">Redlined</w:t>
      </w:r>
      <w:r>
        <w:t xml:space="preserve"> </w:t>
      </w:r>
      <w:r>
        <w:t xml:space="preserve">to limit the release accordingly and to make clear nothing constitutes a stipulated settlement of any workers’ comp claim absent Board approval.</w:t>
      </w:r>
    </w:p>
    <w:bookmarkEnd w:id="27"/>
    <w:bookmarkStart w:id="28" w:name="X34e70ec9256c998f8d287e8cb56660b33d69c6a"/>
    <w:p>
      <w:pPr>
        <w:pStyle w:val="Heading3"/>
      </w:pPr>
      <w:r>
        <w:t xml:space="preserve">F. Tax-allocation risk (Sections 3(a), 8(a)) —</w:t>
      </w:r>
      <w:r>
        <w:t xml:space="preserve"> </w:t>
      </w:r>
      <w:r>
        <w:rPr>
          <w:i/>
          <w:iCs/>
        </w:rPr>
        <w:t xml:space="preserve">flagged, not redlined</w:t>
      </w:r>
    </w:p>
    <w:p>
      <w:pPr>
        <w:pStyle w:val="FirstParagraph"/>
      </w:pPr>
      <w:r>
        <w:t xml:space="preserve">The Draft allocates</w:t>
      </w:r>
      <w:r>
        <w:t xml:space="preserve"> </w:t>
      </w:r>
      <w:r>
        <w:rPr>
          <w:b/>
          <w:bCs/>
        </w:rPr>
        <w:t xml:space="preserve">$275,000</w:t>
      </w:r>
      <w:r>
        <w:t xml:space="preserve"> </w:t>
      </w:r>
      <w:r>
        <w:t xml:space="preserve">to non-wage</w:t>
      </w:r>
      <w:r>
        <w:t xml:space="preserve"> </w:t>
      </w:r>
      <w:r>
        <w:t xml:space="preserve">“</w:t>
      </w:r>
      <w:r>
        <w:t xml:space="preserve">emotional distress</w:t>
      </w:r>
      <w:r>
        <w:t xml:space="preserve">”</w:t>
      </w:r>
      <w:r>
        <w:t xml:space="preserve"> </w:t>
      </w:r>
      <w:r>
        <w:t xml:space="preserve">damages (Form 1099-MISC) and only</w:t>
      </w:r>
      <w:r>
        <w:t xml:space="preserve"> </w:t>
      </w:r>
      <w:r>
        <w:rPr>
          <w:b/>
          <w:bCs/>
        </w:rPr>
        <w:t xml:space="preserve">$125,000</w:t>
      </w:r>
      <w:r>
        <w:t xml:space="preserve"> </w:t>
      </w:r>
      <w:r>
        <w:t xml:space="preserve">to back pay (Form W-2). Because the claims are predominantly wage/retaliation claims, the IRS may</w:t>
      </w:r>
      <w:r>
        <w:t xml:space="preserve"> </w:t>
      </w:r>
      <w:r>
        <w:rPr>
          <w:b/>
          <w:bCs/>
        </w:rPr>
        <w:t xml:space="preserve">recharacterize</w:t>
      </w:r>
      <w:r>
        <w:t xml:space="preserve"> </w:t>
      </w:r>
      <w:r>
        <w:t xml:space="preserve">a portion of the $275,000 as wages, exposing the Company to back</w:t>
      </w:r>
      <w:r>
        <w:t xml:space="preserve"> </w:t>
      </w:r>
      <w:r>
        <w:rPr>
          <w:b/>
          <w:bCs/>
        </w:rPr>
        <w:t xml:space="preserve">FICA</w:t>
      </w:r>
      <w:r>
        <w:t xml:space="preserve"> </w:t>
      </w:r>
      <w:r>
        <w:t xml:space="preserve">plus interest and penalties. We recommend reviewing the allocation with tax counsel and the EPLI carrier before signing. (This is a tax-judgment item; we have flagged it rather than redlining the economics.)</w:t>
      </w:r>
    </w:p>
    <w:bookmarkEnd w:id="28"/>
    <w:bookmarkStart w:id="29" w:name="X6f1594fc49788c14a099d063e7f48359b18a613"/>
    <w:p>
      <w:pPr>
        <w:pStyle w:val="Heading3"/>
      </w:pPr>
      <w:r>
        <w:t xml:space="preserve">G. Back-pay amount vs. period (Section 3(b)) —</w:t>
      </w:r>
      <w:r>
        <w:t xml:space="preserve"> </w:t>
      </w:r>
      <w:r>
        <w:rPr>
          <w:i/>
          <w:iCs/>
        </w:rPr>
        <w:t xml:space="preserve">flagged</w:t>
      </w:r>
    </w:p>
    <w:p>
      <w:pPr>
        <w:pStyle w:val="FirstParagraph"/>
      </w:pPr>
      <w:r>
        <w:t xml:space="preserve">The $125,000 is described as back pay</w:t>
      </w:r>
      <w:r>
        <w:t xml:space="preserve"> </w:t>
      </w:r>
      <w:r>
        <w:t xml:space="preserve">“</w:t>
      </w:r>
      <w:r>
        <w:t xml:space="preserve">from the Separation Date through the Effective Date</w:t>
      </w:r>
      <w:r>
        <w:t xml:space="preserve">”</w:t>
      </w:r>
      <w:r>
        <w:t xml:space="preserve"> </w:t>
      </w:r>
      <w:r>
        <w:t xml:space="preserve">(~7 weeks), but $125,000 approximates ~21 weeks of salary at $218,000/year. The description and amount are internally inconsistent; consider conforming the stated period or recharacterizing the excess.</w:t>
      </w:r>
    </w:p>
    <w:bookmarkEnd w:id="29"/>
    <w:bookmarkStart w:id="30" w:name="X26cd83e6de6e8cb033d429bb171b8593b9867f3"/>
    <w:p>
      <w:pPr>
        <w:pStyle w:val="Heading3"/>
      </w:pPr>
      <w:r>
        <w:t xml:space="preserve">H. 2024 bonus / wage representation (Section 2) —</w:t>
      </w:r>
      <w:r>
        <w:t xml:space="preserve"> </w:t>
      </w:r>
      <w:r>
        <w:rPr>
          <w:i/>
          <w:iCs/>
        </w:rPr>
        <w:t xml:space="preserve">flagged, verify</w:t>
      </w:r>
    </w:p>
    <w:p>
      <w:pPr>
        <w:pStyle w:val="FirstParagraph"/>
      </w:pPr>
      <w:r>
        <w:t xml:space="preserve">Employment records show the</w:t>
      </w:r>
      <w:r>
        <w:t xml:space="preserve"> </w:t>
      </w:r>
      <w:r>
        <w:rPr>
          <w:b/>
          <w:bCs/>
        </w:rPr>
        <w:t xml:space="preserve">2024 bonus was</w:t>
      </w:r>
      <w:r>
        <w:rPr>
          <w:b/>
          <w:bCs/>
        </w:rPr>
        <w:t xml:space="preserve"> </w:t>
      </w:r>
      <w:r>
        <w:rPr>
          <w:b/>
          <w:bCs/>
        </w:rPr>
        <w:t xml:space="preserve">“</w:t>
      </w:r>
      <w:r>
        <w:rPr>
          <w:b/>
          <w:bCs/>
        </w:rPr>
        <w:t xml:space="preserve">not determined</w:t>
      </w:r>
      <w:r>
        <w:rPr>
          <w:b/>
          <w:bCs/>
        </w:rPr>
        <w:t xml:space="preserve">”</w:t>
      </w:r>
      <w:r>
        <w:rPr>
          <w:b/>
          <w:bCs/>
        </w:rPr>
        <w:t xml:space="preserve"> </w:t>
      </w:r>
      <w:r>
        <w:rPr>
          <w:b/>
          <w:bCs/>
        </w:rPr>
        <w:t xml:space="preserve">and not paid</w:t>
      </w:r>
      <w:r>
        <w:t xml:space="preserve"> </w:t>
      </w:r>
      <w:r>
        <w:t xml:space="preserve">prior to termination, yet Section 2 represents that Delano</w:t>
      </w:r>
      <w:r>
        <w:t xml:space="preserve"> </w:t>
      </w:r>
      <w:r>
        <w:t xml:space="preserve">“</w:t>
      </w:r>
      <w:r>
        <w:t xml:space="preserve">has received all wages, salary, and compensation … including … bonuses.</w:t>
      </w:r>
      <w:r>
        <w:t xml:space="preserve">”</w:t>
      </w:r>
      <w:r>
        <w:t xml:space="preserve"> </w:t>
      </w:r>
      <w:r>
        <w:t xml:space="preserve">Please verify with HR/Finance whether the 2024 bonus was paid before relying on the release of wage claims.</w:t>
      </w:r>
    </w:p>
    <w:bookmarkEnd w:id="30"/>
    <w:bookmarkStart w:id="31" w:name="Xf44ea76a50320a1b4d3f29d7c85696daf4e28f5"/>
    <w:p>
      <w:pPr>
        <w:pStyle w:val="Heading3"/>
      </w:pPr>
      <w:r>
        <w:t xml:space="preserve">I. EPLI carrier consent (Section 16) —</w:t>
      </w:r>
      <w:r>
        <w:t xml:space="preserve"> </w:t>
      </w:r>
      <w:r>
        <w:rPr>
          <w:i/>
          <w:iCs/>
        </w:rPr>
        <w:t xml:space="preserve">redlined</w:t>
      </w:r>
    </w:p>
    <w:p>
      <w:pPr>
        <w:pStyle w:val="FirstParagraph"/>
      </w:pPr>
      <w:r>
        <w:t xml:space="preserve">The Company carries EPLI coverage with Timberline Insurance Group (Policy No. TIG-EPL-2024-00391). Settlements of employment claims typically require the</w:t>
      </w:r>
      <w:r>
        <w:t xml:space="preserve"> </w:t>
      </w:r>
      <w:r>
        <w:rPr>
          <w:b/>
          <w:bCs/>
        </w:rPr>
        <w:t xml:space="preserve">carrier’s consent</w:t>
      </w:r>
      <w:r>
        <w:t xml:space="preserve">, particularly where coverage may fund any portion.</w:t>
      </w:r>
      <w:r>
        <w:t xml:space="preserve"> </w:t>
      </w:r>
      <w:r>
        <w:rPr>
          <w:b/>
          <w:bCs/>
        </w:rPr>
        <w:t xml:space="preserve">Redlined</w:t>
      </w:r>
      <w:r>
        <w:t xml:space="preserve"> </w:t>
      </w:r>
      <w:r>
        <w:t xml:space="preserve">as a condition precedent to execution. Please confirm the carrier will consent and whether it is funding any part of the payment.</w:t>
      </w:r>
    </w:p>
    <w:bookmarkEnd w:id="31"/>
    <w:bookmarkEnd w:id="32"/>
    <w:bookmarkStart w:id="37" w:name="X2b16726a5d64941f840f0859119f14b08369a0f"/>
    <w:p>
      <w:pPr>
        <w:pStyle w:val="Heading2"/>
      </w:pPr>
      <w:r>
        <w:t xml:space="preserve">V. Moderate Issues and Concessions to Reconsider</w:t>
      </w:r>
    </w:p>
    <w:bookmarkStart w:id="33" w:name="X93c10256bdf78c43525af2b178cc1dead0e9b32"/>
    <w:p>
      <w:pPr>
        <w:pStyle w:val="Heading3"/>
      </w:pPr>
      <w:r>
        <w:t xml:space="preserve">J. Employment reference (Section 11) —</w:t>
      </w:r>
      <w:r>
        <w:t xml:space="preserve"> </w:t>
      </w:r>
      <w:r>
        <w:rPr>
          <w:i/>
          <w:iCs/>
        </w:rPr>
        <w:t xml:space="preserve">redlined</w:t>
      </w:r>
    </w:p>
    <w:p>
      <w:pPr>
        <w:pStyle w:val="FirstParagraph"/>
      </w:pPr>
      <w:r>
        <w:t xml:space="preserve">The Draft requires Greenleaf to provide a</w:t>
      </w:r>
      <w:r>
        <w:t xml:space="preserve"> </w:t>
      </w:r>
      <w:r>
        <w:rPr>
          <w:b/>
          <w:bCs/>
        </w:rPr>
        <w:t xml:space="preserve">positive</w:t>
      </w:r>
      <w:r>
        <w:t xml:space="preserve"> </w:t>
      </w:r>
      <w:r>
        <w:t xml:space="preserve">reference, including a statement that Delano</w:t>
      </w:r>
      <w:r>
        <w:t xml:space="preserve"> </w:t>
      </w:r>
      <w:r>
        <w:t xml:space="preserve">“</w:t>
      </w:r>
      <w:r>
        <w:t xml:space="preserve">was a valued member … who made significant contributions.</w:t>
      </w:r>
      <w:r>
        <w:t xml:space="preserve">”</w:t>
      </w:r>
      <w:r>
        <w:t xml:space="preserve"> </w:t>
      </w:r>
      <w:r>
        <w:t xml:space="preserve">Mandated positive references create</w:t>
      </w:r>
      <w:r>
        <w:t xml:space="preserve"> </w:t>
      </w:r>
      <w:r>
        <w:rPr>
          <w:b/>
          <w:bCs/>
        </w:rPr>
        <w:t xml:space="preserve">defamation and misrepresentation exposure</w:t>
      </w:r>
      <w:r>
        <w:t xml:space="preserve"> </w:t>
      </w:r>
      <w:r>
        <w:t xml:space="preserve">and are unusual in separation agreements.</w:t>
      </w:r>
      <w:r>
        <w:t xml:space="preserve"> </w:t>
      </w:r>
      <w:r>
        <w:rPr>
          <w:b/>
          <w:bCs/>
        </w:rPr>
        <w:t xml:space="preserve">Redlined</w:t>
      </w:r>
      <w:r>
        <w:t xml:space="preserve"> </w:t>
      </w:r>
      <w:r>
        <w:t xml:space="preserve">to a</w:t>
      </w:r>
      <w:r>
        <w:t xml:space="preserve"> </w:t>
      </w:r>
      <w:r>
        <w:rPr>
          <w:b/>
          <w:bCs/>
        </w:rPr>
        <w:t xml:space="preserve">neutral</w:t>
      </w:r>
      <w:r>
        <w:t xml:space="preserve"> </w:t>
      </w:r>
      <w:r>
        <w:t xml:space="preserve">reference (dates of employment and final title only); the prohibition on disclosing the circumstances of termination is retained.</w:t>
      </w:r>
    </w:p>
    <w:bookmarkEnd w:id="33"/>
    <w:bookmarkStart w:id="34" w:name="X19f6695c6f97776f4ed1b81d9d0ca264b5e20dd"/>
    <w:p>
      <w:pPr>
        <w:pStyle w:val="Heading3"/>
      </w:pPr>
      <w:r>
        <w:t xml:space="preserve">K. Re-employment eligibility / no do-not-rehire flag (Section 14) —</w:t>
      </w:r>
      <w:r>
        <w:t xml:space="preserve"> </w:t>
      </w:r>
      <w:r>
        <w:rPr>
          <w:i/>
          <w:iCs/>
        </w:rPr>
        <w:t xml:space="preserve">flagged, business decision</w:t>
      </w:r>
    </w:p>
    <w:p>
      <w:pPr>
        <w:pStyle w:val="FirstParagraph"/>
      </w:pPr>
      <w:r>
        <w:t xml:space="preserve">The Draft bars any</w:t>
      </w:r>
      <w:r>
        <w:t xml:space="preserve"> </w:t>
      </w:r>
      <w:r>
        <w:t xml:space="preserve">“</w:t>
      </w:r>
      <w:r>
        <w:t xml:space="preserve">do not rehire</w:t>
      </w:r>
      <w:r>
        <w:t xml:space="preserve">”</w:t>
      </w:r>
      <w:r>
        <w:t xml:space="preserve"> </w:t>
      </w:r>
      <w:r>
        <w:t xml:space="preserve">designation and requires Delano to be considered for future openings. In a retaliation context this can be a reasonable remedial term, but it is a meaningful operational concession. Please confirm the Company is comfortable with this commitment.</w:t>
      </w:r>
    </w:p>
    <w:bookmarkEnd w:id="34"/>
    <w:bookmarkStart w:id="35" w:name="X5cf0d76aa1b595a2e9edc46ff14e12587a74377"/>
    <w:p>
      <w:pPr>
        <w:pStyle w:val="Heading3"/>
      </w:pPr>
      <w:r>
        <w:t xml:space="preserve">L. Perpetual non-disparagement (Section 7) —</w:t>
      </w:r>
      <w:r>
        <w:t xml:space="preserve"> </w:t>
      </w:r>
      <w:r>
        <w:rPr>
          <w:i/>
          <w:iCs/>
        </w:rPr>
        <w:t xml:space="preserve">redlined</w:t>
      </w:r>
    </w:p>
    <w:p>
      <w:pPr>
        <w:pStyle w:val="FirstParagraph"/>
      </w:pPr>
      <w:r>
        <w:t xml:space="preserve">The Draft makes non-disparagement obligations perpetual.</w:t>
      </w:r>
      <w:r>
        <w:t xml:space="preserve"> </w:t>
      </w:r>
      <w:r>
        <w:rPr>
          <w:b/>
          <w:bCs/>
        </w:rPr>
        <w:t xml:space="preserve">Redlined</w:t>
      </w:r>
      <w:r>
        <w:t xml:space="preserve"> </w:t>
      </w:r>
      <w:r>
        <w:t xml:space="preserve">to a</w:t>
      </w:r>
      <w:r>
        <w:t xml:space="preserve"> </w:t>
      </w:r>
      <w:r>
        <w:rPr>
          <w:b/>
          <w:bCs/>
        </w:rPr>
        <w:t xml:space="preserve">three-year</w:t>
      </w:r>
      <w:r>
        <w:t xml:space="preserve"> </w:t>
      </w:r>
      <w:r>
        <w:t xml:space="preserve">term; perpetual restraints are disfavored and increase enforceability risk.</w:t>
      </w:r>
    </w:p>
    <w:bookmarkEnd w:id="35"/>
    <w:bookmarkStart w:id="36" w:name="X8bec80f3adff2b2c17b405ed7edeb34926fea46"/>
    <w:p>
      <w:pPr>
        <w:pStyle w:val="Heading3"/>
      </w:pPr>
      <w:r>
        <w:t xml:space="preserve">M. Missing standard provisions —</w:t>
      </w:r>
      <w:r>
        <w:t xml:space="preserve"> </w:t>
      </w:r>
      <w:r>
        <w:rPr>
          <w:i/>
          <w:iCs/>
        </w:rPr>
        <w:t xml:space="preserve">redlined (added)</w:t>
      </w:r>
    </w:p>
    <w:p>
      <w:pPr>
        <w:pStyle w:val="FirstParagraph"/>
      </w:pPr>
      <w:r>
        <w:t xml:space="preserve">The Draft omitted several provisions we have added:</w:t>
      </w:r>
      <w:r>
        <w:t xml:space="preserve"> </w:t>
      </w:r>
      <w:r>
        <w:rPr>
          <w:b/>
          <w:bCs/>
        </w:rPr>
        <w:t xml:space="preserve">Section 19 (Governing Law and Venue)</w:t>
      </w:r>
      <w:r>
        <w:t xml:space="preserve"> </w:t>
      </w:r>
      <w:r>
        <w:t xml:space="preserve">— Oregon law, Multnomah County venue, jury waiver;</w:t>
      </w:r>
      <w:r>
        <w:t xml:space="preserve"> </w:t>
      </w:r>
      <w:r>
        <w:rPr>
          <w:b/>
          <w:bCs/>
        </w:rPr>
        <w:t xml:space="preserve">Section 20 (Notices)</w:t>
      </w:r>
      <w:r>
        <w:t xml:space="preserve"> </w:t>
      </w:r>
      <w:r>
        <w:t xml:space="preserve">— supports the revocation mechanics;</w:t>
      </w:r>
      <w:r>
        <w:t xml:space="preserve"> </w:t>
      </w:r>
      <w:r>
        <w:rPr>
          <w:b/>
          <w:bCs/>
        </w:rPr>
        <w:t xml:space="preserve">Section 15(a)(iv)</w:t>
      </w:r>
      <w:r>
        <w:t xml:space="preserve"> </w:t>
      </w:r>
      <w:r>
        <w:t xml:space="preserve">— return of Company property;</w:t>
      </w:r>
      <w:r>
        <w:t xml:space="preserve"> </w:t>
      </w:r>
      <w:r>
        <w:rPr>
          <w:b/>
          <w:bCs/>
        </w:rPr>
        <w:t xml:space="preserve">Section 15(a)(v)</w:t>
      </w:r>
      <w:r>
        <w:t xml:space="preserve"> </w:t>
      </w:r>
      <w:r>
        <w:t xml:space="preserve">— confidentiality of Company information/trade secrets with the DTSA immunity carve-out; and a</w:t>
      </w:r>
      <w:r>
        <w:t xml:space="preserve"> </w:t>
      </w:r>
      <w:r>
        <w:rPr>
          <w:b/>
          <w:bCs/>
        </w:rPr>
        <w:t xml:space="preserve">carve-out in Section 18</w:t>
      </w:r>
      <w:r>
        <w:t xml:space="preserve"> </w:t>
      </w:r>
      <w:r>
        <w:t xml:space="preserve">preserving the 2021 Equity Incentive Plan and RSU Grant Agreement (otherwise the integration clause could inadvertently supersede the very Plan terms that govern the accelerated vesting).</w:t>
      </w:r>
    </w:p>
    <w:bookmarkEnd w:id="36"/>
    <w:bookmarkEnd w:id="37"/>
    <w:bookmarkStart w:id="38" w:name="X6fd7ea416813505b419a077d67cbe3a5774f9cd"/>
    <w:p>
      <w:pPr>
        <w:pStyle w:val="Heading2"/>
      </w:pPr>
      <w:r>
        <w:t xml:space="preserve">VI. Items Requiring Action or Verification Before Signing</w:t>
      </w:r>
    </w:p>
    <w:p>
      <w:pPr>
        <w:pStyle w:val="Compact"/>
        <w:numPr>
          <w:ilvl w:val="0"/>
          <w:numId w:val="1004"/>
        </w:numPr>
      </w:pPr>
      <w:r>
        <w:rPr>
          <w:b/>
          <w:bCs/>
        </w:rPr>
        <w:t xml:space="preserve">EPLI carrier (Timberline)</w:t>
      </w:r>
      <w:r>
        <w:t xml:space="preserve"> </w:t>
      </w:r>
      <w:r>
        <w:t xml:space="preserve">— obtain consent; confirm whether it funds any portion.</w:t>
      </w:r>
    </w:p>
    <w:p>
      <w:pPr>
        <w:pStyle w:val="Compact"/>
        <w:numPr>
          <w:ilvl w:val="0"/>
          <w:numId w:val="1004"/>
        </w:numPr>
      </w:pPr>
      <w:r>
        <w:rPr>
          <w:b/>
          <w:bCs/>
        </w:rPr>
        <w:t xml:space="preserve">Compensation Committee</w:t>
      </w:r>
      <w:r>
        <w:t xml:space="preserve"> </w:t>
      </w:r>
      <w:r>
        <w:t xml:space="preserve">— obtain approval for the RSU acceleration.</w:t>
      </w:r>
    </w:p>
    <w:p>
      <w:pPr>
        <w:pStyle w:val="Compact"/>
        <w:numPr>
          <w:ilvl w:val="0"/>
          <w:numId w:val="1004"/>
        </w:numPr>
      </w:pPr>
      <w:r>
        <w:rPr>
          <w:b/>
          <w:bCs/>
        </w:rPr>
        <w:t xml:space="preserve">2024 bonus</w:t>
      </w:r>
      <w:r>
        <w:t xml:space="preserve"> </w:t>
      </w:r>
      <w:r>
        <w:t xml:space="preserve">— confirm payment status and the accuracy of the Section 2 wage representation.</w:t>
      </w:r>
    </w:p>
    <w:p>
      <w:pPr>
        <w:pStyle w:val="Compact"/>
        <w:numPr>
          <w:ilvl w:val="0"/>
          <w:numId w:val="1004"/>
        </w:numPr>
      </w:pPr>
      <w:r>
        <w:rPr>
          <w:b/>
          <w:bCs/>
        </w:rPr>
        <w:t xml:space="preserve">Tax allocation</w:t>
      </w:r>
      <w:r>
        <w:t xml:space="preserve"> </w:t>
      </w:r>
      <w:r>
        <w:t xml:space="preserve">— review the $275,000 / $125,000 split with tax counsel.</w:t>
      </w:r>
    </w:p>
    <w:p>
      <w:pPr>
        <w:pStyle w:val="Compact"/>
        <w:numPr>
          <w:ilvl w:val="0"/>
          <w:numId w:val="1004"/>
        </w:numPr>
      </w:pPr>
      <w:r>
        <w:rPr>
          <w:b/>
          <w:bCs/>
        </w:rPr>
        <w:t xml:space="preserve">Oregon non-compete</w:t>
      </w:r>
      <w:r>
        <w:t xml:space="preserve"> </w:t>
      </w:r>
      <w:r>
        <w:t xml:space="preserve">— confirm ORS 653.295 notice/form compliance.</w:t>
      </w:r>
    </w:p>
    <w:p>
      <w:pPr>
        <w:pStyle w:val="Compact"/>
        <w:numPr>
          <w:ilvl w:val="0"/>
          <w:numId w:val="1004"/>
        </w:numPr>
      </w:pPr>
      <w:r>
        <w:rPr>
          <w:b/>
          <w:bCs/>
        </w:rPr>
        <w:t xml:space="preserve">Non-compete strategy</w:t>
      </w:r>
      <w:r>
        <w:t xml:space="preserve"> </w:t>
      </w:r>
      <w:r>
        <w:t xml:space="preserve">— decide whether to retain the non-compete at all given retaliation optics.</w:t>
      </w:r>
    </w:p>
    <w:p>
      <w:pPr>
        <w:pStyle w:val="Compact"/>
        <w:numPr>
          <w:ilvl w:val="0"/>
          <w:numId w:val="1004"/>
        </w:numPr>
      </w:pPr>
      <w:r>
        <w:rPr>
          <w:b/>
          <w:bCs/>
        </w:rPr>
        <w:t xml:space="preserve">Conform dates</w:t>
      </w:r>
      <w:r>
        <w:t xml:space="preserve"> </w:t>
      </w:r>
      <w:r>
        <w:t xml:space="preserve">— update Preamble/Recitals references to</w:t>
      </w:r>
      <w:r>
        <w:t xml:space="preserve"> </w:t>
      </w:r>
      <w:r>
        <w:t xml:space="preserve">“</w:t>
      </w:r>
      <w:r>
        <w:t xml:space="preserve">May 5, 2025 (Effective Date)</w:t>
      </w:r>
      <w:r>
        <w:t xml:space="preserve">”</w:t>
      </w:r>
      <w:r>
        <w:t xml:space="preserve"> </w:t>
      </w:r>
      <w:r>
        <w:t xml:space="preserve">to reflect the redefined Effective Date / Offer Date.</w:t>
      </w:r>
    </w:p>
    <w:p>
      <w:pPr>
        <w:pStyle w:val="Compact"/>
        <w:numPr>
          <w:ilvl w:val="0"/>
          <w:numId w:val="1004"/>
        </w:numPr>
      </w:pPr>
      <w:r>
        <w:rPr>
          <w:b/>
          <w:bCs/>
        </w:rPr>
        <w:t xml:space="preserve">Return of property</w:t>
      </w:r>
      <w:r>
        <w:t xml:space="preserve"> </w:t>
      </w:r>
      <w:r>
        <w:t xml:space="preserve">— confirm Delano has returned all Company property and records.</w:t>
      </w:r>
    </w:p>
    <w:p>
      <w:pPr>
        <w:pStyle w:val="Compact"/>
        <w:numPr>
          <w:ilvl w:val="0"/>
          <w:numId w:val="1004"/>
        </w:numPr>
      </w:pPr>
      <w:r>
        <w:rPr>
          <w:b/>
          <w:bCs/>
        </w:rPr>
        <w:t xml:space="preserve">Payment timing</w:t>
      </w:r>
      <w:r>
        <w:t xml:space="preserve"> </w:t>
      </w:r>
      <w:r>
        <w:t xml:space="preserve">— ensure no cash payment or RSU delivery occurs before the 7-day revocation period expires without revocation.</w:t>
      </w:r>
    </w:p>
    <w:bookmarkEnd w:id="38"/>
    <w:bookmarkStart w:id="39" w:name="vii.-recommendation"/>
    <w:p>
      <w:pPr>
        <w:pStyle w:val="Heading2"/>
      </w:pPr>
      <w:r>
        <w:t xml:space="preserve">VII. Recommendation</w:t>
      </w:r>
    </w:p>
    <w:p>
      <w:pPr>
        <w:pStyle w:val="FirstParagraph"/>
      </w:pPr>
      <w:r>
        <w:t xml:space="preserve">Proceed with the settlement</w:t>
      </w:r>
      <w:r>
        <w:t xml:space="preserve"> </w:t>
      </w:r>
      <w:r>
        <w:rPr>
          <w:b/>
          <w:bCs/>
        </w:rPr>
        <w:t xml:space="preserve">on the redlined terms</w:t>
      </w:r>
      <w:r>
        <w:t xml:space="preserve">. The economics are justified by the pretext risk (the March 20, 2025 replacement hire) and the unresolved OSHA investigation. The redline converts a Draft that would likely fail to deliver a valid ADEA release and would create retaliation/obstruction exposure into an enforceable, carrier-aligned agreement with accurate economics.</w:t>
      </w:r>
      <w:r>
        <w:t xml:space="preserve"> </w:t>
      </w:r>
      <w:r>
        <w:rPr>
          <w:b/>
          <w:bCs/>
        </w:rPr>
        <w:t xml:space="preserve">Do not execute the Draft as presented.</w:t>
      </w:r>
    </w:p>
    <w:p>
      <w:pPr>
        <w:pStyle w:val="BodyText"/>
      </w:pPr>
      <w:r>
        <w:t xml:space="preserve">We are available to discuss any of the foregoing or to negotiate the redlined terms with Engel &amp; Associates.</w:t>
      </w:r>
    </w:p>
    <w:p>
      <w:pPr>
        <w:pStyle w:val="BodyText"/>
      </w:pPr>
      <w:r>
        <w:rPr>
          <w:i/>
          <w:iCs/>
        </w:rPr>
        <w:t xml:space="preserve">Employment &amp; Litigation Counsel</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2026-06-26T23:19:21Z</dcterms:created>
  <dcterms:modified xsi:type="dcterms:W3CDTF">2026-06-26T23:19:21Z</dcterms:modified>
</cp:coreProperties>
</file>

<file path=docProps/custom.xml><?xml version="1.0" encoding="utf-8"?>
<Properties xmlns="http://schemas.openxmlformats.org/officeDocument/2006/custom-properties" xmlns:vt="http://schemas.openxmlformats.org/officeDocument/2006/docPropsVTypes"/>
</file>