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585ce1e23731a81ee791f2ef7e668d23c67ace2"/>
    <w:p>
      <w:pPr>
        <w:pStyle w:val="Heading1"/>
      </w:pPr>
      <w:r>
        <w:t xml:space="preserve">PRIVILEGED AND CONFIDENTIAL — ATTORNEY WORK PRODUCT / ATTORNEY-CLIENT COMMUNICATION</w:t>
      </w:r>
    </w:p>
    <w:p>
      <w:pPr>
        <w:pStyle w:val="FirstParagraph"/>
      </w:pPr>
      <w:r>
        <w:rPr>
          <w:b/>
          <w:bCs/>
        </w:rPr>
        <w:t xml:space="preserve">MEMORANDUM</w:t>
      </w:r>
    </w:p>
    <w:p>
      <w:pPr>
        <w:pStyle w:val="BodyText"/>
      </w:pPr>
      <w:r>
        <w:rPr>
          <w:b/>
          <w:bCs/>
        </w:rPr>
        <w:t xml:space="preserve">TO:</w:t>
      </w:r>
      <w:r>
        <w:t xml:space="preserve"> </w:t>
      </w:r>
      <w:r>
        <w:t xml:space="preserve">Tyler Huang, General Counsel, Greenleaf Organic Foods, Inc.</w:t>
      </w:r>
    </w:p>
    <w:p>
      <w:pPr>
        <w:pStyle w:val="BodyText"/>
      </w:pPr>
      <w:r>
        <w:rPr>
          <w:b/>
          <w:bCs/>
        </w:rPr>
        <w:t xml:space="preserve">FROM:</w:t>
      </w:r>
      <w:r>
        <w:t xml:space="preserve"> </w:t>
      </w:r>
      <w:r>
        <w:t xml:space="preserve">Employment &amp; Litigation Counsel</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Review of Draft Settlement Agreement with Marcus R. Delano — Issues, Risks, and Redlined Revisions</w:t>
      </w:r>
    </w:p>
    <w:p>
      <w:pPr>
        <w:pStyle w:val="BodyText"/>
      </w:pPr>
      <w:r>
        <w:rPr>
          <w:b/>
          <w:bCs/>
        </w:rPr>
        <w:t xml:space="preserve">ENCLOSURE:</w:t>
      </w:r>
      <w:r>
        <w:t xml:space="preserve"> </w:t>
      </w:r>
      <w:r>
        <w:rPr>
          <w:rStyle w:val="VerbatimChar"/>
        </w:rPr>
        <w:t xml:space="preserve">settlement-agreement-markup.docx</w:t>
      </w:r>
      <w:r>
        <w:t xml:space="preserve"> </w:t>
      </w:r>
      <w:r>
        <w:t xml:space="preserve">(redline of the May 5, 2025 draft prepared by Engel &amp; Associates, P.C.)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You asked us to review the draft Settlement Agreement and General Release of All Claims (the</w:t>
      </w:r>
      <w:r>
        <w:t xml:space="preserve"> </w:t>
      </w:r>
      <w:r>
        <w:t xml:space="preserve">“</w:t>
      </w:r>
      <w:r>
        <w:t xml:space="preserve">Draft</w:t>
      </w:r>
      <w:r>
        <w:t xml:space="preserve">”</w:t>
      </w:r>
      <w:r>
        <w:t xml:space="preserve">), prepared by Mr. Delano’s counsel (Engel &amp; Associates, P.C.), against Greenleaf’s employment records and the company policies referenced in the Draft (the Greenleaf 2021 Equity Incentive Plan and the July 1, 2022 RSU Grant Agreement). The enclosed redline contains our drafted revisions.</w:t>
      </w:r>
    </w:p>
    <w:p>
      <w:pPr>
        <w:pStyle w:val="BodyText"/>
      </w:pPr>
      <w:r>
        <w:t xml:space="preserve">The Draft is workable as a framework but, as written, contains (1) a material valuation error that understates the RSU component by $12,500; (2) multiple defects that would likely render the Age Discrimination in Employment Act (</w:t>
      </w:r>
      <w:r>
        <w:t xml:space="preserve">“</w:t>
      </w:r>
      <w:r>
        <w:t xml:space="preserve">ADEA</w:t>
      </w:r>
      <w:r>
        <w:t xml:space="preserve">”</w:t>
      </w:r>
      <w:r>
        <w:t xml:space="preserve">) release invalid under the Older Workers Benefit Protection Act (</w:t>
      </w:r>
      <w:r>
        <w:t xml:space="preserve">“</w:t>
      </w:r>
      <w:r>
        <w:t xml:space="preserve">OWBPA</w:t>
      </w:r>
      <w:r>
        <w:t xml:space="preserve">”</w:t>
      </w:r>
      <w:r>
        <w:t xml:space="preserve">) — most critically a 14-day (not 21-day) consideration period, no 7-day revocation period, and no</w:t>
      </w:r>
      <w:r>
        <w:t xml:space="preserve"> </w:t>
      </w:r>
      <w:r>
        <w:t xml:space="preserve">“</w:t>
      </w:r>
      <w:r>
        <w:t xml:space="preserve">advised to consult an attorney</w:t>
      </w:r>
      <w:r>
        <w:t xml:space="preserve">”</w:t>
      </w:r>
      <w:r>
        <w:t xml:space="preserve"> </w:t>
      </w:r>
      <w:r>
        <w:t xml:space="preserve">acknowledgment; (3) release, confidentiality, and non-disparagement provisions that are overbroad and partially void under Oregon law; (4) a non-competition covenant that is almost certainly unenforceable as to California and questionable in Oregon; and (5) several standard protective provisions that are missing entirely. Separately, the underlying employment record contains facts — most notably the hire of a replacement six days after termination — that materially increase Greenleaf’s litigation exposure and should inform both the decision to settle and the negotiation of remaining terms.</w:t>
      </w:r>
    </w:p>
    <w:p>
      <w:pPr>
        <w:pStyle w:val="BodyText"/>
      </w:pPr>
      <w:r>
        <w:t xml:space="preserve">The redline addresses the contract defects. The litigation and regulatory risks, insurance coordination, and items requiring further verification are summarized below and are not all susceptible to a contract fix.</w:t>
      </w:r>
    </w:p>
    <w:bookmarkEnd w:id="20"/>
    <w:bookmarkStart w:id="21" w:name="ii.-factual-background-and-record"/>
    <w:p>
      <w:pPr>
        <w:pStyle w:val="Heading2"/>
      </w:pPr>
      <w:r>
        <w:t xml:space="preserve">II. Factual Background and Record</w:t>
      </w:r>
    </w:p>
    <w:p>
      <w:pPr>
        <w:pStyle w:val="FirstParagraph"/>
      </w:pPr>
      <w:r>
        <w:t xml:space="preserve">The following facts are drawn from the Delano employment summary prepared by Leanne Foss, HR Director (report dated May 10, 2025) and the Draft itself:</w:t>
      </w:r>
    </w:p>
    <w:p>
      <w:pPr>
        <w:pStyle w:val="Compact"/>
        <w:numPr>
          <w:ilvl w:val="0"/>
          <w:numId w:val="1001"/>
        </w:numPr>
      </w:pPr>
      <w:r>
        <w:rPr>
          <w:b/>
          <w:bCs/>
        </w:rPr>
        <w:t xml:space="preserve">Employee:</w:t>
      </w:r>
      <w:r>
        <w:t xml:space="preserve"> </w:t>
      </w:r>
      <w:r>
        <w:t xml:space="preserve">Marcus R. Delano, Employee ID GRN-2017-0438, date of birth 07/14/1966 (age 58 — protected under the ADEA).</w:t>
      </w:r>
    </w:p>
    <w:p>
      <w:pPr>
        <w:pStyle w:val="Compact"/>
        <w:numPr>
          <w:ilvl w:val="0"/>
          <w:numId w:val="1001"/>
        </w:numPr>
      </w:pPr>
      <w:r>
        <w:rPr>
          <w:b/>
          <w:bCs/>
        </w:rPr>
        <w:t xml:space="preserve">Tenure:</w:t>
      </w:r>
      <w:r>
        <w:t xml:space="preserve"> </w:t>
      </w:r>
      <w:r>
        <w:t xml:space="preserve">Hired June 12, 2017 as Director of Procurement; promoted to Vice President of Supply Chain Operations effective January 1, 2020; reported to COO Patricia Engel.</w:t>
      </w:r>
    </w:p>
    <w:p>
      <w:pPr>
        <w:pStyle w:val="Compact"/>
        <w:numPr>
          <w:ilvl w:val="0"/>
          <w:numId w:val="1001"/>
        </w:numPr>
      </w:pPr>
      <w:r>
        <w:rPr>
          <w:b/>
          <w:bCs/>
        </w:rPr>
        <w:t xml:space="preserve">Compensation:</w:t>
      </w:r>
      <w:r>
        <w:t xml:space="preserve"> </w:t>
      </w:r>
      <w:r>
        <w:t xml:space="preserve">Final base salary $218,000; 2024 performance bonus (target $43,600, 20% of base) was</w:t>
      </w:r>
      <w:r>
        <w:t xml:space="preserve"> </w:t>
      </w:r>
      <w:r>
        <w:rPr>
          <w:i/>
          <w:iCs/>
        </w:rPr>
        <w:t xml:space="preserve">not determined or paid</w:t>
      </w:r>
      <w:r>
        <w:t xml:space="preserve"> </w:t>
      </w:r>
      <w:r>
        <w:t xml:space="preserve">prior to termination. Per the company’s historical pattern, bonuses for a given year were paid in March of the following year (e.g., 2023 bonus paid March 2024) — i.e., the 2024 bonus would ordinarily have been paid in March 2025, the same month Delano was terminated (March 14, 2025).</w:t>
      </w:r>
    </w:p>
    <w:p>
      <w:pPr>
        <w:pStyle w:val="Compact"/>
        <w:numPr>
          <w:ilvl w:val="0"/>
          <w:numId w:val="1001"/>
        </w:numPr>
      </w:pPr>
      <w:r>
        <w:rPr>
          <w:b/>
          <w:bCs/>
        </w:rPr>
        <w:t xml:space="preserve">Protected activity:</w:t>
      </w:r>
      <w:r>
        <w:t xml:space="preserve"> </w:t>
      </w:r>
      <w:r>
        <w:t xml:space="preserve">Internal complaint to HR Director Leanne Foss on November 8, 2024 (cold-chain protocol failures, Bend, Oregon facility); Oregon OSHA complaint filed December 3, 2024 (No. OR-OSHA-2024-11872); OSHA opened a formal investigation on January 22, 2025, which</w:t>
      </w:r>
      <w:r>
        <w:t xml:space="preserve"> </w:t>
      </w:r>
      <w:r>
        <w:rPr>
          <w:b/>
          <w:bCs/>
        </w:rPr>
        <w:t xml:space="preserve">remains pending and unresolved</w:t>
      </w:r>
      <w:r>
        <w:t xml:space="preserve">.</w:t>
      </w:r>
    </w:p>
    <w:p>
      <w:pPr>
        <w:pStyle w:val="Compact"/>
        <w:numPr>
          <w:ilvl w:val="0"/>
          <w:numId w:val="1001"/>
        </w:numPr>
      </w:pPr>
      <w:r>
        <w:rPr>
          <w:b/>
          <w:bCs/>
        </w:rPr>
        <w:t xml:space="preserve">Adverse action:</w:t>
      </w:r>
      <w:r>
        <w:t xml:space="preserve"> </w:t>
      </w:r>
      <w:r>
        <w:t xml:space="preserve">Paid administrative leave February 10, 2025; termination March 14, 2025, stated reason</w:t>
      </w:r>
      <w:r>
        <w:t xml:space="preserve"> </w:t>
      </w:r>
      <w:r>
        <w:t xml:space="preserve">“</w:t>
      </w:r>
      <w:r>
        <w:t xml:space="preserve">elimination of position due to restructuring of supply chain division.</w:t>
      </w:r>
      <w:r>
        <w:t xml:space="preserve">”</w:t>
      </w:r>
    </w:p>
    <w:p>
      <w:pPr>
        <w:pStyle w:val="Compact"/>
        <w:numPr>
          <w:ilvl w:val="0"/>
          <w:numId w:val="1001"/>
        </w:numPr>
      </w:pPr>
      <w:r>
        <w:rPr>
          <w:b/>
          <w:bCs/>
        </w:rPr>
        <w:t xml:space="preserve">Replacement hire:</w:t>
      </w:r>
      <w:r>
        <w:t xml:space="preserve"> </w:t>
      </w:r>
      <w:r>
        <w:t xml:space="preserve">Raj Mehta hired as Senior Director of Supply Chain &amp; Logistics on</w:t>
      </w:r>
      <w:r>
        <w:t xml:space="preserve"> </w:t>
      </w:r>
      <w:r>
        <w:rPr>
          <w:b/>
          <w:bCs/>
        </w:rPr>
        <w:t xml:space="preserve">March 20, 2025 — six days after termination — at $185,000</w:t>
      </w:r>
      <w:r>
        <w:t xml:space="preserve">. (See Section IV.H.)</w:t>
      </w:r>
    </w:p>
    <w:p>
      <w:pPr>
        <w:pStyle w:val="Compact"/>
        <w:numPr>
          <w:ilvl w:val="0"/>
          <w:numId w:val="1001"/>
        </w:numPr>
      </w:pPr>
      <w:r>
        <w:rPr>
          <w:b/>
          <w:bCs/>
        </w:rPr>
        <w:t xml:space="preserve">Equity:</w:t>
      </w:r>
      <w:r>
        <w:t xml:space="preserve"> </w:t>
      </w:r>
      <w:r>
        <w:t xml:space="preserve">15,000 RSUs granted July 1, 2022 under the 2021 Equity Incentive Plan; vesting 25% per year (3,750 shares/year) over four years, commencing July 1, 2023, full vesting July 1, 2026. At termination (March 14, 2025), 7,500 shares were vested/delivered and 7,500 unvested and forfeited under the Plan (forfeiture on termination other than death, disability, or Change of Control). At the current FMV of $12.50/share, the 7,500 forfeited shares were worth</w:t>
      </w:r>
      <w:r>
        <w:t xml:space="preserve"> </w:t>
      </w:r>
      <w:r>
        <w:rPr>
          <w:b/>
          <w:bCs/>
        </w:rPr>
        <w:t xml:space="preserve">$93,750</w:t>
      </w:r>
      <w:r>
        <w:t xml:space="preserve">; the Draft accelerates only 5,000 of them. Most recent 409A valuation by Ridgepoint Valuation Services dated</w:t>
      </w:r>
      <w:r>
        <w:t xml:space="preserve"> </w:t>
      </w:r>
      <w:r>
        <w:rPr>
          <w:b/>
          <w:bCs/>
        </w:rPr>
        <w:t xml:space="preserve">January 15, 2025: $12.50/share</w:t>
      </w:r>
      <w:r>
        <w:t xml:space="preserve"> </w:t>
      </w:r>
      <w:r>
        <w:t xml:space="preserve">(the Draft incorrectly uses the prior $10.00/share July 1, 2024 valuation). The Plan grants the Compensation Committee discretion to approve accelerated vesting in separation agreements.</w:t>
      </w:r>
    </w:p>
    <w:p>
      <w:pPr>
        <w:pStyle w:val="Compact"/>
        <w:numPr>
          <w:ilvl w:val="0"/>
          <w:numId w:val="1001"/>
        </w:numPr>
      </w:pPr>
      <w:r>
        <w:rPr>
          <w:b/>
          <w:bCs/>
        </w:rPr>
        <w:t xml:space="preserve">Benefits/Insurance:</w:t>
      </w:r>
      <w:r>
        <w:t xml:space="preserve"> </w:t>
      </w:r>
      <w:r>
        <w:t xml:space="preserve">Group Health Plan (Medical, Dental, Vision); 401(k) with 4% employer match, administered by Cascadia Benefit Administrators. EPLI carrier Timberline Insurance Group, Policy No. TIG-EPL-2024-00391.</w:t>
      </w:r>
    </w:p>
    <w:bookmarkEnd w:id="21"/>
    <w:bookmarkStart w:id="22" w:name="Xd283a9e3ef3dc437159f405e89cc42145672330"/>
    <w:p>
      <w:pPr>
        <w:pStyle w:val="Heading2"/>
      </w:pPr>
      <w:r>
        <w:t xml:space="preserve">III. Summary of Revisions Made in the Redline</w:t>
      </w:r>
    </w:p>
    <w:p>
      <w:pPr>
        <w:pStyle w:val="FirstParagraph"/>
      </w:pPr>
      <w:r>
        <w:t xml:space="preserve">The redline makes the following principal revisions (tracked changes; author</w:t>
      </w:r>
      <w:r>
        <w:t xml:space="preserve"> </w:t>
      </w:r>
      <w:r>
        <w:t xml:space="preserve">“</w:t>
      </w:r>
      <w:r>
        <w:t xml:space="preserve">Greenleaf GC Review</w:t>
      </w:r>
      <w:r>
        <w:t xml:space="preserve">”</w:t>
      </w:r>
      <w:r>
        <w:t xml:space="preserve">):</w:t>
      </w:r>
    </w:p>
    <w:p>
      <w:pPr>
        <w:numPr>
          <w:ilvl w:val="0"/>
          <w:numId w:val="1002"/>
        </w:numPr>
      </w:pPr>
      <w:r>
        <w:rPr>
          <w:b/>
          <w:bCs/>
        </w:rPr>
        <w:t xml:space="preserve">RSU valuation corrected</w:t>
      </w:r>
      <w:r>
        <w:t xml:space="preserve"> </w:t>
      </w:r>
      <w:r>
        <w:t xml:space="preserve">to $12.50/share (January 15, 2025 409A valuation); RSU component value corrected from $50,000 to $62,500; total settlement value corrected from $525,000 to</w:t>
      </w:r>
      <w:r>
        <w:t xml:space="preserve"> </w:t>
      </w:r>
      <w:r>
        <w:rPr>
          <w:b/>
          <w:bCs/>
        </w:rPr>
        <w:t xml:space="preserve">$537,500</w:t>
      </w:r>
      <w:r>
        <w:t xml:space="preserve"> </w:t>
      </w:r>
      <w:r>
        <w:t xml:space="preserve">(Sections 3(d), 3(e), 8(d)).</w:t>
      </w:r>
    </w:p>
    <w:p>
      <w:pPr>
        <w:numPr>
          <w:ilvl w:val="0"/>
          <w:numId w:val="1002"/>
        </w:numPr>
      </w:pPr>
      <w:r>
        <w:rPr>
          <w:b/>
          <w:bCs/>
        </w:rPr>
        <w:t xml:space="preserve">Compensation Committee approval</w:t>
      </w:r>
      <w:r>
        <w:t xml:space="preserve"> </w:t>
      </w:r>
      <w:r>
        <w:t xml:space="preserve">for the RSU acceleration added as a representation/condition (Section 3(d)).</w:t>
      </w:r>
    </w:p>
    <w:p>
      <w:pPr>
        <w:numPr>
          <w:ilvl w:val="0"/>
          <w:numId w:val="1002"/>
        </w:numPr>
      </w:pPr>
      <w:r>
        <w:rPr>
          <w:b/>
          <w:bCs/>
        </w:rPr>
        <w:t xml:space="preserve">OWBPA consideration period</w:t>
      </w:r>
      <w:r>
        <w:t xml:space="preserve"> </w:t>
      </w:r>
      <w:r>
        <w:t xml:space="preserve">increased from 14 to</w:t>
      </w:r>
      <w:r>
        <w:t xml:space="preserve"> </w:t>
      </w:r>
      <w:r>
        <w:rPr>
          <w:b/>
          <w:bCs/>
        </w:rPr>
        <w:t xml:space="preserve">21 calendar days</w:t>
      </w:r>
      <w:r>
        <w:t xml:space="preserve"> </w:t>
      </w:r>
      <w:r>
        <w:t xml:space="preserve">(Sections 5(c), 16).</w:t>
      </w:r>
    </w:p>
    <w:p>
      <w:pPr>
        <w:numPr>
          <w:ilvl w:val="0"/>
          <w:numId w:val="1002"/>
        </w:numPr>
      </w:pPr>
      <w:r>
        <w:rPr>
          <w:b/>
          <w:bCs/>
        </w:rPr>
        <w:t xml:space="preserve">Seven-day revocation period added</w:t>
      </w:r>
      <w:r>
        <w:t xml:space="preserve"> </w:t>
      </w:r>
      <w:r>
        <w:t xml:space="preserve">(new Section 16A);</w:t>
      </w:r>
      <w:r>
        <w:t xml:space="preserve"> </w:t>
      </w:r>
      <w:r>
        <w:rPr>
          <w:b/>
          <w:bCs/>
        </w:rPr>
        <w:t xml:space="preserve">Effective Date redefined</w:t>
      </w:r>
      <w:r>
        <w:t xml:space="preserve"> </w:t>
      </w:r>
      <w:r>
        <w:t xml:space="preserve">as the eighth day after signing, contingent on no revocation (Sections 1(b), 16A, preamble).</w:t>
      </w:r>
    </w:p>
    <w:p>
      <w:pPr>
        <w:numPr>
          <w:ilvl w:val="0"/>
          <w:numId w:val="1002"/>
        </w:numPr>
      </w:pPr>
      <w:r>
        <w:rPr>
          <w:b/>
          <w:bCs/>
        </w:rPr>
        <w:t xml:space="preserve">Release carve-outs added</w:t>
      </w:r>
      <w:r>
        <w:t xml:space="preserve"> </w:t>
      </w:r>
      <w:r>
        <w:t xml:space="preserve">for agency charges/cooperation (including the ongoing OSHA investigation), whistleblower awards, vested ERISA/401(k) benefits, unemployment insurance, workers’ compensation (Board approval), the right to challenge the ADEA waiver, and non-waivable claims (new paragraph after Section 4; Section 4(xii)).</w:t>
      </w:r>
    </w:p>
    <w:p>
      <w:pPr>
        <w:numPr>
          <w:ilvl w:val="0"/>
          <w:numId w:val="1002"/>
        </w:numPr>
      </w:pPr>
      <w:r>
        <w:rPr>
          <w:b/>
          <w:bCs/>
        </w:rPr>
        <w:t xml:space="preserve">Oregon Workplace Fairness Act (ORS 659A.365) carve-outs</w:t>
      </w:r>
      <w:r>
        <w:t xml:space="preserve"> </w:t>
      </w:r>
      <w:r>
        <w:t xml:space="preserve">added to confidentiality (Section 6) and non-disparagement (Section 7); non-disparagement term changed from</w:t>
      </w:r>
      <w:r>
        <w:t xml:space="preserve"> </w:t>
      </w:r>
      <w:r>
        <w:t xml:space="preserve">“</w:t>
      </w:r>
      <w:r>
        <w:t xml:space="preserve">in perpetuity</w:t>
      </w:r>
      <w:r>
        <w:t xml:space="preserve">”</w:t>
      </w:r>
      <w:r>
        <w:t xml:space="preserve"> </w:t>
      </w:r>
      <w:r>
        <w:t xml:space="preserve">to</w:t>
      </w:r>
      <w:r>
        <w:t xml:space="preserve"> </w:t>
      </w:r>
      <w:r>
        <w:rPr>
          <w:b/>
          <w:bCs/>
        </w:rPr>
        <w:t xml:space="preserve">five years</w:t>
      </w:r>
      <w:r>
        <w:t xml:space="preserve">.</w:t>
      </w:r>
    </w:p>
    <w:p>
      <w:pPr>
        <w:numPr>
          <w:ilvl w:val="0"/>
          <w:numId w:val="1002"/>
        </w:numPr>
      </w:pPr>
      <w:r>
        <w:rPr>
          <w:b/>
          <w:bCs/>
        </w:rPr>
        <w:t xml:space="preserve">California removed</w:t>
      </w:r>
      <w:r>
        <w:t xml:space="preserve"> </w:t>
      </w:r>
      <w:r>
        <w:t xml:space="preserve">from the non-compete geographic scope; enforceability/savings clause added (Section 9); California carve-out added to the customer non-solicit (Section 10(b)).</w:t>
      </w:r>
    </w:p>
    <w:p>
      <w:pPr>
        <w:numPr>
          <w:ilvl w:val="0"/>
          <w:numId w:val="1002"/>
        </w:numPr>
      </w:pPr>
      <w:r>
        <w:rPr>
          <w:b/>
          <w:bCs/>
        </w:rPr>
        <w:t xml:space="preserve">Entire Agreement</w:t>
      </w:r>
      <w:r>
        <w:t xml:space="preserve"> </w:t>
      </w:r>
      <w:r>
        <w:t xml:space="preserve">revised to preserve the Equity Incentive Plan, RSU Grant Agreement, and confidentiality/IP/restrictive-covenant agreements (Section 18).</w:t>
      </w:r>
    </w:p>
    <w:p>
      <w:pPr>
        <w:numPr>
          <w:ilvl w:val="0"/>
          <w:numId w:val="1002"/>
        </w:numPr>
      </w:pPr>
      <w:r>
        <w:rPr>
          <w:b/>
          <w:bCs/>
        </w:rPr>
        <w:t xml:space="preserve">Reference obligation</w:t>
      </w:r>
      <w:r>
        <w:t xml:space="preserve"> </w:t>
      </w:r>
      <w:r>
        <w:t xml:space="preserve">changed from a mandated</w:t>
      </w:r>
      <w:r>
        <w:t xml:space="preserve"> </w:t>
      </w:r>
      <w:r>
        <w:rPr>
          <w:i/>
          <w:iCs/>
        </w:rPr>
        <w:t xml:space="preserve">positive</w:t>
      </w:r>
      <w:r>
        <w:t xml:space="preserve"> </w:t>
      </w:r>
      <w:r>
        <w:t xml:space="preserve">reference to a</w:t>
      </w:r>
      <w:r>
        <w:t xml:space="preserve"> </w:t>
      </w:r>
      <w:r>
        <w:rPr>
          <w:i/>
          <w:iCs/>
        </w:rPr>
        <w:t xml:space="preserve">neutral, factually accurate</w:t>
      </w:r>
      <w:r>
        <w:t xml:space="preserve"> </w:t>
      </w:r>
      <w:r>
        <w:t xml:space="preserve">reference stating eligibility for rehire (Section 11).</w:t>
      </w:r>
    </w:p>
    <w:p>
      <w:pPr>
        <w:numPr>
          <w:ilvl w:val="0"/>
          <w:numId w:val="1002"/>
        </w:numPr>
      </w:pPr>
      <w:r>
        <w:rPr>
          <w:b/>
          <w:bCs/>
        </w:rPr>
        <w:t xml:space="preserve">Section 2</w:t>
      </w:r>
      <w:r>
        <w:t xml:space="preserve"> </w:t>
      </w:r>
      <w:r>
        <w:t xml:space="preserve">corrected to acknowledge the unpaid 2024 bonus (waived/released) and to preserve vested 401(k) benefits.</w:t>
      </w:r>
    </w:p>
    <w:p>
      <w:pPr>
        <w:numPr>
          <w:ilvl w:val="0"/>
          <w:numId w:val="1002"/>
        </w:numPr>
      </w:pPr>
      <w:r>
        <w:rPr>
          <w:b/>
          <w:bCs/>
        </w:rPr>
        <w:t xml:space="preserve">Back-pay description</w:t>
      </w:r>
      <w:r>
        <w:t xml:space="preserve"> </w:t>
      </w:r>
      <w:r>
        <w:t xml:space="preserve">corrected to reflect that the $125,000 is back pay</w:t>
      </w:r>
      <w:r>
        <w:t xml:space="preserve"> </w:t>
      </w:r>
      <w:r>
        <w:rPr>
          <w:i/>
          <w:iCs/>
        </w:rPr>
        <w:t xml:space="preserve">and other lost wage-equivalent compensation</w:t>
      </w:r>
      <w:r>
        <w:t xml:space="preserve">, not solely wages for the ~7.5-week Separation-to-Effective-Date period (Section 3(b)).</w:t>
      </w:r>
    </w:p>
    <w:p>
      <w:pPr>
        <w:numPr>
          <w:ilvl w:val="0"/>
          <w:numId w:val="1002"/>
        </w:numPr>
      </w:pPr>
      <w:r>
        <w:rPr>
          <w:b/>
          <w:bCs/>
        </w:rPr>
        <w:t xml:space="preserve">New sections added:</w:t>
      </w:r>
      <w:r>
        <w:t xml:space="preserve"> </w:t>
      </w:r>
      <w:r>
        <w:t xml:space="preserve">Governing Law and Venue (19); Return of Company Property (20); Confidential Information and Trade Secrets with DTSA immunity notice (21); Cooperation (22); Notices (23); Survival (24).</w:t>
      </w:r>
    </w:p>
    <w:p>
      <w:pPr>
        <w:numPr>
          <w:ilvl w:val="0"/>
          <w:numId w:val="1002"/>
        </w:numPr>
      </w:pPr>
      <w:r>
        <w:rPr>
          <w:b/>
          <w:bCs/>
        </w:rPr>
        <w:t xml:space="preserve">Section 5 (ADEA) augmented</w:t>
      </w:r>
      <w:r>
        <w:t xml:space="preserve"> </w:t>
      </w:r>
      <w:r>
        <w:t xml:space="preserve">with the OWBPA-required acknowledgment that Delano was</w:t>
      </w:r>
      <w:r>
        <w:t xml:space="preserve"> </w:t>
      </w:r>
      <w:r>
        <w:rPr>
          <w:b/>
          <w:bCs/>
        </w:rPr>
        <w:t xml:space="preserve">advised in writing to consult with an attorney</w:t>
      </w:r>
      <w:r>
        <w:t xml:space="preserve"> </w:t>
      </w:r>
      <w:r>
        <w:t xml:space="preserve">prior to executing (new subsection (g), 29 U.S.C. § 626(f)(1)(E)) and a clause that the ADEA waiver does not cover</w:t>
      </w:r>
      <w:r>
        <w:t xml:space="preserve"> </w:t>
      </w:r>
      <w:r>
        <w:rPr>
          <w:b/>
          <w:bCs/>
        </w:rPr>
        <w:t xml:space="preserve">claims arising after execution</w:t>
      </w:r>
      <w:r>
        <w:t xml:space="preserve"> </w:t>
      </w:r>
      <w:r>
        <w:t xml:space="preserve">(new subsection (h)).</w:t>
      </w:r>
    </w:p>
    <w:p>
      <w:pPr>
        <w:numPr>
          <w:ilvl w:val="0"/>
          <w:numId w:val="1002"/>
        </w:numPr>
      </w:pPr>
      <w:r>
        <w:rPr>
          <w:b/>
          <w:bCs/>
        </w:rPr>
        <w:t xml:space="preserve">Releasees narrowed</w:t>
      </w:r>
      <w:r>
        <w:t xml:space="preserve"> </w:t>
      </w:r>
      <w:r>
        <w:t xml:space="preserve">to remove</w:t>
      </w:r>
      <w:r>
        <w:t xml:space="preserve"> </w:t>
      </w:r>
      <w:r>
        <w:t xml:space="preserve">“</w:t>
      </w:r>
      <w:r>
        <w:t xml:space="preserve">future</w:t>
      </w:r>
      <w:r>
        <w:t xml:space="preserve">”</w:t>
      </w:r>
      <w:r>
        <w:t xml:space="preserve"> </w:t>
      </w:r>
      <w:r>
        <w:t xml:space="preserve">officers, directors, and employees (Section 1(d)) — releasing individuals not yet engaged is overbroad;</w:t>
      </w:r>
      <w:r>
        <w:t xml:space="preserve"> </w:t>
      </w:r>
      <w:r>
        <w:t xml:space="preserve">“</w:t>
      </w:r>
      <w:r>
        <w:t xml:space="preserve">successors</w:t>
      </w:r>
      <w:r>
        <w:t xml:space="preserve">”</w:t>
      </w:r>
      <w:r>
        <w:t xml:space="preserve"> </w:t>
      </w:r>
      <w:r>
        <w:t xml:space="preserve">and</w:t>
      </w:r>
      <w:r>
        <w:t xml:space="preserve"> </w:t>
      </w:r>
      <w:r>
        <w:t xml:space="preserve">“</w:t>
      </w:r>
      <w:r>
        <w:t xml:space="preserve">assigns</w:t>
      </w:r>
      <w:r>
        <w:t xml:space="preserve">”</w:t>
      </w:r>
      <w:r>
        <w:t xml:space="preserve"> </w:t>
      </w:r>
      <w:r>
        <w:t xml:space="preserve">are retained for successor-entity liability.</w:t>
      </w:r>
    </w:p>
    <w:bookmarkEnd w:id="22"/>
    <w:bookmarkStart w:id="35" w:name="iv.-issues-and-risks"/>
    <w:p>
      <w:pPr>
        <w:pStyle w:val="Heading2"/>
      </w:pPr>
      <w:r>
        <w:t xml:space="preserve">IV. Issues and Risks</w:t>
      </w:r>
    </w:p>
    <w:bookmarkStart w:id="23" w:name="a.-factual-and-valuation-errors"/>
    <w:p>
      <w:pPr>
        <w:pStyle w:val="Heading3"/>
      </w:pPr>
      <w:r>
        <w:t xml:space="preserve">A. Factual and Valuation Errors</w:t>
      </w:r>
    </w:p>
    <w:p>
      <w:pPr>
        <w:numPr>
          <w:ilvl w:val="0"/>
          <w:numId w:val="1003"/>
        </w:numPr>
      </w:pPr>
      <w:r>
        <w:rPr>
          <w:b/>
          <w:bCs/>
        </w:rPr>
        <w:t xml:space="preserve">Outdated RSU valuation (material).</w:t>
      </w:r>
      <w:r>
        <w:t xml:space="preserve"> </w:t>
      </w:r>
      <w:r>
        <w:t xml:space="preserve">Section 3(d) values the 5,000 accelerated RSUs at $10.00/share</w:t>
      </w:r>
      <w:r>
        <w:t xml:space="preserve"> </w:t>
      </w:r>
      <w:r>
        <w:t xml:space="preserve">“</w:t>
      </w:r>
      <w:r>
        <w:t xml:space="preserve">based on the most recent independent valuation conducted by Ridgepoint Valuation Services.</w:t>
      </w:r>
      <w:r>
        <w:t xml:space="preserve">”</w:t>
      </w:r>
      <w:r>
        <w:t xml:space="preserve"> </w:t>
      </w:r>
      <w:r>
        <w:t xml:space="preserve">That statement is incorrect. The most recent Ridgepoint 409A valuation is dated</w:t>
      </w:r>
      <w:r>
        <w:t xml:space="preserve"> </w:t>
      </w:r>
      <w:r>
        <w:rPr>
          <w:b/>
          <w:bCs/>
        </w:rPr>
        <w:t xml:space="preserve">January 15, 2025 at $12.50/share</w:t>
      </w:r>
      <w:r>
        <w:t xml:space="preserve">. The correct value of 5,000 RSUs is</w:t>
      </w:r>
      <w:r>
        <w:t xml:space="preserve"> </w:t>
      </w:r>
      <w:r>
        <w:rPr>
          <w:b/>
          <w:bCs/>
        </w:rPr>
        <w:t xml:space="preserve">$62,500, not $50,000</w:t>
      </w:r>
      <w:r>
        <w:t xml:space="preserve">, and the correct total settlement value is</w:t>
      </w:r>
      <w:r>
        <w:t xml:space="preserve"> </w:t>
      </w:r>
      <w:r>
        <w:rPr>
          <w:b/>
          <w:bCs/>
        </w:rPr>
        <w:t xml:space="preserve">$537,500, not $525,000</w:t>
      </w:r>
      <w:r>
        <w:t xml:space="preserve"> </w:t>
      </w:r>
      <w:r>
        <w:t xml:space="preserve">— a $12,500 understatement.</w:t>
      </w:r>
      <w:r>
        <w:t xml:space="preserve"> </w:t>
      </w:r>
      <w:r>
        <w:rPr>
          <w:i/>
          <w:iCs/>
        </w:rPr>
        <w:t xml:space="preserve">Corrected in the redline.</w:t>
      </w:r>
      <w:r>
        <w:t xml:space="preserve"> </w:t>
      </w:r>
      <w:r>
        <w:t xml:space="preserve">Note that Mr. Delano’s actual taxable income at vesting will be based on the fair market value at delivery, which may exceed $12.50; the stated value should not be relied upon for tax planning.</w:t>
      </w:r>
    </w:p>
    <w:p>
      <w:pPr>
        <w:numPr>
          <w:ilvl w:val="0"/>
          <w:numId w:val="1003"/>
        </w:numPr>
      </w:pPr>
      <w:r>
        <w:rPr>
          <w:b/>
          <w:bCs/>
        </w:rPr>
        <w:t xml:space="preserve">Back-pay characterization mismatch.</w:t>
      </w:r>
      <w:r>
        <w:t xml:space="preserve"> </w:t>
      </w:r>
      <w:r>
        <w:t xml:space="preserve">Section 3(b) labels the entire $125,000 as</w:t>
      </w:r>
      <w:r>
        <w:t xml:space="preserve"> </w:t>
      </w:r>
      <w:r>
        <w:t xml:space="preserve">“</w:t>
      </w:r>
      <w:r>
        <w:t xml:space="preserve">back pay representing lost wages from the Separation Date through the Effective Date.</w:t>
      </w:r>
      <w:r>
        <w:t xml:space="preserve">”</w:t>
      </w:r>
      <w:r>
        <w:t xml:space="preserve"> </w:t>
      </w:r>
      <w:r>
        <w:t xml:space="preserve">That period is approximately 7.5 weeks; at a $218,000 annual salary, actual lost wages are roughly</w:t>
      </w:r>
      <w:r>
        <w:t xml:space="preserve"> </w:t>
      </w:r>
      <w:r>
        <w:rPr>
          <w:b/>
          <w:bCs/>
        </w:rPr>
        <w:t xml:space="preserve">$31,000</w:t>
      </w:r>
      <w:r>
        <w:t xml:space="preserve">. The remaining ~$94,000 is additional damages mischaracterized as wages. This (a) is factually inaccurate, (b) exposes Greenleaf to additional employer FICA/payroll-tax cost on the excess, and (c) creates IRS recharacterization risk.</w:t>
      </w:r>
      <w:r>
        <w:t xml:space="preserve"> </w:t>
      </w:r>
      <w:r>
        <w:rPr>
          <w:i/>
          <w:iCs/>
        </w:rPr>
        <w:t xml:space="preserve">Redline revises the description; the tax allocation itself should be reviewed by tax counsel (Section IV.J).</w:t>
      </w:r>
    </w:p>
    <w:p>
      <w:pPr>
        <w:numPr>
          <w:ilvl w:val="0"/>
          <w:numId w:val="1003"/>
        </w:numPr>
      </w:pPr>
      <w:r>
        <w:rPr>
          <w:b/>
          <w:bCs/>
        </w:rPr>
        <w:t xml:space="preserve">Unpaid 2024 bonus.</w:t>
      </w:r>
      <w:r>
        <w:t xml:space="preserve"> </w:t>
      </w:r>
      <w:r>
        <w:t xml:space="preserve">Section 2 represents that Mr. Delano</w:t>
      </w:r>
      <w:r>
        <w:t xml:space="preserve"> </w:t>
      </w:r>
      <w:r>
        <w:t xml:space="preserve">“</w:t>
      </w:r>
      <w:r>
        <w:t xml:space="preserve">has received all wages, salary, and compensation … including … bonuses.</w:t>
      </w:r>
      <w:r>
        <w:t xml:space="preserve">”</w:t>
      </w:r>
      <w:r>
        <w:t xml:space="preserve"> </w:t>
      </w:r>
      <w:r>
        <w:t xml:space="preserve">The record shows the</w:t>
      </w:r>
      <w:r>
        <w:t xml:space="preserve"> </w:t>
      </w:r>
      <w:r>
        <w:rPr>
          <w:b/>
          <w:bCs/>
        </w:rPr>
        <w:t xml:space="preserve">2024 bonus was not determined or paid</w:t>
      </w:r>
      <w:r>
        <w:t xml:space="preserve">. The representation is inaccurate as written.</w:t>
      </w:r>
      <w:r>
        <w:t xml:space="preserve"> </w:t>
      </w:r>
      <w:r>
        <w:rPr>
          <w:i/>
          <w:iCs/>
        </w:rPr>
        <w:t xml:space="preserve">Redline revises Section 2 to acknowledge the unpaid 2024 bonus and to waive/release the bonus claim in exchange for the Settlement Payment.</w:t>
      </w:r>
    </w:p>
    <w:p>
      <w:pPr>
        <w:numPr>
          <w:ilvl w:val="0"/>
          <w:numId w:val="1003"/>
        </w:numPr>
      </w:pPr>
      <w:r>
        <w:rPr>
          <w:b/>
          <w:bCs/>
        </w:rPr>
        <w:t xml:space="preserve">Recital imprecision.</w:t>
      </w:r>
      <w:r>
        <w:t xml:space="preserve"> </w:t>
      </w:r>
      <w:r>
        <w:t xml:space="preserve">The first recital refers to</w:t>
      </w:r>
      <w:r>
        <w:t xml:space="preserve"> </w:t>
      </w:r>
      <w:r>
        <w:t xml:space="preserve">“</w:t>
      </w:r>
      <w:r>
        <w:t xml:space="preserve">the Company’s operations division.</w:t>
      </w:r>
      <w:r>
        <w:t xml:space="preserve">”</w:t>
      </w:r>
      <w:r>
        <w:t xml:space="preserve"> </w:t>
      </w:r>
      <w:r>
        <w:t xml:space="preserve">Mr. Delano served in the</w:t>
      </w:r>
      <w:r>
        <w:t xml:space="preserve"> </w:t>
      </w:r>
      <w:r>
        <w:rPr>
          <w:b/>
          <w:bCs/>
        </w:rPr>
        <w:t xml:space="preserve">Supply Chain / Supply Chain Operations</w:t>
      </w:r>
      <w:r>
        <w:t xml:space="preserve"> </w:t>
      </w:r>
      <w:r>
        <w:t xml:space="preserve">division.</w:t>
      </w:r>
      <w:r>
        <w:t xml:space="preserve"> </w:t>
      </w:r>
      <w:r>
        <w:rPr>
          <w:i/>
          <w:iCs/>
        </w:rPr>
        <w:t xml:space="preserve">Corrected in the redline.</w:t>
      </w:r>
    </w:p>
    <w:p>
      <w:pPr>
        <w:numPr>
          <w:ilvl w:val="0"/>
          <w:numId w:val="1003"/>
        </w:numPr>
      </w:pPr>
      <w:r>
        <w:rPr>
          <w:b/>
          <w:bCs/>
        </w:rPr>
        <w:t xml:space="preserve">Partial RSU acceleration.</w:t>
      </w:r>
      <w:r>
        <w:t xml:space="preserve"> </w:t>
      </w:r>
      <w:r>
        <w:t xml:space="preserve">Only 5,000 of the 7,500 unvested RSUs are being accelerated; the remaining 2,500 (value $31,250 at current FMV) remain forfeited under the Plan and are covered by the release. (For context, all 7,500 unvested shares were worth $93,750 at the current $12.50 FMV.) This is acceptable as consideration, but the GC should confirm the Compensation Committee is prepared to approve the acceleration (see item 6).</w:t>
      </w:r>
    </w:p>
    <w:p>
      <w:pPr>
        <w:numPr>
          <w:ilvl w:val="0"/>
          <w:numId w:val="1003"/>
        </w:numPr>
      </w:pPr>
      <w:r>
        <w:rPr>
          <w:b/>
          <w:bCs/>
        </w:rPr>
        <w:t xml:space="preserve">Compensation Committee approval not addressed.</w:t>
      </w:r>
      <w:r>
        <w:t xml:space="preserve"> </w:t>
      </w:r>
      <w:r>
        <w:t xml:space="preserve">The equity record states that</w:t>
      </w:r>
      <w:r>
        <w:t xml:space="preserve"> </w:t>
      </w:r>
      <w:r>
        <w:t xml:space="preserve">“</w:t>
      </w:r>
      <w:r>
        <w:t xml:space="preserve">the Compensation Committee has discretion to approve accelerated vesting in connection with separation agreements.</w:t>
      </w:r>
      <w:r>
        <w:t xml:space="preserve">”</w:t>
      </w:r>
      <w:r>
        <w:t xml:space="preserve"> </w:t>
      </w:r>
      <w:r>
        <w:t xml:space="preserve">The Draft does not condition the RSU acceleration on, or represent, such approval. If the Committee has not approved, Greenleaf cannot perform.</w:t>
      </w:r>
      <w:r>
        <w:t xml:space="preserve"> </w:t>
      </w:r>
      <w:r>
        <w:rPr>
          <w:i/>
          <w:iCs/>
        </w:rPr>
        <w:t xml:space="preserve">Redline adds a representation/condition in Section 3(d).</w:t>
      </w:r>
      <w:r>
        <w:t xml:space="preserve"> </w:t>
      </w:r>
      <w:r>
        <w:t xml:space="preserve">Confirm approval before execution.</w:t>
      </w:r>
    </w:p>
    <w:bookmarkEnd w:id="23"/>
    <w:bookmarkStart w:id="24" w:name="b.-owbpa-adea-compliance-critical"/>
    <w:p>
      <w:pPr>
        <w:pStyle w:val="Heading3"/>
      </w:pPr>
      <w:r>
        <w:t xml:space="preserve">B. OWBPA / ADEA Compliance (Critical)</w:t>
      </w:r>
    </w:p>
    <w:p>
      <w:pPr>
        <w:numPr>
          <w:ilvl w:val="0"/>
          <w:numId w:val="1004"/>
        </w:numPr>
      </w:pPr>
      <w:r>
        <w:rPr>
          <w:b/>
          <w:bCs/>
        </w:rPr>
        <w:t xml:space="preserve">Consideration period is too short.</w:t>
      </w:r>
      <w:r>
        <w:t xml:space="preserve"> </w:t>
      </w:r>
      <w:r>
        <w:t xml:space="preserve">The Draft gives Mr. Delano</w:t>
      </w:r>
      <w:r>
        <w:t xml:space="preserve"> </w:t>
      </w:r>
      <w:r>
        <w:rPr>
          <w:b/>
          <w:bCs/>
        </w:rPr>
        <w:t xml:space="preserve">14 calendar days</w:t>
      </w:r>
      <w:r>
        <w:t xml:space="preserve"> </w:t>
      </w:r>
      <w:r>
        <w:t xml:space="preserve">to consider the agreement (Sections 5(c), 16). The OWBPA, 29 U.S.C. § 626(f), requires</w:t>
      </w:r>
      <w:r>
        <w:t xml:space="preserve"> </w:t>
      </w:r>
      <w:r>
        <w:rPr>
          <w:b/>
          <w:bCs/>
        </w:rPr>
        <w:t xml:space="preserve">at least 21 days</w:t>
      </w:r>
      <w:r>
        <w:t xml:space="preserve"> </w:t>
      </w:r>
      <w:r>
        <w:t xml:space="preserve">for an individual ADEA waiver. A 14-day period would likely render the ADEA release not</w:t>
      </w:r>
      <w:r>
        <w:t xml:space="preserve"> </w:t>
      </w:r>
      <w:r>
        <w:t xml:space="preserve">“</w:t>
      </w:r>
      <w:r>
        <w:t xml:space="preserve">knowing and voluntary</w:t>
      </w:r>
      <w:r>
        <w:t xml:space="preserve">”</w:t>
      </w:r>
      <w:r>
        <w:t xml:space="preserve"> </w:t>
      </w:r>
      <w:r>
        <w:t xml:space="preserve">and therefore invalid.</w:t>
      </w:r>
      <w:r>
        <w:t xml:space="preserve"> </w:t>
      </w:r>
      <w:r>
        <w:rPr>
          <w:i/>
          <w:iCs/>
        </w:rPr>
        <w:t xml:space="preserve">Redline changes 14 to 21 days.</w:t>
      </w:r>
    </w:p>
    <w:p>
      <w:pPr>
        <w:numPr>
          <w:ilvl w:val="0"/>
          <w:numId w:val="1004"/>
        </w:numPr>
      </w:pPr>
      <w:r>
        <w:rPr>
          <w:b/>
          <w:bCs/>
        </w:rPr>
        <w:t xml:space="preserve">No revocation period.</w:t>
      </w:r>
      <w:r>
        <w:t xml:space="preserve"> </w:t>
      </w:r>
      <w:r>
        <w:t xml:space="preserve">The OWBPA requires a</w:t>
      </w:r>
      <w:r>
        <w:t xml:space="preserve"> </w:t>
      </w:r>
      <w:r>
        <w:rPr>
          <w:b/>
          <w:bCs/>
        </w:rPr>
        <w:t xml:space="preserve">7-day revocation period</w:t>
      </w:r>
      <w:r>
        <w:t xml:space="preserve"> </w:t>
      </w:r>
      <w:r>
        <w:t xml:space="preserve">after signing, during which the agreement is not effective or enforceable. The Draft contains</w:t>
      </w:r>
      <w:r>
        <w:t xml:space="preserve"> </w:t>
      </w:r>
      <w:r>
        <w:rPr>
          <w:b/>
          <w:bCs/>
        </w:rPr>
        <w:t xml:space="preserve">no revocation right at all</w:t>
      </w:r>
      <w:r>
        <w:t xml:space="preserve">. This is a critical defect that would invalidate the ADEA release.</w:t>
      </w:r>
      <w:r>
        <w:t xml:space="preserve"> </w:t>
      </w:r>
      <w:r>
        <w:rPr>
          <w:i/>
          <w:iCs/>
        </w:rPr>
        <w:t xml:space="preserve">Redline adds new Section 16A (7-day revocation).</w:t>
      </w:r>
    </w:p>
    <w:p>
      <w:pPr>
        <w:numPr>
          <w:ilvl w:val="0"/>
          <w:numId w:val="1004"/>
        </w:numPr>
      </w:pPr>
      <w:r>
        <w:rPr>
          <w:b/>
          <w:bCs/>
        </w:rPr>
        <w:t xml:space="preserve">Effective Date defined incorrectly.</w:t>
      </w:r>
      <w:r>
        <w:t xml:space="preserve"> </w:t>
      </w:r>
      <w:r>
        <w:t xml:space="preserve">Section 1(b) defines the Effective Date as May 5, 2025, and the preamble states the agreement is</w:t>
      </w:r>
      <w:r>
        <w:t xml:space="preserve"> </w:t>
      </w:r>
      <w:r>
        <w:t xml:space="preserve">“</w:t>
      </w:r>
      <w:r>
        <w:t xml:space="preserve">entered into as of May 5, 2025 (</w:t>
      </w:r>
      <w:r>
        <w:t xml:space="preserve">‘</w:t>
      </w:r>
      <w:r>
        <w:t xml:space="preserve">Effective Date</w:t>
      </w:r>
      <w:r>
        <w:t xml:space="preserve">’</w:t>
      </w:r>
      <w:r>
        <w:t xml:space="preserve">).</w:t>
      </w:r>
      <w:r>
        <w:t xml:space="preserve">”</w:t>
      </w:r>
      <w:r>
        <w:t xml:space="preserve"> </w:t>
      </w:r>
      <w:r>
        <w:t xml:space="preserve">For an ADEA release, the agreement cannot be effective until the revocation period expires.</w:t>
      </w:r>
      <w:r>
        <w:t xml:space="preserve"> </w:t>
      </w:r>
      <w:r>
        <w:rPr>
          <w:i/>
          <w:iCs/>
        </w:rPr>
        <w:t xml:space="preserve">Redline redefines the Effective Date as the eighth day after signing, contingent on no revocation, and removes the</w:t>
      </w:r>
      <w:r>
        <w:rPr>
          <w:i/>
          <w:iCs/>
        </w:rPr>
        <w:t xml:space="preserve"> </w:t>
      </w:r>
      <w:r>
        <w:rPr>
          <w:i/>
          <w:iCs/>
        </w:rPr>
        <w:t xml:space="preserve">“</w:t>
      </w:r>
      <w:r>
        <w:rPr>
          <w:i/>
          <w:iCs/>
        </w:rPr>
        <w:t xml:space="preserve">Effective Date</w:t>
      </w:r>
      <w:r>
        <w:rPr>
          <w:i/>
          <w:iCs/>
        </w:rPr>
        <w:t xml:space="preserve">”</w:t>
      </w:r>
      <w:r>
        <w:rPr>
          <w:i/>
          <w:iCs/>
        </w:rPr>
        <w:t xml:space="preserve"> </w:t>
      </w:r>
      <w:r>
        <w:rPr>
          <w:i/>
          <w:iCs/>
        </w:rPr>
        <w:t xml:space="preserve">label from the preamble.</w:t>
      </w:r>
    </w:p>
    <w:p>
      <w:pPr>
        <w:numPr>
          <w:ilvl w:val="0"/>
          <w:numId w:val="1004"/>
        </w:numPr>
      </w:pPr>
      <w:r>
        <w:rPr>
          <w:b/>
          <w:bCs/>
        </w:rPr>
        <w:t xml:space="preserve">Group-program determination required.</w:t>
      </w:r>
      <w:r>
        <w:t xml:space="preserve"> </w:t>
      </w:r>
      <w:r>
        <w:t xml:space="preserve">If the</w:t>
      </w:r>
      <w:r>
        <w:t xml:space="preserve"> </w:t>
      </w:r>
      <w:r>
        <w:t xml:space="preserve">“</w:t>
      </w:r>
      <w:r>
        <w:t xml:space="preserve">restructuring of the supply chain division</w:t>
      </w:r>
      <w:r>
        <w:t xml:space="preserve">”</w:t>
      </w:r>
      <w:r>
        <w:t xml:space="preserve"> </w:t>
      </w:r>
      <w:r>
        <w:t xml:space="preserve">constituted an exit-incentive or other employment-termination</w:t>
      </w:r>
      <w:r>
        <w:t xml:space="preserve"> </w:t>
      </w:r>
      <w:r>
        <w:rPr>
          <w:i/>
          <w:iCs/>
        </w:rPr>
        <w:t xml:space="preserve">program</w:t>
      </w:r>
      <w:r>
        <w:t xml:space="preserve"> </w:t>
      </w:r>
      <w:r>
        <w:t xml:space="preserve">affecting two or more employees, the OWBPA requires</w:t>
      </w:r>
      <w:r>
        <w:t xml:space="preserve"> </w:t>
      </w:r>
      <w:r>
        <w:rPr>
          <w:b/>
          <w:bCs/>
        </w:rPr>
        <w:t xml:space="preserve">45 days</w:t>
      </w:r>
      <w:r>
        <w:t xml:space="preserve"> </w:t>
      </w:r>
      <w:r>
        <w:t xml:space="preserve">to consider</w:t>
      </w:r>
      <w:r>
        <w:t xml:space="preserve"> </w:t>
      </w:r>
      <w:r>
        <w:rPr>
          <w:b/>
          <w:bCs/>
        </w:rPr>
        <w:t xml:space="preserve">plus a written disclosure</w:t>
      </w:r>
      <w:r>
        <w:t xml:space="preserve"> </w:t>
      </w:r>
      <w:r>
        <w:t xml:space="preserve">(job titles and ages of those selected and not selected, and the unit affected). The Draft treats this as an individual termination.</w:t>
      </w:r>
      <w:r>
        <w:t xml:space="preserve"> </w:t>
      </w:r>
      <w:r>
        <w:rPr>
          <w:b/>
          <w:bCs/>
        </w:rPr>
        <w:t xml:space="preserve">The GC must determine whether other employees were terminated in the same restructuring.</w:t>
      </w:r>
      <w:r>
        <w:t xml:space="preserve"> </w:t>
      </w:r>
      <w:r>
        <w:t xml:space="preserve">If so, even the corrected 21-day period is insufficient and an OWBPA disclosure schedule must be provided. This is not fixable by redline alone; it requires a factual determination.</w:t>
      </w:r>
    </w:p>
    <w:p>
      <w:pPr>
        <w:numPr>
          <w:ilvl w:val="0"/>
          <w:numId w:val="1004"/>
        </w:numPr>
      </w:pPr>
      <w:r>
        <w:rPr>
          <w:b/>
          <w:bCs/>
        </w:rPr>
        <w:t xml:space="preserve">No preservation of the right to challenge the ADEA waiver.</w:t>
      </w:r>
      <w:r>
        <w:t xml:space="preserve"> </w:t>
      </w:r>
      <w:r>
        <w:t xml:space="preserve">The Draft does not expressly preserve Mr. Delano’s right to challenge the knowing-and-voluntary nature of the ADEA waiver.</w:t>
      </w:r>
      <w:r>
        <w:t xml:space="preserve"> </w:t>
      </w:r>
      <w:r>
        <w:rPr>
          <w:i/>
          <w:iCs/>
        </w:rPr>
        <w:t xml:space="preserve">Redline adds this to the Section 4 carve-outs.</w:t>
      </w:r>
    </w:p>
    <w:p>
      <w:pPr>
        <w:pStyle w:val="FirstParagraph"/>
      </w:pPr>
      <w:r>
        <w:rPr>
          <w:b/>
          <w:bCs/>
        </w:rPr>
        <w:t xml:space="preserve">Additional OWBPA defects (critical).</w:t>
      </w:r>
      <w:r>
        <w:t xml:space="preserve"> </w:t>
      </w:r>
      <w:r>
        <w:t xml:space="preserve">The Draft’s Section 5 also omits two further elements required for a</w:t>
      </w:r>
      <w:r>
        <w:t xml:space="preserve"> </w:t>
      </w:r>
      <w:r>
        <w:t xml:space="preserve">“</w:t>
      </w:r>
      <w:r>
        <w:t xml:space="preserve">knowing and voluntary</w:t>
      </w:r>
      <w:r>
        <w:t xml:space="preserve">”</w:t>
      </w:r>
      <w:r>
        <w:t xml:space="preserve"> </w:t>
      </w:r>
      <w:r>
        <w:t xml:space="preserve">ADEA waiver:</w:t>
      </w:r>
    </w:p>
    <w:p>
      <w:pPr>
        <w:numPr>
          <w:ilvl w:val="0"/>
          <w:numId w:val="1005"/>
        </w:numPr>
      </w:pPr>
      <w:r>
        <w:rPr>
          <w:b/>
          <w:bCs/>
        </w:rPr>
        <w:t xml:space="preserve">(12a) No</w:t>
      </w:r>
      <w:r>
        <w:rPr>
          <w:b/>
          <w:bCs/>
        </w:rPr>
        <w:t xml:space="preserve"> </w:t>
      </w:r>
      <w:r>
        <w:rPr>
          <w:b/>
          <w:bCs/>
        </w:rPr>
        <w:t xml:space="preserve">“</w:t>
      </w:r>
      <w:r>
        <w:rPr>
          <w:b/>
          <w:bCs/>
        </w:rPr>
        <w:t xml:space="preserve">advised to consult an attorney</w:t>
      </w:r>
      <w:r>
        <w:rPr>
          <w:b/>
          <w:bCs/>
        </w:rPr>
        <w:t xml:space="preserve">”</w:t>
      </w:r>
      <w:r>
        <w:rPr>
          <w:b/>
          <w:bCs/>
        </w:rPr>
        <w:t xml:space="preserve"> </w:t>
      </w:r>
      <w:r>
        <w:rPr>
          <w:b/>
          <w:bCs/>
        </w:rPr>
        <w:t xml:space="preserve">acknowledgment.</w:t>
      </w:r>
      <w:r>
        <w:t xml:space="preserve"> </w:t>
      </w:r>
      <w:r>
        <w:t xml:space="preserve">29 U.S.C. § 626(f)(1)(E) requires that the individual be</w:t>
      </w:r>
      <w:r>
        <w:t xml:space="preserve"> </w:t>
      </w:r>
      <w:r>
        <w:rPr>
          <w:b/>
          <w:bCs/>
        </w:rPr>
        <w:t xml:space="preserve">advised in writing to consult with an attorney</w:t>
      </w:r>
      <w:r>
        <w:t xml:space="preserve"> </w:t>
      </w:r>
      <w:r>
        <w:t xml:space="preserve">prior to executing the waiver. Section 5’s subsections (a)–(f) contain no such acknowledgment. Its absence would likely render the ADEA release invalid.</w:t>
      </w:r>
      <w:r>
        <w:t xml:space="preserve"> </w:t>
      </w:r>
      <w:r>
        <w:rPr>
          <w:i/>
          <w:iCs/>
        </w:rPr>
        <w:t xml:space="preserve">Redline adds new Section 5(g).</w:t>
      </w:r>
    </w:p>
    <w:p>
      <w:pPr>
        <w:numPr>
          <w:ilvl w:val="0"/>
          <w:numId w:val="1005"/>
        </w:numPr>
      </w:pPr>
      <w:r>
        <w:rPr>
          <w:b/>
          <w:bCs/>
        </w:rPr>
        <w:t xml:space="preserve">(12b) No limit on post-execution ADEA claims.</w:t>
      </w:r>
      <w:r>
        <w:t xml:space="preserve"> </w:t>
      </w:r>
      <w:r>
        <w:t xml:space="preserve">The OWBPA bars waiving ADEA rights or claims that</w:t>
      </w:r>
      <w:r>
        <w:t xml:space="preserve"> </w:t>
      </w:r>
      <w:r>
        <w:rPr>
          <w:b/>
          <w:bCs/>
        </w:rPr>
        <w:t xml:space="preserve">arise after</w:t>
      </w:r>
      <w:r>
        <w:t xml:space="preserve"> </w:t>
      </w:r>
      <w:r>
        <w:t xml:space="preserve">the waiver is executed. The Draft’s release runs</w:t>
      </w:r>
      <w:r>
        <w:t xml:space="preserve"> </w:t>
      </w:r>
      <w:r>
        <w:t xml:space="preserve">“</w:t>
      </w:r>
      <w:r>
        <w:t xml:space="preserve">through the Effective Date,</w:t>
      </w:r>
      <w:r>
        <w:t xml:space="preserve">”</w:t>
      </w:r>
      <w:r>
        <w:t xml:space="preserve"> </w:t>
      </w:r>
      <w:r>
        <w:t xml:space="preserve">which (after the corrected Effective Date) is the eighth day after signing — i.e., it purports to release claims arising in the revocation window.</w:t>
      </w:r>
      <w:r>
        <w:t xml:space="preserve"> </w:t>
      </w:r>
      <w:r>
        <w:rPr>
          <w:i/>
          <w:iCs/>
        </w:rPr>
        <w:t xml:space="preserve">Redline adds new Section 5(h), limiting the ADEA waiver to claims arising before execution.</w:t>
      </w:r>
    </w:p>
    <w:p>
      <w:pPr>
        <w:pStyle w:val="FirstParagraph"/>
      </w:pPr>
      <w:r>
        <w:rPr>
          <w:b/>
          <w:bCs/>
        </w:rPr>
        <w:t xml:space="preserve">OWBPA compliance checklist (after redline).</w:t>
      </w:r>
      <w:r>
        <w:t xml:space="preserve"> </w:t>
      </w:r>
      <w:r>
        <w:t xml:space="preserve">With the redline, the agreement addresses all seven statutory elements of 29 U.S.C. § 626(f)(1): (A) refers to ADEA claims (§5 intro, §4(ii)); (B) written to be understood (§5(e)); (C) describes claims by nature (§4 list); (D) consideration beyond what is already entitled (§5(b)); (E) advised to consult counsel (new §5(g)); (F) at least 21 days (§5(c), §16); and (G) 7-day revocation (new §16A). The remaining open item is the</w:t>
      </w:r>
      <w:r>
        <w:t xml:space="preserve"> </w:t>
      </w:r>
      <w:r>
        <w:rPr>
          <w:b/>
          <w:bCs/>
        </w:rPr>
        <w:t xml:space="preserve">group-program / 45-day</w:t>
      </w:r>
      <w:r>
        <w:t xml:space="preserve"> </w:t>
      </w:r>
      <w:r>
        <w:t xml:space="preserve">determination (item 10), which is factual and cannot be resolved by redline.</w:t>
      </w:r>
    </w:p>
    <w:bookmarkEnd w:id="24"/>
    <w:bookmarkStart w:id="25" w:name="c.-release-scope-and-required-carve-outs"/>
    <w:p>
      <w:pPr>
        <w:pStyle w:val="Heading3"/>
      </w:pPr>
      <w:r>
        <w:t xml:space="preserve">C. Release Scope and Required Carve-Outs</w:t>
      </w:r>
    </w:p>
    <w:p>
      <w:pPr>
        <w:numPr>
          <w:ilvl w:val="0"/>
          <w:numId w:val="1006"/>
        </w:numPr>
      </w:pPr>
      <w:r>
        <w:rPr>
          <w:b/>
          <w:bCs/>
        </w:rPr>
        <w:t xml:space="preserve">No carve-out for agency charges or cooperation with investigations.</w:t>
      </w:r>
      <w:r>
        <w:t xml:space="preserve"> </w:t>
      </w:r>
      <w:r>
        <w:t xml:space="preserve">The broad release, read with Section 15(a)(ii), could be read to waive or chill Mr. Delano’s right to file charges with, or cooperate with, the EEOC, Oregon BOLI, Oregon OSHA, the U.S. DOL, the NLRB, or the SEC — including the</w:t>
      </w:r>
      <w:r>
        <w:t xml:space="preserve"> </w:t>
      </w:r>
      <w:r>
        <w:rPr>
          <w:b/>
          <w:bCs/>
        </w:rPr>
        <w:t xml:space="preserve">ongoing Oregon OSHA investigation</w:t>
      </w:r>
      <w:r>
        <w:t xml:space="preserve">. Such rights generally cannot be waived, and Oregon whistleblower law (ORS 654.062) protects cooperation.</w:t>
      </w:r>
      <w:r>
        <w:t xml:space="preserve"> </w:t>
      </w:r>
      <w:r>
        <w:rPr>
          <w:i/>
          <w:iCs/>
        </w:rPr>
        <w:t xml:space="preserve">Redline adds a carve-out (new paragraph after Section 4) and revises Section 15(a)(ii).</w:t>
      </w:r>
    </w:p>
    <w:p>
      <w:pPr>
        <w:numPr>
          <w:ilvl w:val="0"/>
          <w:numId w:val="1006"/>
        </w:numPr>
      </w:pPr>
      <w:r>
        <w:rPr>
          <w:b/>
          <w:bCs/>
        </w:rPr>
        <w:t xml:space="preserve">No carve-out for whistleblower awards/bounties.</w:t>
      </w:r>
      <w:r>
        <w:t xml:space="preserve"> </w:t>
      </w:r>
      <w:r>
        <w:rPr>
          <w:i/>
          <w:iCs/>
        </w:rPr>
        <w:t xml:space="preserve">Added in the redline.</w:t>
      </w:r>
    </w:p>
    <w:p>
      <w:pPr>
        <w:numPr>
          <w:ilvl w:val="0"/>
          <w:numId w:val="1006"/>
        </w:numPr>
      </w:pPr>
      <w:r>
        <w:rPr>
          <w:b/>
          <w:bCs/>
        </w:rPr>
        <w:t xml:space="preserve">No carve-out for vested ERISA benefits.</w:t>
      </w:r>
      <w:r>
        <w:t xml:space="preserve"> </w:t>
      </w:r>
      <w:r>
        <w:t xml:space="preserve">The release of</w:t>
      </w:r>
      <w:r>
        <w:t xml:space="preserve"> </w:t>
      </w:r>
      <w:r>
        <w:t xml:space="preserve">“</w:t>
      </w:r>
      <w:r>
        <w:t xml:space="preserve">ERISA</w:t>
      </w:r>
      <w:r>
        <w:t xml:space="preserve">”</w:t>
      </w:r>
      <w:r>
        <w:t xml:space="preserve"> </w:t>
      </w:r>
      <w:r>
        <w:t xml:space="preserve">claims (Section 4(v)) and the</w:t>
      </w:r>
      <w:r>
        <w:t xml:space="preserve"> </w:t>
      </w:r>
      <w:r>
        <w:t xml:space="preserve">“</w:t>
      </w:r>
      <w:r>
        <w:t xml:space="preserve">all benefits</w:t>
      </w:r>
      <w:r>
        <w:t xml:space="preserve">”</w:t>
      </w:r>
      <w:r>
        <w:t xml:space="preserve"> </w:t>
      </w:r>
      <w:r>
        <w:t xml:space="preserve">representation could be read to waive</w:t>
      </w:r>
      <w:r>
        <w:t xml:space="preserve"> </w:t>
      </w:r>
      <w:r>
        <w:rPr>
          <w:b/>
          <w:bCs/>
        </w:rPr>
        <w:t xml:space="preserve">vested</w:t>
      </w:r>
      <w:r>
        <w:t xml:space="preserve"> </w:t>
      </w:r>
      <w:r>
        <w:t xml:space="preserve">401(k) account balances and vested employer matching contributions, and vested RSUs — which generally cannot be waived.</w:t>
      </w:r>
      <w:r>
        <w:t xml:space="preserve"> </w:t>
      </w:r>
      <w:r>
        <w:rPr>
          <w:i/>
          <w:iCs/>
        </w:rPr>
        <w:t xml:space="preserve">Redline adds a carve-out and preserves the 401(k) in Section 2.</w:t>
      </w:r>
    </w:p>
    <w:p>
      <w:pPr>
        <w:numPr>
          <w:ilvl w:val="0"/>
          <w:numId w:val="1006"/>
        </w:numPr>
      </w:pPr>
      <w:r>
        <w:rPr>
          <w:b/>
          <w:bCs/>
        </w:rPr>
        <w:t xml:space="preserve">No carve-out for unemployment insurance.</w:t>
      </w:r>
      <w:r>
        <w:t xml:space="preserve"> </w:t>
      </w:r>
      <w:r>
        <w:t xml:space="preserve">An agreement that waives UI rights is</w:t>
      </w:r>
      <w:r>
        <w:t xml:space="preserve"> </w:t>
      </w:r>
      <w:r>
        <w:rPr>
          <w:b/>
          <w:bCs/>
        </w:rPr>
        <w:t xml:space="preserve">void</w:t>
      </w:r>
      <w:r>
        <w:t xml:space="preserve"> </w:t>
      </w:r>
      <w:r>
        <w:t xml:space="preserve">under Oregon law (ORS 657.176). The broad release could be read to encompass UI.</w:t>
      </w:r>
      <w:r>
        <w:t xml:space="preserve"> </w:t>
      </w:r>
      <w:r>
        <w:rPr>
          <w:i/>
          <w:iCs/>
        </w:rPr>
        <w:t xml:space="preserve">Redline adds an express carve-out.</w:t>
      </w:r>
    </w:p>
    <w:p>
      <w:pPr>
        <w:numPr>
          <w:ilvl w:val="0"/>
          <w:numId w:val="1006"/>
        </w:numPr>
      </w:pPr>
      <w:r>
        <w:rPr>
          <w:b/>
          <w:bCs/>
        </w:rPr>
        <w:t xml:space="preserve">Release of workers’ compensation claims is void without Board approval.</w:t>
      </w:r>
      <w:r>
        <w:t xml:space="preserve"> </w:t>
      </w:r>
      <w:r>
        <w:t xml:space="preserve">Section 4(xii) releases</w:t>
      </w:r>
      <w:r>
        <w:t xml:space="preserve"> </w:t>
      </w:r>
      <w:r>
        <w:t xml:space="preserve">“</w:t>
      </w:r>
      <w:r>
        <w:t xml:space="preserve">workers’ compensation claims under ORS Chapter 656.</w:t>
      </w:r>
      <w:r>
        <w:t xml:space="preserve">”</w:t>
      </w:r>
      <w:r>
        <w:t xml:space="preserve"> </w:t>
      </w:r>
      <w:r>
        <w:t xml:space="preserve">Settlement of a comp claim requires</w:t>
      </w:r>
      <w:r>
        <w:t xml:space="preserve"> </w:t>
      </w:r>
      <w:r>
        <w:rPr>
          <w:b/>
          <w:bCs/>
        </w:rPr>
        <w:t xml:space="preserve">approval of the Oregon Workers’ Compensation Board</w:t>
      </w:r>
      <w:r>
        <w:t xml:space="preserve"> </w:t>
      </w:r>
      <w:r>
        <w:t xml:space="preserve">(ORS 656.289); a blanket release without approval is void.</w:t>
      </w:r>
      <w:r>
        <w:t xml:space="preserve"> </w:t>
      </w:r>
      <w:r>
        <w:rPr>
          <w:i/>
          <w:iCs/>
        </w:rPr>
        <w:t xml:space="preserve">Redline adds a carve-out and qualifies the list item.</w:t>
      </w:r>
    </w:p>
    <w:p>
      <w:pPr>
        <w:numPr>
          <w:ilvl w:val="0"/>
          <w:numId w:val="1006"/>
        </w:numPr>
      </w:pPr>
      <w:r>
        <w:rPr>
          <w:b/>
          <w:bCs/>
        </w:rPr>
        <w:t xml:space="preserve">No general non-waivable-claims savings clause.</w:t>
      </w:r>
      <w:r>
        <w:t xml:space="preserve"> </w:t>
      </w:r>
      <w:r>
        <w:rPr>
          <w:i/>
          <w:iCs/>
        </w:rPr>
        <w:t xml:space="preserve">Added in the redline.</w:t>
      </w:r>
    </w:p>
    <w:p>
      <w:pPr>
        <w:pStyle w:val="FirstParagraph"/>
      </w:pPr>
      <w:r>
        <w:rPr>
          <w:b/>
          <w:bCs/>
        </w:rPr>
        <w:t xml:space="preserve">Non-contest of unemployment insurance (consider adding).</w:t>
      </w:r>
      <w:r>
        <w:t xml:space="preserve"> </w:t>
      </w:r>
      <w:r>
        <w:t xml:space="preserve">The Draft is silent on whether Greenleaf will contest Mr. Delano’s unemployment-insurance claim. A common settlement term is an employer agreement</w:t>
      </w:r>
      <w:r>
        <w:t xml:space="preserve"> </w:t>
      </w:r>
      <w:r>
        <w:rPr>
          <w:b/>
          <w:bCs/>
        </w:rPr>
        <w:t xml:space="preserve">not to contest</w:t>
      </w:r>
      <w:r>
        <w:t xml:space="preserve"> </w:t>
      </w:r>
      <w:r>
        <w:t xml:space="preserve">UI eligibility (consistent with the neutral reference and rehire-eligibility concessions in Sections 11 and 14). Because UI rights cannot be waived (item 15), the only way to give Mr. Delano certainty on UI is an affirmative non-contest covenant.</w:t>
      </w:r>
      <w:r>
        <w:t xml:space="preserve"> </w:t>
      </w:r>
      <w:r>
        <w:rPr>
          <w:i/>
          <w:iCs/>
        </w:rPr>
        <w:t xml:space="preserve">Not in the redline; recommend the GC decide whether to offer this as a negotiation point.</w:t>
      </w:r>
    </w:p>
    <w:bookmarkEnd w:id="25"/>
    <w:bookmarkStart w:id="26" w:name="X5165b16db028baa775a7f45502f1c275c7f5ed2"/>
    <w:p>
      <w:pPr>
        <w:pStyle w:val="Heading3"/>
      </w:pPr>
      <w:r>
        <w:t xml:space="preserve">D. Confidentiality and Non-Disparagement (Oregon Workplace Fairness Act)</w:t>
      </w:r>
    </w:p>
    <w:p>
      <w:pPr>
        <w:numPr>
          <w:ilvl w:val="0"/>
          <w:numId w:val="1007"/>
        </w:numPr>
      </w:pPr>
      <w:r>
        <w:rPr>
          <w:b/>
          <w:bCs/>
        </w:rPr>
        <w:t xml:space="preserve">Confidentiality clause is partially void under ORS 659A.365.</w:t>
      </w:r>
      <w:r>
        <w:t xml:space="preserve"> </w:t>
      </w:r>
      <w:r>
        <w:t xml:space="preserve">The Oregon Workplace Fairness Act renders</w:t>
      </w:r>
      <w:r>
        <w:t xml:space="preserve"> </w:t>
      </w:r>
      <w:r>
        <w:rPr>
          <w:b/>
          <w:bCs/>
        </w:rPr>
        <w:t xml:space="preserve">void and unenforceable</w:t>
      </w:r>
      <w:r>
        <w:t xml:space="preserve"> </w:t>
      </w:r>
      <w:r>
        <w:t xml:space="preserve">any settlement provision that prohibits a person from disclosing conduct constituting</w:t>
      </w:r>
      <w:r>
        <w:t xml:space="preserve"> </w:t>
      </w:r>
      <w:r>
        <w:rPr>
          <w:b/>
          <w:bCs/>
        </w:rPr>
        <w:t xml:space="preserve">discrimination, harassment, or sexual assault</w:t>
      </w:r>
      <w:r>
        <w:t xml:space="preserve">; the clause may protect the</w:t>
      </w:r>
      <w:r>
        <w:t xml:space="preserve"> </w:t>
      </w:r>
      <w:r>
        <w:rPr>
          <w:i/>
          <w:iCs/>
        </w:rPr>
        <w:t xml:space="preserve">settlement amount</w:t>
      </w:r>
      <w:r>
        <w:t xml:space="preserve"> </w:t>
      </w:r>
      <w:r>
        <w:t xml:space="preserve">but not the underlying conduct. Section 6 is broader than the amount and is void to that extent.</w:t>
      </w:r>
      <w:r>
        <w:t xml:space="preserve"> </w:t>
      </w:r>
      <w:r>
        <w:rPr>
          <w:i/>
          <w:iCs/>
        </w:rPr>
        <w:t xml:space="preserve">Redline adds an OWFA carve-out and limits the clause to the existence/amount and negotiations.</w:t>
      </w:r>
    </w:p>
    <w:p>
      <w:pPr>
        <w:numPr>
          <w:ilvl w:val="0"/>
          <w:numId w:val="1007"/>
        </w:numPr>
      </w:pPr>
      <w:r>
        <w:rPr>
          <w:b/>
          <w:bCs/>
        </w:rPr>
        <w:t xml:space="preserve">Non-disparagement clause — same OWFA issue.</w:t>
      </w:r>
      <w:r>
        <w:t xml:space="preserve"> </w:t>
      </w:r>
      <w:r>
        <w:rPr>
          <w:i/>
          <w:iCs/>
        </w:rPr>
        <w:t xml:space="preserve">Redline adds an OWFA carve-out to Section 7.</w:t>
      </w:r>
    </w:p>
    <w:p>
      <w:pPr>
        <w:numPr>
          <w:ilvl w:val="0"/>
          <w:numId w:val="1007"/>
        </w:numPr>
      </w:pPr>
      <w:r>
        <w:rPr>
          <w:b/>
          <w:bCs/>
        </w:rPr>
        <w:t xml:space="preserve">No carve-out for government disclosures / DTSA immunity in confidentiality.</w:t>
      </w:r>
      <w:r>
        <w:t xml:space="preserve"> </w:t>
      </w:r>
      <w:r>
        <w:rPr>
          <w:i/>
          <w:iCs/>
        </w:rPr>
        <w:t xml:space="preserve">Redline adds carve-outs for agency disclosures and DTSA-protected disclosures.</w:t>
      </w:r>
    </w:p>
    <w:p>
      <w:pPr>
        <w:numPr>
          <w:ilvl w:val="0"/>
          <w:numId w:val="1007"/>
        </w:numPr>
      </w:pPr>
      <w:r>
        <w:rPr>
          <w:b/>
          <w:bCs/>
        </w:rPr>
        <w:t xml:space="preserve">“</w:t>
      </w:r>
      <w:r>
        <w:rPr>
          <w:b/>
          <w:bCs/>
        </w:rPr>
        <w:t xml:space="preserve">In perpetuity</w:t>
      </w:r>
      <w:r>
        <w:rPr>
          <w:b/>
          <w:bCs/>
        </w:rPr>
        <w:t xml:space="preserve">”</w:t>
      </w:r>
      <w:r>
        <w:rPr>
          <w:b/>
          <w:bCs/>
        </w:rPr>
        <w:t xml:space="preserve"> </w:t>
      </w:r>
      <w:r>
        <w:rPr>
          <w:b/>
          <w:bCs/>
        </w:rPr>
        <w:t xml:space="preserve">is overbroad.</w:t>
      </w:r>
      <w:r>
        <w:t xml:space="preserve"> </w:t>
      </w:r>
      <w:r>
        <w:t xml:space="preserve">A perpetual non-disparagement obligation is vulnerable to challenge as an unreasonable restraint.</w:t>
      </w:r>
      <w:r>
        <w:t xml:space="preserve"> </w:t>
      </w:r>
      <w:r>
        <w:rPr>
          <w:i/>
          <w:iCs/>
        </w:rPr>
        <w:t xml:space="preserve">Redline changes the term to five years.</w:t>
      </w:r>
    </w:p>
    <w:p>
      <w:pPr>
        <w:numPr>
          <w:ilvl w:val="0"/>
          <w:numId w:val="1007"/>
        </w:numPr>
      </w:pPr>
      <w:r>
        <w:rPr>
          <w:b/>
          <w:bCs/>
        </w:rPr>
        <w:t xml:space="preserve">No DTSA immunity notice.</w:t>
      </w:r>
      <w:r>
        <w:t xml:space="preserve"> </w:t>
      </w:r>
      <w:r>
        <w:t xml:space="preserve">Because we are adding a trade-secrets/confidential-information clause, the Defend Trade Secrets Act, 18 U.S.C. § 1833(b), requires a specific immunity notice.</w:t>
      </w:r>
      <w:r>
        <w:t xml:space="preserve"> </w:t>
      </w:r>
      <w:r>
        <w:rPr>
          <w:i/>
          <w:iCs/>
        </w:rPr>
        <w:t xml:space="preserve">Redline adds Section 21 with the required notice.</w:t>
      </w:r>
    </w:p>
    <w:bookmarkEnd w:id="26"/>
    <w:bookmarkStart w:id="27" w:name="e.-restrictive-covenants"/>
    <w:p>
      <w:pPr>
        <w:pStyle w:val="Heading3"/>
      </w:pPr>
      <w:r>
        <w:t xml:space="preserve">E. Restrictive Covenants</w:t>
      </w:r>
    </w:p>
    <w:p>
      <w:pPr>
        <w:numPr>
          <w:ilvl w:val="0"/>
          <w:numId w:val="1008"/>
        </w:numPr>
      </w:pPr>
      <w:r>
        <w:rPr>
          <w:b/>
          <w:bCs/>
        </w:rPr>
        <w:t xml:space="preserve">Non-compete covering California is void.</w:t>
      </w:r>
      <w:r>
        <w:t xml:space="preserve"> </w:t>
      </w:r>
      <w:r>
        <w:t xml:space="preserve">California Business &amp; Professions Code § 16600 makes non-competes void except on sale of a business. Including California in the Section 9 geographic scope is unenforceable and, under California’s AB 1076 (effective 2024), maintaining a void non-compete against a former employee without the required notice can itself constitute an unfair business practice.</w:t>
      </w:r>
      <w:r>
        <w:t xml:space="preserve"> </w:t>
      </w:r>
      <w:r>
        <w:rPr>
          <w:i/>
          <w:iCs/>
        </w:rPr>
        <w:t xml:space="preserve">Redline removes California and adds a savings clause.</w:t>
      </w:r>
    </w:p>
    <w:p>
      <w:pPr>
        <w:numPr>
          <w:ilvl w:val="0"/>
          <w:numId w:val="1008"/>
        </w:numPr>
      </w:pPr>
      <w:r>
        <w:rPr>
          <w:b/>
          <w:bCs/>
        </w:rPr>
        <w:t xml:space="preserve">Oregon non-compete likely unenforceable on timing.</w:t>
      </w:r>
      <w:r>
        <w:t xml:space="preserve"> </w:t>
      </w:r>
      <w:r>
        <w:t xml:space="preserve">ORS 653.295 generally requires that a non-compete be disclosed in a written employment agreement</w:t>
      </w:r>
      <w:r>
        <w:t xml:space="preserve"> </w:t>
      </w:r>
      <w:r>
        <w:rPr>
          <w:b/>
          <w:bCs/>
        </w:rPr>
        <w:t xml:space="preserve">at the time of hire</w:t>
      </w:r>
      <w:r>
        <w:t xml:space="preserve"> </w:t>
      </w:r>
      <w:r>
        <w:t xml:space="preserve">(or upon a bona fide advancement). A non-compete first imposed in a</w:t>
      </w:r>
      <w:r>
        <w:t xml:space="preserve"> </w:t>
      </w:r>
      <w:r>
        <w:rPr>
          <w:b/>
          <w:bCs/>
        </w:rPr>
        <w:t xml:space="preserve">post-termination settlement</w:t>
      </w:r>
      <w:r>
        <w:t xml:space="preserve"> </w:t>
      </w:r>
      <w:r>
        <w:t xml:space="preserve">does not satisfy this requirement and is likely unenforceable in Oregon.</w:t>
      </w:r>
      <w:r>
        <w:t xml:space="preserve"> </w:t>
      </w:r>
      <w:r>
        <w:rPr>
          <w:i/>
          <w:iCs/>
        </w:rPr>
        <w:t xml:space="preserve">Redline adds a savings clause; the GC should weigh whether the non-compete provides any real protection.</w:t>
      </w:r>
    </w:p>
    <w:p>
      <w:pPr>
        <w:numPr>
          <w:ilvl w:val="0"/>
          <w:numId w:val="1008"/>
        </w:numPr>
      </w:pPr>
      <w:r>
        <w:rPr>
          <w:b/>
          <w:bCs/>
        </w:rPr>
        <w:t xml:space="preserve">Washington and Idaho.</w:t>
      </w:r>
      <w:r>
        <w:t xml:space="preserve"> </w:t>
      </w:r>
      <w:r>
        <w:t xml:space="preserve">Washington (RCW 49.62) and Idaho (Idaho Code § 44-2701 et seq.) impose disclosure-timing and reasonableness requirements that a post-termination covenant may not satisfy.</w:t>
      </w:r>
      <w:r>
        <w:t xml:space="preserve"> </w:t>
      </w:r>
      <w:r>
        <w:rPr>
          <w:i/>
          <w:iCs/>
        </w:rPr>
        <w:t xml:space="preserve">Flagged; savings clause added.</w:t>
      </w:r>
    </w:p>
    <w:p>
      <w:pPr>
        <w:numPr>
          <w:ilvl w:val="0"/>
          <w:numId w:val="1008"/>
        </w:numPr>
      </w:pPr>
      <w:r>
        <w:rPr>
          <w:b/>
          <w:bCs/>
        </w:rPr>
        <w:t xml:space="preserve">Tolling provision.</w:t>
      </w:r>
      <w:r>
        <w:t xml:space="preserve"> </w:t>
      </w:r>
      <w:r>
        <w:t xml:space="preserve">Section 9’s tolling-of-the-restriction-period-during-breach clause is disfavored, extends the effective restraint beyond 18 months, and is unenforceable in California.</w:t>
      </w:r>
      <w:r>
        <w:t xml:space="preserve"> </w:t>
      </w:r>
      <w:r>
        <w:rPr>
          <w:i/>
          <w:iCs/>
        </w:rPr>
        <w:t xml:space="preserve">Flagged; left in place with the savings clause, but consider removing.</w:t>
      </w:r>
    </w:p>
    <w:p>
      <w:pPr>
        <w:numPr>
          <w:ilvl w:val="0"/>
          <w:numId w:val="1008"/>
        </w:numPr>
      </w:pPr>
      <w:r>
        <w:rPr>
          <w:b/>
          <w:bCs/>
        </w:rPr>
        <w:t xml:space="preserve">Customer non-solicit covering California.</w:t>
      </w:r>
      <w:r>
        <w:t xml:space="preserve"> </w:t>
      </w:r>
      <w:r>
        <w:t xml:space="preserve">Section 10(b)’s customer non-solicit is likely void in California to the extent it operates as a restraint on lawful employment (Edwards v. Arthur Andersen).</w:t>
      </w:r>
      <w:r>
        <w:t xml:space="preserve"> </w:t>
      </w:r>
      <w:r>
        <w:rPr>
          <w:i/>
          <w:iCs/>
        </w:rPr>
        <w:t xml:space="preserve">Redline adds a California carve-out.</w:t>
      </w:r>
      <w:r>
        <w:t xml:space="preserve"> </w:t>
      </w:r>
      <w:r>
        <w:t xml:space="preserve">The employee non-solicit (Section 10(a)) is more defensible.</w:t>
      </w:r>
    </w:p>
    <w:p>
      <w:pPr>
        <w:numPr>
          <w:ilvl w:val="0"/>
          <w:numId w:val="1008"/>
        </w:numPr>
      </w:pPr>
      <w:r>
        <w:rPr>
          <w:b/>
          <w:bCs/>
        </w:rPr>
        <w:t xml:space="preserve">No standalone confidentiality-of-information / trade-secrets clause.</w:t>
      </w:r>
      <w:r>
        <w:t xml:space="preserve"> </w:t>
      </w:r>
      <w:r>
        <w:t xml:space="preserve">As VP of Supply Chain, Mr. Delano had access to supplier lists, pricing, cold-chain protocols, and product information. The Draft protects only the</w:t>
      </w:r>
      <w:r>
        <w:t xml:space="preserve"> </w:t>
      </w:r>
      <w:r>
        <w:rPr>
          <w:i/>
          <w:iCs/>
        </w:rPr>
        <w:t xml:space="preserve">settlement’s</w:t>
      </w:r>
      <w:r>
        <w:t xml:space="preserve"> </w:t>
      </w:r>
      <w:r>
        <w:t xml:space="preserve">confidentiality, not Greenleaf’s information.</w:t>
      </w:r>
      <w:r>
        <w:t xml:space="preserve"> </w:t>
      </w:r>
      <w:r>
        <w:rPr>
          <w:i/>
          <w:iCs/>
        </w:rPr>
        <w:t xml:space="preserve">Redline adds Section 21.</w:t>
      </w:r>
    </w:p>
    <w:p>
      <w:pPr>
        <w:numPr>
          <w:ilvl w:val="0"/>
          <w:numId w:val="1008"/>
        </w:numPr>
      </w:pPr>
      <w:r>
        <w:rPr>
          <w:b/>
          <w:bCs/>
        </w:rPr>
        <w:t xml:space="preserve">No return-of-company-property clause.</w:t>
      </w:r>
      <w:r>
        <w:t xml:space="preserve"> </w:t>
      </w:r>
      <w:r>
        <w:rPr>
          <w:i/>
          <w:iCs/>
        </w:rPr>
        <w:t xml:space="preserve">Redline adds Section 20.</w:t>
      </w:r>
    </w:p>
    <w:bookmarkEnd w:id="27"/>
    <w:bookmarkStart w:id="28" w:name="Xbca29097a4f7fad3df360328e4e18c7986d09ff"/>
    <w:p>
      <w:pPr>
        <w:pStyle w:val="Heading3"/>
      </w:pPr>
      <w:r>
        <w:t xml:space="preserve">F. Missing Standard Provisions (Added in Redline)</w:t>
      </w:r>
    </w:p>
    <w:p>
      <w:pPr>
        <w:pStyle w:val="Compact"/>
        <w:numPr>
          <w:ilvl w:val="0"/>
          <w:numId w:val="1009"/>
        </w:numPr>
      </w:pPr>
      <w:r>
        <w:rPr>
          <w:b/>
          <w:bCs/>
        </w:rPr>
        <w:t xml:space="preserve">No governing law / venue / jurisdiction.</w:t>
      </w:r>
      <w:r>
        <w:t xml:space="preserve"> </w:t>
      </w:r>
      <w:r>
        <w:rPr>
          <w:i/>
          <w:iCs/>
        </w:rPr>
        <w:t xml:space="preserve">Added as Section 19 (Oregon; Multnomah County).</w:t>
      </w:r>
    </w:p>
    <w:p>
      <w:pPr>
        <w:pStyle w:val="Compact"/>
        <w:numPr>
          <w:ilvl w:val="0"/>
          <w:numId w:val="1009"/>
        </w:numPr>
      </w:pPr>
      <w:r>
        <w:rPr>
          <w:b/>
          <w:bCs/>
        </w:rPr>
        <w:t xml:space="preserve">No notices provision.</w:t>
      </w:r>
      <w:r>
        <w:t xml:space="preserve"> </w:t>
      </w:r>
      <w:r>
        <w:rPr>
          <w:i/>
          <w:iCs/>
        </w:rPr>
        <w:t xml:space="preserve">Added as Section 23.</w:t>
      </w:r>
    </w:p>
    <w:p>
      <w:pPr>
        <w:pStyle w:val="Compact"/>
        <w:numPr>
          <w:ilvl w:val="0"/>
          <w:numId w:val="1009"/>
        </w:numPr>
      </w:pPr>
      <w:r>
        <w:rPr>
          <w:b/>
          <w:bCs/>
        </w:rPr>
        <w:t xml:space="preserve">No survival clause.</w:t>
      </w:r>
      <w:r>
        <w:t xml:space="preserve"> </w:t>
      </w:r>
      <w:r>
        <w:rPr>
          <w:i/>
          <w:iCs/>
        </w:rPr>
        <w:t xml:space="preserve">Added as Section 24.</w:t>
      </w:r>
    </w:p>
    <w:p>
      <w:pPr>
        <w:pStyle w:val="Compact"/>
        <w:numPr>
          <w:ilvl w:val="0"/>
          <w:numId w:val="1009"/>
        </w:numPr>
      </w:pPr>
      <w:r>
        <w:rPr>
          <w:b/>
          <w:bCs/>
        </w:rPr>
        <w:t xml:space="preserve">No cooperation clause.</w:t>
      </w:r>
      <w:r>
        <w:t xml:space="preserve"> </w:t>
      </w:r>
      <w:r>
        <w:t xml:space="preserve">Particularly important given the pending OSHA investigation.</w:t>
      </w:r>
      <w:r>
        <w:t xml:space="preserve"> </w:t>
      </w:r>
      <w:r>
        <w:rPr>
          <w:i/>
          <w:iCs/>
        </w:rPr>
        <w:t xml:space="preserve">Added as Section 22 (balanced to preserve Mr. Delano’s protected rights).</w:t>
      </w:r>
    </w:p>
    <w:p>
      <w:pPr>
        <w:pStyle w:val="Compact"/>
        <w:numPr>
          <w:ilvl w:val="0"/>
          <w:numId w:val="1009"/>
        </w:numPr>
      </w:pPr>
      <w:r>
        <w:rPr>
          <w:b/>
          <w:bCs/>
        </w:rPr>
        <w:t xml:space="preserve">Entire Agreement could supersede the Equity Plan and RSU Grant.</w:t>
      </w:r>
      <w:r>
        <w:t xml:space="preserve"> </w:t>
      </w:r>
      <w:r>
        <w:t xml:space="preserve">Section 18’s integration clause could be read to supersede the 2021 Equity Incentive Plan, the RSU Grant Agreement, and any confidentiality/IP-assignment agreements — undermining the RSU acceleration and surviving obligations.</w:t>
      </w:r>
      <w:r>
        <w:t xml:space="preserve"> </w:t>
      </w:r>
      <w:r>
        <w:rPr>
          <w:i/>
          <w:iCs/>
        </w:rPr>
        <w:t xml:space="preserve">Redline adds a preservation carve-out.</w:t>
      </w:r>
    </w:p>
    <w:bookmarkEnd w:id="28"/>
    <w:bookmarkStart w:id="29" w:name="g.-reference-and-rehire-provisions"/>
    <w:p>
      <w:pPr>
        <w:pStyle w:val="Heading3"/>
      </w:pPr>
      <w:r>
        <w:t xml:space="preserve">G. Reference and Rehire Provisions</w:t>
      </w:r>
    </w:p>
    <w:p>
      <w:pPr>
        <w:numPr>
          <w:ilvl w:val="0"/>
          <w:numId w:val="1010"/>
        </w:numPr>
      </w:pPr>
      <w:r>
        <w:rPr>
          <w:b/>
          <w:bCs/>
        </w:rPr>
        <w:t xml:space="preserve">Mandated positive reference creates risk.</w:t>
      </w:r>
      <w:r>
        <w:t xml:space="preserve"> </w:t>
      </w:r>
      <w:r>
        <w:t xml:space="preserve">Section 11 requires Greenleaf to state that Mr. Delano</w:t>
      </w:r>
      <w:r>
        <w:t xml:space="preserve"> </w:t>
      </w:r>
      <w:r>
        <w:t xml:space="preserve">“</w:t>
      </w:r>
      <w:r>
        <w:t xml:space="preserve">was a valued member of the Greenleaf team who made significant contributions.</w:t>
      </w:r>
      <w:r>
        <w:t xml:space="preserve">”</w:t>
      </w:r>
      <w:r>
        <w:t xml:space="preserve"> </w:t>
      </w:r>
      <w:r>
        <w:t xml:space="preserve">A mandated</w:t>
      </w:r>
      <w:r>
        <w:t xml:space="preserve"> </w:t>
      </w:r>
      <w:r>
        <w:rPr>
          <w:i/>
          <w:iCs/>
        </w:rPr>
        <w:t xml:space="preserve">positive</w:t>
      </w:r>
      <w:r>
        <w:t xml:space="preserve"> </w:t>
      </w:r>
      <w:r>
        <w:t xml:space="preserve">(not merely neutral) reference creates negligent-misrepresentation exposure to prospective employers and is unusual.</w:t>
      </w:r>
      <w:r>
        <w:t xml:space="preserve"> </w:t>
      </w:r>
      <w:r>
        <w:rPr>
          <w:i/>
          <w:iCs/>
        </w:rPr>
        <w:t xml:space="preserve">Redline changes this to a neutral, factually accurate reference stating eligibility for rehire.</w:t>
      </w:r>
    </w:p>
    <w:p>
      <w:pPr>
        <w:numPr>
          <w:ilvl w:val="0"/>
          <w:numId w:val="1010"/>
        </w:numPr>
      </w:pPr>
      <w:r>
        <w:rPr>
          <w:b/>
          <w:bCs/>
        </w:rPr>
        <w:t xml:space="preserve">Rehire-eligibility / no do-not-rehire designation.</w:t>
      </w:r>
      <w:r>
        <w:t xml:space="preserve"> </w:t>
      </w:r>
      <w:r>
        <w:t xml:space="preserve">Section 14 requires Greenleaf to maintain no internal</w:t>
      </w:r>
      <w:r>
        <w:t xml:space="preserve"> </w:t>
      </w:r>
      <w:r>
        <w:t xml:space="preserve">“</w:t>
      </w:r>
      <w:r>
        <w:t xml:space="preserve">ineligible for rehire</w:t>
      </w:r>
      <w:r>
        <w:t xml:space="preserve">”</w:t>
      </w:r>
      <w:r>
        <w:t xml:space="preserve"> </w:t>
      </w:r>
      <w:r>
        <w:t xml:space="preserve">flag. This is a meaningful concession; confirm HR can implement and that no legitimate basis for such a flag is being waived inadvertently.</w:t>
      </w:r>
    </w:p>
    <w:p>
      <w:pPr>
        <w:numPr>
          <w:ilvl w:val="0"/>
          <w:numId w:val="1010"/>
        </w:numPr>
      </w:pPr>
      <w:r>
        <w:rPr>
          <w:b/>
          <w:bCs/>
        </w:rPr>
        <w:t xml:space="preserve">Reference directed to Leanne Foss.</w:t>
      </w:r>
      <w:r>
        <w:t xml:space="preserve"> </w:t>
      </w:r>
      <w:r>
        <w:t xml:space="preserve">All reference inquiries are directed to the same HR Director who received Mr. Delano’s whistleblower complaint. Operationally acceptable, but note the centrality of Ms. Foss.</w:t>
      </w:r>
    </w:p>
    <w:bookmarkEnd w:id="29"/>
    <w:bookmarkStart w:id="30" w:name="X0032ec6f56499be82bafe12f385e80ff1f19a3b"/>
    <w:p>
      <w:pPr>
        <w:pStyle w:val="Heading3"/>
      </w:pPr>
      <w:r>
        <w:t xml:space="preserve">H. Litigation and Regulatory Risk (Pretext / Retaliation)</w:t>
      </w:r>
    </w:p>
    <w:p>
      <w:pPr>
        <w:pStyle w:val="FirstParagraph"/>
      </w:pPr>
      <w:r>
        <w:t xml:space="preserve">These are not contract-fix items but materially affect the decision to settle and the value of the deal.</w:t>
      </w:r>
    </w:p>
    <w:p>
      <w:pPr>
        <w:numPr>
          <w:ilvl w:val="0"/>
          <w:numId w:val="1011"/>
        </w:numPr>
      </w:pPr>
      <w:r>
        <w:rPr>
          <w:b/>
          <w:bCs/>
        </w:rPr>
        <w:t xml:space="preserve">Replacement hire six days after termination — strong evidence of pretext.</w:t>
      </w:r>
      <w:r>
        <w:t xml:space="preserve"> </w:t>
      </w:r>
      <w:r>
        <w:t xml:space="preserve">The record shows Greenleaf hired</w:t>
      </w:r>
      <w:r>
        <w:t xml:space="preserve"> </w:t>
      </w:r>
      <w:r>
        <w:rPr>
          <w:b/>
          <w:bCs/>
        </w:rPr>
        <w:t xml:space="preserve">Raj Mehta as Senior Director of Supply Chain &amp; Logistics on March 20, 2025 — six days after terminating Mr. Delano for</w:t>
      </w:r>
      <w:r>
        <w:rPr>
          <w:b/>
          <w:bCs/>
        </w:rPr>
        <w:t xml:space="preserve"> </w:t>
      </w:r>
      <w:r>
        <w:rPr>
          <w:b/>
          <w:bCs/>
        </w:rPr>
        <w:t xml:space="preserve">“</w:t>
      </w:r>
      <w:r>
        <w:rPr>
          <w:b/>
          <w:bCs/>
        </w:rPr>
        <w:t xml:space="preserve">elimination of position</w:t>
      </w:r>
      <w:r>
        <w:rPr>
          <w:b/>
          <w:bCs/>
        </w:rPr>
        <w:t xml:space="preserve">”</w:t>
      </w:r>
      <w:r>
        <w:t xml:space="preserve"> </w:t>
      </w:r>
      <w:r>
        <w:t xml:space="preserve">— at $185,000. Hiring a replacement into a substantially overlapping supply-chain role so soon after a</w:t>
      </w:r>
      <w:r>
        <w:t xml:space="preserve"> </w:t>
      </w:r>
      <w:r>
        <w:t xml:space="preserve">“</w:t>
      </w:r>
      <w:r>
        <w:t xml:space="preserve">position elimination</w:t>
      </w:r>
      <w:r>
        <w:t xml:space="preserve">”</w:t>
      </w:r>
      <w:r>
        <w:t xml:space="preserve"> </w:t>
      </w:r>
      <w:r>
        <w:t xml:space="preserve">termination severely undermines the legitimate-reorganization defense and is powerful evidence of pretext for both the</w:t>
      </w:r>
      <w:r>
        <w:t xml:space="preserve"> </w:t>
      </w:r>
      <w:r>
        <w:rPr>
          <w:b/>
          <w:bCs/>
        </w:rPr>
        <w:t xml:space="preserve">Oregon whistleblower retaliation claim (ORS 654.062(5))</w:t>
      </w:r>
      <w:r>
        <w:t xml:space="preserve"> </w:t>
      </w:r>
      <w:r>
        <w:t xml:space="preserve">and the</w:t>
      </w:r>
      <w:r>
        <w:t xml:space="preserve"> </w:t>
      </w:r>
      <w:r>
        <w:rPr>
          <w:b/>
          <w:bCs/>
        </w:rPr>
        <w:t xml:space="preserve">ADEA age-discrimination claim</w:t>
      </w:r>
      <w:r>
        <w:t xml:space="preserve">. This fact significantly increases Greenleaf’s exposure and, correspondingly, supports settling on these terms as risk mitigation. It also means the</w:t>
      </w:r>
      <w:r>
        <w:t xml:space="preserve"> </w:t>
      </w:r>
      <w:r>
        <w:t xml:space="preserve">“</w:t>
      </w:r>
      <w:r>
        <w:t xml:space="preserve">no admission</w:t>
      </w:r>
      <w:r>
        <w:t xml:space="preserve">”</w:t>
      </w:r>
      <w:r>
        <w:t xml:space="preserve"> </w:t>
      </w:r>
      <w:r>
        <w:t xml:space="preserve">and non-disparagement provisions have real value to Greenleaf.</w:t>
      </w:r>
    </w:p>
    <w:p>
      <w:pPr>
        <w:numPr>
          <w:ilvl w:val="0"/>
          <w:numId w:val="1011"/>
        </w:numPr>
      </w:pPr>
      <w:r>
        <w:rPr>
          <w:b/>
          <w:bCs/>
        </w:rPr>
        <w:t xml:space="preserve">Temporal proximity.</w:t>
      </w:r>
      <w:r>
        <w:t xml:space="preserve"> </w:t>
      </w:r>
      <w:r>
        <w:t xml:space="preserve">Protected activity (internal complaint Nov. 8, 2024; OSHA complaint Dec. 3, 2024) was followed closely by administrative leave (Feb. 10, 2025) and termination (Mar. 14, 2025). The tight timeline supports the retaliation claim.</w:t>
      </w:r>
    </w:p>
    <w:p>
      <w:pPr>
        <w:numPr>
          <w:ilvl w:val="0"/>
          <w:numId w:val="1011"/>
        </w:numPr>
      </w:pPr>
      <w:r>
        <w:rPr>
          <w:b/>
          <w:bCs/>
        </w:rPr>
        <w:t xml:space="preserve">Age (58) and the ADEA claim.</w:t>
      </w:r>
      <w:r>
        <w:t xml:space="preserve"> </w:t>
      </w:r>
      <w:r>
        <w:t xml:space="preserve">Mr. Delano is 58, well within the ADEA’s protected class. The replacement’s age is not in the record;</w:t>
      </w:r>
      <w:r>
        <w:t xml:space="preserve"> </w:t>
      </w:r>
      <w:r>
        <w:rPr>
          <w:b/>
          <w:bCs/>
        </w:rPr>
        <w:t xml:space="preserve">we recommend determining Mr. Mehta’s age and the ages of any others considered</w:t>
      </w:r>
      <w:r>
        <w:t xml:space="preserve">, as a younger replacement would strengthen the ADEA claim.</w:t>
      </w:r>
    </w:p>
    <w:p>
      <w:pPr>
        <w:numPr>
          <w:ilvl w:val="0"/>
          <w:numId w:val="1011"/>
        </w:numPr>
      </w:pPr>
      <w:r>
        <w:rPr>
          <w:b/>
          <w:bCs/>
        </w:rPr>
        <w:t xml:space="preserve">Pending Oregon OSHA investigation.</w:t>
      </w:r>
      <w:r>
        <w:t xml:space="preserve"> </w:t>
      </w:r>
      <w:r>
        <w:t xml:space="preserve">The investigation opened January 22, 2025 remains unresolved. The settlement</w:t>
      </w:r>
      <w:r>
        <w:t xml:space="preserve"> </w:t>
      </w:r>
      <w:r>
        <w:rPr>
          <w:b/>
          <w:bCs/>
        </w:rPr>
        <w:t xml:space="preserve">cannot release the government investigation</w:t>
      </w:r>
      <w:r>
        <w:t xml:space="preserve">, and Mr. Delano retains the right to cooperate (now expressly preserved in the redline). Greenleaf faces potential OSHA penalties and corrective-action orders independent of this settlement. Coordinate the settlement with the OSHA matter.</w:t>
      </w:r>
    </w:p>
    <w:bookmarkEnd w:id="30"/>
    <w:bookmarkStart w:id="31" w:name="i.-insurance-epli"/>
    <w:p>
      <w:pPr>
        <w:pStyle w:val="Heading3"/>
      </w:pPr>
      <w:r>
        <w:t xml:space="preserve">I. Insurance (EPLI)</w:t>
      </w:r>
    </w:p>
    <w:p>
      <w:pPr>
        <w:pStyle w:val="Compact"/>
        <w:numPr>
          <w:ilvl w:val="0"/>
          <w:numId w:val="1012"/>
        </w:numPr>
      </w:pPr>
      <w:r>
        <w:rPr>
          <w:b/>
          <w:bCs/>
        </w:rPr>
        <w:t xml:space="preserve">Coordinate with Timberline Insurance Group (Policy TIG-EPL-2024-00391).</w:t>
      </w:r>
      <w:r>
        <w:t xml:space="preserve"> </w:t>
      </w:r>
      <w:r>
        <w:t xml:space="preserve">Before execution: (a) confirm whether the policy requires</w:t>
      </w:r>
      <w:r>
        <w:t xml:space="preserve"> </w:t>
      </w:r>
      <w:r>
        <w:rPr>
          <w:b/>
          <w:bCs/>
        </w:rPr>
        <w:t xml:space="preserve">consent to settle</w:t>
      </w:r>
      <w:r>
        <w:t xml:space="preserve"> </w:t>
      </w:r>
      <w:r>
        <w:t xml:space="preserve">and whether the carrier has consented; (b) review the</w:t>
      </w:r>
      <w:r>
        <w:t xml:space="preserve"> </w:t>
      </w:r>
      <w:r>
        <w:rPr>
          <w:b/>
          <w:bCs/>
        </w:rPr>
        <w:t xml:space="preserve">allocation</w:t>
      </w:r>
      <w:r>
        <w:t xml:space="preserve"> </w:t>
      </w:r>
      <w:r>
        <w:t xml:space="preserve">— EPLI typically covers discrimination/retaliation emotional-distress damages but frequently</w:t>
      </w:r>
      <w:r>
        <w:t xml:space="preserve"> </w:t>
      </w:r>
      <w:r>
        <w:rPr>
          <w:b/>
          <w:bCs/>
        </w:rPr>
        <w:t xml:space="preserve">excludes wage/back-pay and tax-penalty exposures</w:t>
      </w:r>
      <w:r>
        <w:t xml:space="preserve">, so the $125,000 wage allocation and any tax gross-up may be uninsured; (c) confirm whether the carrier will fund any portion and whether a hammer clause applies. The settlement’s wage/non-wage split should be aligned with coverage.</w:t>
      </w:r>
    </w:p>
    <w:bookmarkEnd w:id="31"/>
    <w:bookmarkStart w:id="32" w:name="j.-tax-considerations"/>
    <w:p>
      <w:pPr>
        <w:pStyle w:val="Heading3"/>
      </w:pPr>
      <w:r>
        <w:t xml:space="preserve">J. Tax Considerations</w:t>
      </w:r>
    </w:p>
    <w:p>
      <w:pPr>
        <w:numPr>
          <w:ilvl w:val="0"/>
          <w:numId w:val="1013"/>
        </w:numPr>
      </w:pPr>
      <w:r>
        <w:rPr>
          <w:b/>
          <w:bCs/>
        </w:rPr>
        <w:t xml:space="preserve">Wage/non-wage allocation risk.</w:t>
      </w:r>
      <w:r>
        <w:t xml:space="preserve"> </w:t>
      </w:r>
      <w:r>
        <w:t xml:space="preserve">The Draft splits $275,000 as non-wage 1099-MISC (emotional distress) and $125,000 as W-2 wages. The IRS may recharacterize portions (e.g., the excess of the</w:t>
      </w:r>
      <w:r>
        <w:t xml:space="preserve"> </w:t>
      </w:r>
      <w:r>
        <w:t xml:space="preserve">“</w:t>
      </w:r>
      <w:r>
        <w:t xml:space="preserve">back pay</w:t>
      </w:r>
      <w:r>
        <w:t xml:space="preserve">”</w:t>
      </w:r>
      <w:r>
        <w:t xml:space="preserve"> </w:t>
      </w:r>
      <w:r>
        <w:t xml:space="preserve">over actual lost wages, or emotional-distress amounts attributable to wages). Greenleaf bears</w:t>
      </w:r>
      <w:r>
        <w:t xml:space="preserve"> </w:t>
      </w:r>
      <w:r>
        <w:rPr>
          <w:b/>
          <w:bCs/>
        </w:rPr>
        <w:t xml:space="preserve">employer FICA (~7.65%) on the $125,000 wage portion (~$9,563)</w:t>
      </w:r>
      <w:r>
        <w:t xml:space="preserve"> </w:t>
      </w:r>
      <w:r>
        <w:t xml:space="preserve">plus FUTA/SUTA, and risks exposure if the IRS recharacterizes the 1099-MISC amount as wages. Tax counsel should review the allocation and the Section 8 disclaimers.</w:t>
      </w:r>
    </w:p>
    <w:p>
      <w:pPr>
        <w:numPr>
          <w:ilvl w:val="0"/>
          <w:numId w:val="1013"/>
        </w:numPr>
      </w:pPr>
      <w:r>
        <w:rPr>
          <w:b/>
          <w:bCs/>
        </w:rPr>
        <w:t xml:space="preserve">RSU tax.</w:t>
      </w:r>
      <w:r>
        <w:t xml:space="preserve"> </w:t>
      </w:r>
      <w:r>
        <w:t xml:space="preserve">Mr. Delano’s taxable income on the accelerated RSUs will be the</w:t>
      </w:r>
      <w:r>
        <w:t xml:space="preserve"> </w:t>
      </w:r>
      <w:r>
        <w:rPr>
          <w:b/>
          <w:bCs/>
        </w:rPr>
        <w:t xml:space="preserve">fair market value at vesting/delivery</w:t>
      </w:r>
      <w:r>
        <w:t xml:space="preserve">, not the $10.00 (or even $12.50) stated value. Withholding will be governed by the Plan (typically sell-to-cover). Confirm the Plan’s withholding mechanism and that payroll/Stock Admin are prepared.</w:t>
      </w:r>
    </w:p>
    <w:p>
      <w:pPr>
        <w:numPr>
          <w:ilvl w:val="0"/>
          <w:numId w:val="1013"/>
        </w:numPr>
      </w:pPr>
      <w:r>
        <w:rPr>
          <w:b/>
          <w:bCs/>
        </w:rPr>
        <w:t xml:space="preserve">Attorney-fee payment.</w:t>
      </w:r>
      <w:r>
        <w:t xml:space="preserve"> </w:t>
      </w:r>
      <w:r>
        <w:t xml:space="preserve">The $75,000 is paid directly to Engel &amp; Associates, P.C. (the firm that drafted the Draft), reported on 1099-NEC. Confirm the fee arrangement is between Mr. Delano and the firm and that direct payment is properly documented.</w:t>
      </w:r>
    </w:p>
    <w:bookmarkEnd w:id="32"/>
    <w:bookmarkStart w:id="33" w:name="X021158d9d8983850b1acaf462dcf8ecc6a7f4b2"/>
    <w:p>
      <w:pPr>
        <w:pStyle w:val="Heading3"/>
      </w:pPr>
      <w:r>
        <w:t xml:space="preserve">K. Items Requiring Verification or Further Investigation</w:t>
      </w:r>
    </w:p>
    <w:p>
      <w:pPr>
        <w:pStyle w:val="Compact"/>
        <w:numPr>
          <w:ilvl w:val="0"/>
          <w:numId w:val="1014"/>
        </w:numPr>
      </w:pPr>
      <w:r>
        <w:rPr>
          <w:b/>
          <w:bCs/>
        </w:rPr>
        <w:t xml:space="preserve">Group-program determination</w:t>
      </w:r>
      <w:r>
        <w:t xml:space="preserve"> </w:t>
      </w:r>
      <w:r>
        <w:t xml:space="preserve">(item 10) — were other employees terminated in the same restructuring?</w:t>
      </w:r>
    </w:p>
    <w:p>
      <w:pPr>
        <w:pStyle w:val="Compact"/>
        <w:numPr>
          <w:ilvl w:val="0"/>
          <w:numId w:val="1014"/>
        </w:numPr>
      </w:pPr>
      <w:r>
        <w:rPr>
          <w:b/>
          <w:bCs/>
        </w:rPr>
        <w:t xml:space="preserve">Compensation Committee approval</w:t>
      </w:r>
      <w:r>
        <w:t xml:space="preserve"> </w:t>
      </w:r>
      <w:r>
        <w:t xml:space="preserve">of the RSU acceleration (item 6).</w:t>
      </w:r>
    </w:p>
    <w:p>
      <w:pPr>
        <w:pStyle w:val="Compact"/>
        <w:numPr>
          <w:ilvl w:val="0"/>
          <w:numId w:val="1014"/>
        </w:numPr>
      </w:pPr>
      <w:r>
        <w:rPr>
          <w:b/>
          <w:bCs/>
        </w:rPr>
        <w:t xml:space="preserve">PTO payout</w:t>
      </w:r>
      <w:r>
        <w:t xml:space="preserve"> </w:t>
      </w:r>
      <w:r>
        <w:t xml:space="preserve">— confirm accrued PTO was actually paid; the Section 2 representation should be verified against payroll.</w:t>
      </w:r>
    </w:p>
    <w:p>
      <w:pPr>
        <w:pStyle w:val="Compact"/>
        <w:numPr>
          <w:ilvl w:val="0"/>
          <w:numId w:val="1014"/>
        </w:numPr>
      </w:pPr>
      <w:r>
        <w:rPr>
          <w:b/>
          <w:bCs/>
        </w:rPr>
        <w:t xml:space="preserve">401(k) employer-match vesting</w:t>
      </w:r>
      <w:r>
        <w:t xml:space="preserve"> </w:t>
      </w:r>
      <w:r>
        <w:t xml:space="preserve">at termination — confirm vesting status; preserved in the redline.</w:t>
      </w:r>
    </w:p>
    <w:p>
      <w:pPr>
        <w:pStyle w:val="Compact"/>
        <w:numPr>
          <w:ilvl w:val="0"/>
          <w:numId w:val="1014"/>
        </w:numPr>
      </w:pPr>
      <w:r>
        <w:rPr>
          <w:b/>
          <w:bCs/>
        </w:rPr>
        <w:t xml:space="preserve">Replacement hire’s age</w:t>
      </w:r>
      <w:r>
        <w:t xml:space="preserve"> </w:t>
      </w:r>
      <w:r>
        <w:t xml:space="preserve">and the selection pool (item 40).</w:t>
      </w:r>
    </w:p>
    <w:p>
      <w:pPr>
        <w:pStyle w:val="Compact"/>
        <w:numPr>
          <w:ilvl w:val="0"/>
          <w:numId w:val="1014"/>
        </w:numPr>
      </w:pPr>
      <w:r>
        <w:rPr>
          <w:b/>
          <w:bCs/>
        </w:rPr>
        <w:t xml:space="preserve">COBRA</w:t>
      </w:r>
      <w:r>
        <w:t xml:space="preserve"> </w:t>
      </w:r>
      <w:r>
        <w:t xml:space="preserve">— the Draft provides information only, no premium subsidy. Confirm whether a subsidy is intended.</w:t>
      </w:r>
    </w:p>
    <w:p>
      <w:pPr>
        <w:pStyle w:val="Compact"/>
        <w:numPr>
          <w:ilvl w:val="0"/>
          <w:numId w:val="1014"/>
        </w:numPr>
      </w:pPr>
      <w:r>
        <w:rPr>
          <w:b/>
          <w:bCs/>
        </w:rPr>
        <w:t xml:space="preserve">“</w:t>
      </w:r>
      <w:r>
        <w:rPr>
          <w:b/>
          <w:bCs/>
        </w:rPr>
        <w:t xml:space="preserve">Future</w:t>
      </w:r>
      <w:r>
        <w:rPr>
          <w:b/>
          <w:bCs/>
        </w:rPr>
        <w:t xml:space="preserve">”</w:t>
      </w:r>
      <w:r>
        <w:rPr>
          <w:b/>
          <w:bCs/>
        </w:rPr>
        <w:t xml:space="preserve"> </w:t>
      </w:r>
      <w:r>
        <w:rPr>
          <w:b/>
          <w:bCs/>
        </w:rPr>
        <w:t xml:space="preserve">releasees</w:t>
      </w:r>
      <w:r>
        <w:t xml:space="preserve"> </w:t>
      </w:r>
      <w:r>
        <w:t xml:space="preserve">(Section 1(d)) — the Draft released</w:t>
      </w:r>
      <w:r>
        <w:t xml:space="preserve"> </w:t>
      </w:r>
      <w:r>
        <w:t xml:space="preserve">“</w:t>
      </w:r>
      <w:r>
        <w:t xml:space="preserve">past, present,</w:t>
      </w:r>
      <w:r>
        <w:t xml:space="preserve"> </w:t>
      </w:r>
      <w:r>
        <w:rPr>
          <w:b/>
          <w:bCs/>
        </w:rPr>
        <w:t xml:space="preserve">and future</w:t>
      </w:r>
      <w:r>
        <w:t xml:space="preserve">”</w:t>
      </w:r>
      <w:r>
        <w:t xml:space="preserve"> </w:t>
      </w:r>
      <w:r>
        <w:t xml:space="preserve">officers/directors/employees. Releasing individuals not yet engaged is overbroad.</w:t>
      </w:r>
      <w:r>
        <w:t xml:space="preserve"> </w:t>
      </w:r>
      <w:r>
        <w:rPr>
          <w:i/>
          <w:iCs/>
        </w:rPr>
        <w:t xml:space="preserve">Corrected in the redline (narrowed to</w:t>
      </w:r>
      <w:r>
        <w:rPr>
          <w:i/>
          <w:iCs/>
        </w:rPr>
        <w:t xml:space="preserve"> </w:t>
      </w:r>
      <w:r>
        <w:rPr>
          <w:i/>
          <w:iCs/>
        </w:rPr>
        <w:t xml:space="preserve">“</w:t>
      </w:r>
      <w:r>
        <w:rPr>
          <w:i/>
          <w:iCs/>
        </w:rPr>
        <w:t xml:space="preserve">past and present</w:t>
      </w:r>
      <w:r>
        <w:rPr>
          <w:i/>
          <w:iCs/>
        </w:rPr>
        <w:t xml:space="preserve">”</w:t>
      </w:r>
      <w:r>
        <w:rPr>
          <w:i/>
          <w:iCs/>
        </w:rPr>
        <w:t xml:space="preserve">;</w:t>
      </w:r>
      <w:r>
        <w:rPr>
          <w:i/>
          <w:iCs/>
        </w:rPr>
        <w:t xml:space="preserve"> </w:t>
      </w:r>
      <w:r>
        <w:rPr>
          <w:i/>
          <w:iCs/>
        </w:rPr>
        <w:t xml:space="preserve">“</w:t>
      </w:r>
      <w:r>
        <w:rPr>
          <w:i/>
          <w:iCs/>
        </w:rPr>
        <w:t xml:space="preserve">successors</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assigns</w:t>
      </w:r>
      <w:r>
        <w:rPr>
          <w:i/>
          <w:iCs/>
        </w:rPr>
        <w:t xml:space="preserve">”</w:t>
      </w:r>
      <w:r>
        <w:rPr>
          <w:i/>
          <w:iCs/>
        </w:rPr>
        <w:t xml:space="preserve"> </w:t>
      </w:r>
      <w:r>
        <w:rPr>
          <w:i/>
          <w:iCs/>
        </w:rPr>
        <w:t xml:space="preserve">retained).</w:t>
      </w:r>
    </w:p>
    <w:p>
      <w:pPr>
        <w:pStyle w:val="Compact"/>
        <w:numPr>
          <w:ilvl w:val="0"/>
          <w:numId w:val="1014"/>
        </w:numPr>
      </w:pPr>
      <w:r>
        <w:rPr>
          <w:b/>
          <w:bCs/>
        </w:rPr>
        <w:t xml:space="preserve">Optional enhancements not in the redline:</w:t>
      </w:r>
      <w:r>
        <w:t xml:space="preserve"> </w:t>
      </w:r>
      <w:r>
        <w:t xml:space="preserve">a liquidated-damages/clawback for breach of restrictive covenants; an arbitration/ADR clause; a social-media provision. Consider whether to add.</w:t>
      </w:r>
    </w:p>
    <w:bookmarkEnd w:id="33"/>
    <w:bookmarkStart w:id="34" w:name="X7dacbd5bd7328967ade524f16cbe61a93673956"/>
    <w:p>
      <w:pPr>
        <w:pStyle w:val="Heading3"/>
      </w:pPr>
      <w:r>
        <w:t xml:space="preserve">L. Provisions Reviewed and Found Acceptable (No Revision Required)</w:t>
      </w:r>
    </w:p>
    <w:p>
      <w:pPr>
        <w:pStyle w:val="FirstParagraph"/>
      </w:pPr>
      <w:r>
        <w:t xml:space="preserve">The following provisions were reviewed against the record and company policies and are acceptable as drafted (or require only the cross-references noted); they are listed here for completeness so that every section of the Draft has been considered:</w:t>
      </w:r>
    </w:p>
    <w:p>
      <w:pPr>
        <w:numPr>
          <w:ilvl w:val="0"/>
          <w:numId w:val="1015"/>
        </w:numPr>
      </w:pPr>
      <w:r>
        <w:rPr>
          <w:b/>
          <w:bCs/>
        </w:rPr>
        <w:t xml:space="preserve">Section 12 (Mutual Release by Greenleaf).</w:t>
      </w:r>
      <w:r>
        <w:t xml:space="preserve"> </w:t>
      </w:r>
      <w:r>
        <w:t xml:space="preserve">Greenleaf’s release of claims against Delano, with carve-outs for post-Effective-Date fraud/embezzlement/criminal conduct, breach of this Agreement, and surviving obligations, is appropriately balanced and favorable to Greenleaf. No revision required. (Confirm the surviving-obligations carve-out (iii) is consistent with the Section 18 preservation added in the redline.)</w:t>
      </w:r>
    </w:p>
    <w:p>
      <w:pPr>
        <w:numPr>
          <w:ilvl w:val="0"/>
          <w:numId w:val="1015"/>
        </w:numPr>
      </w:pPr>
      <w:r>
        <w:rPr>
          <w:b/>
          <w:bCs/>
        </w:rPr>
        <w:t xml:space="preserve">Section 13 (No Admission of Liability).</w:t>
      </w:r>
      <w:r>
        <w:t xml:space="preserve"> </w:t>
      </w:r>
      <w:r>
        <w:t xml:space="preserve">Standard and mutual; particularly valuable to Greenleaf given the pretext evidence (item 38). No revision required.</w:t>
      </w:r>
    </w:p>
    <w:p>
      <w:pPr>
        <w:numPr>
          <w:ilvl w:val="0"/>
          <w:numId w:val="1015"/>
        </w:numPr>
      </w:pPr>
      <w:r>
        <w:rPr>
          <w:b/>
          <w:bCs/>
        </w:rPr>
        <w:t xml:space="preserve">Section 15(a)(i) (no-assignment representation), 15(a)(iii) (capacity), and 15(b) (Greenleaf authority).</w:t>
      </w:r>
      <w:r>
        <w:t xml:space="preserve"> </w:t>
      </w:r>
      <w:r>
        <w:t xml:space="preserve">Acceptable. Section 15(a)(ii) is revised per item 12.</w:t>
      </w:r>
    </w:p>
    <w:p>
      <w:pPr>
        <w:numPr>
          <w:ilvl w:val="0"/>
          <w:numId w:val="1015"/>
        </w:numPr>
      </w:pPr>
      <w:r>
        <w:rPr>
          <w:b/>
          <w:bCs/>
        </w:rPr>
        <w:t xml:space="preserve">Section 16, second paragraph (counterparts and e-signatures).</w:t>
      </w:r>
      <w:r>
        <w:t xml:space="preserve"> </w:t>
      </w:r>
      <w:r>
        <w:t xml:space="preserve">Acceptable; the first paragraph is revised per item 7.</w:t>
      </w:r>
    </w:p>
    <w:p>
      <w:pPr>
        <w:numPr>
          <w:ilvl w:val="0"/>
          <w:numId w:val="1015"/>
        </w:numPr>
      </w:pPr>
      <w:r>
        <w:rPr>
          <w:b/>
          <w:bCs/>
        </w:rPr>
        <w:t xml:space="preserve">Section 17 (Severability).</w:t>
      </w:r>
      <w:r>
        <w:t xml:space="preserve"> </w:t>
      </w:r>
      <w:r>
        <w:t xml:space="preserve">Acceptable and complements the savings clauses added to Sections 9 and 10 and the ORS 659A.365 modifications in Sections 6 and 7. No revision required.</w:t>
      </w:r>
    </w:p>
    <w:p>
      <w:pPr>
        <w:numPr>
          <w:ilvl w:val="0"/>
          <w:numId w:val="1015"/>
        </w:numPr>
      </w:pPr>
      <w:r>
        <w:rPr>
          <w:b/>
          <w:bCs/>
        </w:rPr>
        <w:t xml:space="preserve">Signature block.</w:t>
      </w:r>
      <w:r>
        <w:t xml:space="preserve"> </w:t>
      </w:r>
      <w:r>
        <w:t xml:space="preserve">Acceptable; Delano’s separate Date line supports the 21-day consideration and 7-day revocation clocks. Consider adding a signature block for Greenleaf’s counsel and an explicit</w:t>
      </w:r>
      <w:r>
        <w:t xml:space="preserve"> </w:t>
      </w:r>
      <w:r>
        <w:t xml:space="preserve">“</w:t>
      </w:r>
      <w:r>
        <w:t xml:space="preserve">Date of Execution</w:t>
      </w:r>
      <w:r>
        <w:t xml:space="preserve">”</w:t>
      </w:r>
      <w:r>
        <w:t xml:space="preserve"> </w:t>
      </w:r>
      <w:r>
        <w:t xml:space="preserve">line for Delano to anchor the Section 16A revocation period (optional).</w:t>
      </w:r>
    </w:p>
    <w:bookmarkEnd w:id="34"/>
    <w:bookmarkEnd w:id="35"/>
    <w:bookmarkStart w:id="36" w:name="v.-recommendations-and-next-steps"/>
    <w:p>
      <w:pPr>
        <w:pStyle w:val="Heading2"/>
      </w:pPr>
      <w:r>
        <w:t xml:space="preserve">V. Recommendations and Next Steps</w:t>
      </w:r>
    </w:p>
    <w:p>
      <w:pPr>
        <w:pStyle w:val="Compact"/>
        <w:numPr>
          <w:ilvl w:val="0"/>
          <w:numId w:val="1016"/>
        </w:numPr>
      </w:pPr>
      <w:r>
        <w:rPr>
          <w:b/>
          <w:bCs/>
        </w:rPr>
        <w:t xml:space="preserve">Approve the redline</w:t>
      </w:r>
      <w:r>
        <w:t xml:space="preserve"> </w:t>
      </w:r>
      <w:r>
        <w:t xml:space="preserve">as the basis for a counter-proposal to Engel &amp; Associates. The OWBPA fixes (21-day period, 7-day revocation, corrected Effective Date,</w:t>
      </w:r>
      <w:r>
        <w:t xml:space="preserve"> </w:t>
      </w:r>
      <w:r>
        <w:t xml:space="preserve">“</w:t>
      </w:r>
      <w:r>
        <w:t xml:space="preserve">advised to consult an attorney</w:t>
      </w:r>
      <w:r>
        <w:t xml:space="preserve">”</w:t>
      </w:r>
      <w:r>
        <w:t xml:space="preserve"> </w:t>
      </w:r>
      <w:r>
        <w:t xml:space="preserve">acknowledgment, and post-execution-claims limit) and the ORS 659A.365 carve-outs are essential and should be non-negotiable from a defensibility standpoint.</w:t>
      </w:r>
    </w:p>
    <w:p>
      <w:pPr>
        <w:pStyle w:val="Compact"/>
        <w:numPr>
          <w:ilvl w:val="0"/>
          <w:numId w:val="1016"/>
        </w:numPr>
      </w:pPr>
      <w:r>
        <w:rPr>
          <w:b/>
          <w:bCs/>
        </w:rPr>
        <w:t xml:space="preserve">Correct the RSU valuation and total</w:t>
      </w:r>
      <w:r>
        <w:t xml:space="preserve"> </w:t>
      </w:r>
      <w:r>
        <w:t xml:space="preserve">to $62,500 / $537,500 before circulation; confirm Compensation Committee approval.</w:t>
      </w:r>
    </w:p>
    <w:p>
      <w:pPr>
        <w:pStyle w:val="Compact"/>
        <w:numPr>
          <w:ilvl w:val="0"/>
          <w:numId w:val="1016"/>
        </w:numPr>
      </w:pPr>
      <w:r>
        <w:rPr>
          <w:b/>
          <w:bCs/>
        </w:rPr>
        <w:t xml:space="preserve">Make the group-program determination</w:t>
      </w:r>
      <w:r>
        <w:t xml:space="preserve"> </w:t>
      </w:r>
      <w:r>
        <w:t xml:space="preserve">(item 10) immediately — it drives the consideration period (21 vs. 45 days) and whether an OWBPA disclosure schedule is required.</w:t>
      </w:r>
    </w:p>
    <w:p>
      <w:pPr>
        <w:pStyle w:val="Compact"/>
        <w:numPr>
          <w:ilvl w:val="0"/>
          <w:numId w:val="1016"/>
        </w:numPr>
      </w:pPr>
      <w:r>
        <w:rPr>
          <w:b/>
          <w:bCs/>
        </w:rPr>
        <w:t xml:space="preserve">Coordinate with Timberline</w:t>
      </w:r>
      <w:r>
        <w:t xml:space="preserve"> </w:t>
      </w:r>
      <w:r>
        <w:t xml:space="preserve">on consent and allocation (item 42) before agreeing to final payment structure.</w:t>
      </w:r>
    </w:p>
    <w:p>
      <w:pPr>
        <w:pStyle w:val="Compact"/>
        <w:numPr>
          <w:ilvl w:val="0"/>
          <w:numId w:val="1016"/>
        </w:numPr>
      </w:pPr>
      <w:r>
        <w:rPr>
          <w:b/>
          <w:bCs/>
        </w:rPr>
        <w:t xml:space="preserve">Engage tax counsel</w:t>
      </w:r>
      <w:r>
        <w:t xml:space="preserve"> </w:t>
      </w:r>
      <w:r>
        <w:t xml:space="preserve">on the wage/non-wage split (item 43).</w:t>
      </w:r>
    </w:p>
    <w:p>
      <w:pPr>
        <w:pStyle w:val="Compact"/>
        <w:numPr>
          <w:ilvl w:val="0"/>
          <w:numId w:val="1016"/>
        </w:numPr>
      </w:pPr>
      <w:r>
        <w:rPr>
          <w:b/>
          <w:bCs/>
        </w:rPr>
        <w:t xml:space="preserve">Reconsider the non-compete.</w:t>
      </w:r>
      <w:r>
        <w:t xml:space="preserve"> </w:t>
      </w:r>
      <w:r>
        <w:t xml:space="preserve">Given the California voidness and the Oregon timing problem, the non-compete likely provides little protection and carries AB 1076 risk; the non-solicit and the new confidentiality/trade-secrets clause (Section 21) may be the more durable protections.</w:t>
      </w:r>
    </w:p>
    <w:p>
      <w:pPr>
        <w:pStyle w:val="Compact"/>
        <w:numPr>
          <w:ilvl w:val="0"/>
          <w:numId w:val="1016"/>
        </w:numPr>
      </w:pPr>
      <w:r>
        <w:rPr>
          <w:b/>
          <w:bCs/>
        </w:rPr>
        <w:t xml:space="preserve">Coordinate the OSHA investigation</w:t>
      </w:r>
      <w:r>
        <w:t xml:space="preserve"> </w:t>
      </w:r>
      <w:r>
        <w:t xml:space="preserve">with the settlement; ensure nothing in the agreement is construed to obstruct it.</w:t>
      </w:r>
    </w:p>
    <w:p>
      <w:pPr>
        <w:pStyle w:val="Compact"/>
        <w:numPr>
          <w:ilvl w:val="0"/>
          <w:numId w:val="1016"/>
        </w:numPr>
      </w:pPr>
      <w:r>
        <w:rPr>
          <w:b/>
          <w:bCs/>
        </w:rPr>
        <w:t xml:space="preserve">Verify the open factual items</w:t>
      </w:r>
      <w:r>
        <w:t xml:space="preserve"> </w:t>
      </w:r>
      <w:r>
        <w:t xml:space="preserve">in Section IV.K (PTO, 401(k) vesting, replacement age, COBRA intent).</w:t>
      </w:r>
    </w:p>
    <w:p>
      <w:pPr>
        <w:pStyle w:val="Compact"/>
        <w:numPr>
          <w:ilvl w:val="0"/>
          <w:numId w:val="1016"/>
        </w:numPr>
      </w:pPr>
      <w:r>
        <w:rPr>
          <w:b/>
          <w:bCs/>
        </w:rPr>
        <w:t xml:space="preserve">Decide on non-contest of unemployment insurance</w:t>
      </w:r>
      <w:r>
        <w:t xml:space="preserve"> </w:t>
      </w:r>
      <w:r>
        <w:t xml:space="preserve">(Section IV.C) — whether to offer an affirmative non-contest covenant as a negotiation point, consistent with the neutral-reference and rehire-eligibility concessions.</w:t>
      </w:r>
    </w:p>
    <w:p>
      <w:pPr>
        <w:pStyle w:val="FirstParagraph"/>
      </w:pPr>
      <w:r>
        <w:t xml:space="preserve">We are available to discuss any of the above and to refine the redline after the group-program and insurance determinations are made.</w:t>
      </w:r>
    </w:p>
    <w:p>
      <w:pPr>
        <w:pStyle w:val="BodyText"/>
      </w:pPr>
      <w:r>
        <w:rPr>
          <w:i/>
          <w:iCs/>
        </w:rPr>
        <w:t xml:space="preserve">This memorandum is privileged and confidential, prepared in anticipation of litigation and for the purpose of providing legal advice. It should not be shared with Mr. Delano, his counsel, or any third party.</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4">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2026-06-27T01:17:09Z</dcterms:created>
  <dcterms:modified xsi:type="dcterms:W3CDTF">2026-06-27T01:17:09Z</dcterms:modified>
</cp:coreProperties>
</file>

<file path=docProps/custom.xml><?xml version="1.0" encoding="utf-8"?>
<Properties xmlns="http://schemas.openxmlformats.org/officeDocument/2006/custom-properties" xmlns:vt="http://schemas.openxmlformats.org/officeDocument/2006/docPropsVTypes"/>
</file>