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X71c490f654c4105499f584bfdddd5889499e1c5"/>
    <w:p>
      <w:pPr>
        <w:pStyle w:val="Heading1"/>
      </w:pPr>
      <w:r>
        <w:t xml:space="preserve">ENVIRONMENTAL DUE DILIGENCE ISSUES MEMORANDUM</w:t>
      </w:r>
    </w:p>
    <w:p>
      <w:pPr>
        <w:pStyle w:val="FirstParagraph"/>
      </w:pPr>
      <w:r>
        <w:rPr>
          <w:b/>
          <w:bCs/>
        </w:rPr>
        <w:t xml:space="preserve">PRIVILEGED &amp; CONFIDENTIAL — ATTORNEY-CLIENT COMMUNICATION / ATTORNEY WORK PRODUCT</w:t>
      </w:r>
    </w:p>
    <w:p>
      <w:pPr>
        <w:pStyle w:val="BodyText"/>
      </w:pPr>
      <w:r>
        <w:rPr>
          <w:b/>
          <w:bCs/>
        </w:rPr>
        <w:t xml:space="preserve">TO:</w:t>
      </w:r>
      <w:r>
        <w:t xml:space="preserve"> </w:t>
      </w:r>
      <w:r>
        <w:t xml:space="preserve">Acquisition Deal Team, Cornerstone Industrial Partners LLC; Environmental Counsel, Whitfield &amp; Crane LLP</w:t>
      </w:r>
      <w:r>
        <w:t xml:space="preserve"> </w:t>
      </w:r>
      <w:r>
        <w:rPr>
          <w:b/>
          <w:bCs/>
        </w:rPr>
        <w:t xml:space="preserve">FROM:</w:t>
      </w:r>
      <w:r>
        <w:t xml:space="preserve"> </w:t>
      </w:r>
      <w:r>
        <w:t xml:space="preserve">Environmental Due Diligence Review</w:t>
      </w:r>
      <w:r>
        <w:t xml:space="preserve"> </w:t>
      </w:r>
      <w:r>
        <w:rPr>
          <w:b/>
          <w:bCs/>
        </w:rPr>
        <w:t xml:space="preserve">DATE:</w:t>
      </w:r>
      <w:r>
        <w:t xml:space="preserve"> </w:t>
      </w:r>
      <w:r>
        <w:t xml:space="preserve">October 28, 2024</w:t>
      </w:r>
      <w:r>
        <w:t xml:space="preserve"> </w:t>
      </w:r>
      <w:r>
        <w:rPr>
          <w:b/>
          <w:bCs/>
        </w:rPr>
        <w:t xml:space="preserve">RE:</w:t>
      </w:r>
      <w:r>
        <w:t xml:space="preserve"> </w:t>
      </w:r>
      <w:r>
        <w:t xml:space="preserve">Environmental Issues and Severity Ratings — Proposed Acquisition of 4820 Lakeshore Industrial Drive, Toledo, Lucas County, Ohio 43611 (Breckenridge Manufacturing Co.)</w:t>
      </w:r>
    </w:p>
    <w:p>
      <w:r>
        <w:pict>
          <v:rect style="width:0;height:1.5pt" o:hralign="center" o:hrstd="t" o:hr="t"/>
        </w:pict>
      </w:r>
    </w:p>
    <w:bookmarkStart w:id="20" w:name="purpose-and-scope"/>
    <w:p>
      <w:pPr>
        <w:pStyle w:val="Heading2"/>
      </w:pPr>
      <w:r>
        <w:t xml:space="preserve">1. Purpose and Scope</w:t>
      </w:r>
    </w:p>
    <w:p>
      <w:pPr>
        <w:pStyle w:val="FirstParagraph"/>
      </w:pPr>
      <w:r>
        <w:t xml:space="preserve">This memorandum summarizes the environmental issues identified during our review of the Phase I Environmental Site Assessment (ESA) and supporting environmental documents prepared in connection with Cornerstone Industrial Partners LLC’s (</w:t>
      </w:r>
      <w:r>
        <w:t xml:space="preserve">“</w:t>
      </w:r>
      <w:r>
        <w:t xml:space="preserve">Buyer</w:t>
      </w:r>
      <w:r>
        <w:t xml:space="preserve">”</w:t>
      </w:r>
      <w:r>
        <w:t xml:space="preserve">) proposed acquisition of the property located at 4820 Lakeshore Industrial Drive, Toledo, Lucas County, Ohio 43611 (the</w:t>
      </w:r>
      <w:r>
        <w:t xml:space="preserve"> </w:t>
      </w:r>
      <w:r>
        <w:t xml:space="preserve">“</w:t>
      </w:r>
      <w:r>
        <w:t xml:space="preserve">Property</w:t>
      </w:r>
      <w:r>
        <w:t xml:space="preserve">”</w:t>
      </w:r>
      <w:r>
        <w:t xml:space="preserve">) from Breckenridge Manufacturing Co. (</w:t>
      </w:r>
      <w:r>
        <w:t xml:space="preserve">“</w:t>
      </w:r>
      <w:r>
        <w:t xml:space="preserve">Seller</w:t>
      </w:r>
      <w:r>
        <w:t xml:space="preserve">”</w:t>
      </w:r>
      <w:r>
        <w:t xml:space="preserve">). Each issue is assigned a severity rating to assist the deal team and counsel in evaluating transaction risk, negotiating remedies, and satisfying lender conditions. This memorandum is preliminary, is based on the documents listed in Section 2, and is intended to support — not replace — the advice of qualified environmental counsel and a Phase II investigation.</w:t>
      </w:r>
    </w:p>
    <w:bookmarkEnd w:id="20"/>
    <w:bookmarkStart w:id="21" w:name="documents-reviewed"/>
    <w:p>
      <w:pPr>
        <w:pStyle w:val="Heading2"/>
      </w:pPr>
      <w:r>
        <w:t xml:space="preserve">2. Documents Reviewed</w:t>
      </w:r>
    </w:p>
    <w:tbl>
      <w:tblPr>
        <w:tblStyle w:val="Table"/>
        <w:tblW w:type="pct" w:w="5000"/>
        <w:jc w:val="left"/>
        <w:tblLayout w:type="fixed"/>
        <w:tblLook w:firstRow="1" w:lastRow="0" w:firstColumn="0" w:lastColumn="0" w:noHBand="0" w:noVBand="0" w:val="0020"/>
      </w:tblPr>
      <w:tblGrid>
        <w:gridCol w:w="516"/>
        <w:gridCol w:w="1721"/>
        <w:gridCol w:w="3443"/>
        <w:gridCol w:w="2238"/>
      </w:tblGrid>
      <w:tr>
        <w:trPr>
          <w:tblHeader w:val="on"/>
        </w:trPr>
        <w:tc>
          <w:tcPr/>
          <w:p>
            <w:pPr>
              <w:pStyle w:val="Compact"/>
              <w:jc w:val="left"/>
            </w:pPr>
            <w:r>
              <w:t xml:space="preserve">#</w:t>
            </w:r>
          </w:p>
        </w:tc>
        <w:tc>
          <w:tcPr/>
          <w:p>
            <w:pPr>
              <w:pStyle w:val="Compact"/>
              <w:jc w:val="left"/>
            </w:pPr>
            <w:r>
              <w:t xml:space="preserve">Document</w:t>
            </w:r>
          </w:p>
        </w:tc>
        <w:tc>
          <w:tcPr/>
          <w:p>
            <w:pPr>
              <w:pStyle w:val="Compact"/>
              <w:jc w:val="left"/>
            </w:pPr>
            <w:r>
              <w:t xml:space="preserve">Prepared By / Date</w:t>
            </w:r>
          </w:p>
        </w:tc>
        <w:tc>
          <w:tcPr/>
          <w:p>
            <w:pPr>
              <w:pStyle w:val="Compact"/>
              <w:jc w:val="left"/>
            </w:pPr>
            <w:r>
              <w:t xml:space="preserve">Pertains To</w:t>
            </w:r>
          </w:p>
        </w:tc>
      </w:tr>
      <w:tr>
        <w:tc>
          <w:tcPr/>
          <w:p>
            <w:pPr>
              <w:pStyle w:val="Compact"/>
              <w:jc w:val="left"/>
            </w:pPr>
            <w:r>
              <w:t xml:space="preserve">1</w:t>
            </w:r>
          </w:p>
        </w:tc>
        <w:tc>
          <w:tcPr/>
          <w:p>
            <w:pPr>
              <w:pStyle w:val="Compact"/>
              <w:jc w:val="left"/>
            </w:pPr>
            <w:r>
              <w:t xml:space="preserve">Phase I ESA (Greenfield Project No. GEC-2024-0347)</w:t>
            </w:r>
          </w:p>
        </w:tc>
        <w:tc>
          <w:tcPr/>
          <w:p>
            <w:pPr>
              <w:pStyle w:val="Compact"/>
              <w:jc w:val="left"/>
            </w:pPr>
            <w:r>
              <w:t xml:space="preserve">Greenfield Environmental Consultants Inc.; October 25, 2024 (site reconnaissance October 2, 2024); ASTM E1527-21</w:t>
            </w:r>
          </w:p>
        </w:tc>
        <w:tc>
          <w:tcPr/>
          <w:p>
            <w:pPr>
              <w:pStyle w:val="Compact"/>
              <w:jc w:val="left"/>
            </w:pPr>
            <w:r>
              <w:rPr>
                <w:b/>
                <w:bCs/>
              </w:rPr>
              <w:t xml:space="preserve">Property (Toledo)</w:t>
            </w:r>
          </w:p>
        </w:tc>
      </w:tr>
      <w:tr>
        <w:tc>
          <w:tcPr/>
          <w:p>
            <w:pPr>
              <w:pStyle w:val="Compact"/>
              <w:jc w:val="left"/>
            </w:pPr>
            <w:r>
              <w:t xml:space="preserve">2</w:t>
            </w:r>
          </w:p>
        </w:tc>
        <w:tc>
          <w:tcPr/>
          <w:p>
            <w:pPr>
              <w:pStyle w:val="Compact"/>
              <w:jc w:val="left"/>
            </w:pPr>
            <w:r>
              <w:t xml:space="preserve">EDR Database Summary (Inquiry No. 6742891)</w:t>
            </w:r>
          </w:p>
        </w:tc>
        <w:tc>
          <w:tcPr/>
          <w:p>
            <w:pPr>
              <w:pStyle w:val="Compact"/>
              <w:jc w:val="left"/>
            </w:pPr>
            <w:r>
              <w:t xml:space="preserve">Environmental Data Resources, Inc.; September 15, 2024</w:t>
            </w:r>
          </w:p>
        </w:tc>
        <w:tc>
          <w:tcPr/>
          <w:p>
            <w:pPr>
              <w:pStyle w:val="Compact"/>
              <w:jc w:val="left"/>
            </w:pPr>
            <w:r>
              <w:rPr>
                <w:b/>
                <w:bCs/>
              </w:rPr>
              <w:t xml:space="preserve">Property (Toledo)</w:t>
            </w:r>
          </w:p>
        </w:tc>
      </w:tr>
      <w:tr>
        <w:tc>
          <w:tcPr/>
          <w:p>
            <w:pPr>
              <w:pStyle w:val="Compact"/>
              <w:jc w:val="left"/>
            </w:pPr>
            <w:r>
              <w:t xml:space="preserve">3</w:t>
            </w:r>
          </w:p>
        </w:tc>
        <w:tc>
          <w:tcPr/>
          <w:p>
            <w:pPr>
              <w:pStyle w:val="Compact"/>
              <w:jc w:val="left"/>
            </w:pPr>
            <w:r>
              <w:t xml:space="preserve">Ohio EPA Records Response (File DERR-NW-2024-RR-0438)</w:t>
            </w:r>
          </w:p>
        </w:tc>
        <w:tc>
          <w:tcPr/>
          <w:p>
            <w:pPr>
              <w:pStyle w:val="Compact"/>
              <w:jc w:val="left"/>
            </w:pPr>
            <w:r>
              <w:t xml:space="preserve">Ohio EPA, Northwest District Office; September 28, 2024</w:t>
            </w:r>
          </w:p>
        </w:tc>
        <w:tc>
          <w:tcPr/>
          <w:p>
            <w:pPr>
              <w:pStyle w:val="Compact"/>
              <w:jc w:val="left"/>
            </w:pPr>
            <w:r>
              <w:rPr>
                <w:b/>
                <w:bCs/>
              </w:rPr>
              <w:t xml:space="preserve">Property (Toledo)</w:t>
            </w:r>
          </w:p>
        </w:tc>
      </w:tr>
      <w:tr>
        <w:tc>
          <w:tcPr/>
          <w:p>
            <w:pPr>
              <w:pStyle w:val="Compact"/>
              <w:jc w:val="left"/>
            </w:pPr>
            <w:r>
              <w:t xml:space="preserve">4</w:t>
            </w:r>
          </w:p>
        </w:tc>
        <w:tc>
          <w:tcPr/>
          <w:p>
            <w:pPr>
              <w:pStyle w:val="Compact"/>
              <w:jc w:val="left"/>
            </w:pPr>
            <w:r>
              <w:t xml:space="preserve">Asset Purchase Agreement (excerpt)</w:t>
            </w:r>
          </w:p>
        </w:tc>
        <w:tc>
          <w:tcPr/>
          <w:p>
            <w:pPr>
              <w:pStyle w:val="Compact"/>
              <w:jc w:val="left"/>
            </w:pPr>
            <w:r>
              <w:t xml:space="preserve">Buyer/Seller; dated September 1, 2024</w:t>
            </w:r>
          </w:p>
        </w:tc>
        <w:tc>
          <w:tcPr/>
          <w:p>
            <w:pPr>
              <w:pStyle w:val="Compact"/>
              <w:jc w:val="left"/>
            </w:pPr>
            <w:r>
              <w:rPr>
                <w:b/>
                <w:bCs/>
              </w:rPr>
              <w:t xml:space="preserve">Property (Toledo)</w:t>
            </w:r>
          </w:p>
        </w:tc>
      </w:tr>
      <w:tr>
        <w:tc>
          <w:tcPr/>
          <w:p>
            <w:pPr>
              <w:pStyle w:val="Compact"/>
              <w:jc w:val="left"/>
            </w:pPr>
            <w:r>
              <w:t xml:space="preserve">5</w:t>
            </w:r>
          </w:p>
        </w:tc>
        <w:tc>
          <w:tcPr/>
          <w:p>
            <w:pPr>
              <w:pStyle w:val="Compact"/>
              <w:jc w:val="left"/>
            </w:pPr>
            <w:r>
              <w:t xml:space="preserve">Lender Environmental Due Diligence Requirements (Loan No. GLCB-2024-08173)</w:t>
            </w:r>
          </w:p>
        </w:tc>
        <w:tc>
          <w:tcPr/>
          <w:p>
            <w:pPr>
              <w:pStyle w:val="Compact"/>
              <w:jc w:val="left"/>
            </w:pPr>
            <w:r>
              <w:t xml:space="preserve">Great Lakes Capital Bank; September 10, 2024</w:t>
            </w:r>
          </w:p>
        </w:tc>
        <w:tc>
          <w:tcPr/>
          <w:p>
            <w:pPr>
              <w:pStyle w:val="Compact"/>
              <w:jc w:val="left"/>
            </w:pPr>
            <w:r>
              <w:rPr>
                <w:b/>
                <w:bCs/>
              </w:rPr>
              <w:t xml:space="preserve">Property (Toledo)</w:t>
            </w:r>
          </w:p>
        </w:tc>
      </w:tr>
      <w:tr>
        <w:tc>
          <w:tcPr/>
          <w:p>
            <w:pPr>
              <w:pStyle w:val="Compact"/>
              <w:jc w:val="left"/>
            </w:pPr>
            <w:r>
              <w:t xml:space="preserve">6</w:t>
            </w:r>
          </w:p>
        </w:tc>
        <w:tc>
          <w:tcPr/>
          <w:p>
            <w:pPr>
              <w:pStyle w:val="Compact"/>
              <w:jc w:val="left"/>
            </w:pPr>
            <w:r>
              <w:t xml:space="preserve">Phase I ESA (Terravista Project No. TEC-2025-0347)</w:t>
            </w:r>
          </w:p>
        </w:tc>
        <w:tc>
          <w:tcPr/>
          <w:p>
            <w:pPr>
              <w:pStyle w:val="Compact"/>
              <w:jc w:val="left"/>
            </w:pPr>
            <w:r>
              <w:t xml:space="preserve">Terravista Environmental Consulting Inc.; April 18, 2025; ASTM E1527-13</w:t>
            </w:r>
          </w:p>
        </w:tc>
        <w:tc>
          <w:tcPr/>
          <w:p>
            <w:pPr>
              <w:pStyle w:val="Compact"/>
              <w:jc w:val="left"/>
            </w:pPr>
            <w:r>
              <w:rPr>
                <w:b/>
                <w:bCs/>
              </w:rPr>
              <w:t xml:space="preserve">Different property — 2850 Millrace Road, Dayton (Valtec Manufacturing)</w:t>
            </w:r>
          </w:p>
        </w:tc>
      </w:tr>
      <w:tr>
        <w:tc>
          <w:tcPr/>
          <w:p>
            <w:pPr>
              <w:pStyle w:val="Compact"/>
              <w:jc w:val="left"/>
            </w:pPr>
            <w:r>
              <w:t xml:space="preserve">7</w:t>
            </w:r>
          </w:p>
        </w:tc>
        <w:tc>
          <w:tcPr/>
          <w:p>
            <w:pPr>
              <w:pStyle w:val="Compact"/>
              <w:jc w:val="left"/>
            </w:pPr>
            <w:r>
              <w:t xml:space="preserve">UST Closure Report (Redland Project No. RES-04-0287)</w:t>
            </w:r>
          </w:p>
        </w:tc>
        <w:tc>
          <w:tcPr/>
          <w:p>
            <w:pPr>
              <w:pStyle w:val="Compact"/>
              <w:jc w:val="left"/>
            </w:pPr>
            <w:r>
              <w:t xml:space="preserve">Redland Environmental Services; November 12, 2004</w:t>
            </w:r>
          </w:p>
        </w:tc>
        <w:tc>
          <w:tcPr/>
          <w:p>
            <w:pPr>
              <w:pStyle w:val="Compact"/>
              <w:jc w:val="left"/>
            </w:pPr>
            <w:r>
              <w:rPr>
                <w:b/>
                <w:bCs/>
              </w:rPr>
              <w:t xml:space="preserve">Different property — 2850 Millrace Road, Dayton (Valtec Manufacturing)</w:t>
            </w:r>
          </w:p>
        </w:tc>
      </w:tr>
      <w:tr>
        <w:tc>
          <w:tcPr/>
          <w:p>
            <w:pPr>
              <w:pStyle w:val="Compact"/>
              <w:jc w:val="left"/>
            </w:pPr>
            <w:r>
              <w:t xml:space="preserve">8</w:t>
            </w:r>
          </w:p>
        </w:tc>
        <w:tc>
          <w:tcPr/>
          <w:p>
            <w:pPr>
              <w:pStyle w:val="Compact"/>
              <w:jc w:val="left"/>
            </w:pPr>
            <w:r>
              <w:t xml:space="preserve">Environmental Database Search Summary (GeoSearch No. GS-2025-04817)</w:t>
            </w:r>
          </w:p>
        </w:tc>
        <w:tc>
          <w:tcPr/>
          <w:p>
            <w:pPr>
              <w:pStyle w:val="Compact"/>
              <w:jc w:val="left"/>
            </w:pPr>
            <w:r>
              <w:t xml:space="preserve">GeoSearch Data Systems; March 28, 2025</w:t>
            </w:r>
          </w:p>
        </w:tc>
        <w:tc>
          <w:tcPr/>
          <w:p>
            <w:pPr>
              <w:pStyle w:val="Compact"/>
              <w:jc w:val="left"/>
            </w:pPr>
            <w:r>
              <w:rPr>
                <w:b/>
                <w:bCs/>
              </w:rPr>
              <w:t xml:space="preserve">Different property — 2850 Millrace Road, Dayton (Valtec Manufacturing)</w:t>
            </w:r>
          </w:p>
        </w:tc>
      </w:tr>
    </w:tbl>
    <w:p>
      <w:pPr>
        <w:pStyle w:val="BodyText"/>
      </w:pPr>
      <w:r>
        <w:rPr>
          <w:b/>
          <w:bCs/>
        </w:rPr>
        <w:t xml:space="preserve">Important scope note.</w:t>
      </w:r>
      <w:r>
        <w:t xml:space="preserve"> </w:t>
      </w:r>
      <w:r>
        <w:t xml:space="preserve">Documents 6, 7, and 8 relate to a</w:t>
      </w:r>
      <w:r>
        <w:t xml:space="preserve"> </w:t>
      </w:r>
      <w:r>
        <w:rPr>
          <w:i/>
          <w:iCs/>
        </w:rPr>
        <w:t xml:space="preserve">different</w:t>
      </w:r>
      <w:r>
        <w:t xml:space="preserve"> </w:t>
      </w:r>
      <w:r>
        <w:t xml:space="preserve">property and a</w:t>
      </w:r>
      <w:r>
        <w:t xml:space="preserve"> </w:t>
      </w:r>
      <w:r>
        <w:rPr>
          <w:i/>
          <w:iCs/>
        </w:rPr>
        <w:t xml:space="preserve">different</w:t>
      </w:r>
      <w:r>
        <w:t xml:space="preserve"> </w:t>
      </w:r>
      <w:r>
        <w:t xml:space="preserve">seller (2850 Millrace Road, Dayton, Ohio — Valtec Manufacturing Holdings Inc.). They do</w:t>
      </w:r>
      <w:r>
        <w:t xml:space="preserve"> </w:t>
      </w:r>
      <w:r>
        <w:rPr>
          <w:b/>
          <w:bCs/>
        </w:rPr>
        <w:t xml:space="preserve">not</w:t>
      </w:r>
      <w:r>
        <w:t xml:space="preserve"> </w:t>
      </w:r>
      <w:r>
        <w:t xml:space="preserve">pertain to the Property that is the subject of this acquisition. This misfiling is itself an issue and is discussed in Section 6.A (Issue C-2). None of the conclusions in this memorandum concerning the Property rely on the Dayton documents.</w:t>
      </w:r>
    </w:p>
    <w:bookmarkEnd w:id="21"/>
    <w:bookmarkStart w:id="22" w:name="transaction-overview"/>
    <w:p>
      <w:pPr>
        <w:pStyle w:val="Heading2"/>
      </w:pPr>
      <w:r>
        <w:t xml:space="preserve">3. Transaction Overview</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Property</w:t>
            </w:r>
          </w:p>
        </w:tc>
        <w:tc>
          <w:tcPr/>
          <w:p>
            <w:pPr>
              <w:pStyle w:val="Compact"/>
              <w:jc w:val="left"/>
            </w:pPr>
            <w:r>
              <w:t xml:space="preserve">4820 Lakeshore Industrial Drive, Toledo, Lucas County, OH 43611; three parcels (18-04562-001/-002/-003); ~14.7 acres</w:t>
            </w:r>
          </w:p>
        </w:tc>
      </w:tr>
      <w:tr>
        <w:tc>
          <w:tcPr/>
          <w:p>
            <w:pPr>
              <w:pStyle w:val="Compact"/>
              <w:jc w:val="left"/>
            </w:pPr>
            <w:r>
              <w:t xml:space="preserve">Seller</w:t>
            </w:r>
          </w:p>
        </w:tc>
        <w:tc>
          <w:tcPr/>
          <w:p>
            <w:pPr>
              <w:pStyle w:val="Compact"/>
              <w:jc w:val="left"/>
            </w:pPr>
            <w:r>
              <w:t xml:space="preserve">Breckenridge Manufacturing Co. (owned/operated since 1961; manufacturing ceased December 2019; warehouse use since)</w:t>
            </w:r>
          </w:p>
        </w:tc>
      </w:tr>
      <w:tr>
        <w:tc>
          <w:tcPr/>
          <w:p>
            <w:pPr>
              <w:pStyle w:val="Compact"/>
              <w:jc w:val="left"/>
            </w:pPr>
            <w:r>
              <w:t xml:space="preserve">Buyer</w:t>
            </w:r>
          </w:p>
        </w:tc>
        <w:tc>
          <w:tcPr/>
          <w:p>
            <w:pPr>
              <w:pStyle w:val="Compact"/>
              <w:jc w:val="left"/>
            </w:pPr>
            <w:r>
              <w:t xml:space="preserve">Cornerstone Industrial Partners LLC (Delaware LLC)</w:t>
            </w:r>
          </w:p>
        </w:tc>
      </w:tr>
      <w:tr>
        <w:tc>
          <w:tcPr/>
          <w:p>
            <w:pPr>
              <w:pStyle w:val="Compact"/>
              <w:jc w:val="left"/>
            </w:pPr>
            <w:r>
              <w:t xml:space="preserve">Purchase Price</w:t>
            </w:r>
          </w:p>
        </w:tc>
        <w:tc>
          <w:tcPr/>
          <w:p>
            <w:pPr>
              <w:pStyle w:val="Compact"/>
              <w:jc w:val="left"/>
            </w:pPr>
            <w:r>
              <w:t xml:space="preserve">$8,750,000</w:t>
            </w:r>
          </w:p>
        </w:tc>
      </w:tr>
      <w:tr>
        <w:tc>
          <w:tcPr/>
          <w:p>
            <w:pPr>
              <w:pStyle w:val="Compact"/>
              <w:jc w:val="left"/>
            </w:pPr>
            <w:r>
              <w:t xml:space="preserve">Lender / Loan</w:t>
            </w:r>
          </w:p>
        </w:tc>
        <w:tc>
          <w:tcPr/>
          <w:p>
            <w:pPr>
              <w:pStyle w:val="Compact"/>
              <w:jc w:val="left"/>
            </w:pPr>
            <w:r>
              <w:t xml:space="preserve">Great Lakes Capital Bank; $6,125,000 (~70% LTV); equity $2,625,000</w:t>
            </w:r>
          </w:p>
        </w:tc>
      </w:tr>
      <w:tr>
        <w:tc>
          <w:tcPr/>
          <w:p>
            <w:pPr>
              <w:pStyle w:val="Compact"/>
              <w:jc w:val="left"/>
            </w:pPr>
            <w:r>
              <w:t xml:space="preserve">Earnest Money</w:t>
            </w:r>
          </w:p>
        </w:tc>
        <w:tc>
          <w:tcPr/>
          <w:p>
            <w:pPr>
              <w:pStyle w:val="Compact"/>
              <w:jc w:val="left"/>
            </w:pPr>
            <w:r>
              <w:t xml:space="preserve">$437,500 (5%)</w:t>
            </w:r>
          </w:p>
        </w:tc>
      </w:tr>
      <w:tr>
        <w:tc>
          <w:tcPr/>
          <w:p>
            <w:pPr>
              <w:pStyle w:val="Compact"/>
              <w:jc w:val="left"/>
            </w:pPr>
            <w:r>
              <w:t xml:space="preserve">Closing Date</w:t>
            </w:r>
          </w:p>
        </w:tc>
        <w:tc>
          <w:tcPr/>
          <w:p>
            <w:pPr>
              <w:pStyle w:val="Compact"/>
              <w:jc w:val="left"/>
            </w:pPr>
            <w:r>
              <w:t xml:space="preserve">December 15, 2024</w:t>
            </w:r>
          </w:p>
        </w:tc>
      </w:tr>
      <w:tr>
        <w:tc>
          <w:tcPr/>
          <w:p>
            <w:pPr>
              <w:pStyle w:val="Compact"/>
              <w:jc w:val="left"/>
            </w:pPr>
            <w:r>
              <w:t xml:space="preserve">Environmental Due Diligence Period</w:t>
            </w:r>
          </w:p>
        </w:tc>
        <w:tc>
          <w:tcPr/>
          <w:p>
            <w:pPr>
              <w:pStyle w:val="Compact"/>
              <w:jc w:val="left"/>
            </w:pPr>
            <w:r>
              <w:t xml:space="preserve">Expires 5:00 p.m. ET, October 31, 2024</w:t>
            </w:r>
          </w:p>
        </w:tc>
      </w:tr>
      <w:tr>
        <w:tc>
          <w:tcPr/>
          <w:p>
            <w:pPr>
              <w:pStyle w:val="Compact"/>
              <w:jc w:val="left"/>
            </w:pPr>
            <w:r>
              <w:t xml:space="preserve">Buyer’s Counsel</w:t>
            </w:r>
          </w:p>
        </w:tc>
        <w:tc>
          <w:tcPr/>
          <w:p>
            <w:pPr>
              <w:pStyle w:val="Compact"/>
              <w:jc w:val="left"/>
            </w:pPr>
            <w:r>
              <w:t xml:space="preserve">Whitfield &amp; Crane LLP (Sarah Castellano) — also serves as Lender’s environmental counsel</w:t>
            </w:r>
          </w:p>
        </w:tc>
      </w:tr>
      <w:tr>
        <w:tc>
          <w:tcPr/>
          <w:p>
            <w:pPr>
              <w:pStyle w:val="Compact"/>
              <w:jc w:val="left"/>
            </w:pPr>
            <w:r>
              <w:t xml:space="preserve">Indemnification Basket / Cap / Survival</w:t>
            </w:r>
          </w:p>
        </w:tc>
        <w:tc>
          <w:tcPr/>
          <w:p>
            <w:pPr>
              <w:pStyle w:val="Compact"/>
              <w:jc w:val="left"/>
            </w:pPr>
            <w:r>
              <w:t xml:space="preserve">$87,500 (1%) / $1,750,000 (20%) / 3 years</w:t>
            </w:r>
          </w:p>
        </w:tc>
      </w:tr>
      <w:tr>
        <w:tc>
          <w:tcPr/>
          <w:p>
            <w:pPr>
              <w:pStyle w:val="Compact"/>
              <w:jc w:val="left"/>
            </w:pPr>
            <w:r>
              <w:t xml:space="preserve">Termination Right (§ 6.3(b))</w:t>
            </w:r>
          </w:p>
        </w:tc>
        <w:tc>
          <w:tcPr/>
          <w:p>
            <w:pPr>
              <w:pStyle w:val="Compact"/>
              <w:jc w:val="left"/>
            </w:pPr>
            <w:r>
              <w:t xml:space="preserve">Buyer may terminate and recover earnest money if RECs could result in Remediation Costs &gt; $500,000, by notice on or before October 31, 2024</w:t>
            </w:r>
          </w:p>
        </w:tc>
      </w:tr>
    </w:tbl>
    <w:bookmarkEnd w:id="22"/>
    <w:bookmarkStart w:id="23" w:name="severity-rating-definitions"/>
    <w:p>
      <w:pPr>
        <w:pStyle w:val="Heading2"/>
      </w:pPr>
      <w:r>
        <w:t xml:space="preserve">4. Severity Rating Definitions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Rating</w:t>
            </w:r>
          </w:p>
        </w:tc>
        <w:tc>
          <w:tcPr/>
          <w:p>
            <w:pPr>
              <w:pStyle w:val="Compact"/>
              <w:jc w:val="left"/>
            </w:pPr>
            <w:r>
              <w:t xml:space="preserve">Meaning</w:t>
            </w:r>
          </w:p>
        </w:tc>
      </w:tr>
      <w:tr>
        <w:tc>
          <w:tcPr/>
          <w:p>
            <w:pPr>
              <w:pStyle w:val="Compact"/>
              <w:jc w:val="left"/>
            </w:pPr>
            <w:r>
              <w:rPr>
                <w:b/>
                <w:bCs/>
              </w:rPr>
              <w:t xml:space="preserve">Critical</w:t>
            </w:r>
          </w:p>
        </w:tc>
        <w:tc>
          <w:tcPr/>
          <w:p>
            <w:pPr>
              <w:pStyle w:val="Compact"/>
              <w:jc w:val="left"/>
            </w:pPr>
            <w:r>
              <w:t xml:space="preserve">Issues that, in our judgment, could jeopardize the transaction, expose Buyer or Lender to material liability or loss, or reflect a fundamental failure in the due diligence process. Require resolution or a definitive decision before closing.</w:t>
            </w:r>
          </w:p>
        </w:tc>
      </w:tr>
      <w:tr>
        <w:tc>
          <w:tcPr/>
          <w:p>
            <w:pPr>
              <w:pStyle w:val="Compact"/>
              <w:jc w:val="left"/>
            </w:pPr>
            <w:r>
              <w:rPr>
                <w:b/>
                <w:bCs/>
              </w:rPr>
              <w:t xml:space="preserve">High</w:t>
            </w:r>
          </w:p>
        </w:tc>
        <w:tc>
          <w:tcPr/>
          <w:p>
            <w:pPr>
              <w:pStyle w:val="Compact"/>
              <w:jc w:val="left"/>
            </w:pPr>
            <w:r>
              <w:t xml:space="preserve">Significant environmental conditions or contractual exposures warranting prompt investigation, negotiation, or remediation planning before closing. Likely to require a Phase II ESA, cost estimates, environmental insurance, and/or contract remedies.</w:t>
            </w:r>
          </w:p>
        </w:tc>
      </w:tr>
      <w:tr>
        <w:tc>
          <w:tcPr/>
          <w:p>
            <w:pPr>
              <w:pStyle w:val="Compact"/>
              <w:jc w:val="left"/>
            </w:pPr>
            <w:r>
              <w:rPr>
                <w:b/>
                <w:bCs/>
              </w:rPr>
              <w:t xml:space="preserve">Medium</w:t>
            </w:r>
          </w:p>
        </w:tc>
        <w:tc>
          <w:tcPr/>
          <w:p>
            <w:pPr>
              <w:pStyle w:val="Compact"/>
              <w:jc w:val="left"/>
            </w:pPr>
            <w:r>
              <w:t xml:space="preserve">Issues requiring attention that may affect deal terms, timelines, or post-closing obligations, but not expected to be transaction-defeating on their own.</w:t>
            </w:r>
          </w:p>
        </w:tc>
      </w:tr>
      <w:tr>
        <w:tc>
          <w:tcPr/>
          <w:p>
            <w:pPr>
              <w:pStyle w:val="Compact"/>
              <w:jc w:val="left"/>
            </w:pPr>
            <w:r>
              <w:rPr>
                <w:b/>
                <w:bCs/>
              </w:rPr>
              <w:t xml:space="preserve">Low</w:t>
            </w:r>
          </w:p>
        </w:tc>
        <w:tc>
          <w:tcPr/>
          <w:p>
            <w:pPr>
              <w:pStyle w:val="Compact"/>
              <w:jc w:val="left"/>
            </w:pPr>
            <w:r>
              <w:t xml:space="preserve">Routine, de minimis, or informational items noted for ongoing management; no pre-closing action required.</w:t>
            </w:r>
          </w:p>
        </w:tc>
      </w:tr>
    </w:tbl>
    <w:bookmarkEnd w:id="23"/>
    <w:bookmarkStart w:id="24" w:name="summary-of-issues"/>
    <w:p>
      <w:pPr>
        <w:pStyle w:val="Heading2"/>
      </w:pPr>
      <w:r>
        <w:t xml:space="preserve">5. Summary of Issues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ID</w:t>
            </w:r>
          </w:p>
        </w:tc>
        <w:tc>
          <w:tcPr/>
          <w:p>
            <w:pPr>
              <w:pStyle w:val="Compact"/>
              <w:jc w:val="left"/>
            </w:pPr>
            <w:r>
              <w:t xml:space="preserve">Issue</w:t>
            </w:r>
          </w:p>
        </w:tc>
        <w:tc>
          <w:tcPr/>
          <w:p>
            <w:pPr>
              <w:pStyle w:val="Compact"/>
              <w:jc w:val="left"/>
            </w:pPr>
            <w:r>
              <w:t xml:space="preserve">Severity</w:t>
            </w:r>
          </w:p>
        </w:tc>
      </w:tr>
      <w:tr>
        <w:tc>
          <w:tcPr/>
          <w:p>
            <w:pPr>
              <w:pStyle w:val="Compact"/>
              <w:jc w:val="left"/>
            </w:pPr>
            <w:r>
              <w:t xml:space="preserve">C-1</w:t>
            </w:r>
          </w:p>
        </w:tc>
        <w:tc>
          <w:tcPr/>
          <w:p>
            <w:pPr>
              <w:pStyle w:val="Compact"/>
              <w:jc w:val="left"/>
            </w:pPr>
            <w:r>
              <w:t xml:space="preserve">Off-site PCE groundwater plume (Lake Erie Dry Cleaning) not classified as a REC; express lender requirement not satisfied</w:t>
            </w:r>
          </w:p>
        </w:tc>
        <w:tc>
          <w:tcPr/>
          <w:p>
            <w:pPr>
              <w:pStyle w:val="Compact"/>
              <w:jc w:val="left"/>
            </w:pPr>
            <w:r>
              <w:rPr>
                <w:b/>
                <w:bCs/>
              </w:rPr>
              <w:t xml:space="preserve">Critical</w:t>
            </w:r>
          </w:p>
        </w:tc>
      </w:tr>
      <w:tr>
        <w:tc>
          <w:tcPr/>
          <w:p>
            <w:pPr>
              <w:pStyle w:val="Compact"/>
              <w:jc w:val="left"/>
            </w:pPr>
            <w:r>
              <w:t xml:space="preserve">C-2</w:t>
            </w:r>
          </w:p>
        </w:tc>
        <w:tc>
          <w:tcPr/>
          <w:p>
            <w:pPr>
              <w:pStyle w:val="Compact"/>
              <w:jc w:val="left"/>
            </w:pPr>
            <w:r>
              <w:t xml:space="preserve">Due diligence file contains environmental documents for a different property (Dayton/Valtec) — risk of erroneous reliance</w:t>
            </w:r>
          </w:p>
        </w:tc>
        <w:tc>
          <w:tcPr/>
          <w:p>
            <w:pPr>
              <w:pStyle w:val="Compact"/>
              <w:jc w:val="left"/>
            </w:pPr>
            <w:r>
              <w:rPr>
                <w:b/>
                <w:bCs/>
              </w:rPr>
              <w:t xml:space="preserve">Critical</w:t>
            </w:r>
          </w:p>
        </w:tc>
      </w:tr>
      <w:tr>
        <w:tc>
          <w:tcPr/>
          <w:p>
            <w:pPr>
              <w:pStyle w:val="Compact"/>
              <w:jc w:val="left"/>
            </w:pPr>
            <w:r>
              <w:t xml:space="preserve">H-1</w:t>
            </w:r>
          </w:p>
        </w:tc>
        <w:tc>
          <w:tcPr/>
          <w:p>
            <w:pPr>
              <w:pStyle w:val="Compact"/>
              <w:jc w:val="left"/>
            </w:pPr>
            <w:r>
              <w:t xml:space="preserve">REC-1: Former TCE vapor degreasing (1961–1992) and abandoned, leaking waste-TCE drum</w:t>
            </w:r>
          </w:p>
        </w:tc>
        <w:tc>
          <w:tcPr/>
          <w:p>
            <w:pPr>
              <w:pStyle w:val="Compact"/>
              <w:jc w:val="left"/>
            </w:pPr>
            <w:r>
              <w:rPr>
                <w:b/>
                <w:bCs/>
              </w:rPr>
              <w:t xml:space="preserve">High</w:t>
            </w:r>
          </w:p>
        </w:tc>
      </w:tr>
      <w:tr>
        <w:tc>
          <w:tcPr/>
          <w:p>
            <w:pPr>
              <w:pStyle w:val="Compact"/>
              <w:jc w:val="left"/>
            </w:pPr>
            <w:r>
              <w:t xml:space="preserve">H-2</w:t>
            </w:r>
          </w:p>
        </w:tc>
        <w:tc>
          <w:tcPr/>
          <w:p>
            <w:pPr>
              <w:pStyle w:val="Compact"/>
              <w:jc w:val="left"/>
            </w:pPr>
            <w:r>
              <w:t xml:space="preserve">REC-2: Former hexavalent chromium / nickel electroplating (1965–2004); 39 years of missing waste manifests; 2003 NOV</w:t>
            </w:r>
          </w:p>
        </w:tc>
        <w:tc>
          <w:tcPr/>
          <w:p>
            <w:pPr>
              <w:pStyle w:val="Compact"/>
              <w:jc w:val="left"/>
            </w:pPr>
            <w:r>
              <w:rPr>
                <w:b/>
                <w:bCs/>
              </w:rPr>
              <w:t xml:space="preserve">High</w:t>
            </w:r>
          </w:p>
        </w:tc>
      </w:tr>
      <w:tr>
        <w:tc>
          <w:tcPr/>
          <w:p>
            <w:pPr>
              <w:pStyle w:val="Compact"/>
              <w:jc w:val="left"/>
            </w:pPr>
            <w:r>
              <w:t xml:space="preserve">H-3</w:t>
            </w:r>
          </w:p>
        </w:tc>
        <w:tc>
          <w:tcPr/>
          <w:p>
            <w:pPr>
              <w:pStyle w:val="Compact"/>
              <w:jc w:val="left"/>
            </w:pPr>
            <w:r>
              <w:t xml:space="preserve">Unregistered/unclosed USTs (2,000-gal waste solvent; 500-gal heating oil) — no BUSTR records; may remain in place; Seller’s Schedule 4.13 inaccurate</w:t>
            </w:r>
          </w:p>
        </w:tc>
        <w:tc>
          <w:tcPr/>
          <w:p>
            <w:pPr>
              <w:pStyle w:val="Compact"/>
              <w:jc w:val="left"/>
            </w:pPr>
            <w:r>
              <w:rPr>
                <w:b/>
                <w:bCs/>
              </w:rPr>
              <w:t xml:space="preserve">High</w:t>
            </w:r>
          </w:p>
        </w:tc>
      </w:tr>
      <w:tr>
        <w:tc>
          <w:tcPr/>
          <w:p>
            <w:pPr>
              <w:pStyle w:val="Compact"/>
              <w:jc w:val="left"/>
            </w:pPr>
            <w:r>
              <w:t xml:space="preserve">H-4</w:t>
            </w:r>
          </w:p>
        </w:tc>
        <w:tc>
          <w:tcPr/>
          <w:p>
            <w:pPr>
              <w:pStyle w:val="Compact"/>
              <w:jc w:val="left"/>
            </w:pPr>
            <w:r>
              <w:t xml:space="preserve">Former outdoor drum storage area (east side) with stressed vegetation — under-classified; corroborated by 2003 NOV (leaking drums, staining)</w:t>
            </w:r>
          </w:p>
        </w:tc>
        <w:tc>
          <w:tcPr/>
          <w:p>
            <w:pPr>
              <w:pStyle w:val="Compact"/>
              <w:jc w:val="left"/>
            </w:pPr>
            <w:r>
              <w:rPr>
                <w:b/>
                <w:bCs/>
              </w:rPr>
              <w:t xml:space="preserve">High</w:t>
            </w:r>
          </w:p>
        </w:tc>
      </w:tr>
      <w:tr>
        <w:tc>
          <w:tcPr/>
          <w:p>
            <w:pPr>
              <w:pStyle w:val="Compact"/>
              <w:jc w:val="left"/>
            </w:pPr>
            <w:r>
              <w:t xml:space="preserve">H-5</w:t>
            </w:r>
          </w:p>
        </w:tc>
        <w:tc>
          <w:tcPr/>
          <w:p>
            <w:pPr>
              <w:pStyle w:val="Compact"/>
              <w:jc w:val="left"/>
            </w:pPr>
            <w:r>
              <w:t xml:space="preserve">Seller’s environmental representations appear inaccurate; potential breach and fraud/intentional misrepresentation (pierces cap)</w:t>
            </w:r>
          </w:p>
        </w:tc>
        <w:tc>
          <w:tcPr/>
          <w:p>
            <w:pPr>
              <w:pStyle w:val="Compact"/>
              <w:jc w:val="left"/>
            </w:pPr>
            <w:r>
              <w:rPr>
                <w:b/>
                <w:bCs/>
              </w:rPr>
              <w:t xml:space="preserve">High</w:t>
            </w:r>
          </w:p>
        </w:tc>
      </w:tr>
      <w:tr>
        <w:tc>
          <w:tcPr/>
          <w:p>
            <w:pPr>
              <w:pStyle w:val="Compact"/>
              <w:jc w:val="left"/>
            </w:pPr>
            <w:r>
              <w:t xml:space="preserve">H-6</w:t>
            </w:r>
          </w:p>
        </w:tc>
        <w:tc>
          <w:tcPr/>
          <w:p>
            <w:pPr>
              <w:pStyle w:val="Compact"/>
              <w:jc w:val="left"/>
            </w:pPr>
            <w:r>
              <w:t xml:space="preserve">Unexplained, damaged monitoring well (MW-1) — undisclosed prior investigation</w:t>
            </w:r>
          </w:p>
        </w:tc>
        <w:tc>
          <w:tcPr/>
          <w:p>
            <w:pPr>
              <w:pStyle w:val="Compact"/>
              <w:jc w:val="left"/>
            </w:pPr>
            <w:r>
              <w:rPr>
                <w:b/>
                <w:bCs/>
              </w:rPr>
              <w:t xml:space="preserve">High</w:t>
            </w:r>
          </w:p>
        </w:tc>
      </w:tr>
      <w:tr>
        <w:tc>
          <w:tcPr/>
          <w:p>
            <w:pPr>
              <w:pStyle w:val="Compact"/>
              <w:jc w:val="left"/>
            </w:pPr>
            <w:r>
              <w:t xml:space="preserve">M-1</w:t>
            </w:r>
          </w:p>
        </w:tc>
        <w:tc>
          <w:tcPr/>
          <w:p>
            <w:pPr>
              <w:pStyle w:val="Compact"/>
              <w:jc w:val="left"/>
            </w:pPr>
            <w:r>
              <w:t xml:space="preserve">Lender-triggered requirements (Phase II, PLL insurance, escrow, remediation plan, vapor assessment) on a compressed timeline</w:t>
            </w:r>
          </w:p>
        </w:tc>
        <w:tc>
          <w:tcPr/>
          <w:p>
            <w:pPr>
              <w:pStyle w:val="Compact"/>
              <w:jc w:val="left"/>
            </w:pPr>
            <w:r>
              <w:rPr>
                <w:b/>
                <w:bCs/>
              </w:rPr>
              <w:t xml:space="preserve">Medium</w:t>
            </w:r>
          </w:p>
        </w:tc>
      </w:tr>
      <w:tr>
        <w:tc>
          <w:tcPr/>
          <w:p>
            <w:pPr>
              <w:pStyle w:val="Compact"/>
              <w:jc w:val="left"/>
            </w:pPr>
            <w:r>
              <w:t xml:space="preserve">M-2</w:t>
            </w:r>
          </w:p>
        </w:tc>
        <w:tc>
          <w:tcPr/>
          <w:p>
            <w:pPr>
              <w:pStyle w:val="Compact"/>
              <w:jc w:val="left"/>
            </w:pPr>
            <w:r>
              <w:t xml:space="preserve">Vapor intrusion risk (TCE and PCE) — both carcinogenic VOCs; redevelopment/occupancy implication</w:t>
            </w:r>
          </w:p>
        </w:tc>
        <w:tc>
          <w:tcPr/>
          <w:p>
            <w:pPr>
              <w:pStyle w:val="Compact"/>
              <w:jc w:val="left"/>
            </w:pPr>
            <w:r>
              <w:rPr>
                <w:b/>
                <w:bCs/>
              </w:rPr>
              <w:t xml:space="preserve">Medium</w:t>
            </w:r>
          </w:p>
        </w:tc>
      </w:tr>
      <w:tr>
        <w:tc>
          <w:tcPr/>
          <w:p>
            <w:pPr>
              <w:pStyle w:val="Compact"/>
              <w:jc w:val="left"/>
            </w:pPr>
            <w:r>
              <w:t xml:space="preserve">M-3</w:t>
            </w:r>
          </w:p>
        </w:tc>
        <w:tc>
          <w:tcPr/>
          <w:p>
            <w:pPr>
              <w:pStyle w:val="Compact"/>
              <w:jc w:val="left"/>
            </w:pPr>
            <w:r>
              <w:t xml:space="preserve">Data gaps: 39 years of missing hazardous waste manifests; withheld corporate records; archived, undocumented consent order</w:t>
            </w:r>
          </w:p>
        </w:tc>
        <w:tc>
          <w:tcPr/>
          <w:p>
            <w:pPr>
              <w:pStyle w:val="Compact"/>
              <w:jc w:val="left"/>
            </w:pPr>
            <w:r>
              <w:rPr>
                <w:b/>
                <w:bCs/>
              </w:rPr>
              <w:t xml:space="preserve">Medium</w:t>
            </w:r>
          </w:p>
        </w:tc>
      </w:tr>
      <w:tr>
        <w:tc>
          <w:tcPr/>
          <w:p>
            <w:pPr>
              <w:pStyle w:val="Compact"/>
              <w:jc w:val="left"/>
            </w:pPr>
            <w:r>
              <w:t xml:space="preserve">M-4</w:t>
            </w:r>
          </w:p>
        </w:tc>
        <w:tc>
          <w:tcPr/>
          <w:p>
            <w:pPr>
              <w:pStyle w:val="Compact"/>
              <w:jc w:val="left"/>
            </w:pPr>
            <w:r>
              <w:t xml:space="preserve">Purchase agreement termination right — compressed decision window (Phase I dated Oct. 25; deadline Oct. 31) and $500,000 threshold</w:t>
            </w:r>
          </w:p>
        </w:tc>
        <w:tc>
          <w:tcPr/>
          <w:p>
            <w:pPr>
              <w:pStyle w:val="Compact"/>
              <w:jc w:val="left"/>
            </w:pPr>
            <w:r>
              <w:rPr>
                <w:b/>
                <w:bCs/>
              </w:rPr>
              <w:t xml:space="preserve">Medium</w:t>
            </w:r>
          </w:p>
        </w:tc>
      </w:tr>
      <w:tr>
        <w:tc>
          <w:tcPr/>
          <w:p>
            <w:pPr>
              <w:pStyle w:val="Compact"/>
              <w:jc w:val="left"/>
            </w:pPr>
            <w:r>
              <w:t xml:space="preserve">M-5</w:t>
            </w:r>
          </w:p>
        </w:tc>
        <w:tc>
          <w:tcPr/>
          <w:p>
            <w:pPr>
              <w:pStyle w:val="Compact"/>
              <w:jc w:val="left"/>
            </w:pPr>
            <w:r>
              <w:t xml:space="preserve">Indemnification cap/basket/survival may be insufficient for TCE + chromium + PCE remediation</w:t>
            </w:r>
          </w:p>
        </w:tc>
        <w:tc>
          <w:tcPr/>
          <w:p>
            <w:pPr>
              <w:pStyle w:val="Compact"/>
              <w:jc w:val="left"/>
            </w:pPr>
            <w:r>
              <w:rPr>
                <w:b/>
                <w:bCs/>
              </w:rPr>
              <w:t xml:space="preserve">Medium</w:t>
            </w:r>
          </w:p>
        </w:tc>
      </w:tr>
      <w:tr>
        <w:tc>
          <w:tcPr/>
          <w:p>
            <w:pPr>
              <w:pStyle w:val="Compact"/>
              <w:jc w:val="left"/>
            </w:pPr>
            <w:r>
              <w:t xml:space="preserve">L-1</w:t>
            </w:r>
          </w:p>
        </w:tc>
        <w:tc>
          <w:tcPr/>
          <w:p>
            <w:pPr>
              <w:pStyle w:val="Compact"/>
              <w:jc w:val="left"/>
            </w:pPr>
            <w:r>
              <w:t xml:space="preserve">RCRA Small Quantity Generator status (routine; no ECHO violations)</w:t>
            </w:r>
          </w:p>
        </w:tc>
        <w:tc>
          <w:tcPr/>
          <w:p>
            <w:pPr>
              <w:pStyle w:val="Compact"/>
              <w:jc w:val="left"/>
            </w:pPr>
            <w:r>
              <w:rPr>
                <w:b/>
                <w:bCs/>
              </w:rPr>
              <w:t xml:space="preserve">Low</w:t>
            </w:r>
          </w:p>
        </w:tc>
      </w:tr>
      <w:tr>
        <w:tc>
          <w:tcPr/>
          <w:p>
            <w:pPr>
              <w:pStyle w:val="Compact"/>
              <w:jc w:val="left"/>
            </w:pPr>
            <w:r>
              <w:t xml:space="preserve">L-2</w:t>
            </w:r>
          </w:p>
        </w:tc>
        <w:tc>
          <w:tcPr/>
          <w:p>
            <w:pPr>
              <w:pStyle w:val="Compact"/>
              <w:jc w:val="left"/>
            </w:pPr>
            <w:r>
              <w:t xml:space="preserve">Active 10,000-gal diesel UST (registered, compliant); lender UST-use covenant applies post-closing</w:t>
            </w:r>
          </w:p>
        </w:tc>
        <w:tc>
          <w:tcPr/>
          <w:p>
            <w:pPr>
              <w:pStyle w:val="Compact"/>
              <w:jc w:val="left"/>
            </w:pPr>
            <w:r>
              <w:rPr>
                <w:b/>
                <w:bCs/>
              </w:rPr>
              <w:t xml:space="preserve">Low</w:t>
            </w:r>
          </w:p>
        </w:tc>
      </w:tr>
      <w:tr>
        <w:tc>
          <w:tcPr/>
          <w:p>
            <w:pPr>
              <w:pStyle w:val="Compact"/>
              <w:jc w:val="left"/>
            </w:pPr>
            <w:r>
              <w:t xml:space="preserve">L-3</w:t>
            </w:r>
          </w:p>
        </w:tc>
        <w:tc>
          <w:tcPr/>
          <w:p>
            <w:pPr>
              <w:pStyle w:val="Compact"/>
              <w:jc w:val="left"/>
            </w:pPr>
            <w:r>
              <w:t xml:space="preserve">Adjacent Toledo Coatings &amp; Adhesives (CERCLIS NFRAP, archived 1999; no migrating plume)</w:t>
            </w:r>
          </w:p>
        </w:tc>
        <w:tc>
          <w:tcPr/>
          <w:p>
            <w:pPr>
              <w:pStyle w:val="Compact"/>
              <w:jc w:val="left"/>
            </w:pPr>
            <w:r>
              <w:rPr>
                <w:b/>
                <w:bCs/>
              </w:rPr>
              <w:t xml:space="preserve">Low</w:t>
            </w:r>
          </w:p>
        </w:tc>
      </w:tr>
      <w:tr>
        <w:tc>
          <w:tcPr/>
          <w:p>
            <w:pPr>
              <w:pStyle w:val="Compact"/>
              <w:jc w:val="left"/>
            </w:pPr>
            <w:r>
              <w:t xml:space="preserve">L-4</w:t>
            </w:r>
          </w:p>
        </w:tc>
        <w:tc>
          <w:tcPr/>
          <w:p>
            <w:pPr>
              <w:pStyle w:val="Compact"/>
              <w:jc w:val="left"/>
            </w:pPr>
            <w:r>
              <w:t xml:space="preserve">Other nearby listings (Bayshore Auto Salvage, Metro Petroleum, Great Lakes Metal Finishing, former Sunoco) — closed/compliant or distant</w:t>
            </w:r>
          </w:p>
        </w:tc>
        <w:tc>
          <w:tcPr/>
          <w:p>
            <w:pPr>
              <w:pStyle w:val="Compact"/>
              <w:jc w:val="left"/>
            </w:pPr>
            <w:r>
              <w:rPr>
                <w:b/>
                <w:bCs/>
              </w:rPr>
              <w:t xml:space="preserve">Low</w:t>
            </w:r>
          </w:p>
        </w:tc>
      </w:tr>
      <w:tr>
        <w:tc>
          <w:tcPr/>
          <w:p>
            <w:pPr>
              <w:pStyle w:val="Compact"/>
              <w:jc w:val="left"/>
            </w:pPr>
            <w:r>
              <w:t xml:space="preserve">L-5</w:t>
            </w:r>
          </w:p>
        </w:tc>
        <w:tc>
          <w:tcPr/>
          <w:p>
            <w:pPr>
              <w:pStyle w:val="Compact"/>
              <w:jc w:val="left"/>
            </w:pPr>
            <w:r>
              <w:t xml:space="preserve">Norfolk Southern Railroad right-of-way herbicide application (de minimis)</w:t>
            </w:r>
          </w:p>
        </w:tc>
        <w:tc>
          <w:tcPr/>
          <w:p>
            <w:pPr>
              <w:pStyle w:val="Compact"/>
              <w:jc w:val="left"/>
            </w:pPr>
            <w:r>
              <w:rPr>
                <w:b/>
                <w:bCs/>
              </w:rPr>
              <w:t xml:space="preserve">Low</w:t>
            </w:r>
          </w:p>
        </w:tc>
      </w:tr>
      <w:tr>
        <w:tc>
          <w:tcPr/>
          <w:p>
            <w:pPr>
              <w:pStyle w:val="Compact"/>
              <w:jc w:val="left"/>
            </w:pPr>
            <w:r>
              <w:t xml:space="preserve">L-6</w:t>
            </w:r>
          </w:p>
        </w:tc>
        <w:tc>
          <w:tcPr/>
          <w:p>
            <w:pPr>
              <w:pStyle w:val="Compact"/>
              <w:jc w:val="left"/>
            </w:pPr>
            <w:r>
              <w:t xml:space="preserve">Non-scope items: potential asbestos-containing materials and lead-based paint (pre-1978/1980s buildings)</w:t>
            </w:r>
          </w:p>
        </w:tc>
        <w:tc>
          <w:tcPr/>
          <w:p>
            <w:pPr>
              <w:pStyle w:val="Compact"/>
              <w:jc w:val="left"/>
            </w:pPr>
            <w:r>
              <w:rPr>
                <w:b/>
                <w:bCs/>
              </w:rPr>
              <w:t xml:space="preserve">Low</w:t>
            </w:r>
          </w:p>
        </w:tc>
      </w:tr>
    </w:tbl>
    <w:bookmarkEnd w:id="24"/>
    <w:bookmarkStart w:id="42" w:name="detailed-discussion"/>
    <w:p>
      <w:pPr>
        <w:pStyle w:val="Heading2"/>
      </w:pPr>
      <w:r>
        <w:t xml:space="preserve">6. Detailed Discussion</w:t>
      </w:r>
    </w:p>
    <w:bookmarkStart w:id="27" w:name="a.-critical-issues"/>
    <w:p>
      <w:pPr>
        <w:pStyle w:val="Heading3"/>
      </w:pPr>
      <w:r>
        <w:t xml:space="preserve">A. Critical Issues</w:t>
      </w:r>
    </w:p>
    <w:bookmarkStart w:id="25" w:name="X3909e4d8a51edabb20febc0a3e8b3fa3bbc740f"/>
    <w:p>
      <w:pPr>
        <w:pStyle w:val="Heading4"/>
      </w:pPr>
      <w:r>
        <w:t xml:space="preserve">C-1. Off-site PCE groundwater plume not classified as a REC; express lender requirement not satisfied</w:t>
      </w:r>
    </w:p>
    <w:p>
      <w:pPr>
        <w:pStyle w:val="FirstParagraph"/>
      </w:pPr>
      <w:r>
        <w:t xml:space="preserve">The former Lake Erie Dry Cleaning facility at 4900 Lakeshore Industrial Drive is located approximately 120 feet north of and hydraulically upgradient from the Property. Ohio EPA records (September 28, 2024 response) and the EDR database summary confirm the following:</w:t>
      </w:r>
    </w:p>
    <w:p>
      <w:pPr>
        <w:pStyle w:val="Compact"/>
        <w:numPr>
          <w:ilvl w:val="0"/>
          <w:numId w:val="1001"/>
        </w:numPr>
      </w:pPr>
      <w:r>
        <w:t xml:space="preserve">A confirmed tetrachloroethylene (PCE) groundwater contamination plume is documented at the dry cleaner site (Ohio EPA Master Sites List; VAP ID NW-0923).</w:t>
      </w:r>
    </w:p>
    <w:p>
      <w:pPr>
        <w:pStyle w:val="Compact"/>
        <w:numPr>
          <w:ilvl w:val="0"/>
          <w:numId w:val="1001"/>
        </w:numPr>
      </w:pPr>
      <w:r>
        <w:t xml:space="preserve">A 2014 investigation detected PCE at</w:t>
      </w:r>
      <w:r>
        <w:t xml:space="preserve"> </w:t>
      </w:r>
      <w:r>
        <w:rPr>
          <w:b/>
          <w:bCs/>
        </w:rPr>
        <w:t xml:space="preserve">87 µg/L</w:t>
      </w:r>
      <w:r>
        <w:t xml:space="preserve"> </w:t>
      </w:r>
      <w:r>
        <w:t xml:space="preserve">in monitoring well MW-7, located approximately 120 feet north of the Property boundary. The applicable Ohio VAP generic groundwater standard for PCE is</w:t>
      </w:r>
      <w:r>
        <w:t xml:space="preserve"> </w:t>
      </w:r>
      <w:r>
        <w:rPr>
          <w:b/>
          <w:bCs/>
        </w:rPr>
        <w:t xml:space="preserve">5 µg/L</w:t>
      </w:r>
      <w:r>
        <w:t xml:space="preserve"> </w:t>
      </w:r>
      <w:r>
        <w:t xml:space="preserve">— the detected concentration exceeds the standard by a factor of approximately</w:t>
      </w:r>
      <w:r>
        <w:t xml:space="preserve"> </w:t>
      </w:r>
      <w:r>
        <w:rPr>
          <w:b/>
          <w:bCs/>
        </w:rPr>
        <w:t xml:space="preserve">17.4</w:t>
      </w:r>
      <w:r>
        <w:t xml:space="preserve">.</w:t>
      </w:r>
    </w:p>
    <w:p>
      <w:pPr>
        <w:pStyle w:val="Compact"/>
        <w:numPr>
          <w:ilvl w:val="0"/>
          <w:numId w:val="1001"/>
        </w:numPr>
      </w:pPr>
      <w:r>
        <w:t xml:space="preserve">The plume is documented as migrating</w:t>
      </w:r>
      <w:r>
        <w:t xml:space="preserve"> </w:t>
      </w:r>
      <w:r>
        <w:rPr>
          <w:b/>
          <w:bCs/>
        </w:rPr>
        <w:t xml:space="preserve">south-southeast</w:t>
      </w:r>
      <w:r>
        <w:t xml:space="preserve">, i.e.,</w:t>
      </w:r>
      <w:r>
        <w:t xml:space="preserve"> </w:t>
      </w:r>
      <w:r>
        <w:rPr>
          <w:b/>
          <w:bCs/>
        </w:rPr>
        <w:t xml:space="preserve">toward the Property</w:t>
      </w:r>
      <w:r>
        <w:t xml:space="preserve">, consistent with regional groundwater flow.</w:t>
      </w:r>
    </w:p>
    <w:p>
      <w:pPr>
        <w:pStyle w:val="Compact"/>
        <w:numPr>
          <w:ilvl w:val="0"/>
          <w:numId w:val="1001"/>
        </w:numPr>
      </w:pPr>
      <w:r>
        <w:t xml:space="preserve">The Property is located within a</w:t>
      </w:r>
      <w:r>
        <w:t xml:space="preserve"> </w:t>
      </w:r>
      <w:r>
        <w:rPr>
          <w:b/>
          <w:bCs/>
        </w:rPr>
        <w:t xml:space="preserve">designated Ohio EPA Groundwater Management Zone (GMZ)</w:t>
      </w:r>
      <w:r>
        <w:t xml:space="preserve"> </w:t>
      </w:r>
      <w:r>
        <w:t xml:space="preserve">established in connection with this plume. The GMZ may restrict new groundwater withdrawals, new well installations, and certain land uses.</w:t>
      </w:r>
    </w:p>
    <w:p>
      <w:pPr>
        <w:pStyle w:val="Compact"/>
        <w:numPr>
          <w:ilvl w:val="0"/>
          <w:numId w:val="1001"/>
        </w:numPr>
      </w:pPr>
      <w:r>
        <w:t xml:space="preserve">A 2018 Ohio VAP Covenant Not to Sue and an environmental covenant (Ohio Rev. Code § 5301.82) apply</w:t>
      </w:r>
      <w:r>
        <w:t xml:space="preserve"> </w:t>
      </w:r>
      <w:r>
        <w:rPr>
          <w:b/>
          <w:bCs/>
        </w:rPr>
        <w:t xml:space="preserve">only to the dry cleaner parcel</w:t>
      </w:r>
      <w:r>
        <w:t xml:space="preserve"> </w:t>
      </w:r>
      <w:r>
        <w:t xml:space="preserve">and</w:t>
      </w:r>
      <w:r>
        <w:t xml:space="preserve"> </w:t>
      </w:r>
      <w:r>
        <w:rPr>
          <w:b/>
          <w:bCs/>
        </w:rPr>
        <w:t xml:space="preserve">do not address, release, or cover off-site migration</w:t>
      </w:r>
      <w:r>
        <w:t xml:space="preserve"> </w:t>
      </w:r>
      <w:r>
        <w:t xml:space="preserve">of the plume onto the Property.</w:t>
      </w:r>
    </w:p>
    <w:p>
      <w:pPr>
        <w:pStyle w:val="Compact"/>
        <w:numPr>
          <w:ilvl w:val="0"/>
          <w:numId w:val="1001"/>
        </w:numPr>
      </w:pPr>
      <w:r>
        <w:t xml:space="preserve">To Ohio EPA’s knowledge,</w:t>
      </w:r>
      <w:r>
        <w:t xml:space="preserve"> </w:t>
      </w:r>
      <w:r>
        <w:rPr>
          <w:b/>
          <w:bCs/>
        </w:rPr>
        <w:t xml:space="preserve">no investigation of PCE concentrations in groundwater beneath the Property has been conducted</w:t>
      </w:r>
      <w:r>
        <w:t xml:space="preserve">, and the lateral and vertical extent of plume migration onto/ beneath the Property has not been delineated.</w:t>
      </w:r>
    </w:p>
    <w:p>
      <w:pPr>
        <w:pStyle w:val="FirstParagraph"/>
      </w:pPr>
      <w:r>
        <w:rPr>
          <w:b/>
          <w:bCs/>
        </w:rPr>
        <w:t xml:space="preserve">Why this is critical.</w:t>
      </w:r>
      <w:r>
        <w:t xml:space="preserve"> </w:t>
      </w:r>
      <w:r>
        <w:t xml:space="preserve">The Lender’s environmental due diligence requirements letter (Section 2)</w:t>
      </w:r>
      <w:r>
        <w:t xml:space="preserve"> </w:t>
      </w:r>
      <w:r>
        <w:rPr>
          <w:b/>
          <w:bCs/>
        </w:rPr>
        <w:t xml:space="preserve">expressly requires</w:t>
      </w:r>
      <w:r>
        <w:t xml:space="preserve"> </w:t>
      </w:r>
      <w:r>
        <w:t xml:space="preserve">that the Phase I ESA</w:t>
      </w:r>
      <w:r>
        <w:t xml:space="preserve"> </w:t>
      </w:r>
      <w:r>
        <w:t xml:space="preserve">“</w:t>
      </w:r>
      <w:r>
        <w:t xml:space="preserve">evaluate off-site sources of contamination that may be migrating onto or otherwise affecting the subject Property, including … contaminated groundwater plumes from adjacent or nearby properties,</w:t>
      </w:r>
      <w:r>
        <w:t xml:space="preserve">”</w:t>
      </w:r>
      <w:r>
        <w:t xml:space="preserve"> </w:t>
      </w:r>
      <w:r>
        <w:t xml:space="preserve">and that</w:t>
      </w:r>
      <w:r>
        <w:t xml:space="preserve"> </w:t>
      </w:r>
      <w:r>
        <w:t xml:space="preserve">“</w:t>
      </w:r>
      <w:r>
        <w:t xml:space="preserve">any such conditions must be identified as recognized environmental conditions.</w:t>
      </w:r>
      <w:r>
        <w:t xml:space="preserve">”</w:t>
      </w:r>
      <w:r>
        <w:t xml:space="preserve"> </w:t>
      </w:r>
      <w:r>
        <w:t xml:space="preserve">The Greenfield Phase I ESA discusses the dry cleaner plume in its records-review section and notes the GMZ, but it</w:t>
      </w:r>
      <w:r>
        <w:t xml:space="preserve"> </w:t>
      </w:r>
      <w:r>
        <w:rPr>
          <w:b/>
          <w:bCs/>
        </w:rPr>
        <w:t xml:space="preserve">does not classify the plume as a REC</w:t>
      </w:r>
      <w:r>
        <w:t xml:space="preserve"> </w:t>
      </w:r>
      <w:r>
        <w:t xml:space="preserve">(or as a CREC/HREC/de minimis condition) in its Findings (Section 9). The EDR database summary itself rates this listing</w:t>
      </w:r>
      <w:r>
        <w:t xml:space="preserve"> </w:t>
      </w:r>
      <w:r>
        <w:t xml:space="preserve">“</w:t>
      </w:r>
      <w:r>
        <w:t xml:space="preserve">HIGH.</w:t>
      </w:r>
      <w:r>
        <w:t xml:space="preserve">”</w:t>
      </w:r>
      <w:r>
        <w:t xml:space="preserve"> </w:t>
      </w:r>
      <w:r>
        <w:t xml:space="preserve">The failure to carry this condition through to a REC classification is inconsistent with the Lender’s express instruction and with ASTM E1527-21, under which a release of hazardous substances migrating onto a property is a recognized environmental condition.</w:t>
      </w:r>
    </w:p>
    <w:p>
      <w:pPr>
        <w:pStyle w:val="BodyText"/>
      </w:pPr>
      <w:r>
        <w:rPr>
          <w:b/>
          <w:bCs/>
        </w:rPr>
        <w:t xml:space="preserve">Implications.</w:t>
      </w:r>
      <w:r>
        <w:t xml:space="preserve"> </w:t>
      </w:r>
      <w:r>
        <w:t xml:space="preserve">(i) The Phase I ESA, as written, does not satisfy an express condition of the Lender’s environmental requirements, creating a risk that the Lender will require a corrected/supplemented Phase I or will treat the omission as an unresolved data gap. (ii) PCE is a carcinogenic volatile organic compound (VOC); an uncharacterized plume beneath the Property creates both a direct environmental liability and a</w:t>
      </w:r>
      <w:r>
        <w:t xml:space="preserve"> </w:t>
      </w:r>
      <w:r>
        <w:rPr>
          <w:b/>
          <w:bCs/>
        </w:rPr>
        <w:t xml:space="preserve">vapor intrusion</w:t>
      </w:r>
      <w:r>
        <w:t xml:space="preserve"> </w:t>
      </w:r>
      <w:r>
        <w:t xml:space="preserve">risk for any occupied redevelopment. (iii) The GMZ may impose land-use and groundwater-use restrictions affecting redevelopment. (iv) Because the VAP covenant does not extend to the Property, Buyer would acquire this off-site liability without any regulatory closure. This condition should be treated as a REC, and a Phase II investigation (including groundwater monitoring wells and vapor assessment) should be directed at the northern Property boundary.</w:t>
      </w:r>
    </w:p>
    <w:bookmarkEnd w:id="25"/>
    <w:bookmarkStart w:id="26" w:name="X4f49f48a9bdcb509c3e12049b38f97937650a2e"/>
    <w:p>
      <w:pPr>
        <w:pStyle w:val="Heading4"/>
      </w:pPr>
      <w:r>
        <w:t xml:space="preserve">C-2. Due diligence file contains environmental documents for a different property</w:t>
      </w:r>
    </w:p>
    <w:p>
      <w:pPr>
        <w:pStyle w:val="FirstParagraph"/>
      </w:pPr>
      <w:r>
        <w:t xml:space="preserve">Three of the eight documents in the due diligence file — the Terravista Phase I ESA (April 18, 2025), the Redland UST Closure Report (November 12, 2004), and the GeoSearch database summary (March 28, 2025) — pertain to</w:t>
      </w:r>
      <w:r>
        <w:t xml:space="preserve"> </w:t>
      </w:r>
      <w:r>
        <w:rPr>
          <w:b/>
          <w:bCs/>
        </w:rPr>
        <w:t xml:space="preserve">2850 Millrace Road, Dayton, Ohio</w:t>
      </w:r>
      <w:r>
        <w:t xml:space="preserve">, owned by</w:t>
      </w:r>
      <w:r>
        <w:t xml:space="preserve"> </w:t>
      </w:r>
      <w:r>
        <w:rPr>
          <w:b/>
          <w:bCs/>
        </w:rPr>
        <w:t xml:space="preserve">Valtec Manufacturing Holdings Inc.</w:t>
      </w:r>
      <w:r>
        <w:t xml:space="preserve"> </w:t>
      </w:r>
      <w:r>
        <w:t xml:space="preserve">They do</w:t>
      </w:r>
      <w:r>
        <w:t xml:space="preserve"> </w:t>
      </w:r>
      <w:r>
        <w:rPr>
          <w:b/>
          <w:bCs/>
        </w:rPr>
        <w:t xml:space="preserve">not</w:t>
      </w:r>
      <w:r>
        <w:t xml:space="preserve"> </w:t>
      </w:r>
      <w:r>
        <w:t xml:space="preserve">pertain to the Property (4820 Lakeshore Industrial Drive, Toledo) or to Seller (Breckenridge Manufacturing Co.).</w:t>
      </w:r>
    </w:p>
    <w:p>
      <w:pPr>
        <w:pStyle w:val="BodyText"/>
      </w:pPr>
      <w:r>
        <w:rPr>
          <w:b/>
          <w:bCs/>
        </w:rPr>
        <w:t xml:space="preserve">Why this is critical.</w:t>
      </w:r>
      <w:r>
        <w:t xml:space="preserve"> </w:t>
      </w:r>
      <w:r>
        <w:t xml:space="preserve">(i) The Dayton UST Closure Report documents the removal of three USTs (two 10,000-gallon diesel USTs and one 4,000-gallon waste oil UST) and a 2011 VAP No Further Action letter at the Dayton site. A reader who does not verify the property address could</w:t>
      </w:r>
      <w:r>
        <w:t xml:space="preserve"> </w:t>
      </w:r>
      <w:r>
        <w:rPr>
          <w:b/>
          <w:bCs/>
        </w:rPr>
        <w:t xml:space="preserve">mistakenly conclude that the Toledo Property’s UST issues have been investigated and closed</w:t>
      </w:r>
      <w:r>
        <w:t xml:space="preserve"> </w:t>
      </w:r>
      <w:r>
        <w:t xml:space="preserve">— they have not (see Issue H-3). (ii) The Dayton Phase I ESA purports to conform to the</w:t>
      </w:r>
      <w:r>
        <w:t xml:space="preserve"> </w:t>
      </w:r>
      <w:r>
        <w:rPr>
          <w:b/>
          <w:bCs/>
        </w:rPr>
        <w:t xml:space="preserve">superseded ASTM E1527-13</w:t>
      </w:r>
      <w:r>
        <w:t xml:space="preserve"> </w:t>
      </w:r>
      <w:r>
        <w:t xml:space="preserve">standard and is dated</w:t>
      </w:r>
      <w:r>
        <w:t xml:space="preserve"> </w:t>
      </w:r>
      <w:r>
        <w:rPr>
          <w:b/>
          <w:bCs/>
        </w:rPr>
        <w:t xml:space="preserve">April 2025</w:t>
      </w:r>
      <w:r>
        <w:t xml:space="preserve">, after the Toledo closing date; it is not a valid AAI deliverable for this transaction. (iii) The presence of unrelated, non-conforming documents in the file raises a due diligence integrity concern and should be quarantined so that no party inadvertently relies on them. We recommend the Dayton documents be removed from the transaction file (or clearly segregated and marked</w:t>
      </w:r>
      <w:r>
        <w:t xml:space="preserve"> </w:t>
      </w:r>
      <w:r>
        <w:t xml:space="preserve">“</w:t>
      </w:r>
      <w:r>
        <w:t xml:space="preserve">Not Applicable — Different Property</w:t>
      </w:r>
      <w:r>
        <w:t xml:space="preserve">”</w:t>
      </w:r>
      <w:r>
        <w:t xml:space="preserve">) and that the deal team confirm no analysis, cost estimate, or lender submission has drawn on them.</w:t>
      </w:r>
    </w:p>
    <w:bookmarkEnd w:id="26"/>
    <w:bookmarkEnd w:id="27"/>
    <w:bookmarkStart w:id="34" w:name="b.-high-issues"/>
    <w:p>
      <w:pPr>
        <w:pStyle w:val="Heading3"/>
      </w:pPr>
      <w:r>
        <w:t xml:space="preserve">B. High Issues</w:t>
      </w:r>
    </w:p>
    <w:bookmarkStart w:id="28" w:name="X1e5ee3eb67b1d2d051c55c318a30bc570940d79"/>
    <w:p>
      <w:pPr>
        <w:pStyle w:val="Heading4"/>
      </w:pPr>
      <w:r>
        <w:t xml:space="preserve">H-1. REC-1 — Former TCE vapor degreasing and abandoned waste-TCE drum</w:t>
      </w:r>
    </w:p>
    <w:p>
      <w:pPr>
        <w:pStyle w:val="FirstParagraph"/>
      </w:pPr>
      <w:r>
        <w:t xml:space="preserve">The Greenfield Phase I ESA identifies as REC No. 1 the historical use of trichloroethylene (TCE) as a vapor degreasing solvent in the northwest corner of the main manufacturing building from 1961 through approximately 1992 (more than 30 years). Supporting evidence includes: visible floor staining and wall staining in the former degreasing area; a</w:t>
      </w:r>
      <w:r>
        <w:t xml:space="preserve"> </w:t>
      </w:r>
      <w:r>
        <w:rPr>
          <w:b/>
          <w:bCs/>
        </w:rPr>
        <w:t xml:space="preserve">photoionization detector (PID) reading of 42.3 ppm</w:t>
      </w:r>
      <w:r>
        <w:t xml:space="preserve"> </w:t>
      </w:r>
      <w:r>
        <w:t xml:space="preserve">at a floor-slab crack (versus background &lt; 0.5 ppm), indicating residual VOC vapors emanating from beneath the slab;</w:t>
      </w:r>
      <w:r>
        <w:t xml:space="preserve"> </w:t>
      </w:r>
      <w:r>
        <w:rPr>
          <w:b/>
          <w:bCs/>
        </w:rPr>
        <w:t xml:space="preserve">no closure documentation</w:t>
      </w:r>
      <w:r>
        <w:t xml:space="preserve"> </w:t>
      </w:r>
      <w:r>
        <w:t xml:space="preserve">for the degreasing area following cessation of TCE use; an</w:t>
      </w:r>
      <w:r>
        <w:t xml:space="preserve"> </w:t>
      </w:r>
      <w:r>
        <w:rPr>
          <w:b/>
          <w:bCs/>
        </w:rPr>
        <w:t xml:space="preserve">abandoned 55-gallon drum labeled</w:t>
      </w:r>
      <w:r>
        <w:rPr>
          <w:b/>
          <w:bCs/>
        </w:rPr>
        <w:t xml:space="preserve"> </w:t>
      </w:r>
      <w:r>
        <w:rPr>
          <w:b/>
          <w:bCs/>
        </w:rPr>
        <w:t xml:space="preserve">“</w:t>
      </w:r>
      <w:r>
        <w:rPr>
          <w:b/>
          <w:bCs/>
        </w:rPr>
        <w:t xml:space="preserve">WASTE TRICHLOROETHYLENE</w:t>
      </w:r>
      <w:r>
        <w:rPr>
          <w:b/>
          <w:bCs/>
        </w:rPr>
        <w:t xml:space="preserve">”</w:t>
      </w:r>
      <w:r>
        <w:t xml:space="preserve"> </w:t>
      </w:r>
      <w:r>
        <w:t xml:space="preserve">behind the maintenance building, approximately half full, with a rusted bottom and evidence of past leakage, and stained soil (~3 ft × 3 ft) beneath it; and a</w:t>
      </w:r>
      <w:r>
        <w:t xml:space="preserve"> </w:t>
      </w:r>
      <w:r>
        <w:rPr>
          <w:b/>
          <w:bCs/>
        </w:rPr>
        <w:t xml:space="preserve">1988 chemical spill</w:t>
      </w:r>
      <w:r>
        <w:t xml:space="preserve"> </w:t>
      </w:r>
      <w:r>
        <w:t xml:space="preserve">of degreasing solvent documented by the Toledo Fire Department. TCE is a known human carcinogen and a potent vapor intrusion driver. A Phase II ESA (soil borings, groundwater monitoring wells, and sub-slab/indoor air vapor assessment) is required. This is a confirmed REC and a material environmental liability.</w:t>
      </w:r>
    </w:p>
    <w:bookmarkEnd w:id="28"/>
    <w:bookmarkStart w:id="29" w:name="X7f7a43a2a7f0e8ea634e2a86cd575b8e9104254"/>
    <w:p>
      <w:pPr>
        <w:pStyle w:val="Heading4"/>
      </w:pPr>
      <w:r>
        <w:t xml:space="preserve">H-2. REC-2 — Former hexavalent chromium / nickel electroplating</w:t>
      </w:r>
    </w:p>
    <w:p>
      <w:pPr>
        <w:pStyle w:val="FirstParagraph"/>
      </w:pPr>
      <w:r>
        <w:t xml:space="preserve">The Greenfield Phase I ESA identifies as REC No. 2 the electroplating operations conducted from 1965 through 2004 (approximately 39 years) in the south wing of the main building. Supporting evidence includes: prominent blue-green staining on floors and walls consistent with chromium residues; concrete pitting/etching from prolonged acid/alkali exposure; an</w:t>
      </w:r>
      <w:r>
        <w:t xml:space="preserve"> </w:t>
      </w:r>
      <w:r>
        <w:rPr>
          <w:b/>
          <w:bCs/>
        </w:rPr>
        <w:t xml:space="preserve">in-ground sump containing approximately four inches of liquid with a visible iridescent sheen</w:t>
      </w:r>
      <w:r>
        <w:t xml:space="preserve"> </w:t>
      </w:r>
      <w:r>
        <w:t xml:space="preserve">(uncharacterized); hazardous waste disposal documentation for</w:t>
      </w:r>
      <w:r>
        <w:t xml:space="preserve"> </w:t>
      </w:r>
      <w:r>
        <w:rPr>
          <w:b/>
          <w:bCs/>
        </w:rPr>
        <w:t xml:space="preserve">only the final year of operations (2004)</w:t>
      </w:r>
      <w:r>
        <w:t xml:space="preserve"> </w:t>
      </w:r>
      <w:r>
        <w:t xml:space="preserve">— six manifests totaling 14,200 pounds under RCRA codes D007 (chromium) and F006 (electroplating sludge) — with</w:t>
      </w:r>
      <w:r>
        <w:t xml:space="preserve"> </w:t>
      </w:r>
      <w:r>
        <w:rPr>
          <w:b/>
          <w:bCs/>
        </w:rPr>
        <w:t xml:space="preserve">no manifests for the preceding 39 years (1965–2003)</w:t>
      </w:r>
      <w:r>
        <w:t xml:space="preserve">; and a</w:t>
      </w:r>
      <w:r>
        <w:t xml:space="preserve"> </w:t>
      </w:r>
      <w:r>
        <w:rPr>
          <w:b/>
          <w:bCs/>
        </w:rPr>
        <w:t xml:space="preserve">2003 Ohio EPA Notice of Violation</w:t>
      </w:r>
      <w:r>
        <w:t xml:space="preserve"> </w:t>
      </w:r>
      <w:r>
        <w:t xml:space="preserve">for improper hazardous waste storage (see Issue H-4). Hexavalent chromium is a known human carcinogen. A Phase II ESA (sump liquid characterization, soil borings through the slab, and groundwater monitoring wells for metals including hexavalent chromium) is required. This is a confirmed REC and a material environmental liability.</w:t>
      </w:r>
    </w:p>
    <w:bookmarkEnd w:id="29"/>
    <w:bookmarkStart w:id="30" w:name="Xedb35c2a5921a6ead2d5c69802f0a7823441a88"/>
    <w:p>
      <w:pPr>
        <w:pStyle w:val="Heading4"/>
      </w:pPr>
      <w:r>
        <w:t xml:space="preserve">H-3. Unregistered/unclosed underground storage tanks; inaccurate Schedule 4.13</w:t>
      </w:r>
    </w:p>
    <w:p>
      <w:pPr>
        <w:pStyle w:val="FirstParagraph"/>
      </w:pPr>
      <w:r>
        <w:t xml:space="preserve">Two USTs referenced on historical Sanborn fire insurance maps have</w:t>
      </w:r>
      <w:r>
        <w:t xml:space="preserve"> </w:t>
      </w:r>
      <w:r>
        <w:rPr>
          <w:b/>
          <w:bCs/>
        </w:rPr>
        <w:t xml:space="preserve">no BUSTR registration, no closure notification, no removal records, and no site assessment</w:t>
      </w:r>
      <w:r>
        <w:t xml:space="preserve"> </w:t>
      </w:r>
      <w:r>
        <w:t xml:space="preserve">on file with Ohio EPA/BUSTR (confirmed by the Ohio EPA response and the EDR summary):</w:t>
      </w:r>
    </w:p>
    <w:p>
      <w:pPr>
        <w:pStyle w:val="Compact"/>
        <w:numPr>
          <w:ilvl w:val="0"/>
          <w:numId w:val="1002"/>
        </w:numPr>
      </w:pPr>
      <w:r>
        <w:t xml:space="preserve">A</w:t>
      </w:r>
      <w:r>
        <w:t xml:space="preserve"> </w:t>
      </w:r>
      <w:r>
        <w:rPr>
          <w:b/>
          <w:bCs/>
        </w:rPr>
        <w:t xml:space="preserve">2,000-gallon waste solvent UST</w:t>
      </w:r>
      <w:r>
        <w:t xml:space="preserve"> </w:t>
      </w:r>
      <w:r>
        <w:t xml:space="preserve">(depicted on the 1987 Sanborn map on the east side of the Property, near the former electroplating shop). Given the Property’s TCE degreasing history, this tank may have contained chlorinated solvents. Its current status is unknown; it</w:t>
      </w:r>
      <w:r>
        <w:t xml:space="preserve"> </w:t>
      </w:r>
      <w:r>
        <w:rPr>
          <w:b/>
          <w:bCs/>
        </w:rPr>
        <w:t xml:space="preserve">may remain in place</w:t>
      </w:r>
      <w:r>
        <w:t xml:space="preserve">.</w:t>
      </w:r>
    </w:p>
    <w:p>
      <w:pPr>
        <w:pStyle w:val="Compact"/>
        <w:numPr>
          <w:ilvl w:val="0"/>
          <w:numId w:val="1002"/>
        </w:numPr>
      </w:pPr>
      <w:r>
        <w:t xml:space="preserve">A</w:t>
      </w:r>
      <w:r>
        <w:t xml:space="preserve"> </w:t>
      </w:r>
      <w:r>
        <w:rPr>
          <w:b/>
          <w:bCs/>
        </w:rPr>
        <w:t xml:space="preserve">500-gallon heating oil UST</w:t>
      </w:r>
      <w:r>
        <w:t xml:space="preserve"> </w:t>
      </w:r>
      <w:r>
        <w:t xml:space="preserve">associated with the former Halstead farmhouse (demolished 1961). The Greenfield report classifies this as HREC-1 on the assumption it was</w:t>
      </w:r>
      <w:r>
        <w:t xml:space="preserve"> </w:t>
      </w:r>
      <w:r>
        <w:t xml:space="preserve">“</w:t>
      </w:r>
      <w:r>
        <w:t xml:space="preserve">likely removed</w:t>
      </w:r>
      <w:r>
        <w:t xml:space="preserve">”</w:t>
      </w:r>
      <w:r>
        <w:t xml:space="preserve"> </w:t>
      </w:r>
      <w:r>
        <w:t xml:space="preserve">in 1961, but</w:t>
      </w:r>
      <w:r>
        <w:t xml:space="preserve"> </w:t>
      </w:r>
      <w:r>
        <w:rPr>
          <w:b/>
          <w:bCs/>
        </w:rPr>
        <w:t xml:space="preserve">no closure documentation exists</w:t>
      </w:r>
      <w:r>
        <w:t xml:space="preserve"> </w:t>
      </w:r>
      <w:r>
        <w:t xml:space="preserve">and no surface evidence confirms removal. The HREC classification is not adequately supported and should be treated as a potential REC pending geophysical survey/test pits.</w:t>
      </w:r>
    </w:p>
    <w:p>
      <w:pPr>
        <w:pStyle w:val="FirstParagraph"/>
      </w:pPr>
      <w:r>
        <w:t xml:space="preserve">Both tanks are bare steel and of an age (1950s–1980s) at which corrosion-related releases are likely. The Greenfield report notes the absence of records but does not classify these tanks as RECs.</w:t>
      </w:r>
    </w:p>
    <w:p>
      <w:pPr>
        <w:pStyle w:val="BodyText"/>
      </w:pPr>
      <w:r>
        <w:rPr>
          <w:b/>
          <w:bCs/>
        </w:rPr>
        <w:t xml:space="preserve">Contractual implication.</w:t>
      </w:r>
      <w:r>
        <w:t xml:space="preserve"> </w:t>
      </w:r>
      <w:r>
        <w:t xml:space="preserve">Schedule 4.13 to the Purchase Agreement lists</w:t>
      </w:r>
      <w:r>
        <w:t xml:space="preserve"> </w:t>
      </w:r>
      <w:r>
        <w:rPr>
          <w:b/>
          <w:bCs/>
        </w:rPr>
        <w:t xml:space="preserve">only</w:t>
      </w:r>
      <w:r>
        <w:t xml:space="preserve"> </w:t>
      </w:r>
      <w:r>
        <w:t xml:space="preserve">the active 10,000-gallon diesel UST and states that</w:t>
      </w:r>
      <w:r>
        <w:t xml:space="preserve"> </w:t>
      </w:r>
      <w:r>
        <w:t xml:space="preserve">“</w:t>
      </w:r>
      <w:r>
        <w:rPr>
          <w:b/>
          <w:bCs/>
        </w:rPr>
        <w:t xml:space="preserve">No other Underground Storage Tanks are or have been located on the Property.</w:t>
      </w:r>
      <w:r>
        <w:t xml:space="preserve">”</w:t>
      </w:r>
      <w:r>
        <w:t xml:space="preserve"> </w:t>
      </w:r>
      <w:r>
        <w:t xml:space="preserve">This representation is</w:t>
      </w:r>
      <w:r>
        <w:t xml:space="preserve"> </w:t>
      </w:r>
      <w:r>
        <w:rPr>
          <w:b/>
          <w:bCs/>
        </w:rPr>
        <w:t xml:space="preserve">inaccurate</w:t>
      </w:r>
      <w:r>
        <w:t xml:space="preserve"> </w:t>
      </w:r>
      <w:r>
        <w:t xml:space="preserve">in light of the Sanborn-documented 2,000-gallon waste solvent UST and 500-gallon heating oil UST, and constitutes a potential breach of Section 4.13(a). Section 4.13(b)’s representation that there have been</w:t>
      </w:r>
      <w:r>
        <w:t xml:space="preserve"> </w:t>
      </w:r>
      <w:r>
        <w:t xml:space="preserve">“</w:t>
      </w:r>
      <w:r>
        <w:t xml:space="preserve">no Releases from any Underground Storage Tank located on the Property</w:t>
      </w:r>
      <w:r>
        <w:t xml:space="preserve">”</w:t>
      </w:r>
      <w:r>
        <w:t xml:space="preserve"> </w:t>
      </w:r>
      <w:r>
        <w:t xml:space="preserve">is also questionable for unregistered, uncharacterized bare-steel tanks. A geophysical survey to locate these tanks and, if present, a closure assessment are warranted.</w:t>
      </w:r>
    </w:p>
    <w:bookmarkEnd w:id="30"/>
    <w:bookmarkStart w:id="31" w:name="X420a16e048b472b3422bb1b2dabb385986736dd"/>
    <w:p>
      <w:pPr>
        <w:pStyle w:val="Heading4"/>
      </w:pPr>
      <w:r>
        <w:t xml:space="preserve">H-4. Former outdoor drum storage area (east side) — under-classified</w:t>
      </w:r>
    </w:p>
    <w:p>
      <w:pPr>
        <w:pStyle w:val="FirstParagraph"/>
      </w:pPr>
      <w:r>
        <w:t xml:space="preserve">An approximately 40 ft × 60 ft curbed, unpaved area on the east side of the Property exhibits</w:t>
      </w:r>
      <w:r>
        <w:t xml:space="preserve"> </w:t>
      </w:r>
      <w:r>
        <w:rPr>
          <w:b/>
          <w:bCs/>
        </w:rPr>
        <w:t xml:space="preserve">stressed/sparse vegetation</w:t>
      </w:r>
      <w:r>
        <w:t xml:space="preserve"> </w:t>
      </w:r>
      <w:r>
        <w:t xml:space="preserve">relative to surrounding areas and is delineated by deteriorating concrete curbing. Historical aerial photographs (1990, 2000) show drum/container storage in this area. Seller’s principal acknowledged,</w:t>
      </w:r>
      <w:r>
        <w:t xml:space="preserve"> </w:t>
      </w:r>
      <w:r>
        <w:t xml:space="preserve">“</w:t>
      </w:r>
      <w:r>
        <w:t xml:space="preserve">We used to keep drums out there before the EPA came around.</w:t>
      </w:r>
      <w:r>
        <w:t xml:space="preserve">”</w:t>
      </w:r>
      <w:r>
        <w:t xml:space="preserve"> </w:t>
      </w:r>
      <w:r>
        <w:t xml:space="preserve">Critically, the</w:t>
      </w:r>
      <w:r>
        <w:t xml:space="preserve"> </w:t>
      </w:r>
      <w:r>
        <w:rPr>
          <w:b/>
          <w:bCs/>
        </w:rPr>
        <w:t xml:space="preserve">2003 Ohio EPA compliance inspection</w:t>
      </w:r>
      <w:r>
        <w:t xml:space="preserve"> </w:t>
      </w:r>
      <w:r>
        <w:t xml:space="preserve">(per the Ohio EPA response) documented</w:t>
      </w:r>
      <w:r>
        <w:t xml:space="preserve"> </w:t>
      </w:r>
      <w:r>
        <w:t xml:space="preserve">“</w:t>
      </w:r>
      <w:r>
        <w:rPr>
          <w:b/>
          <w:bCs/>
        </w:rPr>
        <w:t xml:space="preserve">multiple rusted and visibly leaking 55-gallon drums</w:t>
      </w:r>
      <w:r>
        <w:t xml:space="preserve">”</w:t>
      </w:r>
      <w:r>
        <w:t xml:space="preserve"> </w:t>
      </w:r>
      <w:r>
        <w:t xml:space="preserve">in an</w:t>
      </w:r>
      <w:r>
        <w:t xml:space="preserve"> </w:t>
      </w:r>
      <w:r>
        <w:rPr>
          <w:b/>
          <w:bCs/>
        </w:rPr>
        <w:t xml:space="preserve">outdoor storage area on the east side</w:t>
      </w:r>
      <w:r>
        <w:t xml:space="preserve"> </w:t>
      </w:r>
      <w:r>
        <w:t xml:space="preserve">containing</w:t>
      </w:r>
      <w:r>
        <w:t xml:space="preserve"> </w:t>
      </w:r>
      <w:r>
        <w:t xml:space="preserve">“</w:t>
      </w:r>
      <w:r>
        <w:t xml:space="preserve">electroplating sludge and spent chromium-bearing wastewater,</w:t>
      </w:r>
      <w:r>
        <w:t xml:space="preserve">”</w:t>
      </w:r>
      <w:r>
        <w:t xml:space="preserve"> </w:t>
      </w:r>
      <w:r>
        <w:t xml:space="preserve">with</w:t>
      </w:r>
      <w:r>
        <w:t xml:space="preserve"> </w:t>
      </w:r>
      <w:r>
        <w:t xml:space="preserve">“</w:t>
      </w:r>
      <w:r>
        <w:t xml:space="preserve">corrosion-related perforations</w:t>
      </w:r>
      <w:r>
        <w:t xml:space="preserve">”</w:t>
      </w:r>
      <w:r>
        <w:t xml:space="preserve"> </w:t>
      </w:r>
      <w:r>
        <w:t xml:space="preserve">and</w:t>
      </w:r>
      <w:r>
        <w:t xml:space="preserve"> </w:t>
      </w:r>
      <w:r>
        <w:t xml:space="preserve">“</w:t>
      </w:r>
      <w:r>
        <w:rPr>
          <w:b/>
          <w:bCs/>
        </w:rPr>
        <w:t xml:space="preserve">staining on the ground surface beneath and around the drums</w:t>
      </w:r>
      <w:r>
        <w:t xml:space="preserve">.</w:t>
      </w:r>
      <w:r>
        <w:t xml:space="preserve">”</w:t>
      </w:r>
      <w:r>
        <w:t xml:space="preserve"> </w:t>
      </w:r>
      <w:r>
        <w:t xml:space="preserve">This is direct regulatory evidence of a release to soil in the same area that now shows stressed vegetation.</w:t>
      </w:r>
    </w:p>
    <w:p>
      <w:pPr>
        <w:pStyle w:val="BodyText"/>
      </w:pPr>
      <w:r>
        <w:t xml:space="preserve">The Greenfield report describes this area (Section 6.2.4) but does</w:t>
      </w:r>
      <w:r>
        <w:t xml:space="preserve"> </w:t>
      </w:r>
      <w:r>
        <w:rPr>
          <w:b/>
          <w:bCs/>
        </w:rPr>
        <w:t xml:space="preserve">not</w:t>
      </w:r>
      <w:r>
        <w:t xml:space="preserve"> </w:t>
      </w:r>
      <w:r>
        <w:t xml:space="preserve">classify it as a distinct REC. In our judgment, the combination of (i) documented leaking drums of chromium-bearing waste, (ii) observed ground staining by a regulatory inspector, (iii) persistently stressed vegetation, and (iv) historical aerial confirmation of drum storage supports classification as a REC (or, at minimum, a high-priority Phase II target). This area should be explicitly added to the Phase II scope.</w:t>
      </w:r>
    </w:p>
    <w:bookmarkEnd w:id="31"/>
    <w:bookmarkStart w:id="32" w:name="Xc4dbc55c5207816fcb96a0070932360651a68fa"/>
    <w:p>
      <w:pPr>
        <w:pStyle w:val="Heading4"/>
      </w:pPr>
      <w:r>
        <w:t xml:space="preserve">H-5. Seller’s environmental representations appear inaccurate; potential breach and fraud</w:t>
      </w:r>
    </w:p>
    <w:p>
      <w:pPr>
        <w:pStyle w:val="FirstParagraph"/>
      </w:pPr>
      <w:r>
        <w:t xml:space="preserve">Several of Seller’s representations and warranties in Article IV of the Purchase Agreement appear inconsistent with the documentary record:</w:t>
      </w:r>
    </w:p>
    <w:p>
      <w:pPr>
        <w:pStyle w:val="Compact"/>
        <w:numPr>
          <w:ilvl w:val="0"/>
          <w:numId w:val="1003"/>
        </w:numPr>
      </w:pPr>
      <w:r>
        <w:rPr>
          <w:b/>
          <w:bCs/>
        </w:rPr>
        <w:t xml:space="preserve">§ 4.12(a) / Schedule 4.12(a) (</w:t>
      </w:r>
      <w:r>
        <w:rPr>
          <w:b/>
          <w:bCs/>
        </w:rPr>
        <w:t xml:space="preserve">“</w:t>
      </w:r>
      <w:r>
        <w:rPr>
          <w:b/>
          <w:bCs/>
        </w:rPr>
        <w:t xml:space="preserve">None</w:t>
      </w:r>
      <w:r>
        <w:rPr>
          <w:b/>
          <w:bCs/>
        </w:rPr>
        <w:t xml:space="preserve">”</w:t>
      </w:r>
      <w:r>
        <w:rPr>
          <w:b/>
          <w:bCs/>
        </w:rPr>
        <w:t xml:space="preserve">)</w:t>
      </w:r>
      <w:r>
        <w:t xml:space="preserve"> </w:t>
      </w:r>
      <w:r>
        <w:t xml:space="preserve">—</w:t>
      </w:r>
      <w:r>
        <w:t xml:space="preserve"> </w:t>
      </w:r>
      <w:r>
        <w:t xml:space="preserve">“</w:t>
      </w:r>
      <w:r>
        <w:t xml:space="preserve">to Seller’s knowledge, there has been no Release of any Hazardous Substances at, on, under, or from the Property.</w:t>
      </w:r>
      <w:r>
        <w:t xml:space="preserve">”</w:t>
      </w:r>
      <w:r>
        <w:t xml:space="preserve"> </w:t>
      </w:r>
      <w:r>
        <w:t xml:space="preserve">Inconsistent with the documented 1988 degreasing-solvent spill, the 2003 NOV (leaking drums with ground staining), the abandoned leaking TCE drum, and the elevated PID readings.</w:t>
      </w:r>
    </w:p>
    <w:p>
      <w:pPr>
        <w:pStyle w:val="Compact"/>
        <w:numPr>
          <w:ilvl w:val="0"/>
          <w:numId w:val="1003"/>
        </w:numPr>
      </w:pPr>
      <w:r>
        <w:rPr>
          <w:b/>
          <w:bCs/>
        </w:rPr>
        <w:t xml:space="preserve">§ 4.12(b)</w:t>
      </w:r>
      <w:r>
        <w:t xml:space="preserve"> </w:t>
      </w:r>
      <w:r>
        <w:t xml:space="preserve">—</w:t>
      </w:r>
      <w:r>
        <w:t xml:space="preserve"> </w:t>
      </w:r>
      <w:r>
        <w:t xml:space="preserve">“</w:t>
      </w:r>
      <w:r>
        <w:t xml:space="preserve">Seller has at all times conducted its operations at the Property in material compliance with all applicable Environmental Laws.</w:t>
      </w:r>
      <w:r>
        <w:t xml:space="preserve">”</w:t>
      </w:r>
      <w:r>
        <w:t xml:space="preserve"> </w:t>
      </w:r>
      <w:r>
        <w:t xml:space="preserve">Inconsistent with the 2003 NOV and consent order.</w:t>
      </w:r>
    </w:p>
    <w:p>
      <w:pPr>
        <w:pStyle w:val="Compact"/>
        <w:numPr>
          <w:ilvl w:val="0"/>
          <w:numId w:val="1003"/>
        </w:numPr>
      </w:pPr>
      <w:r>
        <w:rPr>
          <w:b/>
          <w:bCs/>
        </w:rPr>
        <w:t xml:space="preserve">§ 4.12(c) / Schedule 4.12(c) (</w:t>
      </w:r>
      <w:r>
        <w:rPr>
          <w:b/>
          <w:bCs/>
        </w:rPr>
        <w:t xml:space="preserve">“</w:t>
      </w:r>
      <w:r>
        <w:rPr>
          <w:b/>
          <w:bCs/>
        </w:rPr>
        <w:t xml:space="preserve">None</w:t>
      </w:r>
      <w:r>
        <w:rPr>
          <w:b/>
          <w:bCs/>
        </w:rPr>
        <w:t xml:space="preserve">”</w:t>
      </w:r>
      <w:r>
        <w:rPr>
          <w:b/>
          <w:bCs/>
        </w:rPr>
        <w:t xml:space="preserve">)</w:t>
      </w:r>
      <w:r>
        <w:t xml:space="preserve"> </w:t>
      </w:r>
      <w:r>
        <w:t xml:space="preserve">—</w:t>
      </w:r>
      <w:r>
        <w:t xml:space="preserve"> </w:t>
      </w:r>
      <w:r>
        <w:t xml:space="preserve">“</w:t>
      </w:r>
      <w:r>
        <w:t xml:space="preserve">Seller has not received any Environmental Notice.</w:t>
      </w:r>
      <w:r>
        <w:t xml:space="preserve">”</w:t>
      </w:r>
      <w:r>
        <w:t xml:space="preserve"> </w:t>
      </w:r>
      <w:r>
        <w:rPr>
          <w:b/>
          <w:bCs/>
        </w:rPr>
        <w:t xml:space="preserve">Inaccurate.</w:t>
      </w:r>
      <w:r>
        <w:t xml:space="preserve"> </w:t>
      </w:r>
      <w:r>
        <w:t xml:space="preserve">The 2003 NOV (File No. NW-2003-0471) is an</w:t>
      </w:r>
      <w:r>
        <w:t xml:space="preserve"> </w:t>
      </w:r>
      <w:r>
        <w:t xml:space="preserve">“</w:t>
      </w:r>
      <w:r>
        <w:t xml:space="preserve">Environmental Notice</w:t>
      </w:r>
      <w:r>
        <w:t xml:space="preserve">”</w:t>
      </w:r>
      <w:r>
        <w:t xml:space="preserve"> </w:t>
      </w:r>
      <w:r>
        <w:t xml:space="preserve">as defined in the Agreement, and it was issued to Breckenridge Manufacturing Co. </w:t>
      </w:r>
      <w:r>
        <w:rPr>
          <w:b/>
          <w:bCs/>
        </w:rPr>
        <w:t xml:space="preserve">and to Gerald Breckenridge III personally</w:t>
      </w:r>
      <w:r>
        <w:t xml:space="preserve">.</w:t>
      </w:r>
    </w:p>
    <w:p>
      <w:pPr>
        <w:pStyle w:val="Compact"/>
        <w:numPr>
          <w:ilvl w:val="0"/>
          <w:numId w:val="1003"/>
        </w:numPr>
      </w:pPr>
      <w:r>
        <w:rPr>
          <w:b/>
          <w:bCs/>
        </w:rPr>
        <w:t xml:space="preserve">§ 4.12(d)</w:t>
      </w:r>
      <w:r>
        <w:t xml:space="preserve"> </w:t>
      </w:r>
      <w:r>
        <w:t xml:space="preserve">— Seller delivered all environmental documents in its possession/control. Seller</w:t>
      </w:r>
      <w:r>
        <w:t xml:space="preserve"> </w:t>
      </w:r>
      <w:r>
        <w:rPr>
          <w:b/>
          <w:bCs/>
        </w:rPr>
        <w:t xml:space="preserve">declined to produce corporate records from 1961–1990</w:t>
      </w:r>
      <w:r>
        <w:t xml:space="preserve"> </w:t>
      </w:r>
      <w:r>
        <w:t xml:space="preserve">and did not produce the 2003 consent order (described as</w:t>
      </w:r>
      <w:r>
        <w:t xml:space="preserve"> </w:t>
      </w:r>
      <w:r>
        <w:t xml:space="preserve">“</w:t>
      </w:r>
      <w:r>
        <w:t xml:space="preserve">archived</w:t>
      </w:r>
      <w:r>
        <w:t xml:space="preserve">”</w:t>
      </w:r>
      <w:r>
        <w:t xml:space="preserve">).</w:t>
      </w:r>
    </w:p>
    <w:p>
      <w:pPr>
        <w:pStyle w:val="Compact"/>
        <w:numPr>
          <w:ilvl w:val="0"/>
          <w:numId w:val="1003"/>
        </w:numPr>
      </w:pPr>
      <w:r>
        <w:rPr>
          <w:b/>
          <w:bCs/>
        </w:rPr>
        <w:t xml:space="preserve">§ 4.12(e)</w:t>
      </w:r>
      <w:r>
        <w:t xml:space="preserve"> </w:t>
      </w:r>
      <w:r>
        <w:t xml:space="preserve">—</w:t>
      </w:r>
      <w:r>
        <w:t xml:space="preserve"> </w:t>
      </w:r>
      <w:r>
        <w:t xml:space="preserve">“</w:t>
      </w:r>
      <w:r>
        <w:t xml:space="preserve">no … institutional controls, activity and use limitations, or environmental covenants … applicable to the Property.</w:t>
      </w:r>
      <w:r>
        <w:t xml:space="preserve">”</w:t>
      </w:r>
      <w:r>
        <w:t xml:space="preserve"> </w:t>
      </w:r>
      <w:r>
        <w:t xml:space="preserve">Potentially inaccurate in light of the</w:t>
      </w:r>
      <w:r>
        <w:t xml:space="preserve"> </w:t>
      </w:r>
      <w:r>
        <w:rPr>
          <w:b/>
          <w:bCs/>
        </w:rPr>
        <w:t xml:space="preserve">GMZ</w:t>
      </w:r>
      <w:r>
        <w:t xml:space="preserve"> </w:t>
      </w:r>
      <w:r>
        <w:t xml:space="preserve">designation, which may constitute an activity/use limitation applicable to the Property.</w:t>
      </w:r>
    </w:p>
    <w:p>
      <w:pPr>
        <w:pStyle w:val="Compact"/>
        <w:numPr>
          <w:ilvl w:val="0"/>
          <w:numId w:val="1003"/>
        </w:numPr>
      </w:pPr>
      <w:r>
        <w:rPr>
          <w:b/>
          <w:bCs/>
        </w:rPr>
        <w:t xml:space="preserve">§ 4.13(a) / Schedule 4.13</w:t>
      </w:r>
      <w:r>
        <w:t xml:space="preserve"> </w:t>
      </w:r>
      <w:r>
        <w:t xml:space="preserve">—</w:t>
      </w:r>
      <w:r>
        <w:t xml:space="preserve"> </w:t>
      </w:r>
      <w:r>
        <w:t xml:space="preserve">“</w:t>
      </w:r>
      <w:r>
        <w:t xml:space="preserve">No other Underground Storage Tanks are or have been located on the Property.</w:t>
      </w:r>
      <w:r>
        <w:t xml:space="preserve">”</w:t>
      </w:r>
      <w:r>
        <w:t xml:space="preserve"> </w:t>
      </w:r>
      <w:r>
        <w:rPr>
          <w:b/>
          <w:bCs/>
        </w:rPr>
        <w:t xml:space="preserve">Inaccurate</w:t>
      </w:r>
      <w:r>
        <w:t xml:space="preserve"> </w:t>
      </w:r>
      <w:r>
        <w:t xml:space="preserve">(see Issue H-3).</w:t>
      </w:r>
    </w:p>
    <w:p>
      <w:pPr>
        <w:pStyle w:val="FirstParagraph"/>
      </w:pPr>
      <w:r>
        <w:rPr>
          <w:b/>
          <w:bCs/>
        </w:rPr>
        <w:t xml:space="preserve">Knowledge and credibility concerns.</w:t>
      </w:r>
      <w:r>
        <w:t xml:space="preserve"> </w:t>
      </w:r>
      <w:r>
        <w:t xml:space="preserve">Seller’s principal, Gerald Breckenridge III, stated he was</w:t>
      </w:r>
      <w:r>
        <w:t xml:space="preserve"> </w:t>
      </w:r>
      <w:r>
        <w:t xml:space="preserve">“</w:t>
      </w:r>
      <w:r>
        <w:t xml:space="preserve">not aware of any spills,</w:t>
      </w:r>
      <w:r>
        <w:t xml:space="preserve">”</w:t>
      </w:r>
      <w:r>
        <w:t xml:space="preserve"> </w:t>
      </w:r>
      <w:r>
        <w:t xml:space="preserve">even after being shown the 1988 Fire Department spill report, and characterized the 2003 NOV as</w:t>
      </w:r>
      <w:r>
        <w:t xml:space="preserve"> </w:t>
      </w:r>
      <w:r>
        <w:t xml:space="preserve">“</w:t>
      </w:r>
      <w:r>
        <w:t xml:space="preserve">a routine regulatory matter</w:t>
      </w:r>
      <w:r>
        <w:t xml:space="preserve">”</w:t>
      </w:r>
      <w:r>
        <w:t xml:space="preserve"> </w:t>
      </w:r>
      <w:r>
        <w:t xml:space="preserve">— despite being personally named on the NOV. He claimed</w:t>
      </w:r>
      <w:r>
        <w:t xml:space="preserve"> </w:t>
      </w:r>
      <w:r>
        <w:t xml:space="preserve">“</w:t>
      </w:r>
      <w:r>
        <w:t xml:space="preserve">all the chemicals were handled properly</w:t>
      </w:r>
      <w:r>
        <w:t xml:space="preserve">”</w:t>
      </w:r>
      <w:r>
        <w:t xml:space="preserve"> </w:t>
      </w:r>
      <w:r>
        <w:t xml:space="preserve">without supporting documentation and refused to produce pre-1990 corporate records. These statements, juxtaposed with the documentary record, raise a</w:t>
      </w:r>
      <w:r>
        <w:t xml:space="preserve"> </w:t>
      </w:r>
      <w:r>
        <w:rPr>
          <w:b/>
          <w:bCs/>
        </w:rPr>
        <w:t xml:space="preserve">potential fraud / intentional misrepresentation</w:t>
      </w:r>
      <w:r>
        <w:t xml:space="preserve"> </w:t>
      </w:r>
      <w:r>
        <w:t xml:space="preserve">concern. Under § 8.4(d) of the Agreement, losses arising from fraud or intentional misrepresentation are</w:t>
      </w:r>
      <w:r>
        <w:t xml:space="preserve"> </w:t>
      </w:r>
      <w:r>
        <w:rPr>
          <w:b/>
          <w:bCs/>
        </w:rPr>
        <w:t xml:space="preserve">not subject to the Basket, the Indemnification Cap, or the Survival Period</w:t>
      </w:r>
      <w:r>
        <w:t xml:space="preserve"> </w:t>
      </w:r>
      <w:r>
        <w:t xml:space="preserve">— i.e., such a finding would pierce the contractual limitations and expose Seller to uncapped liability. Counsel should evaluate whether to demand correction of the schedules, expanded survival for environmental reps, and/or an escrow/holdback, and should preserve the fraud theory.</w:t>
      </w:r>
    </w:p>
    <w:bookmarkEnd w:id="32"/>
    <w:bookmarkStart w:id="33" w:name="X6f3dcf4ec085f58d64437b8708875e8f230fc06"/>
    <w:p>
      <w:pPr>
        <w:pStyle w:val="Heading4"/>
      </w:pPr>
      <w:r>
        <w:t xml:space="preserve">H-6. Unexplained, damaged monitoring well (MW-1)</w:t>
      </w:r>
    </w:p>
    <w:p>
      <w:pPr>
        <w:pStyle w:val="FirstParagraph"/>
      </w:pPr>
      <w:r>
        <w:t xml:space="preserve">A monitoring well labeled</w:t>
      </w:r>
      <w:r>
        <w:t xml:space="preserve"> </w:t>
      </w:r>
      <w:r>
        <w:t xml:space="preserve">“</w:t>
      </w:r>
      <w:r>
        <w:t xml:space="preserve">MW-1</w:t>
      </w:r>
      <w:r>
        <w:t xml:space="preserve">”</w:t>
      </w:r>
      <w:r>
        <w:t xml:space="preserve"> </w:t>
      </w:r>
      <w:r>
        <w:t xml:space="preserve">was observed near the northeast Property boundary. The well is in disrepair (cracked PVC cover, loose bolting, accumulated debris).</w:t>
      </w:r>
      <w:r>
        <w:t xml:space="preserve"> </w:t>
      </w:r>
      <w:r>
        <w:rPr>
          <w:b/>
          <w:bCs/>
        </w:rPr>
        <w:t xml:space="preserve">No installation records, construction logs, or analytical data</w:t>
      </w:r>
      <w:r>
        <w:t xml:space="preserve"> </w:t>
      </w:r>
      <w:r>
        <w:t xml:space="preserve">for this well were located, and Seller’s principal stated he did not know who installed it, when, or why. An unexplained monitoring well strongly suggests a</w:t>
      </w:r>
      <w:r>
        <w:t xml:space="preserve"> </w:t>
      </w:r>
      <w:r>
        <w:rPr>
          <w:b/>
          <w:bCs/>
        </w:rPr>
        <w:t xml:space="preserve">prior environmental investigation that was not disclosed</w:t>
      </w:r>
      <w:r>
        <w:t xml:space="preserve">. Its location near the northern boundary — the direction of the Lake Erie Dry Cleaning PCE plume — is notable; it may have been installed to monitor that plume. The existence of MW-1 should be investigated (well search, Ohio EPA/BUSTR file follow-up, and attempts to locate any associated report), and the well should be properly surveyed and, if appropriate, sampled during the Phase II.</w:t>
      </w:r>
    </w:p>
    <w:bookmarkEnd w:id="33"/>
    <w:bookmarkEnd w:id="34"/>
    <w:bookmarkStart w:id="40" w:name="c.-medium-issues"/>
    <w:p>
      <w:pPr>
        <w:pStyle w:val="Heading3"/>
      </w:pPr>
      <w:r>
        <w:t xml:space="preserve">C. Medium Issues</w:t>
      </w:r>
    </w:p>
    <w:bookmarkStart w:id="35" w:name="Xe0b3e1b39be13c33534a7d8488a0917070d021f"/>
    <w:p>
      <w:pPr>
        <w:pStyle w:val="Heading4"/>
      </w:pPr>
      <w:r>
        <w:t xml:space="preserve">M-1. Lender-triggered requirements on a compressed timeline</w:t>
      </w:r>
    </w:p>
    <w:p>
      <w:pPr>
        <w:pStyle w:val="FirstParagraph"/>
      </w:pPr>
      <w:r>
        <w:t xml:space="preserve">Because the Phase I ESA identifies RECs, the Lender’s Section 3.B requirements are triggered in full: (1) a</w:t>
      </w:r>
      <w:r>
        <w:t xml:space="preserve"> </w:t>
      </w:r>
      <w:r>
        <w:rPr>
          <w:b/>
          <w:bCs/>
        </w:rPr>
        <w:t xml:space="preserve">Phase II ESA</w:t>
      </w:r>
      <w:r>
        <w:t xml:space="preserve"> </w:t>
      </w:r>
      <w:r>
        <w:t xml:space="preserve">conforming to ASTM E1903-19 with</w:t>
      </w:r>
      <w:r>
        <w:t xml:space="preserve"> </w:t>
      </w:r>
      <w:r>
        <w:rPr>
          <w:b/>
          <w:bCs/>
        </w:rPr>
        <w:t xml:space="preserve">quantified remediation cost estimates</w:t>
      </w:r>
      <w:r>
        <w:t xml:space="preserve"> </w:t>
      </w:r>
      <w:r>
        <w:t xml:space="preserve">(best-case, most-likely, worst-case); (2)</w:t>
      </w:r>
      <w:r>
        <w:t xml:space="preserve"> </w:t>
      </w:r>
      <w:r>
        <w:rPr>
          <w:b/>
          <w:bCs/>
        </w:rPr>
        <w:t xml:space="preserve">Pollution Legal Liability (PLL) insurance</w:t>
      </w:r>
      <w:r>
        <w:t xml:space="preserve"> </w:t>
      </w:r>
      <w:r>
        <w:t xml:space="preserve">with limits of not less than the greater of the worst-case estimate or</w:t>
      </w:r>
      <w:r>
        <w:t xml:space="preserve"> </w:t>
      </w:r>
      <w:r>
        <w:rPr>
          <w:b/>
          <w:bCs/>
        </w:rPr>
        <w:t xml:space="preserve">$5,000,000</w:t>
      </w:r>
      <w:r>
        <w:t xml:space="preserve">, a term of not less than</w:t>
      </w:r>
      <w:r>
        <w:t xml:space="preserve"> </w:t>
      </w:r>
      <w:r>
        <w:rPr>
          <w:b/>
          <w:bCs/>
        </w:rPr>
        <w:t xml:space="preserve">10 years</w:t>
      </w:r>
      <w:r>
        <w:t xml:space="preserve">, with the Bank as additional insured and loss payee; (3) an</w:t>
      </w:r>
      <w:r>
        <w:t xml:space="preserve"> </w:t>
      </w:r>
      <w:r>
        <w:rPr>
          <w:b/>
          <w:bCs/>
        </w:rPr>
        <w:t xml:space="preserve">Environmental Escrow</w:t>
      </w:r>
      <w:r>
        <w:t xml:space="preserve"> </w:t>
      </w:r>
      <w:r>
        <w:t xml:space="preserve">of</w:t>
      </w:r>
      <w:r>
        <w:t xml:space="preserve"> </w:t>
      </w:r>
      <w:r>
        <w:rPr>
          <w:b/>
          <w:bCs/>
        </w:rPr>
        <w:t xml:space="preserve">125% of the most-likely estimate</w:t>
      </w:r>
      <w:r>
        <w:t xml:space="preserve"> </w:t>
      </w:r>
      <w:r>
        <w:t xml:space="preserve">if that estimate exceeds $250,000; (4) a</w:t>
      </w:r>
      <w:r>
        <w:t xml:space="preserve"> </w:t>
      </w:r>
      <w:r>
        <w:rPr>
          <w:b/>
          <w:bCs/>
        </w:rPr>
        <w:t xml:space="preserve">remediation plan</w:t>
      </w:r>
      <w:r>
        <w:t xml:space="preserve"> </w:t>
      </w:r>
      <w:r>
        <w:t xml:space="preserve">(if estimated costs exceed $500,000 under the most-likely or worst-case scenario) completable within 36 months; and (5) a</w:t>
      </w:r>
      <w:r>
        <w:t xml:space="preserve"> </w:t>
      </w:r>
      <w:r>
        <w:rPr>
          <w:b/>
          <w:bCs/>
        </w:rPr>
        <w:t xml:space="preserve">vapor intrusion assessment</w:t>
      </w:r>
      <w:r>
        <w:t xml:space="preserve"> </w:t>
      </w:r>
      <w:r>
        <w:t xml:space="preserve">(VOCs are present — see Issue M-2). Delivery deadlines are tight: Phase I by</w:t>
      </w:r>
      <w:r>
        <w:t xml:space="preserve"> </w:t>
      </w:r>
      <w:r>
        <w:rPr>
          <w:b/>
          <w:bCs/>
        </w:rPr>
        <w:t xml:space="preserve">November 15, 2024</w:t>
      </w:r>
      <w:r>
        <w:t xml:space="preserve"> </w:t>
      </w:r>
      <w:r>
        <w:t xml:space="preserve">(satisfied — report dated October 25, 2024, within the 180-day shelf life); Phase II, PLL binder, and escrow evidence by</w:t>
      </w:r>
      <w:r>
        <w:t xml:space="preserve"> </w:t>
      </w:r>
      <w:r>
        <w:rPr>
          <w:b/>
          <w:bCs/>
        </w:rPr>
        <w:t xml:space="preserve">November 30, 2024</w:t>
      </w:r>
      <w:r>
        <w:t xml:space="preserve">. The Lender may decline to fund or extend closing if these are not met. Note also that the Lender reserves the right to decline if (a) the worst-case estimate exceeds 50% of appraised value, (b) the Property is on the NPL, (c) there is an active RCRA corrective action order, or (d) unresolved data gaps prevent adequate risk characterization (see Issue M-3).</w:t>
      </w:r>
    </w:p>
    <w:bookmarkEnd w:id="35"/>
    <w:bookmarkStart w:id="36" w:name="m-2.-vapor-intrusion-risk-tce-and-pce"/>
    <w:p>
      <w:pPr>
        <w:pStyle w:val="Heading4"/>
      </w:pPr>
      <w:r>
        <w:t xml:space="preserve">M-2. Vapor intrusion risk (TCE and PCE)</w:t>
      </w:r>
    </w:p>
    <w:p>
      <w:pPr>
        <w:pStyle w:val="FirstParagraph"/>
      </w:pPr>
      <w:r>
        <w:t xml:space="preserve">Both principal contaminants of concern — TCE (on-site, Issue H-1) and PCE (off-site plume, Issue C-1) — are carcinogenic VOCs with significant vapor intrusion potential. The Phase I notes that ventilation systems in the former degreasing and electroplating areas are</w:t>
      </w:r>
      <w:r>
        <w:t xml:space="preserve"> </w:t>
      </w:r>
      <w:r>
        <w:rPr>
          <w:b/>
          <w:bCs/>
        </w:rPr>
        <w:t xml:space="preserve">non-functional</w:t>
      </w:r>
      <w:r>
        <w:t xml:space="preserve">. If the Property is redeveloped for occupied use (warehouse with offices, light industrial), vapor intrusion could pose an indoor-air risk and trigger mitigation requirements. The Lender expressly requires a vapor intrusion assessment where VOCs are present in soil/groundwater, and a vapor mitigation plan if warranted. This should be integrated into the Phase II scope and into redevelopment planning/cost estimates.</w:t>
      </w:r>
    </w:p>
    <w:bookmarkEnd w:id="36"/>
    <w:bookmarkStart w:id="37" w:name="m-3.-data-gaps"/>
    <w:p>
      <w:pPr>
        <w:pStyle w:val="Heading4"/>
      </w:pPr>
      <w:r>
        <w:t xml:space="preserve">M-3. Data gaps</w:t>
      </w:r>
    </w:p>
    <w:p>
      <w:pPr>
        <w:pStyle w:val="FirstParagraph"/>
      </w:pPr>
      <w:r>
        <w:t xml:space="preserve">Several data gaps limit full characterization: (i)</w:t>
      </w:r>
      <w:r>
        <w:t xml:space="preserve"> </w:t>
      </w:r>
      <w:r>
        <w:rPr>
          <w:b/>
          <w:bCs/>
        </w:rPr>
        <w:t xml:space="preserve">39 years of missing hazardous waste manifests</w:t>
      </w:r>
      <w:r>
        <w:t xml:space="preserve"> </w:t>
      </w:r>
      <w:r>
        <w:t xml:space="preserve">(1965–2003) for the electroplating operations — only 2004 manifests exist; (ii)</w:t>
      </w:r>
      <w:r>
        <w:t xml:space="preserve"> </w:t>
      </w:r>
      <w:r>
        <w:rPr>
          <w:b/>
          <w:bCs/>
        </w:rPr>
        <w:t xml:space="preserve">corporate records 1961–1990 withheld</w:t>
      </w:r>
      <w:r>
        <w:t xml:space="preserve"> </w:t>
      </w:r>
      <w:r>
        <w:t xml:space="preserve">by Seller; (iii) the</w:t>
      </w:r>
      <w:r>
        <w:t xml:space="preserve"> </w:t>
      </w:r>
      <w:r>
        <w:rPr>
          <w:b/>
          <w:bCs/>
        </w:rPr>
        <w:t xml:space="preserve">2003 consent order is archived and its resolution is undocumented</w:t>
      </w:r>
      <w:r>
        <w:t xml:space="preserve"> </w:t>
      </w:r>
      <w:r>
        <w:t xml:space="preserve">(Ohio EPA notes only that the matter was</w:t>
      </w:r>
      <w:r>
        <w:t xml:space="preserve"> </w:t>
      </w:r>
      <w:r>
        <w:t xml:space="preserve">“</w:t>
      </w:r>
      <w:r>
        <w:t xml:space="preserve">reportedly resolved</w:t>
      </w:r>
      <w:r>
        <w:t xml:space="preserve">”</w:t>
      </w:r>
      <w:r>
        <w:t xml:space="preserve">); (iv) the</w:t>
      </w:r>
      <w:r>
        <w:t xml:space="preserve"> </w:t>
      </w:r>
      <w:r>
        <w:rPr>
          <w:b/>
          <w:bCs/>
        </w:rPr>
        <w:t xml:space="preserve">unregistered USTs</w:t>
      </w:r>
      <w:r>
        <w:t xml:space="preserve"> </w:t>
      </w:r>
      <w:r>
        <w:t xml:space="preserve">(Issue H-3) and</w:t>
      </w:r>
      <w:r>
        <w:t xml:space="preserve"> </w:t>
      </w:r>
      <w:r>
        <w:rPr>
          <w:b/>
          <w:bCs/>
        </w:rPr>
        <w:t xml:space="preserve">MW-1</w:t>
      </w:r>
      <w:r>
        <w:t xml:space="preserve"> </w:t>
      </w:r>
      <w:r>
        <w:t xml:space="preserve">(Issue H-6) are unresolved. Under the Lender’s policy, unresolved data gaps that prevent adequate risk characterization are a basis to decline funding. These gaps also weaken the AAI/continuing-obligations record. The Ohio EPA file review for the Toledo Property appears to have been completed (the September 28, 2024 response), but the archived consent order should be requested from Ohio EPA Central Office (30–45 business days).</w:t>
      </w:r>
    </w:p>
    <w:bookmarkEnd w:id="37"/>
    <w:bookmarkStart w:id="38" w:name="Xfccc32b795eba92002ba6b80477d20c86bf2742"/>
    <w:p>
      <w:pPr>
        <w:pStyle w:val="Heading4"/>
      </w:pPr>
      <w:r>
        <w:t xml:space="preserve">M-4. Purchase agreement termination right — compressed window and threshold</w:t>
      </w:r>
    </w:p>
    <w:p>
      <w:pPr>
        <w:pStyle w:val="FirstParagraph"/>
      </w:pPr>
      <w:r>
        <w:t xml:space="preserve">Under § 6.3(b), Buyer may terminate and recover the earnest money only if the Phase I (or other investigation) identifies RECs that</w:t>
      </w:r>
      <w:r>
        <w:t xml:space="preserve"> </w:t>
      </w:r>
      <w:r>
        <w:t xml:space="preserve">“</w:t>
      </w:r>
      <w:r>
        <w:t xml:space="preserve">could result in Remediation Costs exceeding $500,000,</w:t>
      </w:r>
      <w:r>
        <w:t xml:space="preserve">”</w:t>
      </w:r>
      <w:r>
        <w:t xml:space="preserve"> </w:t>
      </w:r>
      <w:r>
        <w:t xml:space="preserve">by written notice</w:t>
      </w:r>
      <w:r>
        <w:t xml:space="preserve"> </w:t>
      </w:r>
      <w:r>
        <w:rPr>
          <w:b/>
          <w:bCs/>
        </w:rPr>
        <w:t xml:space="preserve">on or before October 31, 2024</w:t>
      </w:r>
      <w:r>
        <w:t xml:space="preserve">. The Phase I is dated October 25, 2024, leaving approximately</w:t>
      </w:r>
      <w:r>
        <w:t xml:space="preserve"> </w:t>
      </w:r>
      <w:r>
        <w:rPr>
          <w:b/>
          <w:bCs/>
        </w:rPr>
        <w:t xml:space="preserve">six business days</w:t>
      </w:r>
      <w:r>
        <w:t xml:space="preserve"> </w:t>
      </w:r>
      <w:r>
        <w:t xml:space="preserve">to evaluate and decide. If Buyer does not terminate by October 31, the termination right is</w:t>
      </w:r>
      <w:r>
        <w:t xml:space="preserve"> </w:t>
      </w:r>
      <w:r>
        <w:rPr>
          <w:b/>
          <w:bCs/>
        </w:rPr>
        <w:t xml:space="preserve">automatically waived</w:t>
      </w:r>
      <w:r>
        <w:t xml:space="preserve"> </w:t>
      </w:r>
      <w:r>
        <w:t xml:space="preserve">(§ 6.3(c)), though indemnification rights survive. Given the combination of TCE, hexavalent chromium, an off-site PCE plume, and uncharacterized USTs, remediation costs could readily exceed $500,000; counsel should promptly assess whether to (a) issue a protective termination notice, (b) negotiate an extension of the due diligence period, or (c) proceed on the strength of the indemnity (noting its limitations — Issue M-5). Any additional investigation after October 31 is at Buyer’s sole cost and does not revive the termination right.</w:t>
      </w:r>
    </w:p>
    <w:bookmarkEnd w:id="38"/>
    <w:bookmarkStart w:id="39" w:name="Xee7c3d6892f62a19210dd8cb8b850a4d4c102ee"/>
    <w:p>
      <w:pPr>
        <w:pStyle w:val="Heading4"/>
      </w:pPr>
      <w:r>
        <w:t xml:space="preserve">M-5. Indemnification cap/basket/survival may be insufficient</w:t>
      </w:r>
    </w:p>
    <w:p>
      <w:pPr>
        <w:pStyle w:val="FirstParagraph"/>
      </w:pPr>
      <w:r>
        <w:t xml:space="preserve">Seller’s aggregate indemnification liability is capped at</w:t>
      </w:r>
      <w:r>
        <w:t xml:space="preserve"> </w:t>
      </w:r>
      <w:r>
        <w:rPr>
          <w:b/>
          <w:bCs/>
        </w:rPr>
        <w:t xml:space="preserve">$1,750,000 (20% of the Purchase Price)</w:t>
      </w:r>
      <w:r>
        <w:t xml:space="preserve"> </w:t>
      </w:r>
      <w:r>
        <w:t xml:space="preserve">(§ 8.4(b)), with a</w:t>
      </w:r>
      <w:r>
        <w:t xml:space="preserve"> </w:t>
      </w:r>
      <w:r>
        <w:rPr>
          <w:b/>
          <w:bCs/>
        </w:rPr>
        <w:t xml:space="preserve">3-year survival period</w:t>
      </w:r>
      <w:r>
        <w:t xml:space="preserve"> </w:t>
      </w:r>
      <w:r>
        <w:t xml:space="preserve">(§ 8.4(c)). The Basket ($87,500) does</w:t>
      </w:r>
      <w:r>
        <w:t xml:space="preserve"> </w:t>
      </w:r>
      <w:r>
        <w:rPr>
          <w:b/>
          <w:bCs/>
        </w:rPr>
        <w:t xml:space="preserve">not</w:t>
      </w:r>
      <w:r>
        <w:t xml:space="preserve"> </w:t>
      </w:r>
      <w:r>
        <w:t xml:space="preserve">apply to Pre-Closing Environmental Liabilities (§ 8.4(a)), but the Cap and Survival Period do. Remediation of chlorinated solvent (TCE/PCE) and hexavalent chromium contamination — particularly if groundwater remediation, vapor mitigation, or long-term monitoring is required — can substantially exceed $1,750,000, and a 3-year survival period may be shorter than the time needed to discover and assert subsurface claims. The principal lever to exceed these limits is the</w:t>
      </w:r>
      <w:r>
        <w:t xml:space="preserve"> </w:t>
      </w:r>
      <w:r>
        <w:rPr>
          <w:b/>
          <w:bCs/>
        </w:rPr>
        <w:t xml:space="preserve">fraud/intentional misrepresentation</w:t>
      </w:r>
      <w:r>
        <w:t xml:space="preserve"> </w:t>
      </w:r>
      <w:r>
        <w:t xml:space="preserve">exception (§ 8.4(d)), which is supported by the apparent inaccuracies in Seller’s schedules (Issue H-5). Counsel should consider negotiating a higher or separate environmental cap, extended survival for environmental matters, and/or a remediation escrow/holdback, and should not rely on the indemnity alone to cover the Lender’s required risk allocation (the Lender will not rely solely on seller indemnity — it requires insurance and/or escrow).</w:t>
      </w:r>
    </w:p>
    <w:bookmarkEnd w:id="39"/>
    <w:bookmarkEnd w:id="40"/>
    <w:bookmarkStart w:id="41" w:name="d.-low-issues"/>
    <w:p>
      <w:pPr>
        <w:pStyle w:val="Heading3"/>
      </w:pPr>
      <w:r>
        <w:t xml:space="preserve">D. Low Issues</w:t>
      </w:r>
    </w:p>
    <w:p>
      <w:pPr>
        <w:pStyle w:val="Compact"/>
        <w:numPr>
          <w:ilvl w:val="0"/>
          <w:numId w:val="1004"/>
        </w:numPr>
      </w:pPr>
      <w:r>
        <w:rPr>
          <w:b/>
          <w:bCs/>
        </w:rPr>
        <w:t xml:space="preserve">L-1. RCRA SQG status.</w:t>
      </w:r>
      <w:r>
        <w:t xml:space="preserve"> </w:t>
      </w:r>
      <w:r>
        <w:t xml:space="preserve">The Property is listed as a RCRA Small Quantity Generator (EPA ID OHD044891237). This is a routine regulatory classification; ECHO shows no formal enforcement actions or penalties. Not a REC.</w:t>
      </w:r>
    </w:p>
    <w:p>
      <w:pPr>
        <w:pStyle w:val="Compact"/>
        <w:numPr>
          <w:ilvl w:val="0"/>
          <w:numId w:val="1004"/>
        </w:numPr>
      </w:pPr>
      <w:r>
        <w:rPr>
          <w:b/>
          <w:bCs/>
        </w:rPr>
        <w:t xml:space="preserve">L-2. Active 10,000-gallon diesel UST.</w:t>
      </w:r>
      <w:r>
        <w:t xml:space="preserve"> </w:t>
      </w:r>
      <w:r>
        <w:t xml:space="preserve">Registered (Facility ID 48-22-10-0087), installed 1978, corrosion-protection upgrade 1998, last inspected May 2022 with no violations; no evidence of release. Compliant. Note: the Lender’s post-closing covenants prohibit installing, using, operating, or closing any UST without the Bank’s prior written consent — Buyer should factor this active UST into ongoing compliance and any redevelopment plans.</w:t>
      </w:r>
    </w:p>
    <w:p>
      <w:pPr>
        <w:pStyle w:val="Compact"/>
        <w:numPr>
          <w:ilvl w:val="0"/>
          <w:numId w:val="1004"/>
        </w:numPr>
      </w:pPr>
      <w:r>
        <w:rPr>
          <w:b/>
          <w:bCs/>
        </w:rPr>
        <w:t xml:space="preserve">L-3. Toledo Coatings &amp; Adhesives Inc. (adjacent east).</w:t>
      </w:r>
      <w:r>
        <w:t xml:space="preserve"> </w:t>
      </w:r>
      <w:r>
        <w:t xml:space="preserve">CERCLIS/SEMS archive; EPA NFRAP determination 1999; no documented plume migrating toward the Property. Not a REC.</w:t>
      </w:r>
    </w:p>
    <w:p>
      <w:pPr>
        <w:pStyle w:val="Compact"/>
        <w:numPr>
          <w:ilvl w:val="0"/>
          <w:numId w:val="1004"/>
        </w:numPr>
      </w:pPr>
      <w:r>
        <w:rPr>
          <w:b/>
          <w:bCs/>
        </w:rPr>
        <w:t xml:space="preserve">L-4. Other nearby listings.</w:t>
      </w:r>
      <w:r>
        <w:t xml:space="preserve"> </w:t>
      </w:r>
      <w:r>
        <w:t xml:space="preserve">Bayshore Auto Salvage (closed LUST, NFA 2003, plume migrating away); Metro Petroleum (modern compliant facility, 0.30 mi); Great Lakes Metal Finishing (compliant SQG, no releases); former Sunoco Station #4477 (closed LUST, NFA 1999). All closed/compliant or sufficiently distant. Not RECs.</w:t>
      </w:r>
    </w:p>
    <w:p>
      <w:pPr>
        <w:pStyle w:val="Compact"/>
        <w:numPr>
          <w:ilvl w:val="0"/>
          <w:numId w:val="1004"/>
        </w:numPr>
      </w:pPr>
      <w:r>
        <w:rPr>
          <w:b/>
          <w:bCs/>
        </w:rPr>
        <w:t xml:space="preserve">L-5. Norfolk Southern Railroad herbicide.</w:t>
      </w:r>
      <w:r>
        <w:t xml:space="preserve"> </w:t>
      </w:r>
      <w:r>
        <w:t xml:space="preserve">Standard right-of-way maintenance; de minimis.</w:t>
      </w:r>
    </w:p>
    <w:p>
      <w:pPr>
        <w:pStyle w:val="Compact"/>
        <w:numPr>
          <w:ilvl w:val="0"/>
          <w:numId w:val="1004"/>
        </w:numPr>
      </w:pPr>
      <w:r>
        <w:rPr>
          <w:b/>
          <w:bCs/>
        </w:rPr>
        <w:t xml:space="preserve">L-6. Non-scope items (asbestos / lead-based paint).</w:t>
      </w:r>
      <w:r>
        <w:t xml:space="preserve"> </w:t>
      </w:r>
      <w:r>
        <w:t xml:space="preserve">The main building (1962/1978) and other structures predate bans on asbestos-containing materials and lead-based paint. No ACM/LBP survey was performed (outside ASTM scope). If renovation or demolition is planned, a separate ACM/LBP survey is recommended before disturbance.</w:t>
      </w:r>
    </w:p>
    <w:bookmarkEnd w:id="41"/>
    <w:bookmarkEnd w:id="42"/>
    <w:bookmarkStart w:id="43" w:name="Xce3f5eb3d626e6d9215aed206071637fd287f68"/>
    <w:p>
      <w:pPr>
        <w:pStyle w:val="Heading2"/>
      </w:pPr>
      <w:r>
        <w:t xml:space="preserve">7. Contractual and Lender Implications — Summary</w:t>
      </w:r>
    </w:p>
    <w:p>
      <w:pPr>
        <w:pStyle w:val="Compact"/>
        <w:numPr>
          <w:ilvl w:val="0"/>
          <w:numId w:val="1005"/>
        </w:numPr>
      </w:pPr>
      <w:r>
        <w:rPr>
          <w:b/>
          <w:bCs/>
        </w:rPr>
        <w:t xml:space="preserve">Lender conditions.</w:t>
      </w:r>
      <w:r>
        <w:t xml:space="preserve"> </w:t>
      </w:r>
      <w:r>
        <w:t xml:space="preserve">RECs are identified, so the Lender’s full Section 3.B suite applies (Phase II, PLL insurance ≥ $5M/10-yr, possible escrow, possible remediation plan, vapor assessment). The Phase I’s failure to classify the off-site PCE plume as a REC (Issue C-1) is a non-conformance with an express Lender requirement and should be corrected before submission. The Greenfield report otherwise satisfies key Lender thresholds (ASTM E1527-21; Bank named as reliance party; site reconnaissance within 180 days of closing; consultant PL insurance $5M ≥ required $2M).</w:t>
      </w:r>
    </w:p>
    <w:p>
      <w:pPr>
        <w:pStyle w:val="Compact"/>
        <w:numPr>
          <w:ilvl w:val="0"/>
          <w:numId w:val="1005"/>
        </w:numPr>
      </w:pPr>
      <w:r>
        <w:rPr>
          <w:b/>
          <w:bCs/>
        </w:rPr>
        <w:t xml:space="preserve">Seller representations.</w:t>
      </w:r>
      <w:r>
        <w:t xml:space="preserve"> </w:t>
      </w:r>
      <w:r>
        <w:t xml:space="preserve">Multiple environmental reps appear breached (Issue H-5), most clearly § 4.12(c) (no Environmental Notice) and § 4.13(a) (Schedule 4.13 UST list). The fraud exception (§ 8.4(d)) is the primary path to uncapped recovery and should be preserved.</w:t>
      </w:r>
    </w:p>
    <w:p>
      <w:pPr>
        <w:pStyle w:val="Compact"/>
        <w:numPr>
          <w:ilvl w:val="0"/>
          <w:numId w:val="1005"/>
        </w:numPr>
      </w:pPr>
      <w:r>
        <w:rPr>
          <w:b/>
          <w:bCs/>
        </w:rPr>
        <w:t xml:space="preserve">Termination decision.</w:t>
      </w:r>
      <w:r>
        <w:t xml:space="preserve"> </w:t>
      </w:r>
      <w:r>
        <w:t xml:space="preserve">The § 6.3(b) termination right expires October 31, 2024. A decision must be made within days (Issue M-4).</w:t>
      </w:r>
    </w:p>
    <w:p>
      <w:pPr>
        <w:pStyle w:val="Compact"/>
        <w:numPr>
          <w:ilvl w:val="0"/>
          <w:numId w:val="1005"/>
        </w:numPr>
      </w:pPr>
      <w:r>
        <w:rPr>
          <w:b/>
          <w:bCs/>
        </w:rPr>
        <w:t xml:space="preserve">Risk allocation.</w:t>
      </w:r>
      <w:r>
        <w:t xml:space="preserve"> </w:t>
      </w:r>
      <w:r>
        <w:t xml:space="preserve">The $1,750,000 cap and 3-year survival may be inadequate for the contaminant profile (Issue M-5). The Lender will not accept seller indemnity alone; insurance/escrow is required.</w:t>
      </w:r>
    </w:p>
    <w:bookmarkEnd w:id="43"/>
    <w:bookmarkStart w:id="44" w:name="recommendations-and-next-steps"/>
    <w:p>
      <w:pPr>
        <w:pStyle w:val="Heading2"/>
      </w:pPr>
      <w:r>
        <w:t xml:space="preserve">8. Recommendations and Next Steps</w:t>
      </w:r>
    </w:p>
    <w:p>
      <w:pPr>
        <w:pStyle w:val="Compact"/>
        <w:numPr>
          <w:ilvl w:val="0"/>
          <w:numId w:val="1006"/>
        </w:numPr>
      </w:pPr>
      <w:r>
        <w:rPr>
          <w:b/>
          <w:bCs/>
        </w:rPr>
        <w:t xml:space="preserve">Correct the Phase I ESA.</w:t>
      </w:r>
      <w:r>
        <w:t xml:space="preserve"> </w:t>
      </w:r>
      <w:r>
        <w:t xml:space="preserve">Direct Greenfield to supplement the Phase I to (a) classify the Lake Erie Dry Cleaning PCE plume as a REC (or CREC, as appropriate) and describe the GMZ, and (b) re-evaluate the east-side drum storage area (Issue H-4) and the unregistered USTs (Issue H-3) for REC classification. Confirm the report remains within the 180-day AAI shelf life.</w:t>
      </w:r>
    </w:p>
    <w:p>
      <w:pPr>
        <w:pStyle w:val="Compact"/>
        <w:numPr>
          <w:ilvl w:val="0"/>
          <w:numId w:val="1006"/>
        </w:numPr>
      </w:pPr>
      <w:r>
        <w:rPr>
          <w:b/>
          <w:bCs/>
        </w:rPr>
        <w:t xml:space="preserve">Commission a Phase II ESA (ASTM E1903-19)</w:t>
      </w:r>
      <w:r>
        <w:t xml:space="preserve"> </w:t>
      </w:r>
      <w:r>
        <w:t xml:space="preserve">targeting: (i) the former TCE degreasing area and the abandoned TCE drum (soil, groundwater, and sub-slab/indoor-air vapor); (ii) the former electroplating room (sump liquid characterization, sub-slab soil, and groundwater for hexavalent chromium and nickel); (iii) the east-side former drum storage area (soil for metals and VOCs); (iv) the northern Property boundary (groundwater monitoring wells for PCE/TCE to delineate the off-site plume and assess vapor intrusion); and (v) geophysical survey/test pits to locate the 2,000-gal waste solvent UST and 500-gal heating oil UST. Include quantified best-/most-likely/worst-case remediation cost estimates.</w:t>
      </w:r>
    </w:p>
    <w:p>
      <w:pPr>
        <w:pStyle w:val="Compact"/>
        <w:numPr>
          <w:ilvl w:val="0"/>
          <w:numId w:val="1006"/>
        </w:numPr>
      </w:pPr>
      <w:r>
        <w:rPr>
          <w:b/>
          <w:bCs/>
        </w:rPr>
        <w:t xml:space="preserve">Pursue the missing records.</w:t>
      </w:r>
      <w:r>
        <w:t xml:space="preserve"> </w:t>
      </w:r>
      <w:r>
        <w:t xml:space="preserve">Request the archived 2003 consent order and compliance certification from Ohio EPA Central Office; demand Seller produce the 1961–1990 corporate records; investigate the origin of MW-1.</w:t>
      </w:r>
    </w:p>
    <w:p>
      <w:pPr>
        <w:pStyle w:val="Compact"/>
        <w:numPr>
          <w:ilvl w:val="0"/>
          <w:numId w:val="1006"/>
        </w:numPr>
      </w:pPr>
      <w:r>
        <w:rPr>
          <w:b/>
          <w:bCs/>
        </w:rPr>
        <w:t xml:space="preserve">Address Seller’s schedules.</w:t>
      </w:r>
      <w:r>
        <w:t xml:space="preserve"> </w:t>
      </w:r>
      <w:r>
        <w:t xml:space="preserve">Demand correction of Schedule 4.12(c) (to disclose the 2003 NOV) and Schedule 4.13 (to disclose the 2,000-gal waste solvent UST and 500-gal heating oil UST), and consider whether § 4.12(a)/(b)/(e) require qualification. Preserve the fraud/intentional misrepresentation theory.</w:t>
      </w:r>
    </w:p>
    <w:p>
      <w:pPr>
        <w:pStyle w:val="Compact"/>
        <w:numPr>
          <w:ilvl w:val="0"/>
          <w:numId w:val="1006"/>
        </w:numPr>
      </w:pPr>
      <w:r>
        <w:rPr>
          <w:b/>
          <w:bCs/>
        </w:rPr>
        <w:t xml:space="preserve">Negotiate contract remedies.</w:t>
      </w:r>
      <w:r>
        <w:t xml:space="preserve"> </w:t>
      </w:r>
      <w:r>
        <w:t xml:space="preserve">Seek an extended environmental survival period, a separate/higher environmental cap or carve-out, and/or a remediation escrow/holdback, given the likely cap insufficiency.</w:t>
      </w:r>
    </w:p>
    <w:p>
      <w:pPr>
        <w:pStyle w:val="Compact"/>
        <w:numPr>
          <w:ilvl w:val="0"/>
          <w:numId w:val="1006"/>
        </w:numPr>
      </w:pPr>
      <w:r>
        <w:rPr>
          <w:b/>
          <w:bCs/>
        </w:rPr>
        <w:t xml:space="preserve">Satisfy Lender requirements.</w:t>
      </w:r>
      <w:r>
        <w:t xml:space="preserve"> </w:t>
      </w:r>
      <w:r>
        <w:t xml:space="preserve">Initiate PLL insurance quoting (≥ $5M, 10-yr term, Bank as additional insured/loss payee); plan for a possible Environmental Escrow (125% of most-likely estimate if &gt; $250,000); prepare for a vapor intrusion assessment and possible mitigation plan; calendar the November 15 (Phase I) and November 30 (Phase II/PLL/escrow) delivery deadlines.</w:t>
      </w:r>
    </w:p>
    <w:p>
      <w:pPr>
        <w:pStyle w:val="Compact"/>
        <w:numPr>
          <w:ilvl w:val="0"/>
          <w:numId w:val="1006"/>
        </w:numPr>
      </w:pPr>
      <w:r>
        <w:rPr>
          <w:b/>
          <w:bCs/>
        </w:rPr>
        <w:t xml:space="preserve">Quarantine the Dayton documents.</w:t>
      </w:r>
      <w:r>
        <w:t xml:space="preserve"> </w:t>
      </w:r>
      <w:r>
        <w:t xml:space="preserve">Remove or clearly segregate the three Dayton/Valtec documents (Issue C-2) from the transaction file and confirm no analysis or submission has relied on them.</w:t>
      </w:r>
    </w:p>
    <w:p>
      <w:pPr>
        <w:pStyle w:val="Compact"/>
        <w:numPr>
          <w:ilvl w:val="0"/>
          <w:numId w:val="1006"/>
        </w:numPr>
      </w:pPr>
      <w:r>
        <w:rPr>
          <w:b/>
          <w:bCs/>
        </w:rPr>
        <w:t xml:space="preserve">Make the termination decision.</w:t>
      </w:r>
      <w:r>
        <w:t xml:space="preserve"> </w:t>
      </w:r>
      <w:r>
        <w:t xml:space="preserve">By October 31, 2024, decide — with counsel — whether to (a) terminate under § 6.3(b), (b) negotiate an extension, or (c) proceed on the strength of negotiated remedies and indemnity.</w:t>
      </w:r>
    </w:p>
    <w:bookmarkEnd w:id="44"/>
    <w:bookmarkStart w:id="45" w:name="limitations"/>
    <w:p>
      <w:pPr>
        <w:pStyle w:val="Heading2"/>
      </w:pPr>
      <w:r>
        <w:t xml:space="preserve">9. Limitations</w:t>
      </w:r>
    </w:p>
    <w:p>
      <w:pPr>
        <w:pStyle w:val="FirstParagraph"/>
      </w:pPr>
      <w:r>
        <w:t xml:space="preserve">This memorandum is based solely on the eight documents listed in Section 2 and has not been informed by a Phase II investigation, an appraisal, a title update, or independent sampling. Severity ratings reflect our professional judgment as of the date of this memorandum and may change based on Phase II results, additional records, or further negotiation. This memorandum is privileged and confidential, is intended for the internal use of the Buyer’s deal team and its counsel, and does not constitute a legal opinion, a Phase I/Phase II ESA, or a guarantee of environmental conditions at the Property.</w:t>
      </w:r>
    </w:p>
    <w:bookmarkEnd w:id="45"/>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2026-06-26T23:09:27Z</dcterms:created>
  <dcterms:modified xsi:type="dcterms:W3CDTF">2026-06-26T23:09:27Z</dcterms:modified>
</cp:coreProperties>
</file>

<file path=docProps/custom.xml><?xml version="1.0" encoding="utf-8"?>
<Properties xmlns="http://schemas.openxmlformats.org/officeDocument/2006/custom-properties" xmlns:vt="http://schemas.openxmlformats.org/officeDocument/2006/docPropsVTypes"/>
</file>