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71c490f654c4105499f584bfdddd5889499e1c5"/>
    <w:p>
      <w:pPr>
        <w:pStyle w:val="Heading1"/>
      </w:pPr>
      <w:r>
        <w:t xml:space="preserve">ENVIRONMENTAL DUE DILIGENCE ISSUES MEMORANDUM</w:t>
      </w:r>
    </w:p>
    <w:p>
      <w:pPr>
        <w:pStyle w:val="FirstParagraph"/>
      </w:pPr>
      <w:r>
        <w:rPr>
          <w:b/>
          <w:bCs/>
        </w:rPr>
        <w:t xml:space="preserve">PRIVILEGED &amp; CONFIDENTIAL — ATTORNEY WORK PRODUCT / PREPARED IN ANTICIPATION OF TRANSACTION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Cornerstone Industrial Partners LLC (Buyer); Whitfield &amp; Crane LLP (Buyer’s Counsel)</w:t>
            </w:r>
          </w:p>
        </w:tc>
      </w:tr>
      <w:tr>
        <w:tc>
          <w:tcPr/>
          <w:p>
            <w:pPr>
              <w:pStyle w:val="Compact"/>
              <w:jc w:val="left"/>
            </w:pPr>
            <w:r>
              <w:rPr>
                <w:b/>
                <w:bCs/>
              </w:rPr>
              <w:t xml:space="preserve">FROM:</w:t>
            </w:r>
          </w:p>
        </w:tc>
        <w:tc>
          <w:tcPr/>
          <w:p>
            <w:pPr>
              <w:pStyle w:val="Compact"/>
              <w:jc w:val="left"/>
            </w:pPr>
            <w:r>
              <w:t xml:space="preserve">Environmental Due Diligence Review</w:t>
            </w:r>
          </w:p>
        </w:tc>
      </w:tr>
      <w:tr>
        <w:tc>
          <w:tcPr/>
          <w:p>
            <w:pPr>
              <w:pStyle w:val="Compact"/>
              <w:jc w:val="left"/>
            </w:pPr>
            <w:r>
              <w:rPr>
                <w:b/>
                <w:bCs/>
              </w:rPr>
              <w:t xml:space="preserve">DATE:</w:t>
            </w:r>
          </w:p>
        </w:tc>
        <w:tc>
          <w:tcPr/>
          <w:p>
            <w:pPr>
              <w:pStyle w:val="Compact"/>
              <w:jc w:val="left"/>
            </w:pPr>
            <w:r>
              <w:t xml:space="preserve">November 1, 2024</w:t>
            </w:r>
          </w:p>
        </w:tc>
      </w:tr>
      <w:tr>
        <w:tc>
          <w:tcPr/>
          <w:p>
            <w:pPr>
              <w:pStyle w:val="Compact"/>
              <w:jc w:val="left"/>
            </w:pPr>
            <w:r>
              <w:rPr>
                <w:b/>
                <w:bCs/>
              </w:rPr>
              <w:t xml:space="preserve">RE:</w:t>
            </w:r>
          </w:p>
        </w:tc>
        <w:tc>
          <w:tcPr/>
          <w:p>
            <w:pPr>
              <w:pStyle w:val="Compact"/>
              <w:jc w:val="left"/>
            </w:pPr>
            <w:r>
              <w:t xml:space="preserve">Environmental Issues and Severity Ratings — Proposed Acquisition of 4820 Lakeshore Industrial Drive, Toledo, Lucas County, Ohio 43611 (Lucas County Parcel Nos. 18-04562-001, -002, -003) from Breckenridge Manufacturing Co.</w:t>
            </w:r>
          </w:p>
        </w:tc>
      </w:tr>
      <w:tr>
        <w:tc>
          <w:tcPr/>
          <w:p>
            <w:pPr>
              <w:pStyle w:val="Compact"/>
              <w:jc w:val="left"/>
            </w:pPr>
            <w:r>
              <w:rPr>
                <w:b/>
                <w:bCs/>
              </w:rPr>
              <w:t xml:space="preserve">TRANSACTION:</w:t>
            </w:r>
          </w:p>
        </w:tc>
        <w:tc>
          <w:tcPr/>
          <w:p>
            <w:pPr>
              <w:pStyle w:val="Compact"/>
              <w:jc w:val="left"/>
            </w:pPr>
            <w:r>
              <w:t xml:space="preserve">Asset Purchase Agreement dated September 1, 2024; Purchase Price $8,750,000; Lender: Great Lakes Capital Bank (Loan No. GLCB-2024-08173, $6,125,000); Closing Date: December 15, 2024</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issues identified during review of the Phase I Environmental Site Assessment (Phase I ESA) and supporting environmental documents for Buyer’s proposed acquisition of the approximately 14.7-acre former manufacturing/warehouse complex located at 4820 Lakeshore Industrial Drive, Toledo, Ohio (the</w:t>
      </w:r>
      <w:r>
        <w:t xml:space="preserve"> </w:t>
      </w:r>
      <w:r>
        <w:t xml:space="preserve">“</w:t>
      </w:r>
      <w:r>
        <w:t xml:space="preserve">Property</w:t>
      </w:r>
      <w:r>
        <w:t xml:space="preserve">”</w:t>
      </w:r>
      <w:r>
        <w:t xml:space="preserve">) from Breckenridge Manufacturing Co. (</w:t>
      </w:r>
      <w:r>
        <w:t xml:space="preserve">“</w:t>
      </w:r>
      <w:r>
        <w:t xml:space="preserve">Seller</w:t>
      </w:r>
      <w:r>
        <w:t xml:space="preserve">”</w:t>
      </w:r>
      <w:r>
        <w:t xml:space="preserve">). Each issue is assigned a severity rating using the four-tier scale defined in Section 3.</w:t>
      </w:r>
    </w:p>
    <w:p>
      <w:pPr>
        <w:pStyle w:val="BodyText"/>
      </w:pPr>
      <w:r>
        <w:t xml:space="preserve">The Greenfield Environmental Consultants Inc. Phase I ESA (dated October 25, 2024; ASTM E1527-21) identified</w:t>
      </w:r>
      <w:r>
        <w:t xml:space="preserve"> </w:t>
      </w:r>
      <w:r>
        <w:rPr>
          <w:b/>
          <w:bCs/>
        </w:rPr>
        <w:t xml:space="preserve">two on-site Recognized Environmental Conditions (RECs)</w:t>
      </w:r>
      <w:r>
        <w:t xml:space="preserve"> </w:t>
      </w:r>
      <w:r>
        <w:t xml:space="preserve">— (1) former trichloroethylene (TCE) vapor degreasing operations and an abandoned waste-TCE drum, and (2) former hexavalent chromium electroplating operations. The Phase I ESA also identified one Historical Recognized Environmental Condition (HREC), no Controlled Recognized Environmental Conditions (CRECs), and one de minimis condition.</w:t>
      </w:r>
    </w:p>
    <w:p>
      <w:pPr>
        <w:pStyle w:val="BodyText"/>
      </w:pPr>
      <w:r>
        <w:t xml:space="preserve">Our review identifies several</w:t>
      </w:r>
      <w:r>
        <w:t xml:space="preserve"> </w:t>
      </w:r>
      <w:r>
        <w:rPr>
          <w:b/>
          <w:bCs/>
        </w:rPr>
        <w:t xml:space="preserve">matters that the Phase I ESA did not classify as RECs but that, in our judgment, warrant equivalent concern or further investigation</w:t>
      </w:r>
      <w:r>
        <w:t xml:space="preserve">, including: an off-site tetrachloroethylene (PCE) groundwater plume migrating toward the Property from an adjacent former dry cleaner (with the Property located within a designated Groundwater Management Zone and shallow groundwater estimated at only 8 to 15 feet below ground surface); an unregistered, unclosed 2,000-gallon waste-solvent underground storage tank (UST) of unknown status; a former outdoor drum-storage area that corresponds to the location of a documented 2003 Ohio EPA Notice of Violation; and an uncharacterized monitoring well of unknown origin near the property boundary.</w:t>
      </w:r>
    </w:p>
    <w:p>
      <w:pPr>
        <w:pStyle w:val="BodyText"/>
      </w:pPr>
      <w:r>
        <w:t xml:space="preserve">We further identify</w:t>
      </w:r>
      <w:r>
        <w:t xml:space="preserve"> </w:t>
      </w:r>
      <w:r>
        <w:rPr>
          <w:b/>
          <w:bCs/>
        </w:rPr>
        <w:t xml:space="preserve">multiple discrepancies between Seller’s representations and warranties in the Asset Purchase Agreement and the environmental record</w:t>
      </w:r>
      <w:r>
        <w:t xml:space="preserve">, most notably Seller’s failure to disclose the 2003 Ohio EPA Notice of Violation on Schedule 4.12(c) and the omission of two historical USTs from Schedule 4.13 (with a related potential breach of the § 4.13(b)</w:t>
      </w:r>
      <w:r>
        <w:t xml:space="preserve"> </w:t>
      </w:r>
      <w:r>
        <w:t xml:space="preserve">“</w:t>
      </w:r>
      <w:r>
        <w:t xml:space="preserve">no UST releases/leaking</w:t>
      </w:r>
      <w:r>
        <w:t xml:space="preserve">”</w:t>
      </w:r>
      <w:r>
        <w:t xml:space="preserve"> </w:t>
      </w:r>
      <w:r>
        <w:t xml:space="preserve">representation). These discrepancies may support a claim that the representations are breached and, potentially, that the fraud/intentional-misrepresentation exception to the indemnification cap, basket, and survival period applies.</w:t>
      </w:r>
    </w:p>
    <w:p>
      <w:pPr>
        <w:pStyle w:val="BodyText"/>
      </w:pPr>
      <w:r>
        <w:t xml:space="preserve">Finally, because the Phase I ESA identifies RECs,</w:t>
      </w:r>
      <w:r>
        <w:t xml:space="preserve"> </w:t>
      </w:r>
      <w:r>
        <w:rPr>
          <w:b/>
          <w:bCs/>
        </w:rPr>
        <w:t xml:space="preserve">the Lender’s mandatory conditional requirements are triggered</w:t>
      </w:r>
      <w:r>
        <w:t xml:space="preserve"> </w:t>
      </w:r>
      <w:r>
        <w:t xml:space="preserve">(Phase II ESA, Pollution Legal Liability insurance, possible remediation escrow and remediation plan, and vapor intrusion assessment), none of which have yet been satisfied. The Lender — which has placed the Property in its</w:t>
      </w:r>
      <w:r>
        <w:t xml:space="preserve"> </w:t>
      </w:r>
      <w:r>
        <w:t xml:space="preserve">“</w:t>
      </w:r>
      <w:r>
        <w:t xml:space="preserve">Elevated Environmental Risk</w:t>
      </w:r>
      <w:r>
        <w:t xml:space="preserve">”</w:t>
      </w:r>
      <w:r>
        <w:t xml:space="preserve"> </w:t>
      </w:r>
      <w:r>
        <w:t xml:space="preserve">category and which notes that AAI failure would expose both Borrower and the Bank to CERCLA liability — has expressly stated it will not fund the Loan based solely on a Phase I ESA that identifies RECs. The Lender also reserves the right to decline funding based on unresolved data gaps, several of which remain open.</w:t>
      </w:r>
    </w:p>
    <w:p>
      <w:pPr>
        <w:pStyle w:val="BodyText"/>
      </w:pPr>
      <w:r>
        <w:t xml:space="preserve">A total of</w:t>
      </w:r>
      <w:r>
        <w:t xml:space="preserve"> </w:t>
      </w:r>
      <w:r>
        <w:rPr>
          <w:b/>
          <w:bCs/>
        </w:rPr>
        <w:t xml:space="preserve">fifty (50) distinct issues</w:t>
      </w:r>
      <w:r>
        <w:t xml:space="preserve"> </w:t>
      </w:r>
      <w:r>
        <w:t xml:space="preserve">are enumerated below. A severity summary table appears in Section 12.</w:t>
      </w:r>
    </w:p>
    <w:p>
      <w:r>
        <w:pict>
          <v:rect style="width:0;height:1.5pt" o:hralign="center" o:hrstd="t" o:hr="t"/>
        </w:pict>
      </w:r>
    </w:p>
    <w:bookmarkEnd w:id="20"/>
    <w:bookmarkStart w:id="23" w:name="scope-of-review-and-documents-reviewed"/>
    <w:p>
      <w:pPr>
        <w:pStyle w:val="Heading2"/>
      </w:pPr>
      <w:r>
        <w:t xml:space="preserve">2. Scope of Review and Documents Reviewed</w:t>
      </w:r>
    </w:p>
    <w:bookmarkStart w:id="21" w:name="documents-reviewed"/>
    <w:p>
      <w:pPr>
        <w:pStyle w:val="Heading3"/>
      </w:pPr>
      <w:r>
        <w:t xml:space="preserve">2.1 Documents Reviewed</w:t>
      </w:r>
    </w:p>
    <w:p>
      <w:pPr>
        <w:pStyle w:val="FirstParagraph"/>
      </w:pPr>
      <w:r>
        <w:t xml:space="preserve">The following documents were reviewed in preparation of this memorandum:</w:t>
      </w:r>
    </w:p>
    <w:p>
      <w:pPr>
        <w:pStyle w:val="Compact"/>
        <w:numPr>
          <w:ilvl w:val="0"/>
          <w:numId w:val="1001"/>
        </w:numPr>
      </w:pPr>
      <w:r>
        <w:rPr>
          <w:b/>
          <w:bCs/>
        </w:rPr>
        <w:t xml:space="preserve">Phase I ESA</w:t>
      </w:r>
      <w:r>
        <w:t xml:space="preserve"> </w:t>
      </w:r>
      <w:r>
        <w:t xml:space="preserve">— Greenfield Environmental Consultants Inc.,</w:t>
      </w:r>
      <w:r>
        <w:t xml:space="preserve"> </w:t>
      </w:r>
      <w:r>
        <w:rPr>
          <w:i/>
          <w:iCs/>
        </w:rPr>
        <w:t xml:space="preserve">Phase I Environmental Site Assessment, 4820 Lakeshore Industrial Drive, Toledo, Ohio</w:t>
      </w:r>
      <w:r>
        <w:t xml:space="preserve">, Project No. GEC-2024-0347, dated October 25, 2024 (site reconnaissance October 2, 2024); prepared to ASTM E1527-21. (</w:t>
      </w:r>
      <w:r>
        <w:t xml:space="preserve">“</w:t>
      </w:r>
      <w:r>
        <w:t xml:space="preserve">Greenfield Phase I</w:t>
      </w:r>
      <w:r>
        <w:t xml:space="preserve">”</w:t>
      </w:r>
      <w:r>
        <w:t xml:space="preserve">)</w:t>
      </w:r>
    </w:p>
    <w:p>
      <w:pPr>
        <w:pStyle w:val="Compact"/>
        <w:numPr>
          <w:ilvl w:val="0"/>
          <w:numId w:val="1001"/>
        </w:numPr>
      </w:pPr>
      <w:r>
        <w:rPr>
          <w:b/>
          <w:bCs/>
        </w:rPr>
        <w:t xml:space="preserve">Asset Purchase Agreement (Excerpt)</w:t>
      </w:r>
      <w:r>
        <w:t xml:space="preserve"> </w:t>
      </w:r>
      <w:r>
        <w:t xml:space="preserve">— by and between Breckenridge Manufacturing Co. (Seller) and Cornerstone Industrial Partners LLC (Buyer), dated September 1, 2024 (Article I definitions; §§ 4.12–4.13; § 6.3; §§ 8.1–8.4; Schedule 4.13). (</w:t>
      </w:r>
      <w:r>
        <w:t xml:space="preserve">“</w:t>
      </w:r>
      <w:r>
        <w:t xml:space="preserve">Purchase Agreement</w:t>
      </w:r>
      <w:r>
        <w:t xml:space="preserve">”</w:t>
      </w:r>
      <w:r>
        <w:t xml:space="preserve">)</w:t>
      </w:r>
    </w:p>
    <w:p>
      <w:pPr>
        <w:pStyle w:val="Compact"/>
        <w:numPr>
          <w:ilvl w:val="0"/>
          <w:numId w:val="1001"/>
        </w:numPr>
      </w:pPr>
      <w:r>
        <w:rPr>
          <w:b/>
          <w:bCs/>
        </w:rPr>
        <w:t xml:space="preserve">Lender Requirements Letter</w:t>
      </w:r>
      <w:r>
        <w:t xml:space="preserve"> </w:t>
      </w:r>
      <w:r>
        <w:t xml:space="preserve">— Great Lakes Capital Bank, environmental due diligence requirements letter to Marcus Choi (Cornerstone), dated September 10, 2024, Loan No. GLCB-2024-08173. (</w:t>
      </w:r>
      <w:r>
        <w:t xml:space="preserve">“</w:t>
      </w:r>
      <w:r>
        <w:t xml:space="preserve">Lender Letter</w:t>
      </w:r>
      <w:r>
        <w:t xml:space="preserve">”</w:t>
      </w:r>
      <w:r>
        <w:t xml:space="preserve">)</w:t>
      </w:r>
    </w:p>
    <w:p>
      <w:pPr>
        <w:pStyle w:val="Compact"/>
        <w:numPr>
          <w:ilvl w:val="0"/>
          <w:numId w:val="1001"/>
        </w:numPr>
      </w:pPr>
      <w:r>
        <w:rPr>
          <w:b/>
          <w:bCs/>
        </w:rPr>
        <w:t xml:space="preserve">Ohio EPA Response</w:t>
      </w:r>
      <w:r>
        <w:t xml:space="preserve"> </w:t>
      </w:r>
      <w:r>
        <w:t xml:space="preserve">— Ohio EPA, Division of Environmental Response and Revitalization, Northwest District Office, response to records request, dated September 28, 2024, File Ref. DERR-NW-2024-RR-0438. (</w:t>
      </w:r>
      <w:r>
        <w:t xml:space="preserve">“</w:t>
      </w:r>
      <w:r>
        <w:t xml:space="preserve">Ohio EPA Response</w:t>
      </w:r>
      <w:r>
        <w:t xml:space="preserve">”</w:t>
      </w:r>
      <w:r>
        <w:t xml:space="preserve">)</w:t>
      </w:r>
    </w:p>
    <w:p>
      <w:pPr>
        <w:pStyle w:val="Compact"/>
        <w:numPr>
          <w:ilvl w:val="0"/>
          <w:numId w:val="1001"/>
        </w:numPr>
      </w:pPr>
      <w:r>
        <w:rPr>
          <w:b/>
          <w:bCs/>
        </w:rPr>
        <w:t xml:space="preserve">EDR Database Summary</w:t>
      </w:r>
      <w:r>
        <w:t xml:space="preserve"> </w:t>
      </w:r>
      <w:r>
        <w:t xml:space="preserve">— Environmental Data Resources, Inc. database search summary (workbook), EDR Inquiry No. 6742891, dated September 15, 2024, prepared for Greenfield. (</w:t>
      </w:r>
      <w:r>
        <w:t xml:space="preserve">“</w:t>
      </w:r>
      <w:r>
        <w:t xml:space="preserve">EDR Summary</w:t>
      </w:r>
      <w:r>
        <w:t xml:space="preserve">”</w:t>
      </w:r>
      <w:r>
        <w:t xml:space="preserve">)</w:t>
      </w:r>
    </w:p>
    <w:bookmarkEnd w:id="21"/>
    <w:bookmarkStart w:id="22" w:name="X97649c4325389c982a40d88d93642b1916645b0"/>
    <w:p>
      <w:pPr>
        <w:pStyle w:val="Heading3"/>
      </w:pPr>
      <w:r>
        <w:t xml:space="preserve">2.2 Identification of the Controlling Transaction</w:t>
      </w:r>
    </w:p>
    <w:p>
      <w:pPr>
        <w:pStyle w:val="FirstParagraph"/>
      </w:pPr>
      <w:r>
        <w:t xml:space="preserve">The diligence file contains documents relating to</w:t>
      </w:r>
      <w:r>
        <w:t xml:space="preserve"> </w:t>
      </w:r>
      <w:r>
        <w:rPr>
          <w:b/>
          <w:bCs/>
        </w:rPr>
        <w:t xml:space="preserve">two distinct properties and two distinct transactions</w:t>
      </w:r>
      <w:r>
        <w:t xml:space="preserve">, both involving Cornerstone Industrial Partners LLC as prospective buyer. The Asset Purchase Agreement and the Lender Letter both govern the</w:t>
      </w:r>
      <w:r>
        <w:t xml:space="preserve"> </w:t>
      </w:r>
      <w:r>
        <w:rPr>
          <w:b/>
          <w:bCs/>
        </w:rPr>
        <w:t xml:space="preserve">Toledo Property</w:t>
      </w:r>
      <w:r>
        <w:t xml:space="preserve"> </w:t>
      </w:r>
      <w:r>
        <w:t xml:space="preserve">(4820 Lakeshore Industrial Drive, Seller: Breckenridge Manufacturing Co., Purchase Price $8,750,000, Lender: Great Lakes Capital Bank). Accordingly, this memorandum addresses the Toledo acquisition, which is</w:t>
      </w:r>
      <w:r>
        <w:t xml:space="preserve"> </w:t>
      </w:r>
      <w:r>
        <w:t xml:space="preserve">“</w:t>
      </w:r>
      <w:r>
        <w:t xml:space="preserve">the proposed acquisition</w:t>
      </w:r>
      <w:r>
        <w:t xml:space="preserve">”</w:t>
      </w:r>
      <w:r>
        <w:t xml:space="preserve"> </w:t>
      </w:r>
      <w:r>
        <w:t xml:space="preserve">referenced in the controlling agreement.</w:t>
      </w:r>
    </w:p>
    <w:p>
      <w:pPr>
        <w:pStyle w:val="BodyText"/>
      </w:pPr>
      <w:r>
        <w:t xml:space="preserve">The file also contains three documents relating to a</w:t>
      </w:r>
      <w:r>
        <w:t xml:space="preserve"> </w:t>
      </w:r>
      <w:r>
        <w:rPr>
          <w:b/>
          <w:bCs/>
        </w:rPr>
        <w:t xml:space="preserve">separate, unrelated transaction</w:t>
      </w:r>
      <w:r>
        <w:t xml:space="preserve"> </w:t>
      </w:r>
      <w:r>
        <w:t xml:space="preserve">concerning 2850 Millrace Road, Dayton, Ohio (Seller: Valtec Manufacturing Holdings Inc.; Purchase Price $4,200,000; different counsel; Phase I ESA dated April 18, 2025). Those documents are not part of the Toledo acquisition and are addressed briefly in Section 14 for completeness.</w:t>
      </w:r>
    </w:p>
    <w:p>
      <w:r>
        <w:pict>
          <v:rect style="width:0;height:1.5pt" o:hralign="center" o:hrstd="t" o:hr="t"/>
        </w:pict>
      </w:r>
    </w:p>
    <w:bookmarkEnd w:id="22"/>
    <w:bookmarkEnd w:id="23"/>
    <w:bookmarkStart w:id="24" w:name="severity-rating-scale"/>
    <w:p>
      <w:pPr>
        <w:pStyle w:val="Heading2"/>
      </w:pPr>
      <w:r>
        <w:t xml:space="preserve">3. Severity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Condition that may prevent or jeopardize the transaction, constitutes a clear breach of a representation or warranty, or poses severe and/or unquantified environmental and liability risk requiring immediate action before closing.</w:t>
            </w:r>
          </w:p>
        </w:tc>
      </w:tr>
      <w:tr>
        <w:tc>
          <w:tcPr/>
          <w:p>
            <w:pPr>
              <w:pStyle w:val="Compact"/>
              <w:jc w:val="left"/>
            </w:pPr>
            <w:r>
              <w:rPr>
                <w:b/>
                <w:bCs/>
              </w:rPr>
              <w:t xml:space="preserve">HIGH</w:t>
            </w:r>
          </w:p>
        </w:tc>
        <w:tc>
          <w:tcPr/>
          <w:p>
            <w:pPr>
              <w:pStyle w:val="Compact"/>
              <w:jc w:val="left"/>
            </w:pPr>
            <w:r>
              <w:t xml:space="preserve">Significant environmental condition, discrepancy, or compliance gap requiring investigation, remediation, insurance, escrow, or contract remedies; likely to materially affect transaction value, terms, or loan funding.</w:t>
            </w:r>
          </w:p>
        </w:tc>
      </w:tr>
      <w:tr>
        <w:tc>
          <w:tcPr/>
          <w:p>
            <w:pPr>
              <w:pStyle w:val="Compact"/>
              <w:jc w:val="left"/>
            </w:pPr>
            <w:r>
              <w:rPr>
                <w:b/>
                <w:bCs/>
              </w:rPr>
              <w:t xml:space="preserve">MEDIUM</w:t>
            </w:r>
          </w:p>
        </w:tc>
        <w:tc>
          <w:tcPr/>
          <w:p>
            <w:pPr>
              <w:pStyle w:val="Compact"/>
              <w:jc w:val="left"/>
            </w:pPr>
            <w:r>
              <w:t xml:space="preserve">Notable issue warranting follow-up and documentation but not immediately transaction-dispositive; data gaps, documentation deficiencies, or conditions requiring monitoring or further inquiry.</w:t>
            </w:r>
          </w:p>
        </w:tc>
      </w:tr>
      <w:tr>
        <w:tc>
          <w:tcPr/>
          <w:p>
            <w:pPr>
              <w:pStyle w:val="Compact"/>
              <w:jc w:val="left"/>
            </w:pPr>
            <w:r>
              <w:rPr>
                <w:b/>
                <w:bCs/>
              </w:rPr>
              <w:t xml:space="preserve">LOW</w:t>
            </w:r>
          </w:p>
        </w:tc>
        <w:tc>
          <w:tcPr/>
          <w:p>
            <w:pPr>
              <w:pStyle w:val="Compact"/>
              <w:jc w:val="left"/>
            </w:pPr>
            <w:r>
              <w:t xml:space="preserve">Minor item, de minimis condition, administrative discrepancy, or item noted for completeness, including conditions confirmed to be compliant.</w:t>
            </w:r>
          </w:p>
        </w:tc>
      </w:tr>
    </w:tbl>
    <w:p>
      <w:r>
        <w:pict>
          <v:rect style="width:0;height:1.5pt" o:hralign="center" o:hrstd="t" o:hr="t"/>
        </w:pict>
      </w:r>
    </w:p>
    <w:bookmarkEnd w:id="24"/>
    <w:bookmarkStart w:id="31" w:name="Xa650209fdc4d7a88308298d60598f26e0f6b0c7"/>
    <w:p>
      <w:pPr>
        <w:pStyle w:val="Heading2"/>
      </w:pPr>
      <w:r>
        <w:t xml:space="preserve">4. On-Site Recognized Environmental Conditions (as Identified in the Phase I ESA)</w:t>
      </w:r>
    </w:p>
    <w:bookmarkStart w:id="25" w:name="Xf7fc62e091863eac4f7cf4298dee61d31d2b18c"/>
    <w:p>
      <w:pPr>
        <w:pStyle w:val="Heading3"/>
      </w:pPr>
      <w:r>
        <w:t xml:space="preserve">Issue 1 — REC No. 1: Former TCE Vapor Degreasing Operations (1961–1992)</w:t>
      </w:r>
    </w:p>
    <w:p>
      <w:pPr>
        <w:pStyle w:val="FirstParagraph"/>
      </w:pPr>
      <w:r>
        <w:rPr>
          <w:b/>
          <w:bCs/>
        </w:rPr>
        <w:t xml:space="preserve">Severity: HIGH</w:t>
      </w:r>
    </w:p>
    <w:p>
      <w:pPr>
        <w:pStyle w:val="BodyText"/>
      </w:pPr>
      <w:r>
        <w:t xml:space="preserve">Trichloroethylene (TCE) was used as a vapor degreasing solvent in the northwest corner of the main manufacturing building for more than 30 years (1961 through approximately 1992). The former degreasing area exhibits visible floor and wall staining, and a photoionization detector (PID) reading of</w:t>
      </w:r>
      <w:r>
        <w:t xml:space="preserve"> </w:t>
      </w:r>
      <w:r>
        <w:rPr>
          <w:b/>
          <w:bCs/>
        </w:rPr>
        <w:t xml:space="preserve">42.3 ppm</w:t>
      </w:r>
      <w:r>
        <w:t xml:space="preserve"> </w:t>
      </w:r>
      <w:r>
        <w:t xml:space="preserve">was recorded at a crack in the floor slab (background readings elsewhere were &lt;0.5 ppm), indicating residual volatile organic compound (VOC) vapors emanating from beneath the slab.</w:t>
      </w:r>
      <w:r>
        <w:t xml:space="preserve"> </w:t>
      </w:r>
      <w:r>
        <w:rPr>
          <w:b/>
          <w:bCs/>
        </w:rPr>
        <w:t xml:space="preserve">No closure documentation, decommissioning records, or soil/groundwater confirmation sampling</w:t>
      </w:r>
      <w:r>
        <w:t xml:space="preserve"> </w:t>
      </w:r>
      <w:r>
        <w:t xml:space="preserve">were located for the degreasing area following the reported cessation of TCE use. TCE is a known human carcinogen and a persistent groundwater contaminant. A Phase II ESA is recommended.</w:t>
      </w:r>
      <w:r>
        <w:t xml:space="preserve"> </w:t>
      </w:r>
      <w:r>
        <w:rPr>
          <w:i/>
          <w:iCs/>
        </w:rPr>
        <w:t xml:space="preserve">Source: Greenfield Phase I §§ 5.3, 6.3.1, 9.1 (REC No. 1).</w:t>
      </w:r>
    </w:p>
    <w:bookmarkEnd w:id="25"/>
    <w:bookmarkStart w:id="26" w:name="Xfa313911e32278f8bde3a34ad3f068dde65aa03"/>
    <w:p>
      <w:pPr>
        <w:pStyle w:val="Heading3"/>
      </w:pPr>
      <w:r>
        <w:t xml:space="preserve">Issue 2 — Abandoned 55-Gallon Drum Labeled</w:t>
      </w:r>
      <w:r>
        <w:t xml:space="preserve"> </w:t>
      </w:r>
      <w:r>
        <w:t xml:space="preserve">“</w:t>
      </w:r>
      <w:r>
        <w:t xml:space="preserve">WASTE TRICHLOROETHYLENE</w:t>
      </w:r>
      <w:r>
        <w:t xml:space="preserve">”</w:t>
      </w:r>
    </w:p>
    <w:p>
      <w:pPr>
        <w:pStyle w:val="FirstParagraph"/>
      </w:pPr>
      <w:r>
        <w:rPr>
          <w:b/>
          <w:bCs/>
        </w:rPr>
        <w:t xml:space="preserve">Severity: HIGH</w:t>
      </w:r>
    </w:p>
    <w:p>
      <w:pPr>
        <w:pStyle w:val="BodyText"/>
      </w:pPr>
      <w:r>
        <w:t xml:space="preserve">An abandoned 55-gallon drum labeled</w:t>
      </w:r>
      <w:r>
        <w:t xml:space="preserve"> </w:t>
      </w:r>
      <w:r>
        <w:t xml:space="preserve">“</w:t>
      </w:r>
      <w:r>
        <w:t xml:space="preserve">WASTE TRICHLOROETHYLENE</w:t>
      </w:r>
      <w:r>
        <w:t xml:space="preserve">”</w:t>
      </w:r>
      <w:r>
        <w:t xml:space="preserve"> </w:t>
      </w:r>
      <w:r>
        <w:t xml:space="preserve">was observed on the ground surface behind (south side of) the maintenance/utility building. The drum is approximately half full, with a significantly rusted bottom and</w:t>
      </w:r>
      <w:r>
        <w:t xml:space="preserve"> </w:t>
      </w:r>
      <w:r>
        <w:rPr>
          <w:b/>
          <w:bCs/>
        </w:rPr>
        <w:t xml:space="preserve">evidence of past leakage</w:t>
      </w:r>
      <w:r>
        <w:t xml:space="preserve">. Stained soil (approximately 3 ft × 3 ft, dark and oily, vegetation absent) was observed beneath and surrounding the drum. The drum has reportedly been in place since the early 1990s. PID readings were not taken at the drum location. This is an active, on-site container of hazardous waste with evidence of release to soil.</w:t>
      </w:r>
      <w:r>
        <w:t xml:space="preserve"> </w:t>
      </w:r>
      <w:r>
        <w:rPr>
          <w:i/>
          <w:iCs/>
        </w:rPr>
        <w:t xml:space="preserve">Source: Greenfield Phase I §§ 6.2.3, 9.1; EDR Summary (photograph descriptions).</w:t>
      </w:r>
    </w:p>
    <w:bookmarkEnd w:id="26"/>
    <w:bookmarkStart w:id="27" w:name="X4343f0b7c72b887f4dd82ee22f86345db52ab4b"/>
    <w:p>
      <w:pPr>
        <w:pStyle w:val="Heading3"/>
      </w:pPr>
      <w:r>
        <w:t xml:space="preserve">Issue 3 — 1988 Chemical Spill of Degreasing Solvent (Documented, Unassessed)</w:t>
      </w:r>
    </w:p>
    <w:p>
      <w:pPr>
        <w:pStyle w:val="FirstParagraph"/>
      </w:pPr>
      <w:r>
        <w:rPr>
          <w:b/>
          <w:bCs/>
        </w:rPr>
        <w:t xml:space="preserve">Severity: MEDIUM</w:t>
      </w:r>
    </w:p>
    <w:p>
      <w:pPr>
        <w:pStyle w:val="BodyText"/>
      </w:pPr>
      <w:r>
        <w:t xml:space="preserve">A City of Toledo Fire Department incident report dated March 14, 1988 documents a</w:t>
      </w:r>
      <w:r>
        <w:t xml:space="preserve"> </w:t>
      </w:r>
      <w:r>
        <w:t xml:space="preserve">“</w:t>
      </w:r>
      <w:r>
        <w:t xml:space="preserve">chemical spill</w:t>
      </w:r>
      <w:r>
        <w:t xml:space="preserve">”</w:t>
      </w:r>
      <w:r>
        <w:t xml:space="preserve"> </w:t>
      </w:r>
      <w:r>
        <w:t xml:space="preserve">at the Property involving an</w:t>
      </w:r>
      <w:r>
        <w:t xml:space="preserve"> </w:t>
      </w:r>
      <w:r>
        <w:t xml:space="preserve">“</w:t>
      </w:r>
      <w:r>
        <w:t xml:space="preserve">unknown quantity of degreasing solvent</w:t>
      </w:r>
      <w:r>
        <w:t xml:space="preserve">”</w:t>
      </w:r>
      <w:r>
        <w:t xml:space="preserve"> </w:t>
      </w:r>
      <w:r>
        <w:t xml:space="preserve">released from an overturned drum. Cleanup was performed by Breckenridge Manufacturing employees using absorbent materials;</w:t>
      </w:r>
      <w:r>
        <w:t xml:space="preserve"> </w:t>
      </w:r>
      <w:r>
        <w:rPr>
          <w:b/>
          <w:bCs/>
        </w:rPr>
        <w:t xml:space="preserve">no follow-up environmental inspection or assessment</w:t>
      </w:r>
      <w:r>
        <w:t xml:space="preserve"> </w:t>
      </w:r>
      <w:r>
        <w:t xml:space="preserve">was conducted by the Fire Department. This documented historical release is part of the REC No. 1 area but is enumerated separately because it is a confirmed release event with no environmental follow-up.</w:t>
      </w:r>
      <w:r>
        <w:t xml:space="preserve"> </w:t>
      </w:r>
      <w:r>
        <w:rPr>
          <w:i/>
          <w:iCs/>
        </w:rPr>
        <w:t xml:space="preserve">Source: Greenfield Phase I §§ 5.1.2, 7.2; Ohio EPA Response (Fire Department records referenced).</w:t>
      </w:r>
    </w:p>
    <w:bookmarkEnd w:id="27"/>
    <w:bookmarkStart w:id="28" w:name="Xcba0fccc4ac7e3c07f59b8d66cf506881539678"/>
    <w:p>
      <w:pPr>
        <w:pStyle w:val="Heading3"/>
      </w:pPr>
      <w:r>
        <w:t xml:space="preserve">Issue 4 — REC No. 2: Former Hexavalent Chromium/Nickel Electroplating Operations (1965–2004)</w:t>
      </w:r>
    </w:p>
    <w:p>
      <w:pPr>
        <w:pStyle w:val="FirstParagraph"/>
      </w:pPr>
      <w:r>
        <w:rPr>
          <w:b/>
          <w:bCs/>
        </w:rPr>
        <w:t xml:space="preserve">Severity: HIGH</w:t>
      </w:r>
    </w:p>
    <w:p>
      <w:pPr>
        <w:pStyle w:val="BodyText"/>
      </w:pPr>
      <w:r>
        <w:t xml:space="preserve">Electroplating operations using hexavalent chromium and nickel plating solutions were conducted for approximately 39 years (1965–2004) in the south wing of the main manufacturing building. The former electroplating room exhibits prominent blue-green staining on concrete floors and walls (consistent with chromium residues), and the concrete floor shows pitting, etching, and chemical degradation from prolonged exposure to acidic/alkaline plating solutions. Hexavalent chromium is a known human carcinogen. A Phase II ESA is recommended.</w:t>
      </w:r>
      <w:r>
        <w:t xml:space="preserve"> </w:t>
      </w:r>
      <w:r>
        <w:rPr>
          <w:i/>
          <w:iCs/>
        </w:rPr>
        <w:t xml:space="preserve">Source: Greenfield Phase I §§ 5.3, 6.3.2, 9.1 (REC No. 2).</w:t>
      </w:r>
    </w:p>
    <w:bookmarkEnd w:id="28"/>
    <w:bookmarkStart w:id="29" w:name="X8c56fadd2812f7a7d616d4df2bfe3e50a248c53"/>
    <w:p>
      <w:pPr>
        <w:pStyle w:val="Heading3"/>
      </w:pPr>
      <w:r>
        <w:t xml:space="preserve">Issue 5 — In-Ground Sump Containing Uncharacterized Liquid with Iridescent Sheen</w:t>
      </w:r>
    </w:p>
    <w:p>
      <w:pPr>
        <w:pStyle w:val="FirstParagraph"/>
      </w:pPr>
      <w:r>
        <w:rPr>
          <w:b/>
          <w:bCs/>
        </w:rPr>
        <w:t xml:space="preserve">Severity: HIGH</w:t>
      </w:r>
    </w:p>
    <w:p>
      <w:pPr>
        <w:pStyle w:val="BodyText"/>
      </w:pPr>
      <w:r>
        <w:t xml:space="preserve">An in-ground concrete sump (approximately 3 ft × 3 ft × 3 ft deep) in the center of the former electroplating room contains approximately four inches of liquid exhibiting a</w:t>
      </w:r>
      <w:r>
        <w:t xml:space="preserve"> </w:t>
      </w:r>
      <w:r>
        <w:rPr>
          <w:b/>
          <w:bCs/>
        </w:rPr>
        <w:t xml:space="preserve">visible iridescent sheen</w:t>
      </w:r>
      <w:r>
        <w:t xml:space="preserve"> </w:t>
      </w:r>
      <w:r>
        <w:t xml:space="preserve">and a greenish tint. The source and composition of the liquid were not determined and the liquid was not sampled (sampling is outside ASTM Phase I scope). The sump connects to floor drains throughout the former plating room. Characterization sampling of the sump liquid is recommended.</w:t>
      </w:r>
      <w:r>
        <w:t xml:space="preserve"> </w:t>
      </w:r>
      <w:r>
        <w:rPr>
          <w:i/>
          <w:iCs/>
        </w:rPr>
        <w:t xml:space="preserve">Source: Greenfield Phase I §§ 6.3.2, 9.1, 9.6.</w:t>
      </w:r>
    </w:p>
    <w:bookmarkEnd w:id="29"/>
    <w:bookmarkStart w:id="30" w:name="Xd5e4b13160b4427ee72d843bb51a6e9251ce3be"/>
    <w:p>
      <w:pPr>
        <w:pStyle w:val="Heading3"/>
      </w:pPr>
      <w:r>
        <w:t xml:space="preserve">Issue 6 — Absence of Hazardous Waste Disposal Records for 39 Years of Electroplating (1965–2003)</w:t>
      </w:r>
    </w:p>
    <w:p>
      <w:pPr>
        <w:pStyle w:val="FirstParagraph"/>
      </w:pPr>
      <w:r>
        <w:rPr>
          <w:b/>
          <w:bCs/>
        </w:rPr>
        <w:t xml:space="preserve">Severity: HIGH</w:t>
      </w:r>
    </w:p>
    <w:p>
      <w:pPr>
        <w:pStyle w:val="BodyText"/>
      </w:pPr>
      <w:r>
        <w:t xml:space="preserve">Hazardous waste disposal documentation (manifests, shipping documents, disposal receipts) is available</w:t>
      </w:r>
      <w:r>
        <w:t xml:space="preserve"> </w:t>
      </w:r>
      <w:r>
        <w:rPr>
          <w:b/>
          <w:bCs/>
        </w:rPr>
        <w:t xml:space="preserve">only for calendar year 2004</w:t>
      </w:r>
      <w:r>
        <w:t xml:space="preserve"> </w:t>
      </w:r>
      <w:r>
        <w:t xml:space="preserve">— six manifests documenting disposal of 14,200 pounds of waste under RCRA codes D007 (chromium) and F006 (electroplating sludge), transported by Tri-County Environmental Hauling Inc. </w:t>
      </w:r>
      <w:r>
        <w:rPr>
          <w:b/>
          <w:bCs/>
        </w:rPr>
        <w:t xml:space="preserve">No manifests or disposal records exist for the preceding 39 years of electroplating operations (1965–2003).</w:t>
      </w:r>
      <w:r>
        <w:t xml:space="preserve"> </w:t>
      </w:r>
      <w:r>
        <w:t xml:space="preserve">Ohio EPA independently confirmed it has no hazardous waste manifests, biennial reports, or annual reports on file for any year other than 2004. This gap suggests undocumented disposal of chromium-bearing hazardous waste over nearly four decades, raising both on-site release and off-site disposal liability concerns.</w:t>
      </w:r>
      <w:r>
        <w:t xml:space="preserve"> </w:t>
      </w:r>
      <w:r>
        <w:rPr>
          <w:i/>
          <w:iCs/>
        </w:rPr>
        <w:t xml:space="preserve">Source: Greenfield Phase I §§ 5.1.2, 8.0 (Data Gap No. 1), 9.1; Ohio EPA Response § 1.</w:t>
      </w:r>
    </w:p>
    <w:p>
      <w:r>
        <w:pict>
          <v:rect style="width:0;height:1.5pt" o:hralign="center" o:hrstd="t" o:hr="t"/>
        </w:pict>
      </w:r>
    </w:p>
    <w:bookmarkEnd w:id="30"/>
    <w:bookmarkEnd w:id="31"/>
    <w:bookmarkStart w:id="37" w:name="Xf794d6cf55649e2a885c154a7b9ae05d7bb1642"/>
    <w:p>
      <w:pPr>
        <w:pStyle w:val="Heading2"/>
      </w:pPr>
      <w:r>
        <w:t xml:space="preserve">5. Potentially Under-Classified Conditions (Not Designated as RECs by the Phase I ESA)</w:t>
      </w:r>
    </w:p>
    <w:p>
      <w:pPr>
        <w:pStyle w:val="FirstParagraph"/>
      </w:pPr>
      <w:r>
        <w:t xml:space="preserve">The following conditions were observed and documented by the Phase I ESA but were</w:t>
      </w:r>
      <w:r>
        <w:t xml:space="preserve"> </w:t>
      </w:r>
      <w:r>
        <w:rPr>
          <w:b/>
          <w:bCs/>
        </w:rPr>
        <w:t xml:space="preserve">not classified as RECs</w:t>
      </w:r>
      <w:r>
        <w:t xml:space="preserve">. Based on the supporting record, each warrants further evaluation and, in our judgment, may meet the ASTM E1527-21 REC definition.</w:t>
      </w:r>
    </w:p>
    <w:bookmarkStart w:id="32" w:name="X189b15f5d1111fa53e61b69d14b99e98d6059a1"/>
    <w:p>
      <w:pPr>
        <w:pStyle w:val="Heading3"/>
      </w:pPr>
      <w:r>
        <w:t xml:space="preserve">Issue 7 — Off-Site PCE Groundwater Plume Migrating Toward the Property (Not Classified as a REC)</w:t>
      </w:r>
    </w:p>
    <w:p>
      <w:pPr>
        <w:pStyle w:val="FirstParagraph"/>
      </w:pPr>
      <w:r>
        <w:rPr>
          <w:b/>
          <w:bCs/>
        </w:rPr>
        <w:t xml:space="preserve">Severity: CRITICAL</w:t>
      </w:r>
    </w:p>
    <w:p>
      <w:pPr>
        <w:pStyle w:val="BodyText"/>
      </w:pPr>
      <w:r>
        <w:t xml:space="preserve">The former Lake Erie Dry Cleaning facility at 4900 Lakeshore Industrial Drive (immediately north, approximately 120 ft from the Property boundary, hydraulically upgradient) is a confirmed release site (Ohio EPA Master Sites List; VAP ID NW-0923) with a documented tetrachloroethylene (PCE) groundwater contamination plume. A 2014 investigation reported</w:t>
      </w:r>
      <w:r>
        <w:t xml:space="preserve"> </w:t>
      </w:r>
      <w:r>
        <w:rPr>
          <w:b/>
          <w:bCs/>
        </w:rPr>
        <w:t xml:space="preserve">PCE at 87 µg/L</w:t>
      </w:r>
      <w:r>
        <w:t xml:space="preserve"> </w:t>
      </w:r>
      <w:r>
        <w:t xml:space="preserve">at monitoring well MW-7 (located approximately 120 ft north of the Property boundary) —</w:t>
      </w:r>
      <w:r>
        <w:t xml:space="preserve"> </w:t>
      </w:r>
      <w:r>
        <w:rPr>
          <w:b/>
          <w:bCs/>
        </w:rPr>
        <w:t xml:space="preserve">exceeding the Ohio groundwater standard of 5 µg/L by a factor of approximately 17.4</w:t>
      </w:r>
      <w:r>
        <w:t xml:space="preserve">. The documented plume migration direction is</w:t>
      </w:r>
      <w:r>
        <w:t xml:space="preserve"> </w:t>
      </w:r>
      <w:r>
        <w:rPr>
          <w:b/>
          <w:bCs/>
        </w:rPr>
        <w:t xml:space="preserve">south-southeast — toward the Subject Property</w:t>
      </w:r>
      <w:r>
        <w:t xml:space="preserve">. The Property is located within a</w:t>
      </w:r>
      <w:r>
        <w:t xml:space="preserve"> </w:t>
      </w:r>
      <w:r>
        <w:rPr>
          <w:b/>
          <w:bCs/>
        </w:rPr>
        <w:t xml:space="preserve">designated Groundwater Management Zone (GMZ)</w:t>
      </w:r>
      <w:r>
        <w:t xml:space="preserve"> </w:t>
      </w:r>
      <w:r>
        <w:t xml:space="preserve">established by Ohio EPA in connection with this plume. A 2018 VAP Covenant Not to Sue applies</w:t>
      </w:r>
      <w:r>
        <w:t xml:space="preserve"> </w:t>
      </w:r>
      <w:r>
        <w:rPr>
          <w:b/>
          <w:bCs/>
        </w:rPr>
        <w:t xml:space="preserve">exclusively to the dry cleaner parcel and does not address off-site migration</w:t>
      </w:r>
      <w:r>
        <w:t xml:space="preserve">.</w:t>
      </w:r>
      <w:r>
        <w:t xml:space="preserve"> </w:t>
      </w:r>
      <w:r>
        <w:rPr>
          <w:b/>
          <w:bCs/>
        </w:rPr>
        <w:t xml:space="preserve">No investigation of PCE concentrations in groundwater beneath the Subject Property has been conducted</w:t>
      </w:r>
      <w:r>
        <w:t xml:space="preserve">, and the lateral/vertical extent of plume migration onto the Property has not been delineated. The risk is heightened by the</w:t>
      </w:r>
      <w:r>
        <w:t xml:space="preserve"> </w:t>
      </w:r>
      <w:r>
        <w:rPr>
          <w:b/>
          <w:bCs/>
        </w:rPr>
        <w:t xml:space="preserve">shallow depth to groundwater (estimated at 8 to 15 feet below ground surface)</w:t>
      </w:r>
      <w:r>
        <w:t xml:space="preserve"> </w:t>
      </w:r>
      <w:r>
        <w:t xml:space="preserve">at the Property, which means any migrating plume is present in the shallow aquifer directly beneath the site.</w:t>
      </w:r>
    </w:p>
    <w:p>
      <w:pPr>
        <w:pStyle w:val="BodyText"/>
      </w:pPr>
      <w:r>
        <w:t xml:space="preserve">The Greenfield Phase I ESA discussed this condition in its records review (§ 5.1.1) and EDR appendix but</w:t>
      </w:r>
      <w:r>
        <w:t xml:space="preserve"> </w:t>
      </w:r>
      <w:r>
        <w:rPr>
          <w:b/>
          <w:bCs/>
        </w:rPr>
        <w:t xml:space="preserve">did not classify it as a REC</w:t>
      </w:r>
      <w:r>
        <w:t xml:space="preserve"> </w:t>
      </w:r>
      <w:r>
        <w:t xml:space="preserve">in its Findings (§ 9). This is a significant under-classification: a confirmed off-site plume at 17× the standard, migrating toward the Property, with the Property inside a regulatory GMZ and no on-site investigation, is indicative of a likely release to the environment on or beneath the Property. This also directly conflicts with the Lender’s express requirement that off-site migrating plumes</w:t>
      </w:r>
      <w:r>
        <w:t xml:space="preserve"> </w:t>
      </w:r>
      <w:r>
        <w:t xml:space="preserve">“</w:t>
      </w:r>
      <w:r>
        <w:t xml:space="preserve">must be identified as recognized environmental conditions</w:t>
      </w:r>
      <w:r>
        <w:t xml:space="preserve">”</w:t>
      </w:r>
      <w:r>
        <w:t xml:space="preserve"> </w:t>
      </w:r>
      <w:r>
        <w:t xml:space="preserve">(see Issue 27).</w:t>
      </w:r>
      <w:r>
        <w:t xml:space="preserve"> </w:t>
      </w:r>
      <w:r>
        <w:rPr>
          <w:i/>
          <w:iCs/>
        </w:rPr>
        <w:t xml:space="preserve">Source: Greenfield Phase I §§ 3.4, 5.1.1, 9, Appendix A; Ohio EPA Response § 4; EDR Summary, Adjacent Property A1.</w:t>
      </w:r>
    </w:p>
    <w:bookmarkEnd w:id="32"/>
    <w:bookmarkStart w:id="33" w:name="X4e93f4aea135957e7c83c7de2ccafd895d83cb8"/>
    <w:p>
      <w:pPr>
        <w:pStyle w:val="Heading3"/>
      </w:pPr>
      <w:r>
        <w:t xml:space="preserve">Issue 8 — Unregistered, Unclosed 2,000-Gallon Waste Solvent UST (Status Unknown)</w:t>
      </w:r>
    </w:p>
    <w:p>
      <w:pPr>
        <w:pStyle w:val="FirstParagraph"/>
      </w:pPr>
      <w:r>
        <w:rPr>
          <w:b/>
          <w:bCs/>
        </w:rPr>
        <w:t xml:space="preserve">Severity: HIGH</w:t>
      </w:r>
    </w:p>
    <w:p>
      <w:pPr>
        <w:pStyle w:val="BodyText"/>
      </w:pPr>
      <w:r>
        <w:t xml:space="preserve">The 1987 Sanborn fire insurance map depicts a</w:t>
      </w:r>
      <w:r>
        <w:t xml:space="preserve"> </w:t>
      </w:r>
      <w:r>
        <w:rPr>
          <w:b/>
          <w:bCs/>
        </w:rPr>
        <w:t xml:space="preserve">2,000-gallon waste solvent underground storage tank</w:t>
      </w:r>
      <w:r>
        <w:t xml:space="preserve"> </w:t>
      </w:r>
      <w:r>
        <w:t xml:space="preserve">on the east side of the Property, between the main building and the eastern property boundary. Ohio EPA/BUSTR confirmed that</w:t>
      </w:r>
      <w:r>
        <w:t xml:space="preserve"> </w:t>
      </w:r>
      <w:r>
        <w:rPr>
          <w:b/>
          <w:bCs/>
        </w:rPr>
        <w:t xml:space="preserve">no registration, installation, closure, removal, or site assessment records exist</w:t>
      </w:r>
      <w:r>
        <w:t xml:space="preserve"> </w:t>
      </w:r>
      <w:r>
        <w:t xml:space="preserve">for this tank. No surface evidence (fill pipes, vent pipes, dispensers) was observed during reconnaissance. The tank’s status is</w:t>
      </w:r>
      <w:r>
        <w:t xml:space="preserve"> </w:t>
      </w:r>
      <w:r>
        <w:rPr>
          <w:b/>
          <w:bCs/>
        </w:rPr>
        <w:t xml:space="preserve">unknown — it may remain in place</w:t>
      </w:r>
      <w:r>
        <w:t xml:space="preserve">. Given that the facility used chlorinated solvents (TCE) for degreasing, a</w:t>
      </w:r>
      <w:r>
        <w:t xml:space="preserve"> </w:t>
      </w:r>
      <w:r>
        <w:t xml:space="preserve">“</w:t>
      </w:r>
      <w:r>
        <w:t xml:space="preserve">waste solvent</w:t>
      </w:r>
      <w:r>
        <w:t xml:space="preserve">”</w:t>
      </w:r>
      <w:r>
        <w:t xml:space="preserve"> </w:t>
      </w:r>
      <w:r>
        <w:t xml:space="preserve">UST likely contained chlorinated solvents. The Phase I ESA noted the absence of records but</w:t>
      </w:r>
      <w:r>
        <w:t xml:space="preserve"> </w:t>
      </w:r>
      <w:r>
        <w:rPr>
          <w:b/>
          <w:bCs/>
        </w:rPr>
        <w:t xml:space="preserve">did not classify this as a REC</w:t>
      </w:r>
      <w:r>
        <w:t xml:space="preserve">. An unregistered, unclosed UST of unknown status that may contain chlorinated solvent waste warrants REC classification and geophysical investigation.</w:t>
      </w:r>
      <w:r>
        <w:t xml:space="preserve"> </w:t>
      </w:r>
      <w:r>
        <w:rPr>
          <w:i/>
          <w:iCs/>
        </w:rPr>
        <w:t xml:space="preserve">Source: Greenfield Phase I §§ 5.2.1, 6.2.2; Ohio EPA Response § 3; EDR Summary, Sanborn Map Summary.</w:t>
      </w:r>
    </w:p>
    <w:bookmarkEnd w:id="33"/>
    <w:bookmarkStart w:id="34" w:name="X0b0e95d1d95a032e754824f219d0ba313ad6ea3"/>
    <w:p>
      <w:pPr>
        <w:pStyle w:val="Heading3"/>
      </w:pPr>
      <w:r>
        <w:t xml:space="preserve">Issue 9 — Former Outdoor Drum-Storage Area / 2003 NOV Location (Not Classified as a REC)</w:t>
      </w:r>
    </w:p>
    <w:p>
      <w:pPr>
        <w:pStyle w:val="FirstParagraph"/>
      </w:pPr>
      <w:r>
        <w:rPr>
          <w:b/>
          <w:bCs/>
        </w:rPr>
        <w:t xml:space="preserve">Severity: HIGH</w:t>
      </w:r>
    </w:p>
    <w:p>
      <w:pPr>
        <w:pStyle w:val="BodyText"/>
      </w:pPr>
      <w:r>
        <w:t xml:space="preserve">An approximately 40 ft × 60 ft area on the east side of the Property is delineated by deteriorating concrete curbing and exhibits</w:t>
      </w:r>
      <w:r>
        <w:t xml:space="preserve"> </w:t>
      </w:r>
      <w:r>
        <w:rPr>
          <w:b/>
          <w:bCs/>
        </w:rPr>
        <w:t xml:space="preserve">stressed vegetation</w:t>
      </w:r>
      <w:r>
        <w:t xml:space="preserve"> </w:t>
      </w:r>
      <w:r>
        <w:t xml:space="preserve">(yellowed, sparse) relative to surrounding areas. Drums/containers are visible in this area in 1990 and 2000 aerial photographs. Seller acknowledged,</w:t>
      </w:r>
      <w:r>
        <w:t xml:space="preserve"> </w:t>
      </w:r>
      <w:r>
        <w:t xml:space="preserve">“</w:t>
      </w:r>
      <w:r>
        <w:t xml:space="preserve">We used to keep drums out there before the EPA came around.</w:t>
      </w:r>
      <w:r>
        <w:t xml:space="preserve">”</w:t>
      </w:r>
      <w:r>
        <w:t xml:space="preserve"> </w:t>
      </w:r>
      <w:r>
        <w:t xml:space="preserve">This area</w:t>
      </w:r>
      <w:r>
        <w:t xml:space="preserve"> </w:t>
      </w:r>
      <w:r>
        <w:rPr>
          <w:b/>
          <w:bCs/>
        </w:rPr>
        <w:t xml:space="preserve">corresponds to the location of the 2003 Ohio EPA Notice of Violation</w:t>
      </w:r>
      <w:r>
        <w:t xml:space="preserve">, which documented</w:t>
      </w:r>
      <w:r>
        <w:t xml:space="preserve"> </w:t>
      </w:r>
      <w:r>
        <w:t xml:space="preserve">“</w:t>
      </w:r>
      <w:r>
        <w:t xml:space="preserve">multiple rusted and visibly leaking 55-gallon drums</w:t>
      </w:r>
      <w:r>
        <w:t xml:space="preserve">”</w:t>
      </w:r>
      <w:r>
        <w:t xml:space="preserve"> </w:t>
      </w:r>
      <w:r>
        <w:t xml:space="preserve">containing electroplating sludge and spent chromium-bearing wastewater, with staining on the ground surface. The Phase I ESA observed the area but</w:t>
      </w:r>
      <w:r>
        <w:t xml:space="preserve"> </w:t>
      </w:r>
      <w:r>
        <w:rPr>
          <w:b/>
          <w:bCs/>
        </w:rPr>
        <w:t xml:space="preserve">did not classify it as a REC</w:t>
      </w:r>
      <w:r>
        <w:t xml:space="preserve">, notwithstanding the documented leaking drums of chromium waste in this exact location and the persistent stressed vegetation.</w:t>
      </w:r>
      <w:r>
        <w:t xml:space="preserve"> </w:t>
      </w:r>
      <w:r>
        <w:rPr>
          <w:i/>
          <w:iCs/>
        </w:rPr>
        <w:t xml:space="preserve">Source: Greenfield Phase I §§ 5.2.2, 6.2.4; Ohio EPA Response § 2; EDR Summary, Aerial Photograph Summary.</w:t>
      </w:r>
    </w:p>
    <w:bookmarkEnd w:id="34"/>
    <w:bookmarkStart w:id="35" w:name="X1cc99d2016e805126d9d8a0029e66aab49486e9"/>
    <w:p>
      <w:pPr>
        <w:pStyle w:val="Heading3"/>
      </w:pPr>
      <w:r>
        <w:t xml:space="preserve">Issue 10 — 500-Gallon Heating Oil UST (Halstead Farmhouse) — No Closure Records</w:t>
      </w:r>
    </w:p>
    <w:p>
      <w:pPr>
        <w:pStyle w:val="FirstParagraph"/>
      </w:pPr>
      <w:r>
        <w:rPr>
          <w:b/>
          <w:bCs/>
        </w:rPr>
        <w:t xml:space="preserve">Severity: MEDIUM</w:t>
      </w:r>
    </w:p>
    <w:p>
      <w:pPr>
        <w:pStyle w:val="BodyText"/>
      </w:pPr>
      <w:r>
        <w:t xml:space="preserve">The 1948 and 1955 Sanborn maps document a</w:t>
      </w:r>
      <w:r>
        <w:t xml:space="preserve"> </w:t>
      </w:r>
      <w:r>
        <w:rPr>
          <w:b/>
          <w:bCs/>
        </w:rPr>
        <w:t xml:space="preserve">500-gallon heating oil UST</w:t>
      </w:r>
      <w:r>
        <w:t xml:space="preserve"> </w:t>
      </w:r>
      <w:r>
        <w:t xml:space="preserve">serving the Halstead family farmhouse in the northwest portion of the Property. The farmhouse was demolished in 1961. The Phase I ESA classified this as an HREC, stating the tank was</w:t>
      </w:r>
      <w:r>
        <w:t xml:space="preserve"> </w:t>
      </w:r>
      <w:r>
        <w:t xml:space="preserve">“</w:t>
      </w:r>
      <w:r>
        <w:t xml:space="preserve">likely removed</w:t>
      </w:r>
      <w:r>
        <w:t xml:space="preserve">”</w:t>
      </w:r>
      <w:r>
        <w:t xml:space="preserve"> </w:t>
      </w:r>
      <w:r>
        <w:t xml:space="preserve">when the farmhouse was demolished. However,</w:t>
      </w:r>
      <w:r>
        <w:t xml:space="preserve"> </w:t>
      </w:r>
      <w:r>
        <w:rPr>
          <w:b/>
          <w:bCs/>
        </w:rPr>
        <w:t xml:space="preserve">no closure documentation, tank removal records, or regulatory sign-off</w:t>
      </w:r>
      <w:r>
        <w:t xml:space="preserve"> </w:t>
      </w:r>
      <w:r>
        <w:t xml:space="preserve">have been located, and BUSTR has no records for this tank. The tank’s status is</w:t>
      </w:r>
      <w:r>
        <w:t xml:space="preserve"> </w:t>
      </w:r>
      <w:r>
        <w:rPr>
          <w:b/>
          <w:bCs/>
        </w:rPr>
        <w:t xml:space="preserve">unknown — it may remain in place</w:t>
      </w:r>
      <w:r>
        <w:t xml:space="preserve"> </w:t>
      </w:r>
      <w:r>
        <w:t xml:space="preserve">beneath current pavement/fill. The</w:t>
      </w:r>
      <w:r>
        <w:t xml:space="preserve"> </w:t>
      </w:r>
      <w:r>
        <w:t xml:space="preserve">“</w:t>
      </w:r>
      <w:r>
        <w:t xml:space="preserve">likely removed</w:t>
      </w:r>
      <w:r>
        <w:t xml:space="preserve">”</w:t>
      </w:r>
      <w:r>
        <w:t xml:space="preserve"> </w:t>
      </w:r>
      <w:r>
        <w:t xml:space="preserve">determination is an assumption, not a documented fact; the absence of any closure records is a meaningful gap for a tank that may still be in the ground.</w:t>
      </w:r>
      <w:r>
        <w:t xml:space="preserve"> </w:t>
      </w:r>
      <w:r>
        <w:rPr>
          <w:i/>
          <w:iCs/>
        </w:rPr>
        <w:t xml:space="preserve">Source: Greenfield Phase I §§ 5.2.1, 6.2.2, 9.3 (HREC No. 1); Ohio EPA Response § 3; EDR Summary, Sanborn Map Summary.</w:t>
      </w:r>
    </w:p>
    <w:bookmarkEnd w:id="35"/>
    <w:bookmarkStart w:id="36" w:name="X7c0fc6e7cc6a97d28f569a8f4b53bc80be1ecd0"/>
    <w:p>
      <w:pPr>
        <w:pStyle w:val="Heading3"/>
      </w:pPr>
      <w:r>
        <w:t xml:space="preserve">Issue 11 — Uncharacterized Monitoring Well MW-1 (Unknown Origin, Damaged)</w:t>
      </w:r>
    </w:p>
    <w:p>
      <w:pPr>
        <w:pStyle w:val="FirstParagraph"/>
      </w:pPr>
      <w:r>
        <w:rPr>
          <w:b/>
          <w:bCs/>
        </w:rPr>
        <w:t xml:space="preserve">Severity: HIGH</w:t>
      </w:r>
    </w:p>
    <w:p>
      <w:pPr>
        <w:pStyle w:val="BodyText"/>
      </w:pPr>
      <w:r>
        <w:t xml:space="preserve">A monitoring well labeled</w:t>
      </w:r>
      <w:r>
        <w:t xml:space="preserve"> </w:t>
      </w:r>
      <w:r>
        <w:t xml:space="preserve">“</w:t>
      </w:r>
      <w:r>
        <w:t xml:space="preserve">MW-1</w:t>
      </w:r>
      <w:r>
        <w:t xml:space="preserve">”</w:t>
      </w:r>
      <w:r>
        <w:t xml:space="preserve"> </w:t>
      </w:r>
      <w:r>
        <w:t xml:space="preserve">was observed near the northeast property boundary, approximately 30 ft inside the property line. The well is</w:t>
      </w:r>
      <w:r>
        <w:t xml:space="preserve"> </w:t>
      </w:r>
      <w:r>
        <w:rPr>
          <w:b/>
          <w:bCs/>
        </w:rPr>
        <w:t xml:space="preserve">damaged and in disrepair</w:t>
      </w:r>
      <w:r>
        <w:t xml:space="preserve"> </w:t>
      </w:r>
      <w:r>
        <w:t xml:space="preserve">(cracked PVC cover, loose bolting, accumulated debris).</w:t>
      </w:r>
      <w:r>
        <w:t xml:space="preserve"> </w:t>
      </w:r>
      <w:r>
        <w:rPr>
          <w:b/>
          <w:bCs/>
        </w:rPr>
        <w:t xml:space="preserve">No installation logs, well construction details, or analytical data</w:t>
      </w:r>
      <w:r>
        <w:t xml:space="preserve"> </w:t>
      </w:r>
      <w:r>
        <w:t xml:space="preserve">were located for this well. Seller stated he does not know who installed the well, when it was installed, or its purpose. Given the well’s location near the northeast boundary and the upgradient Lake Erie Dry Cleaning PCE plume (to the north),</w:t>
      </w:r>
      <w:r>
        <w:t xml:space="preserve"> </w:t>
      </w:r>
      <w:r>
        <w:rPr>
          <w:b/>
          <w:bCs/>
        </w:rPr>
        <w:t xml:space="preserve">MW-1 may be part of the dry cleaner’s plume-monitoring network</w:t>
      </w:r>
      <w:r>
        <w:t xml:space="preserve"> </w:t>
      </w:r>
      <w:r>
        <w:t xml:space="preserve">and may contain data relevant to PCE migration onto the Property. The failure to identify the well’s origin or obtain any associated data is a material data gap.</w:t>
      </w:r>
      <w:r>
        <w:t xml:space="preserve"> </w:t>
      </w:r>
      <w:r>
        <w:rPr>
          <w:i/>
          <w:iCs/>
        </w:rPr>
        <w:t xml:space="preserve">Source: Greenfield Phase I §§ 6.2.5, 7.1.</w:t>
      </w:r>
    </w:p>
    <w:p>
      <w:r>
        <w:pict>
          <v:rect style="width:0;height:1.5pt" o:hralign="center" o:hrstd="t" o:hr="t"/>
        </w:pict>
      </w:r>
    </w:p>
    <w:bookmarkEnd w:id="36"/>
    <w:bookmarkEnd w:id="37"/>
    <w:bookmarkStart w:id="40" w:name="regulatory-and-compliance-history"/>
    <w:p>
      <w:pPr>
        <w:pStyle w:val="Heading2"/>
      </w:pPr>
      <w:r>
        <w:t xml:space="preserve">6. Regulatory and Compliance History</w:t>
      </w:r>
    </w:p>
    <w:bookmarkStart w:id="38" w:name="Xde76e39ca41657b1094fcf1ccea7bfea673e0c8"/>
    <w:p>
      <w:pPr>
        <w:pStyle w:val="Heading3"/>
      </w:pPr>
      <w:r>
        <w:t xml:space="preserve">Issue 12 — 2003 Ohio EPA Notice of Violation and Consent Order (Resolution Unconfirmed)</w:t>
      </w:r>
    </w:p>
    <w:p>
      <w:pPr>
        <w:pStyle w:val="FirstParagraph"/>
      </w:pPr>
      <w:r>
        <w:rPr>
          <w:b/>
          <w:bCs/>
        </w:rPr>
        <w:t xml:space="preserve">Severity: HIGH</w:t>
      </w:r>
    </w:p>
    <w:p>
      <w:pPr>
        <w:pStyle w:val="BodyText"/>
      </w:pPr>
      <w:r>
        <w:t xml:space="preserve">Ohio EPA conducted a Compliance Evaluation Inspection on July 17, 2003, documenting three violations: (1) improper storage of hazardous waste in rusted/leaking 55-gallon drums (electroplating sludge and spent chromium-bearing wastewater) in an outdoor east-side area, with ground staining; (2) failure to label containers with accumulation start dates; and (3) failure to maintain hazardous waste determination records. Ohio EPA issued a Notice of Violation (File No. NW-2003-0471) on August 12, 2003, addressed to Breckenridge Manufacturing Co. and Gerald Breckenridge III. The NOV was resolved via Director’s Final Findings and Orders (consent order) requiring a facility-wide waste audit, proper characterization/disposal of accumulated waste, a written waste management plan, and a compliance certification within 120 days.</w:t>
      </w:r>
      <w:r>
        <w:t xml:space="preserve"> </w:t>
      </w:r>
      <w:r>
        <w:rPr>
          <w:b/>
          <w:bCs/>
        </w:rPr>
        <w:t xml:space="preserve">The consent order file is archived at Ohio EPA’s Central Office in Columbus and was not produced; the compliance certification was not confirmed; Seller could not produce a copy of the consent order.</w:t>
      </w:r>
      <w:r>
        <w:t xml:space="preserve"> </w:t>
      </w:r>
      <w:r>
        <w:t xml:space="preserve">Ohio EPA advises that retrieval of the archived consent order may require</w:t>
      </w:r>
      <w:r>
        <w:t xml:space="preserve"> </w:t>
      </w:r>
      <w:r>
        <w:rPr>
          <w:b/>
          <w:bCs/>
        </w:rPr>
        <w:t xml:space="preserve">30 to 45 business days</w:t>
      </w:r>
      <w:r>
        <w:t xml:space="preserve"> </w:t>
      </w:r>
      <w:r>
        <w:t xml:space="preserve">from a separate records request to the Central Office — a timeline that bears on the Lender’s November 30, 2024 Phase II delivery deadline (see Issue 33).</w:t>
      </w:r>
      <w:r>
        <w:t xml:space="preserve"> </w:t>
      </w:r>
      <w:r>
        <w:rPr>
          <w:i/>
          <w:iCs/>
        </w:rPr>
        <w:t xml:space="preserve">Source: Greenfield Phase I §§ 5.1.2, 7.2; Ohio EPA Response § 2.</w:t>
      </w:r>
    </w:p>
    <w:bookmarkEnd w:id="38"/>
    <w:bookmarkStart w:id="39" w:name="X4165fb752f28f4bc03f66e26e0d74c57887e3e7"/>
    <w:p>
      <w:pPr>
        <w:pStyle w:val="Heading3"/>
      </w:pPr>
      <w:r>
        <w:t xml:space="preserve">Issue 13 — Seller Credibility and Disclosure Inconsistencies</w:t>
      </w:r>
    </w:p>
    <w:p>
      <w:pPr>
        <w:pStyle w:val="FirstParagraph"/>
      </w:pPr>
      <w:r>
        <w:rPr>
          <w:b/>
          <w:bCs/>
        </w:rPr>
        <w:t xml:space="preserve">Severity: HIGH</w:t>
      </w:r>
    </w:p>
    <w:p>
      <w:pPr>
        <w:pStyle w:val="BodyText"/>
      </w:pPr>
      <w:r>
        <w:t xml:space="preserve">Seller (Gerald Breckenridge III) made multiple statements inconsistent with the documented record: (a) claimed</w:t>
      </w:r>
      <w:r>
        <w:t xml:space="preserve"> </w:t>
      </w:r>
      <w:r>
        <w:t xml:space="preserve">“</w:t>
      </w:r>
      <w:r>
        <w:t xml:space="preserve">not aware of any spills</w:t>
      </w:r>
      <w:r>
        <w:t xml:space="preserve">”</w:t>
      </w:r>
      <w:r>
        <w:t xml:space="preserve"> </w:t>
      </w:r>
      <w:r>
        <w:t xml:space="preserve">despite the documented 1988 Fire Department spill report; (b) claimed</w:t>
      </w:r>
      <w:r>
        <w:t xml:space="preserve"> </w:t>
      </w:r>
      <w:r>
        <w:t xml:space="preserve">“</w:t>
      </w:r>
      <w:r>
        <w:t xml:space="preserve">all the chemicals were handled properly</w:t>
      </w:r>
      <w:r>
        <w:t xml:space="preserve">”</w:t>
      </w:r>
      <w:r>
        <w:t xml:space="preserve"> </w:t>
      </w:r>
      <w:r>
        <w:t xml:space="preserve">without supporting documentation; (c)</w:t>
      </w:r>
      <w:r>
        <w:t xml:space="preserve"> </w:t>
      </w:r>
      <w:r>
        <w:rPr>
          <w:b/>
          <w:bCs/>
        </w:rPr>
        <w:t xml:space="preserve">declined to provide corporate records from 1961–1990</w:t>
      </w:r>
      <w:r>
        <w:t xml:space="preserve">, stating they were</w:t>
      </w:r>
      <w:r>
        <w:t xml:space="preserve"> </w:t>
      </w:r>
      <w:r>
        <w:t xml:space="preserve">“</w:t>
      </w:r>
      <w:r>
        <w:t xml:space="preserve">in storage</w:t>
      </w:r>
      <w:r>
        <w:t xml:space="preserve">”</w:t>
      </w:r>
      <w:r>
        <w:t xml:space="preserve">; (d) could not produce the consent order resolving the 2003 NOV; (e) stated no knowledge of monitoring well MW-1; and (f) characterized the 1988 spill as</w:t>
      </w:r>
      <w:r>
        <w:t xml:space="preserve"> </w:t>
      </w:r>
      <w:r>
        <w:t xml:space="preserve">“</w:t>
      </w:r>
      <w:r>
        <w:t xml:space="preserve">a minor incident</w:t>
      </w:r>
      <w:r>
        <w:t xml:space="preserve">”</w:t>
      </w:r>
      <w:r>
        <w:t xml:space="preserve"> </w:t>
      </w:r>
      <w:r>
        <w:t xml:space="preserve">and</w:t>
      </w:r>
      <w:r>
        <w:t xml:space="preserve"> </w:t>
      </w:r>
      <w:r>
        <w:t xml:space="preserve">“</w:t>
      </w:r>
      <w:r>
        <w:t xml:space="preserve">nothing to worry about.</w:t>
      </w:r>
      <w:r>
        <w:t xml:space="preserve">”</w:t>
      </w:r>
      <w:r>
        <w:t xml:space="preserve"> </w:t>
      </w:r>
      <w:r>
        <w:t xml:space="preserve">These inconsistencies materially impair the reliability of Seller’s disclosures and bear directly on the enforceability of Seller’s representations and warranties.</w:t>
      </w:r>
      <w:r>
        <w:t xml:space="preserve"> </w:t>
      </w:r>
      <w:r>
        <w:rPr>
          <w:i/>
          <w:iCs/>
        </w:rPr>
        <w:t xml:space="preserve">Source: Greenfield Phase I § 7.1.</w:t>
      </w:r>
    </w:p>
    <w:p>
      <w:r>
        <w:pict>
          <v:rect style="width:0;height:1.5pt" o:hralign="center" o:hrstd="t" o:hr="t"/>
        </w:pict>
      </w:r>
    </w:p>
    <w:bookmarkEnd w:id="39"/>
    <w:bookmarkEnd w:id="40"/>
    <w:bookmarkStart w:id="47" w:name="data-gaps-and-documentation-deficiencies"/>
    <w:p>
      <w:pPr>
        <w:pStyle w:val="Heading2"/>
      </w:pPr>
      <w:r>
        <w:t xml:space="preserve">7. Data Gaps and Documentation Deficiencies</w:t>
      </w:r>
    </w:p>
    <w:bookmarkStart w:id="41" w:name="Xd4ac204ca943da0e79c9b4eab79033c371ebda8"/>
    <w:p>
      <w:pPr>
        <w:pStyle w:val="Heading3"/>
      </w:pPr>
      <w:r>
        <w:t xml:space="preserve">Issue 14 — Data Gap: Corporate Records (1961–1990) Not Produced</w:t>
      </w:r>
    </w:p>
    <w:p>
      <w:pPr>
        <w:pStyle w:val="FirstParagraph"/>
      </w:pPr>
      <w:r>
        <w:rPr>
          <w:b/>
          <w:bCs/>
        </w:rPr>
        <w:t xml:space="preserve">Severity: MEDIUM</w:t>
      </w:r>
    </w:p>
    <w:p>
      <w:pPr>
        <w:pStyle w:val="BodyText"/>
      </w:pPr>
      <w:r>
        <w:t xml:space="preserve">Corporate records from 1961 through 1990 — including operating records, environmental compliance records, waste logs, and other potentially relevant documentation — were not made available by Seller, who stated the records are</w:t>
      </w:r>
      <w:r>
        <w:t xml:space="preserve"> </w:t>
      </w:r>
      <w:r>
        <w:t xml:space="preserve">“</w:t>
      </w:r>
      <w:r>
        <w:t xml:space="preserve">in storage</w:t>
      </w:r>
      <w:r>
        <w:t xml:space="preserve">”</w:t>
      </w:r>
      <w:r>
        <w:t xml:space="preserve"> </w:t>
      </w:r>
      <w:r>
        <w:t xml:space="preserve">and declined to retrieve them. This limits the ability to fully characterize historical operations, chemical usage, and waste management during the early decades of industrial use. Reasonable efforts to obtain the records were made.</w:t>
      </w:r>
      <w:r>
        <w:t xml:space="preserve"> </w:t>
      </w:r>
      <w:r>
        <w:rPr>
          <w:i/>
          <w:iCs/>
        </w:rPr>
        <w:t xml:space="preserve">Source: Greenfield Phase I §§ 7.1, 8.0 (Data Gap No. 2).</w:t>
      </w:r>
    </w:p>
    <w:bookmarkEnd w:id="41"/>
    <w:bookmarkStart w:id="42" w:name="X02a288b9223f0aa9631a23c1ad35e51b1ccc788"/>
    <w:p>
      <w:pPr>
        <w:pStyle w:val="Heading3"/>
      </w:pPr>
      <w:r>
        <w:t xml:space="preserve">Issue 15 — Data Gap: No Interviews with Former Employees or Other Knowledgeable Parties</w:t>
      </w:r>
    </w:p>
    <w:p>
      <w:pPr>
        <w:pStyle w:val="FirstParagraph"/>
      </w:pPr>
      <w:r>
        <w:rPr>
          <w:b/>
          <w:bCs/>
        </w:rPr>
        <w:t xml:space="preserve">Severity: MEDIUM</w:t>
      </w:r>
    </w:p>
    <w:p>
      <w:pPr>
        <w:pStyle w:val="BodyText"/>
      </w:pPr>
      <w:r>
        <w:t xml:space="preserve">The Phase I ESA states that</w:t>
      </w:r>
      <w:r>
        <w:t xml:space="preserve"> </w:t>
      </w:r>
      <w:r>
        <w:rPr>
          <w:b/>
          <w:bCs/>
        </w:rPr>
        <w:t xml:space="preserve">“</w:t>
      </w:r>
      <w:r>
        <w:rPr>
          <w:b/>
          <w:bCs/>
        </w:rPr>
        <w:t xml:space="preserve">No attempts were made to contact former employees of Breckenridge Manufacturing Co. or other persons who may have had knowledge of historical operations, chemical usage, waste disposal practices, or environmental conditions.</w:t>
      </w:r>
      <w:r>
        <w:rPr>
          <w:b/>
          <w:bCs/>
        </w:rPr>
        <w:t xml:space="preserve">”</w:t>
      </w:r>
      <w:r>
        <w:t xml:space="preserve"> </w:t>
      </w:r>
      <w:r>
        <w:t xml:space="preserve">Given the significant data gaps (no records 1961–1990; no manifests 1965–2003), former employees could have provided material information to fill these gaps. ASTM E1527-21 and the AAI rule contemplate interviews with knowledgeable parties; the decision not to attempt any such interviews is a limitation.</w:t>
      </w:r>
      <w:r>
        <w:t xml:space="preserve"> </w:t>
      </w:r>
      <w:r>
        <w:rPr>
          <w:i/>
          <w:iCs/>
        </w:rPr>
        <w:t xml:space="preserve">Source: Greenfield Phase I § 7.4.</w:t>
      </w:r>
    </w:p>
    <w:bookmarkEnd w:id="42"/>
    <w:bookmarkStart w:id="43" w:name="X6f06cc611e5217a39ef493d621f53c9b9942722"/>
    <w:p>
      <w:pPr>
        <w:pStyle w:val="Heading3"/>
      </w:pPr>
      <w:r>
        <w:t xml:space="preserve">Issue 16 — Data Gap: EDR Database Listings Not Fully Addressed in the Phase I ESA</w:t>
      </w:r>
    </w:p>
    <w:p>
      <w:pPr>
        <w:pStyle w:val="FirstParagraph"/>
      </w:pPr>
      <w:r>
        <w:rPr>
          <w:b/>
          <w:bCs/>
        </w:rPr>
        <w:t xml:space="preserve">Severity: MEDIUM</w:t>
      </w:r>
    </w:p>
    <w:p>
      <w:pPr>
        <w:pStyle w:val="BodyText"/>
      </w:pPr>
      <w:r>
        <w:t xml:space="preserve">The EDR Summary identifies nearby sites within the ASTM search radii that the Greenfield Phase I ESA did not discuss in its findings, including: (a)</w:t>
      </w:r>
      <w:r>
        <w:t xml:space="preserve"> </w:t>
      </w:r>
      <w:r>
        <w:rPr>
          <w:b/>
          <w:bCs/>
        </w:rPr>
        <w:t xml:space="preserve">Great Lakes Metal Finishing Inc.</w:t>
      </w:r>
      <w:r>
        <w:t xml:space="preserve"> </w:t>
      </w:r>
      <w:r>
        <w:t xml:space="preserve">(east-northeast, ~350 ft; active SQG with chromium and lead waste codes) — a nearby similar industrial use; (b)</w:t>
      </w:r>
      <w:r>
        <w:t xml:space="preserve"> </w:t>
      </w:r>
      <w:r>
        <w:rPr>
          <w:b/>
          <w:bCs/>
        </w:rPr>
        <w:t xml:space="preserve">Bayshore Auto Salvage</w:t>
      </w:r>
      <w:r>
        <w:t xml:space="preserve"> </w:t>
      </w:r>
      <w:r>
        <w:t xml:space="preserve">(northeast, ~0.20 mi; closed LUST, plume migrating east/away); (c)</w:t>
      </w:r>
      <w:r>
        <w:t xml:space="preserve"> </w:t>
      </w:r>
      <w:r>
        <w:rPr>
          <w:b/>
          <w:bCs/>
        </w:rPr>
        <w:t xml:space="preserve">Metro Petroleum</w:t>
      </w:r>
      <w:r>
        <w:t xml:space="preserve"> </w:t>
      </w:r>
      <w:r>
        <w:t xml:space="preserve">(north-northeast, ~0.30 mi; active compliant gas station); (d)</w:t>
      </w:r>
      <w:r>
        <w:t xml:space="preserve"> </w:t>
      </w:r>
      <w:r>
        <w:rPr>
          <w:b/>
          <w:bCs/>
        </w:rPr>
        <w:t xml:space="preserve">Former Sunoco Station #4477</w:t>
      </w:r>
      <w:r>
        <w:t xml:space="preserve"> </w:t>
      </w:r>
      <w:r>
        <w:t xml:space="preserve">(south-southwest, ~0.25 mi; closed LUST, NFA 1999); and (e)</w:t>
      </w:r>
      <w:r>
        <w:t xml:space="preserve"> </w:t>
      </w:r>
      <w:r>
        <w:rPr>
          <w:b/>
          <w:bCs/>
        </w:rPr>
        <w:t xml:space="preserve">Lucas County Sanitary Sewer — Lakeshore Industrial Trunk Line</w:t>
      </w:r>
      <w:r>
        <w:t xml:space="preserve"> </w:t>
      </w:r>
      <w:r>
        <w:t xml:space="preserve">(south, ~75 ft; noted as a</w:t>
      </w:r>
      <w:r>
        <w:t xml:space="preserve"> </w:t>
      </w:r>
      <w:r>
        <w:rPr>
          <w:b/>
          <w:bCs/>
        </w:rPr>
        <w:t xml:space="preserve">potential preferential pathway for contaminant migration</w:t>
      </w:r>
      <w:r>
        <w:t xml:space="preserve">). The sanitary sewer trunk line as a potential preferential pathway for the off-site PCE plume is particularly relevant and was not evaluated.</w:t>
      </w:r>
      <w:r>
        <w:t xml:space="preserve"> </w:t>
      </w:r>
      <w:r>
        <w:rPr>
          <w:i/>
          <w:iCs/>
        </w:rPr>
        <w:t xml:space="preserve">Source: Greenfield Phase I § 5.1.1 (discusses only 4 nearby sites); EDR Summary, Adjacent Property Listings A5–A9.</w:t>
      </w:r>
    </w:p>
    <w:bookmarkEnd w:id="43"/>
    <w:bookmarkStart w:id="44" w:name="Xcedf874f349594eba1a04e6ce68c6a69d77ffac"/>
    <w:p>
      <w:pPr>
        <w:pStyle w:val="Heading3"/>
      </w:pPr>
      <w:r>
        <w:t xml:space="preserve">Issue 17 — Data Gap: Unmapped Orphan Sites in EDR Report</w:t>
      </w:r>
    </w:p>
    <w:p>
      <w:pPr>
        <w:pStyle w:val="FirstParagraph"/>
      </w:pPr>
      <w:r>
        <w:rPr>
          <w:b/>
          <w:bCs/>
        </w:rPr>
        <w:t xml:space="preserve">Severity: LOW</w:t>
      </w:r>
    </w:p>
    <w:p>
      <w:pPr>
        <w:pStyle w:val="BodyText"/>
      </w:pPr>
      <w:r>
        <w:t xml:space="preserve">The EDR Summary identifies seven orphan sites that could not be geographically mapped, including</w:t>
      </w:r>
      <w:r>
        <w:t xml:space="preserve"> </w:t>
      </w:r>
      <w:r>
        <w:t xml:space="preserve">“</w:t>
      </w:r>
      <w:r>
        <w:t xml:space="preserve">Toledo Industrial Solvents</w:t>
      </w:r>
      <w:r>
        <w:t xml:space="preserve">”</w:t>
      </w:r>
      <w:r>
        <w:t xml:space="preserve"> </w:t>
      </w:r>
      <w:r>
        <w:t xml:space="preserve">(LUST, closed 1996) and</w:t>
      </w:r>
      <w:r>
        <w:t xml:space="preserve"> </w:t>
      </w:r>
      <w:r>
        <w:t xml:space="preserve">“</w:t>
      </w:r>
      <w:r>
        <w:t xml:space="preserve">Lakeshore Plating Works</w:t>
      </w:r>
      <w:r>
        <w:t xml:space="preserve">”</w:t>
      </w:r>
      <w:r>
        <w:t xml:space="preserve"> </w:t>
      </w:r>
      <w:r>
        <w:t xml:space="preserve">(RCRA-CESQG, single 1998 biennial report).</w:t>
      </w:r>
      <w:r>
        <w:t xml:space="preserve"> </w:t>
      </w:r>
      <w:r>
        <w:t xml:space="preserve">“</w:t>
      </w:r>
      <w:r>
        <w:t xml:space="preserve">Lakeshore Plating Works</w:t>
      </w:r>
      <w:r>
        <w:t xml:space="preserve">”</w:t>
      </w:r>
      <w:r>
        <w:t xml:space="preserve"> </w:t>
      </w:r>
      <w:r>
        <w:t xml:space="preserve">could potentially relate to the Property or a nearby plating operation and warrants follow-up to confirm it is not the Subject Property under an alternate name. The remaining orphan entries are resolved duplicates of the Subject Property or the Lake Erie Dry Cleaning facility, or de minimis spill events.</w:t>
      </w:r>
      <w:r>
        <w:t xml:space="preserve"> </w:t>
      </w:r>
      <w:r>
        <w:rPr>
          <w:i/>
          <w:iCs/>
        </w:rPr>
        <w:t xml:space="preserve">Source: EDR Summary, Orphan Site Summary.</w:t>
      </w:r>
    </w:p>
    <w:bookmarkEnd w:id="44"/>
    <w:bookmarkStart w:id="45" w:name="X070474a06516cb1d59add0c968a12aca5a2bf05"/>
    <w:p>
      <w:pPr>
        <w:pStyle w:val="Heading3"/>
      </w:pPr>
      <w:r>
        <w:t xml:space="preserve">Issue 18 — Administrative Discrepancy: Project Number Mismatch</w:t>
      </w:r>
    </w:p>
    <w:p>
      <w:pPr>
        <w:pStyle w:val="FirstParagraph"/>
      </w:pPr>
      <w:r>
        <w:rPr>
          <w:b/>
          <w:bCs/>
        </w:rPr>
        <w:t xml:space="preserve">Severity: LOW</w:t>
      </w:r>
    </w:p>
    <w:p>
      <w:pPr>
        <w:pStyle w:val="BodyText"/>
      </w:pPr>
      <w:r>
        <w:t xml:space="preserve">The Greenfield Phase I ESA cover lists</w:t>
      </w:r>
      <w:r>
        <w:t xml:space="preserve"> </w:t>
      </w:r>
      <w:r>
        <w:t xml:space="preserve">“</w:t>
      </w:r>
      <w:r>
        <w:t xml:space="preserve">Greenfield Project Number: GEC-2024-0347,</w:t>
      </w:r>
      <w:r>
        <w:t xml:space="preserve">”</w:t>
      </w:r>
      <w:r>
        <w:t xml:space="preserve"> </w:t>
      </w:r>
      <w:r>
        <w:t xml:space="preserve">while the Ohio EPA Response letter references</w:t>
      </w:r>
      <w:r>
        <w:t xml:space="preserve"> </w:t>
      </w:r>
      <w:r>
        <w:t xml:space="preserve">“</w:t>
      </w:r>
      <w:r>
        <w:t xml:space="preserve">Your Reference: GEC Project No. 2024-0871.</w:t>
      </w:r>
      <w:r>
        <w:t xml:space="preserve">”</w:t>
      </w:r>
      <w:r>
        <w:t xml:space="preserve"> </w:t>
      </w:r>
      <w:r>
        <w:t xml:space="preserve">The mismatch may reflect a preliminary versus final project number, but it should be reconciled for record-keeping consistency.</w:t>
      </w:r>
      <w:r>
        <w:t xml:space="preserve"> </w:t>
      </w:r>
      <w:r>
        <w:rPr>
          <w:i/>
          <w:iCs/>
        </w:rPr>
        <w:t xml:space="preserve">Source: Greenfield Phase I (cover); Ohio EPA Response (header).</w:t>
      </w:r>
    </w:p>
    <w:bookmarkEnd w:id="45"/>
    <w:bookmarkStart w:id="46" w:name="X4c0b8474022a48751c90df4f1edcdcee6e8e1da"/>
    <w:p>
      <w:pPr>
        <w:pStyle w:val="Heading3"/>
      </w:pPr>
      <w:r>
        <w:t xml:space="preserve">Issue 19 — Data Gap: Ohio EPA–Recommended Additional Agency Consultations Not Pursued</w:t>
      </w:r>
    </w:p>
    <w:p>
      <w:pPr>
        <w:pStyle w:val="FirstParagraph"/>
      </w:pPr>
      <w:r>
        <w:rPr>
          <w:b/>
          <w:bCs/>
        </w:rPr>
        <w:t xml:space="preserve">Severity: MEDIUM</w:t>
      </w:r>
    </w:p>
    <w:p>
      <w:pPr>
        <w:pStyle w:val="BodyText"/>
      </w:pPr>
      <w:r>
        <w:t xml:space="preserve">Ohio EPA’s response expressly recommends that the requestor</w:t>
      </w:r>
      <w:r>
        <w:t xml:space="preserve"> </w:t>
      </w:r>
      <w:r>
        <w:t xml:space="preserve">“</w:t>
      </w:r>
      <w:r>
        <w:t xml:space="preserve">also consult with the following agencies, which may maintain additional records relevant to the environmental assessment</w:t>
      </w:r>
      <w:r>
        <w:t xml:space="preserve">”</w:t>
      </w:r>
      <w:r>
        <w:t xml:space="preserve">: (a)</w:t>
      </w:r>
      <w:r>
        <w:t xml:space="preserve"> </w:t>
      </w:r>
      <w:r>
        <w:rPr>
          <w:b/>
          <w:bCs/>
        </w:rPr>
        <w:t xml:space="preserve">City of Toledo Department of Public Utilities</w:t>
      </w:r>
      <w:r>
        <w:t xml:space="preserve"> </w:t>
      </w:r>
      <w:r>
        <w:t xml:space="preserve">(sewer connection and industrial pretreatment/discharge records); (b)</w:t>
      </w:r>
      <w:r>
        <w:t xml:space="preserve"> </w:t>
      </w:r>
      <w:r>
        <w:rPr>
          <w:b/>
          <w:bCs/>
        </w:rPr>
        <w:t xml:space="preserve">Lucas County Health Department</w:t>
      </w:r>
      <w:r>
        <w:t xml:space="preserve"> </w:t>
      </w:r>
      <w:r>
        <w:t xml:space="preserve">(solid waste, septage, and nuisance complaint records); (c)</w:t>
      </w:r>
      <w:r>
        <w:t xml:space="preserve"> </w:t>
      </w:r>
      <w:r>
        <w:rPr>
          <w:b/>
          <w:bCs/>
        </w:rPr>
        <w:t xml:space="preserve">Toledo Fire Department</w:t>
      </w:r>
      <w:r>
        <w:t xml:space="preserve"> </w:t>
      </w:r>
      <w:r>
        <w:t xml:space="preserve">(hazardous materials storage permits, fire inspection records, and</w:t>
      </w:r>
      <w:r>
        <w:t xml:space="preserve"> </w:t>
      </w:r>
      <w:r>
        <w:rPr>
          <w:b/>
          <w:bCs/>
        </w:rPr>
        <w:t xml:space="preserve">underground storage tank permits</w:t>
      </w:r>
      <w:r>
        <w:t xml:space="preserve">); and (d)</w:t>
      </w:r>
      <w:r>
        <w:t xml:space="preserve"> </w:t>
      </w:r>
      <w:r>
        <w:rPr>
          <w:b/>
          <w:bCs/>
        </w:rPr>
        <w:t xml:space="preserve">Ohio Department of Commerce, Division of State Fire Marshal</w:t>
      </w:r>
      <w:r>
        <w:t xml:space="preserve"> </w:t>
      </w:r>
      <w:r>
        <w:t xml:space="preserve">(aboveground storage tank records). The Phase I ESA contacted the Toledo Fire Department (which yielded the 1988 spill report) and the Building Department, but the sewer/pretreatment, health department, and State Fire Marshal records were not pursued. Given the electroplating wastewater history and the unregistered USTs, the pretreatment/discharge records and UST permit records are particularly relevant and remain an open data gap.</w:t>
      </w:r>
      <w:r>
        <w:t xml:space="preserve"> </w:t>
      </w:r>
      <w:r>
        <w:rPr>
          <w:i/>
          <w:iCs/>
        </w:rPr>
        <w:t xml:space="preserve">Source: Ohio EPA Response § 6; Greenfield Phase I §§ 5.1.2, 7.2.</w:t>
      </w:r>
    </w:p>
    <w:p>
      <w:r>
        <w:pict>
          <v:rect style="width:0;height:1.5pt" o:hralign="center" o:hrstd="t" o:hr="t"/>
        </w:pict>
      </w:r>
    </w:p>
    <w:bookmarkEnd w:id="46"/>
    <w:bookmarkEnd w:id="47"/>
    <w:bookmarkStart w:id="55" w:name="Xc97b1262869ad457913fd7afee84c7a1694c6c8"/>
    <w:p>
      <w:pPr>
        <w:pStyle w:val="Heading2"/>
      </w:pPr>
      <w:r>
        <w:t xml:space="preserve">8. Seller Representation Discrepancies / Potential Breaches</w:t>
      </w:r>
    </w:p>
    <w:bookmarkStart w:id="48" w:name="Xd15bf616bd7a527366226555111f5bd3c4e53df"/>
    <w:p>
      <w:pPr>
        <w:pStyle w:val="Heading3"/>
      </w:pPr>
      <w:r>
        <w:t xml:space="preserve">Issue 20 — Breach of § 4.12(c): 2003 NOV Not Disclosed on Schedule 4.12(c)</w:t>
      </w:r>
    </w:p>
    <w:p>
      <w:pPr>
        <w:pStyle w:val="FirstParagraph"/>
      </w:pPr>
      <w:r>
        <w:rPr>
          <w:b/>
          <w:bCs/>
        </w:rPr>
        <w:t xml:space="preserve">Severity: CRITICAL</w:t>
      </w:r>
    </w:p>
    <w:p>
      <w:pPr>
        <w:pStyle w:val="BodyText"/>
      </w:pPr>
      <w:r>
        <w:t xml:space="preserve">Section 4.12(c) provides that, except as set forth on Schedule 4.12(c), Seller has not received any</w:t>
      </w:r>
      <w:r>
        <w:t xml:space="preserve"> </w:t>
      </w:r>
      <w:r>
        <w:t xml:space="preserve">“</w:t>
      </w:r>
      <w:r>
        <w:t xml:space="preserve">Environmental Notice</w:t>
      </w:r>
      <w:r>
        <w:t xml:space="preserve">”</w:t>
      </w:r>
      <w:r>
        <w:t xml:space="preserve"> </w:t>
      </w:r>
      <w:r>
        <w:t xml:space="preserve">from any Governmental Authority. Schedule 4.12(c) states</w:t>
      </w:r>
      <w:r>
        <w:t xml:space="preserve"> </w:t>
      </w:r>
      <w:r>
        <w:t xml:space="preserve">“</w:t>
      </w:r>
      <w:r>
        <w:t xml:space="preserve">None.</w:t>
      </w:r>
      <w:r>
        <w:t xml:space="preserve">”</w:t>
      </w:r>
      <w:r>
        <w:t xml:space="preserve"> </w:t>
      </w:r>
      <w:r>
        <w:t xml:space="preserve">The Agreement defines</w:t>
      </w:r>
      <w:r>
        <w:t xml:space="preserve"> </w:t>
      </w:r>
      <w:r>
        <w:t xml:space="preserve">“</w:t>
      </w:r>
      <w:r>
        <w:t xml:space="preserve">Environmental Notice</w:t>
      </w:r>
      <w:r>
        <w:t xml:space="preserve">”</w:t>
      </w:r>
      <w:r>
        <w:t xml:space="preserve"> </w:t>
      </w:r>
      <w:r>
        <w:t xml:space="preserve">to include</w:t>
      </w:r>
      <w:r>
        <w:t xml:space="preserve"> </w:t>
      </w:r>
      <w:r>
        <w:t xml:space="preserve">“</w:t>
      </w:r>
      <w:r>
        <w:t xml:space="preserve">any written directive, notice of violation, citation, complaint, order, consent order, letter, or other communication from any Governmental Authority relating to any alleged or actual violation of Environmental Law.</w:t>
      </w:r>
      <w:r>
        <w:t xml:space="preserve">”</w:t>
      </w:r>
      <w:r>
        <w:t xml:space="preserve"> </w:t>
      </w:r>
      <w:r>
        <w:t xml:space="preserve">The</w:t>
      </w:r>
      <w:r>
        <w:t xml:space="preserve"> </w:t>
      </w:r>
      <w:r>
        <w:rPr>
          <w:b/>
          <w:bCs/>
        </w:rPr>
        <w:t xml:space="preserve">2003 Ohio EPA Notice of Violation (File No. NW-2003-0471)</w:t>
      </w:r>
      <w:r>
        <w:t xml:space="preserve"> </w:t>
      </w:r>
      <w:r>
        <w:t xml:space="preserve">— and the resulting Director’s Final Findings and Orders (consent order) — are unambiguously</w:t>
      </w:r>
      <w:r>
        <w:t xml:space="preserve"> </w:t>
      </w:r>
      <w:r>
        <w:t xml:space="preserve">“</w:t>
      </w:r>
      <w:r>
        <w:t xml:space="preserve">Environmental Notices</w:t>
      </w:r>
      <w:r>
        <w:t xml:space="preserve">”</w:t>
      </w:r>
      <w:r>
        <w:t xml:space="preserve"> </w:t>
      </w:r>
      <w:r>
        <w:t xml:space="preserve">within this definition. Schedule 4.12(c) is therefore incomplete and inaccurate, and the representation appears</w:t>
      </w:r>
      <w:r>
        <w:t xml:space="preserve"> </w:t>
      </w:r>
      <w:r>
        <w:rPr>
          <w:b/>
          <w:bCs/>
        </w:rPr>
        <w:t xml:space="preserve">breached</w:t>
      </w:r>
      <w:r>
        <w:t xml:space="preserve">. Because the NOV and consent order are matters of public record and were addressed to Seller and its principal, this omission may support an argument of intentional misrepresentation, which would pierce the indemnification cap, basket, and survival period under § 8.4(d).</w:t>
      </w:r>
      <w:r>
        <w:t xml:space="preserve"> </w:t>
      </w:r>
      <w:r>
        <w:rPr>
          <w:i/>
          <w:iCs/>
        </w:rPr>
        <w:t xml:space="preserve">Source: Purchase Agreement § 1.1 (Environmental Notice), § 4.12(c), Schedule 4.12(c), § 8.4(d); Ohio EPA Response § 2.</w:t>
      </w:r>
    </w:p>
    <w:bookmarkEnd w:id="48"/>
    <w:bookmarkStart w:id="49" w:name="X570390d58d1dabfcf1d7e118564e11c0cf22242"/>
    <w:p>
      <w:pPr>
        <w:pStyle w:val="Heading3"/>
      </w:pPr>
      <w:r>
        <w:t xml:space="preserve">Issue 21 — Breach of § 4.13(a): Two Historical USTs Omitted from Schedule 4.13</w:t>
      </w:r>
    </w:p>
    <w:p>
      <w:pPr>
        <w:pStyle w:val="FirstParagraph"/>
      </w:pPr>
      <w:r>
        <w:rPr>
          <w:b/>
          <w:bCs/>
        </w:rPr>
        <w:t xml:space="preserve">Severity: HIGH</w:t>
      </w:r>
    </w:p>
    <w:p>
      <w:pPr>
        <w:pStyle w:val="BodyText"/>
      </w:pPr>
      <w:r>
        <w:t xml:space="preserve">Section 4.13(a) requires Schedule 4.13 to set forth a</w:t>
      </w:r>
      <w:r>
        <w:t xml:space="preserve"> </w:t>
      </w:r>
      <w:r>
        <w:t xml:space="preserve">“</w:t>
      </w:r>
      <w:r>
        <w:t xml:space="preserve">true, correct, and complete list of all Underground Storage Tanks that are or have been located on the Property.</w:t>
      </w:r>
      <w:r>
        <w:t xml:space="preserve">”</w:t>
      </w:r>
      <w:r>
        <w:t xml:space="preserve"> </w:t>
      </w:r>
      <w:r>
        <w:t xml:space="preserve">Schedule 4.13 lists only the active 10,000-gallon diesel UST and states</w:t>
      </w:r>
      <w:r>
        <w:t xml:space="preserve"> </w:t>
      </w:r>
      <w:r>
        <w:t xml:space="preserve">“</w:t>
      </w:r>
      <w:r>
        <w:t xml:space="preserve">No other Underground Storage Tanks are or have been located on the Property.</w:t>
      </w:r>
      <w:r>
        <w:t xml:space="preserve">”</w:t>
      </w:r>
      <w:r>
        <w:t xml:space="preserve"> </w:t>
      </w:r>
      <w:r>
        <w:t xml:space="preserve">However, historical Sanborn maps document</w:t>
      </w:r>
      <w:r>
        <w:t xml:space="preserve"> </w:t>
      </w:r>
      <w:r>
        <w:rPr>
          <w:b/>
          <w:bCs/>
        </w:rPr>
        <w:t xml:space="preserve">two additional USTs</w:t>
      </w:r>
      <w:r>
        <w:t xml:space="preserve">: the 2,000-gallon waste solvent UST (1987 Sanborn map) and the 500-gallon heating oil UST (1948/1955 Sanborn maps). Neither appears on Schedule 4.13. The schedule is not</w:t>
      </w:r>
      <w:r>
        <w:t xml:space="preserve"> </w:t>
      </w:r>
      <w:r>
        <w:t xml:space="preserve">“</w:t>
      </w:r>
      <w:r>
        <w:t xml:space="preserve">true, correct, and complete,</w:t>
      </w:r>
      <w:r>
        <w:t xml:space="preserve">”</w:t>
      </w:r>
      <w:r>
        <w:t xml:space="preserve"> </w:t>
      </w:r>
      <w:r>
        <w:t xml:space="preserve">and the representation appears</w:t>
      </w:r>
      <w:r>
        <w:t xml:space="preserve"> </w:t>
      </w:r>
      <w:r>
        <w:rPr>
          <w:b/>
          <w:bCs/>
        </w:rPr>
        <w:t xml:space="preserve">breached</w:t>
      </w:r>
      <w:r>
        <w:t xml:space="preserve">. Both omitted USTs lack any registration or closure records (see Issues 8 and 10).</w:t>
      </w:r>
      <w:r>
        <w:t xml:space="preserve"> </w:t>
      </w:r>
      <w:r>
        <w:rPr>
          <w:i/>
          <w:iCs/>
        </w:rPr>
        <w:t xml:space="preserve">Source: Purchase Agreement § 4.13(a), Schedule 4.13; Greenfield Phase I §§ 5.2.1, 6.2.2; Ohio EPA Response § 3.</w:t>
      </w:r>
    </w:p>
    <w:bookmarkEnd w:id="49"/>
    <w:bookmarkStart w:id="50" w:name="X548ffc511f2ea9f99306a2cd7a787b775febafa"/>
    <w:p>
      <w:pPr>
        <w:pStyle w:val="Heading3"/>
      </w:pPr>
      <w:r>
        <w:t xml:space="preserve">Issue 22 — Potential Breach of § 4.13(b):</w:t>
      </w:r>
      <w:r>
        <w:t xml:space="preserve"> </w:t>
      </w:r>
      <w:r>
        <w:t xml:space="preserve">“</w:t>
      </w:r>
      <w:r>
        <w:t xml:space="preserve">No UST Releases / No Leaking</w:t>
      </w:r>
      <w:r>
        <w:t xml:space="preserve">”</w:t>
      </w:r>
      <w:r>
        <w:t xml:space="preserve"> </w:t>
      </w:r>
      <w:r>
        <w:t xml:space="preserve">Representation</w:t>
      </w:r>
    </w:p>
    <w:p>
      <w:pPr>
        <w:pStyle w:val="FirstParagraph"/>
      </w:pPr>
      <w:r>
        <w:rPr>
          <w:b/>
          <w:bCs/>
        </w:rPr>
        <w:t xml:space="preserve">Severity: HIGH</w:t>
      </w:r>
    </w:p>
    <w:p>
      <w:pPr>
        <w:pStyle w:val="BodyText"/>
      </w:pPr>
      <w:r>
        <w:t xml:space="preserve">Section 4.13(b) represents that, to Seller’s knowledge, there have been no Releases from any Underground Storage Tank located on the Property, that no UST is leaking or has evidence of leaking, and that no UST has been the subject of any confirmed release report, suspected release report, or closure assessment required under Ohio Admin. Code § 1301:7-9-13 or 40 C.F.R. § 280. The</w:t>
      </w:r>
      <w:r>
        <w:t xml:space="preserve"> </w:t>
      </w:r>
      <w:r>
        <w:rPr>
          <w:b/>
          <w:bCs/>
        </w:rPr>
        <w:t xml:space="preserve">2,000-gallon waste solvent UST</w:t>
      </w:r>
      <w:r>
        <w:t xml:space="preserve"> </w:t>
      </w:r>
      <w:r>
        <w:t xml:space="preserve">(omitted from Schedule 4.13) is of</w:t>
      </w:r>
      <w:r>
        <w:t xml:space="preserve"> </w:t>
      </w:r>
      <w:r>
        <w:rPr>
          <w:b/>
          <w:bCs/>
        </w:rPr>
        <w:t xml:space="preserve">unknown status and may remain in place and may be leaking</w:t>
      </w:r>
      <w:r>
        <w:t xml:space="preserve">; BUSTR has no closure or release records for it, and a</w:t>
      </w:r>
      <w:r>
        <w:t xml:space="preserve"> </w:t>
      </w:r>
      <w:r>
        <w:t xml:space="preserve">“</w:t>
      </w:r>
      <w:r>
        <w:t xml:space="preserve">waste solvent</w:t>
      </w:r>
      <w:r>
        <w:t xml:space="preserve">”</w:t>
      </w:r>
      <w:r>
        <w:t xml:space="preserve"> </w:t>
      </w:r>
      <w:r>
        <w:t xml:space="preserve">tank at a TCE-degreasing facility likely held chlorinated solvents. The</w:t>
      </w:r>
      <w:r>
        <w:t xml:space="preserve"> </w:t>
      </w:r>
      <w:r>
        <w:rPr>
          <w:b/>
          <w:bCs/>
        </w:rPr>
        <w:t xml:space="preserve">500-gallon heating oil UST</w:t>
      </w:r>
      <w:r>
        <w:t xml:space="preserve"> </w:t>
      </w:r>
      <w:r>
        <w:t xml:space="preserve">likewise has no closure or release records. Because these tanks were never registered, closed, or assessed, the representation that no UST</w:t>
      </w:r>
      <w:r>
        <w:t xml:space="preserve"> </w:t>
      </w:r>
      <w:r>
        <w:t xml:space="preserve">“</w:t>
      </w:r>
      <w:r>
        <w:t xml:space="preserve">has been the subject of any … closure assessment</w:t>
      </w:r>
      <w:r>
        <w:t xml:space="preserve">”</w:t>
      </w:r>
      <w:r>
        <w:t xml:space="preserve"> </w:t>
      </w:r>
      <w:r>
        <w:t xml:space="preserve">is technically true only because no assessment was ever performed — which is itself the problem. The</w:t>
      </w:r>
      <w:r>
        <w:t xml:space="preserve"> </w:t>
      </w:r>
      <w:r>
        <w:t xml:space="preserve">“</w:t>
      </w:r>
      <w:r>
        <w:t xml:space="preserve">to Seller’s knowledge</w:t>
      </w:r>
      <w:r>
        <w:t xml:space="preserve">”</w:t>
      </w:r>
      <w:r>
        <w:t xml:space="preserve"> </w:t>
      </w:r>
      <w:r>
        <w:t xml:space="preserve">qualifier is undermined by Seller’s omission of the tanks from Schedule 4.13 and his general disclosure inconsistencies (Issue 13). The representation is questionable and potentially breached as to the omitted tanks.</w:t>
      </w:r>
      <w:r>
        <w:t xml:space="preserve"> </w:t>
      </w:r>
      <w:r>
        <w:rPr>
          <w:i/>
          <w:iCs/>
        </w:rPr>
        <w:t xml:space="preserve">Source: Purchase Agreement § 4.13(b); Ohio EPA Response § 3; Greenfield Phase I §§ 5.2.1, 6.2.2.</w:t>
      </w:r>
    </w:p>
    <w:bookmarkEnd w:id="50"/>
    <w:bookmarkStart w:id="51" w:name="X7b26902e514eb0e5ea53b1b4b5f88e3ea4c76e5"/>
    <w:p>
      <w:pPr>
        <w:pStyle w:val="Heading3"/>
      </w:pPr>
      <w:r>
        <w:t xml:space="preserve">Issue 23 — Discrepancy with § 4.12(a):</w:t>
      </w:r>
      <w:r>
        <w:t xml:space="preserve"> </w:t>
      </w:r>
      <w:r>
        <w:t xml:space="preserve">“</w:t>
      </w:r>
      <w:r>
        <w:t xml:space="preserve">No Release</w:t>
      </w:r>
      <w:r>
        <w:t xml:space="preserve">”</w:t>
      </w:r>
      <w:r>
        <w:t xml:space="preserve"> </w:t>
      </w:r>
      <w:r>
        <w:t xml:space="preserve">Representation</w:t>
      </w:r>
    </w:p>
    <w:p>
      <w:pPr>
        <w:pStyle w:val="FirstParagraph"/>
      </w:pPr>
      <w:r>
        <w:rPr>
          <w:b/>
          <w:bCs/>
        </w:rPr>
        <w:t xml:space="preserve">Severity: HIGH</w:t>
      </w:r>
    </w:p>
    <w:p>
      <w:pPr>
        <w:pStyle w:val="BodyText"/>
      </w:pPr>
      <w:r>
        <w:t xml:space="preserve">Section 4.12(a) provides that, to Seller’s knowledge, there has been no Release of Hazardous Substances at, on, under, or from the Property (Schedule 4.12(a):</w:t>
      </w:r>
      <w:r>
        <w:t xml:space="preserve"> </w:t>
      </w:r>
      <w:r>
        <w:t xml:space="preserve">“</w:t>
      </w:r>
      <w:r>
        <w:t xml:space="preserve">None</w:t>
      </w:r>
      <w:r>
        <w:t xml:space="preserve">”</w:t>
      </w:r>
      <w:r>
        <w:t xml:space="preserve">). The documented record includes: the 1988 degreasing-solvent spill (Fire Department report); the 2003 NOV documenting leaking drums of chromium waste with ground staining; 30+ years of TCE degreasing with no closure documentation; and 39 years of electroplating with visible chromium residues. The</w:t>
      </w:r>
      <w:r>
        <w:t xml:space="preserve"> </w:t>
      </w:r>
      <w:r>
        <w:t xml:space="preserve">“</w:t>
      </w:r>
      <w:r>
        <w:t xml:space="preserve">to Seller’s knowledge</w:t>
      </w:r>
      <w:r>
        <w:t xml:space="preserve">”</w:t>
      </w:r>
      <w:r>
        <w:t xml:space="preserve"> </w:t>
      </w:r>
      <w:r>
        <w:t xml:space="preserve">qualifier is materially undermined by Seller’s documented knowledge of the 1988 spill and the 2003 NOV. The representation is questionable and likely breached as to the 1988 spill and 2003 NOV at minimum.</w:t>
      </w:r>
      <w:r>
        <w:t xml:space="preserve"> </w:t>
      </w:r>
      <w:r>
        <w:rPr>
          <w:i/>
          <w:iCs/>
        </w:rPr>
        <w:t xml:space="preserve">Source: Purchase Agreement § 4.12(a), Schedule 4.12(a); Greenfield Phase I §§ 5.1.2, 9.1; Ohio EPA Response § 2.</w:t>
      </w:r>
    </w:p>
    <w:bookmarkEnd w:id="51"/>
    <w:bookmarkStart w:id="52" w:name="Xe0bb714025a1c102726e8fedb2910b772f5321d"/>
    <w:p>
      <w:pPr>
        <w:pStyle w:val="Heading3"/>
      </w:pPr>
      <w:r>
        <w:t xml:space="preserve">Issue 24 — Discrepancy with § 4.12(b):</w:t>
      </w:r>
      <w:r>
        <w:t xml:space="preserve"> </w:t>
      </w:r>
      <w:r>
        <w:t xml:space="preserve">“</w:t>
      </w:r>
      <w:r>
        <w:t xml:space="preserve">Material Compliance</w:t>
      </w:r>
      <w:r>
        <w:t xml:space="preserve">”</w:t>
      </w:r>
      <w:r>
        <w:t xml:space="preserve"> </w:t>
      </w:r>
      <w:r>
        <w:t xml:space="preserve">Representation</w:t>
      </w:r>
    </w:p>
    <w:p>
      <w:pPr>
        <w:pStyle w:val="FirstParagraph"/>
      </w:pPr>
      <w:r>
        <w:rPr>
          <w:b/>
          <w:bCs/>
        </w:rPr>
        <w:t xml:space="preserve">Severity: HIGH</w:t>
      </w:r>
    </w:p>
    <w:p>
      <w:pPr>
        <w:pStyle w:val="BodyText"/>
      </w:pPr>
      <w:r>
        <w:t xml:space="preserve">Section 4.12(b) represents that Seller has</w:t>
      </w:r>
      <w:r>
        <w:t xml:space="preserve"> </w:t>
      </w:r>
      <w:r>
        <w:t xml:space="preserve">“</w:t>
      </w:r>
      <w:r>
        <w:t xml:space="preserve">at all times</w:t>
      </w:r>
      <w:r>
        <w:t xml:space="preserve">”</w:t>
      </w:r>
      <w:r>
        <w:t xml:space="preserve"> </w:t>
      </w:r>
      <w:r>
        <w:t xml:space="preserve">conducted operations in material compliance with all Environmental Laws, including RCRA hazardous-waste requirements. The 2003 NOV (improper hazardous waste storage; failure to label; failure to maintain waste determination records) and the</w:t>
      </w:r>
      <w:r>
        <w:t xml:space="preserve"> </w:t>
      </w:r>
      <w:r>
        <w:rPr>
          <w:b/>
          <w:bCs/>
        </w:rPr>
        <w:t xml:space="preserve">complete absence of hazardous waste manifests for 1965–2003</w:t>
      </w:r>
      <w:r>
        <w:t xml:space="preserve"> </w:t>
      </w:r>
      <w:r>
        <w:t xml:space="preserve">(a 39-year RCRA recordkeeping failure) are inconsistent with this representation. The representation appears breached.</w:t>
      </w:r>
      <w:r>
        <w:t xml:space="preserve"> </w:t>
      </w:r>
      <w:r>
        <w:rPr>
          <w:i/>
          <w:iCs/>
        </w:rPr>
        <w:t xml:space="preserve">Source: Purchase Agreement § 4.12(b); Ohio EPA Response §§ 1, 2.</w:t>
      </w:r>
    </w:p>
    <w:bookmarkEnd w:id="52"/>
    <w:bookmarkStart w:id="53" w:name="Xbc28588df95196d2cf18a3e71a2f837f722add7"/>
    <w:p>
      <w:pPr>
        <w:pStyle w:val="Heading3"/>
      </w:pPr>
      <w:r>
        <w:t xml:space="preserve">Issue 25 — Discrepancy with § 4.12(d): Delivery of Environmental Records</w:t>
      </w:r>
    </w:p>
    <w:p>
      <w:pPr>
        <w:pStyle w:val="FirstParagraph"/>
      </w:pPr>
      <w:r>
        <w:rPr>
          <w:b/>
          <w:bCs/>
        </w:rPr>
        <w:t xml:space="preserve">Severity: HIGH</w:t>
      </w:r>
    </w:p>
    <w:p>
      <w:pPr>
        <w:pStyle w:val="BodyText"/>
      </w:pPr>
      <w:r>
        <w:t xml:space="preserve">Section 4.12(d) represents that Seller has delivered or made available</w:t>
      </w:r>
      <w:r>
        <w:t xml:space="preserve"> </w:t>
      </w:r>
      <w:r>
        <w:t xml:space="preserve">“</w:t>
      </w:r>
      <w:r>
        <w:t xml:space="preserve">true, correct, and complete copies of all environmental reports, studies, assessments, audits, monitoring data, correspondence with Governmental Authorities, and other documents relating to environmental conditions at the Property.</w:t>
      </w:r>
      <w:r>
        <w:t xml:space="preserve">”</w:t>
      </w:r>
      <w:r>
        <w:t xml:space="preserve"> </w:t>
      </w:r>
      <w:r>
        <w:t xml:space="preserve">Records not produced include: corporate records 1961–1990; hazardous waste manifests 1965–2003; the consent order resolving the 2003 NOV; and any records associated with monitoring well MW-1. The consent order and MW-1 records are items Seller should possess or be able to obtain; their non-production is inconsistent with the representation.</w:t>
      </w:r>
      <w:r>
        <w:t xml:space="preserve"> </w:t>
      </w:r>
      <w:r>
        <w:rPr>
          <w:i/>
          <w:iCs/>
        </w:rPr>
        <w:t xml:space="preserve">Source: Purchase Agreement § 4.12(d); Greenfield Phase I §§ 7.1, 8.0; Ohio EPA Response § 2.</w:t>
      </w:r>
    </w:p>
    <w:bookmarkEnd w:id="53"/>
    <w:bookmarkStart w:id="54" w:name="X12dda077a2359f1fd6621531cf51396e456f7b5"/>
    <w:p>
      <w:pPr>
        <w:pStyle w:val="Heading3"/>
      </w:pPr>
      <w:r>
        <w:t xml:space="preserve">Issue 26 — Potential Discrepancy with § 4.12(e): Groundwater Management Zone as Institutional Control</w:t>
      </w:r>
    </w:p>
    <w:p>
      <w:pPr>
        <w:pStyle w:val="FirstParagraph"/>
      </w:pPr>
      <w:r>
        <w:rPr>
          <w:b/>
          <w:bCs/>
        </w:rPr>
        <w:t xml:space="preserve">Severity: MEDIUM</w:t>
      </w:r>
    </w:p>
    <w:p>
      <w:pPr>
        <w:pStyle w:val="BodyText"/>
      </w:pPr>
      <w:r>
        <w:t xml:space="preserve">Section 4.12(e) represents that, to Seller’s knowledge, there are no environmental liens, deed restrictions, engineering controls, institutional controls, activity and use limitations, or environmental covenants</w:t>
      </w:r>
      <w:r>
        <w:t xml:space="preserve"> </w:t>
      </w:r>
      <w:r>
        <w:t xml:space="preserve">“</w:t>
      </w:r>
      <w:r>
        <w:t xml:space="preserve">applicable to the Property.</w:t>
      </w:r>
      <w:r>
        <w:t xml:space="preserve">”</w:t>
      </w:r>
      <w:r>
        <w:t xml:space="preserve"> </w:t>
      </w:r>
      <w:r>
        <w:t xml:space="preserve">No such controls are recorded against the Property parcels themselves. However, the Property is located within a</w:t>
      </w:r>
      <w:r>
        <w:t xml:space="preserve"> </w:t>
      </w:r>
      <w:r>
        <w:rPr>
          <w:b/>
          <w:bCs/>
        </w:rPr>
        <w:t xml:space="preserve">designated Groundwater Management Zone (GMZ)</w:t>
      </w:r>
      <w:r>
        <w:t xml:space="preserve"> </w:t>
      </w:r>
      <w:r>
        <w:t xml:space="preserve">established by Ohio EPA in connection with the off-site PCE plume, which</w:t>
      </w:r>
      <w:r>
        <w:t xml:space="preserve"> </w:t>
      </w:r>
      <w:r>
        <w:t xml:space="preserve">“</w:t>
      </w:r>
      <w:r>
        <w:t xml:space="preserve">may impose restrictions on new groundwater withdrawals, new well installations, and certain land uses.</w:t>
      </w:r>
      <w:r>
        <w:t xml:space="preserve">”</w:t>
      </w:r>
      <w:r>
        <w:t xml:space="preserve"> </w:t>
      </w:r>
      <w:r>
        <w:t xml:space="preserve">Whether the GMZ constitutes an</w:t>
      </w:r>
      <w:r>
        <w:t xml:space="preserve"> </w:t>
      </w:r>
      <w:r>
        <w:t xml:space="preserve">“</w:t>
      </w:r>
      <w:r>
        <w:t xml:space="preserve">institutional control</w:t>
      </w:r>
      <w:r>
        <w:t xml:space="preserve">”</w:t>
      </w:r>
      <w:r>
        <w:t xml:space="preserve"> </w:t>
      </w:r>
      <w:r>
        <w:t xml:space="preserve">or</w:t>
      </w:r>
      <w:r>
        <w:t xml:space="preserve"> </w:t>
      </w:r>
      <w:r>
        <w:t xml:space="preserve">“</w:t>
      </w:r>
      <w:r>
        <w:t xml:space="preserve">activity and use limitation</w:t>
      </w:r>
      <w:r>
        <w:t xml:space="preserve">”</w:t>
      </w:r>
      <w:r>
        <w:t xml:space="preserve"> </w:t>
      </w:r>
      <w:r>
        <w:t xml:space="preserve">“</w:t>
      </w:r>
      <w:r>
        <w:t xml:space="preserve">applicable to the Property</w:t>
      </w:r>
      <w:r>
        <w:t xml:space="preserve">”</w:t>
      </w:r>
      <w:r>
        <w:t xml:space="preserve"> </w:t>
      </w:r>
      <w:r>
        <w:t xml:space="preserve">within the meaning of § 4.12(e) requires legal analysis; if so, the representation may be inaccurate and the condition should have been disclosed.</w:t>
      </w:r>
      <w:r>
        <w:t xml:space="preserve"> </w:t>
      </w:r>
      <w:r>
        <w:rPr>
          <w:i/>
          <w:iCs/>
        </w:rPr>
        <w:t xml:space="preserve">Source: Purchase Agreement § 4.12(e); Ohio EPA Response § 4.</w:t>
      </w:r>
    </w:p>
    <w:p>
      <w:r>
        <w:pict>
          <v:rect style="width:0;height:1.5pt" o:hralign="center" o:hrstd="t" o:hr="t"/>
        </w:pict>
      </w:r>
    </w:p>
    <w:bookmarkEnd w:id="54"/>
    <w:bookmarkEnd w:id="55"/>
    <w:bookmarkStart w:id="68" w:name="X2ec2dbfc86ce9cc67fd84849b1c7dd2b69a0864"/>
    <w:p>
      <w:pPr>
        <w:pStyle w:val="Heading2"/>
      </w:pPr>
      <w:r>
        <w:t xml:space="preserve">9. Lender Due Diligence Requirement Compliance</w:t>
      </w:r>
    </w:p>
    <w:bookmarkStart w:id="56" w:name="Xf06fd9525d4b13a690d7396c4d506431175bea9"/>
    <w:p>
      <w:pPr>
        <w:pStyle w:val="Heading3"/>
      </w:pPr>
      <w:r>
        <w:t xml:space="preserve">Issue 27 — Lender Requirement Nonconformance: Off-Site PCE Plume Not Classified as a REC</w:t>
      </w:r>
    </w:p>
    <w:p>
      <w:pPr>
        <w:pStyle w:val="FirstParagraph"/>
      </w:pPr>
      <w:r>
        <w:rPr>
          <w:b/>
          <w:bCs/>
        </w:rPr>
        <w:t xml:space="preserve">Severity: CRITICAL</w:t>
      </w:r>
    </w:p>
    <w:p>
      <w:pPr>
        <w:pStyle w:val="BodyText"/>
      </w:pPr>
      <w:r>
        <w:t xml:space="preserve">The Lender Letter (§ 2) expressly requires that the Phase I ESA</w:t>
      </w:r>
      <w:r>
        <w:t xml:space="preserve"> </w:t>
      </w:r>
      <w:r>
        <w:t xml:space="preserve">“</w:t>
      </w:r>
      <w:r>
        <w:t xml:space="preserve">evaluate off-site sources of contamination that may be migrating onto or otherwise affecting the subject Property, including … contaminated groundwater plumes from adjacent or nearby properties,</w:t>
      </w:r>
      <w:r>
        <w:t xml:space="preserve">”</w:t>
      </w:r>
      <w:r>
        <w:t xml:space="preserve"> </w:t>
      </w:r>
      <w:r>
        <w:t xml:space="preserve">and states that</w:t>
      </w:r>
      <w:r>
        <w:t xml:space="preserve"> </w:t>
      </w:r>
      <w:r>
        <w:t xml:space="preserve">“</w:t>
      </w:r>
      <w:r>
        <w:t xml:space="preserve">any such conditions must be identified as recognized environmental conditions.</w:t>
      </w:r>
      <w:r>
        <w:t xml:space="preserve">”</w:t>
      </w:r>
      <w:r>
        <w:t xml:space="preserve"> </w:t>
      </w:r>
      <w:r>
        <w:t xml:space="preserve">The Greenfield Phase I ESA discussed the Lake Erie Dry Cleaning PCE plume in its records review but</w:t>
      </w:r>
      <w:r>
        <w:t xml:space="preserve"> </w:t>
      </w:r>
      <w:r>
        <w:rPr>
          <w:b/>
          <w:bCs/>
        </w:rPr>
        <w:t xml:space="preserve">did not classify it as a REC</w:t>
      </w:r>
      <w:r>
        <w:t xml:space="preserve"> </w:t>
      </w:r>
      <w:r>
        <w:t xml:space="preserve">in its Findings. This is a direct nonconformance with a mandatory Lender requirement and may delay or prevent Lender acceptance of the Phase I ESA.</w:t>
      </w:r>
      <w:r>
        <w:t xml:space="preserve"> </w:t>
      </w:r>
      <w:r>
        <w:rPr>
          <w:i/>
          <w:iCs/>
        </w:rPr>
        <w:t xml:space="preserve">Source: Lender Letter § 2; Greenfield Phase I §§ 5.1.1, 9.</w:t>
      </w:r>
    </w:p>
    <w:bookmarkEnd w:id="56"/>
    <w:bookmarkStart w:id="57" w:name="Xcb93d861bb7bfcbef7e6183c7bcf4ae25ca5e88"/>
    <w:p>
      <w:pPr>
        <w:pStyle w:val="Heading3"/>
      </w:pPr>
      <w:r>
        <w:t xml:space="preserve">Issue 28 — Phase II ESA Required but Not Conducted (Condition Precedent to Loan Funding)</w:t>
      </w:r>
    </w:p>
    <w:p>
      <w:pPr>
        <w:pStyle w:val="FirstParagraph"/>
      </w:pPr>
      <w:r>
        <w:rPr>
          <w:b/>
          <w:bCs/>
        </w:rPr>
        <w:t xml:space="preserve">Severity: CRITICAL</w:t>
      </w:r>
    </w:p>
    <w:p>
      <w:pPr>
        <w:pStyle w:val="BodyText"/>
      </w:pPr>
      <w:r>
        <w:t xml:space="preserve">The Lender Letter (§ 3.B) provides that if the Phase I ESA identifies one or more RECs, the Lender</w:t>
      </w:r>
      <w:r>
        <w:t xml:space="preserve"> </w:t>
      </w:r>
      <w:r>
        <w:t xml:space="preserve">“</w:t>
      </w:r>
      <w:r>
        <w:t xml:space="preserve">will not fund the Loan based solely on the Phase I ESA,</w:t>
      </w:r>
      <w:r>
        <w:t xml:space="preserve">”</w:t>
      </w:r>
      <w:r>
        <w:t xml:space="preserve"> </w:t>
      </w:r>
      <w:r>
        <w:t xml:space="preserve">and a Phase II ESA (ASTM E1903-19) with quantified remediation cost estimates (best-case, most-likely, worst-case) is required. RECs were identified (REC No. 1 and REC No. 2).</w:t>
      </w:r>
      <w:r>
        <w:t xml:space="preserve"> </w:t>
      </w:r>
      <w:r>
        <w:rPr>
          <w:b/>
          <w:bCs/>
        </w:rPr>
        <w:t xml:space="preserve">No Phase II ESA has been conducted.</w:t>
      </w:r>
      <w:r>
        <w:t xml:space="preserve"> </w:t>
      </w:r>
      <w:r>
        <w:t xml:space="preserve">This is a condition precedent to loan funding.</w:t>
      </w:r>
      <w:r>
        <w:t xml:space="preserve"> </w:t>
      </w:r>
      <w:r>
        <w:rPr>
          <w:i/>
          <w:iCs/>
        </w:rPr>
        <w:t xml:space="preserve">Source: Lender Letter § 3.B.1; Greenfield Phase I § 9.6.</w:t>
      </w:r>
    </w:p>
    <w:bookmarkEnd w:id="57"/>
    <w:bookmarkStart w:id="58" w:name="X94baa135621578511974d1076da7d1de61a7827"/>
    <w:p>
      <w:pPr>
        <w:pStyle w:val="Heading3"/>
      </w:pPr>
      <w:r>
        <w:t xml:space="preserve">Issue 29 — Pollution Legal Liability (PLL) Insurance Required but Not Obtained</w:t>
      </w:r>
    </w:p>
    <w:p>
      <w:pPr>
        <w:pStyle w:val="FirstParagraph"/>
      </w:pPr>
      <w:r>
        <w:rPr>
          <w:b/>
          <w:bCs/>
        </w:rPr>
        <w:t xml:space="preserve">Severity: HIGH</w:t>
      </w:r>
    </w:p>
    <w:p>
      <w:pPr>
        <w:pStyle w:val="BodyText"/>
      </w:pPr>
      <w:r>
        <w:t xml:space="preserve">The Lender requires a PLL insurance policy from an A- or better AM Best carrier, with limits of not less than the greater of (x) the worst-case remediation cost estimate or (y) $5,000,000, for a term of not less than 10 years, with the Bank named as additional insured and loss payee. The Lender states environmental insurance is</w:t>
      </w:r>
      <w:r>
        <w:t xml:space="preserve"> </w:t>
      </w:r>
      <w:r>
        <w:t xml:space="preserve">“</w:t>
      </w:r>
      <w:r>
        <w:t xml:space="preserve">a non-negotiable requirement where RECs are identified</w:t>
      </w:r>
      <w:r>
        <w:t xml:space="preserve">”</w:t>
      </w:r>
      <w:r>
        <w:t xml:space="preserve"> </w:t>
      </w:r>
      <w:r>
        <w:t xml:space="preserve">and that it</w:t>
      </w:r>
      <w:r>
        <w:t xml:space="preserve"> </w:t>
      </w:r>
      <w:r>
        <w:t xml:space="preserve">“</w:t>
      </w:r>
      <w:r>
        <w:t xml:space="preserve">will not rely solely on seller indemnification provisions.</w:t>
      </w:r>
      <w:r>
        <w:t xml:space="preserve">”</w:t>
      </w:r>
      <w:r>
        <w:t xml:space="preserve"> </w:t>
      </w:r>
      <w:r>
        <w:rPr>
          <w:b/>
          <w:bCs/>
        </w:rPr>
        <w:t xml:space="preserve">No PLL policy has been obtained.</w:t>
      </w:r>
      <w:r>
        <w:t xml:space="preserve"> </w:t>
      </w:r>
      <w:r>
        <w:rPr>
          <w:i/>
          <w:iCs/>
        </w:rPr>
        <w:t xml:space="preserve">Source: Lender Letter § 3.B.2.</w:t>
      </w:r>
    </w:p>
    <w:bookmarkEnd w:id="58"/>
    <w:bookmarkStart w:id="59" w:name="Xc8cd8f903e7df14e01e00e509ca9a63f77346a3"/>
    <w:p>
      <w:pPr>
        <w:pStyle w:val="Heading3"/>
      </w:pPr>
      <w:r>
        <w:t xml:space="preserve">Issue 30 — Remediation Cost Escrow Likely Required but Not Established</w:t>
      </w:r>
    </w:p>
    <w:p>
      <w:pPr>
        <w:pStyle w:val="FirstParagraph"/>
      </w:pPr>
      <w:r>
        <w:rPr>
          <w:b/>
          <w:bCs/>
        </w:rPr>
        <w:t xml:space="preserve">Severity: HIGH</w:t>
      </w:r>
    </w:p>
    <w:p>
      <w:pPr>
        <w:pStyle w:val="BodyText"/>
      </w:pPr>
      <w:r>
        <w:t xml:space="preserve">If the most-likely remediation cost estimate exceeds $250,000, the Lender requires a remediation cost escrow at Great Lakes Capital Bank in an amount equal to 125% of the most-likely estimate. Given the scope of identified conditions (TCE, hexavalent chromium, off-site PCE plume, multiple USTs), the most-likely estimate will very likely exceed $250,000.</w:t>
      </w:r>
      <w:r>
        <w:t xml:space="preserve"> </w:t>
      </w:r>
      <w:r>
        <w:rPr>
          <w:b/>
          <w:bCs/>
        </w:rPr>
        <w:t xml:space="preserve">No escrow has been established.</w:t>
      </w:r>
      <w:r>
        <w:t xml:space="preserve"> </w:t>
      </w:r>
      <w:r>
        <w:rPr>
          <w:i/>
          <w:iCs/>
        </w:rPr>
        <w:t xml:space="preserve">Source: Lender Letter § 3.B.3.</w:t>
      </w:r>
    </w:p>
    <w:bookmarkEnd w:id="59"/>
    <w:bookmarkStart w:id="60" w:name="X0ccdf9271200c8d748789138c7c1903e74e6d58"/>
    <w:p>
      <w:pPr>
        <w:pStyle w:val="Heading3"/>
      </w:pPr>
      <w:r>
        <w:t xml:space="preserve">Issue 31 — Remediation Plan Likely Required but Not Prepared</w:t>
      </w:r>
    </w:p>
    <w:p>
      <w:pPr>
        <w:pStyle w:val="FirstParagraph"/>
      </w:pPr>
      <w:r>
        <w:rPr>
          <w:b/>
          <w:bCs/>
        </w:rPr>
        <w:t xml:space="preserve">Severity: HIGH</w:t>
      </w:r>
    </w:p>
    <w:p>
      <w:pPr>
        <w:pStyle w:val="BodyText"/>
      </w:pPr>
      <w:r>
        <w:t xml:space="preserve">If estimated remediation costs exceed $500,000 under either the most-likely or worst-case scenario, the Lender requires a remediation plan prepared and approved by a licensed environmental professional and, where applicable, submitted to and approved by Ohio EPA, demonstrating remediation within 36 months of closing. Given the scope, this threshold will likely be exceeded.</w:t>
      </w:r>
      <w:r>
        <w:t xml:space="preserve"> </w:t>
      </w:r>
      <w:r>
        <w:rPr>
          <w:b/>
          <w:bCs/>
        </w:rPr>
        <w:t xml:space="preserve">No remediation plan has been prepared.</w:t>
      </w:r>
      <w:r>
        <w:t xml:space="preserve"> </w:t>
      </w:r>
      <w:r>
        <w:rPr>
          <w:i/>
          <w:iCs/>
        </w:rPr>
        <w:t xml:space="preserve">Source: Lender Letter § 3.B.4.</w:t>
      </w:r>
    </w:p>
    <w:bookmarkEnd w:id="60"/>
    <w:bookmarkStart w:id="61" w:name="Xbd6927783f467bf59f9d0a9371bf6b1410b6848"/>
    <w:p>
      <w:pPr>
        <w:pStyle w:val="Heading3"/>
      </w:pPr>
      <w:r>
        <w:t xml:space="preserve">Issue 32 — Vapor Intrusion Assessment Required but Not Conducted</w:t>
      </w:r>
    </w:p>
    <w:p>
      <w:pPr>
        <w:pStyle w:val="FirstParagraph"/>
      </w:pPr>
      <w:r>
        <w:rPr>
          <w:b/>
          <w:bCs/>
        </w:rPr>
        <w:t xml:space="preserve">Severity: HIGH</w:t>
      </w:r>
    </w:p>
    <w:p>
      <w:pPr>
        <w:pStyle w:val="BodyText"/>
      </w:pPr>
      <w:r>
        <w:t xml:space="preserve">The Lender requires a vapor intrusion assessment (per Ohio EPA/U.S. EPA guidance) if the Phase I or Phase II ESA identifies VOCs in soil or groundwater, and a vapor mitigation plan if risks warrant. Both REC No. 1 (TCE) and the off-site PCE plume involve VOCs; the elevated PID reading (42.3 ppm) and the</w:t>
      </w:r>
      <w:r>
        <w:t xml:space="preserve"> </w:t>
      </w:r>
      <w:r>
        <w:rPr>
          <w:b/>
          <w:bCs/>
        </w:rPr>
        <w:t xml:space="preserve">non-operational ventilation systems</w:t>
      </w:r>
      <w:r>
        <w:t xml:space="preserve"> </w:t>
      </w:r>
      <w:r>
        <w:t xml:space="preserve">in the former degreasing and electroplating areas heighten vapor-intrusion concern for any occupied or occupiable structure.</w:t>
      </w:r>
      <w:r>
        <w:t xml:space="preserve"> </w:t>
      </w:r>
      <w:r>
        <w:rPr>
          <w:b/>
          <w:bCs/>
        </w:rPr>
        <w:t xml:space="preserve">No vapor intrusion assessment has been conducted.</w:t>
      </w:r>
      <w:r>
        <w:t xml:space="preserve"> </w:t>
      </w:r>
      <w:r>
        <w:rPr>
          <w:i/>
          <w:iCs/>
        </w:rPr>
        <w:t xml:space="preserve">Source: Lender Letter § 3.B.5; Greenfield Phase I §§ 6.3.1, 6.3.2, 9.1.</w:t>
      </w:r>
    </w:p>
    <w:bookmarkEnd w:id="61"/>
    <w:bookmarkStart w:id="62" w:name="X05bfc84d69e8ba7e3b286f121c90965456ce868"/>
    <w:p>
      <w:pPr>
        <w:pStyle w:val="Heading3"/>
      </w:pPr>
      <w:r>
        <w:t xml:space="preserve">Issue 33 — Lender Delivery Timeline Risk (Phase II Due November 30, 2024)</w:t>
      </w:r>
    </w:p>
    <w:p>
      <w:pPr>
        <w:pStyle w:val="FirstParagraph"/>
      </w:pPr>
      <w:r>
        <w:rPr>
          <w:b/>
          <w:bCs/>
        </w:rPr>
        <w:t xml:space="preserve">Severity: HIGH</w:t>
      </w:r>
    </w:p>
    <w:p>
      <w:pPr>
        <w:pStyle w:val="BodyText"/>
      </w:pPr>
      <w:r>
        <w:t xml:space="preserve">The Lender requires the Phase I ESA by November 15, 2024 (satisfied — report dated October 25, 2024) and, if a Phase II is required, the Phase II ESA together with the PLL insurance binder and escrow evidence by</w:t>
      </w:r>
      <w:r>
        <w:t xml:space="preserve"> </w:t>
      </w:r>
      <w:r>
        <w:rPr>
          <w:b/>
          <w:bCs/>
        </w:rPr>
        <w:t xml:space="preserve">November 30, 2024</w:t>
      </w:r>
      <w:r>
        <w:t xml:space="preserve"> </w:t>
      </w:r>
      <w:r>
        <w:t xml:space="preserve">(15 days before the December 15, 2024 closing). Given the scope of investigation required (TCE soil/groundwater, chromium soil/groundwater, sump characterization, off-site PCE plume, UST geophysical survey),</w:t>
      </w:r>
      <w:r>
        <w:t xml:space="preserve"> </w:t>
      </w:r>
      <w:r>
        <w:rPr>
          <w:b/>
          <w:bCs/>
        </w:rPr>
        <w:t xml:space="preserve">this timeline is extremely tight and may not be achievable</w:t>
      </w:r>
      <w:r>
        <w:t xml:space="preserve">, potentially requiring a closing extension or risking loan decline. The 30-to-45-business-day retrieval time for the archived 2003 consent order (Issue 12) further compresses the schedule.</w:t>
      </w:r>
      <w:r>
        <w:t xml:space="preserve"> </w:t>
      </w:r>
      <w:r>
        <w:rPr>
          <w:i/>
          <w:iCs/>
        </w:rPr>
        <w:t xml:space="preserve">Source: Lender Letter § 5; Ohio EPA Response § 2.</w:t>
      </w:r>
    </w:p>
    <w:bookmarkEnd w:id="62"/>
    <w:bookmarkStart w:id="63" w:name="Xc73932ccc7a54059e48081c3480a67b18c2c48a"/>
    <w:p>
      <w:pPr>
        <w:pStyle w:val="Heading3"/>
      </w:pPr>
      <w:r>
        <w:t xml:space="preserve">Issue 34 — Lender</w:t>
      </w:r>
      <w:r>
        <w:t xml:space="preserve"> </w:t>
      </w:r>
      <w:r>
        <w:t xml:space="preserve">“</w:t>
      </w:r>
      <w:r>
        <w:t xml:space="preserve">Unacceptable Risk</w:t>
      </w:r>
      <w:r>
        <w:t xml:space="preserve">”</w:t>
      </w:r>
      <w:r>
        <w:t xml:space="preserve"> </w:t>
      </w:r>
      <w:r>
        <w:t xml:space="preserve">Threshold: Worst-Case Remediation vs. Appraised Value</w:t>
      </w:r>
    </w:p>
    <w:p>
      <w:pPr>
        <w:pStyle w:val="FirstParagraph"/>
      </w:pPr>
      <w:r>
        <w:rPr>
          <w:b/>
          <w:bCs/>
        </w:rPr>
        <w:t xml:space="preserve">Severity: HIGH</w:t>
      </w:r>
    </w:p>
    <w:p>
      <w:pPr>
        <w:pStyle w:val="BodyText"/>
      </w:pPr>
      <w:r>
        <w:t xml:space="preserve">The Lender will not fund the Loan if the worst-case remediation cost estimate exceeds 50% of the appraised value of the Property (§ 3.C(a)). With multiple RECs, an off-site PCE plume, and uncharacterized USTs, the worst-case estimate could approach or exceed this threshold. The appraised value is not yet known. This is a potential transaction-terminating risk dependent on the Phase II results and appraisal.</w:t>
      </w:r>
      <w:r>
        <w:t xml:space="preserve"> </w:t>
      </w:r>
      <w:r>
        <w:rPr>
          <w:i/>
          <w:iCs/>
        </w:rPr>
        <w:t xml:space="preserve">Source: Lender Letter § 3.C(a).</w:t>
      </w:r>
    </w:p>
    <w:bookmarkEnd w:id="63"/>
    <w:bookmarkStart w:id="64" w:name="X1aae029a5c4bddc37b5c3bbe128414aeff78daf"/>
    <w:p>
      <w:pPr>
        <w:pStyle w:val="Heading3"/>
      </w:pPr>
      <w:r>
        <w:t xml:space="preserve">Issue 35 — Lender</w:t>
      </w:r>
      <w:r>
        <w:t xml:space="preserve"> </w:t>
      </w:r>
      <w:r>
        <w:t xml:space="preserve">“</w:t>
      </w:r>
      <w:r>
        <w:t xml:space="preserve">Unacceptable Risk</w:t>
      </w:r>
      <w:r>
        <w:t xml:space="preserve">”</w:t>
      </w:r>
      <w:r>
        <w:t xml:space="preserve"> </w:t>
      </w:r>
      <w:r>
        <w:t xml:space="preserve">Threshold: Unresolved Data Gaps</w:t>
      </w:r>
    </w:p>
    <w:p>
      <w:pPr>
        <w:pStyle w:val="FirstParagraph"/>
      </w:pPr>
      <w:r>
        <w:rPr>
          <w:b/>
          <w:bCs/>
        </w:rPr>
        <w:t xml:space="preserve">Severity: HIGH</w:t>
      </w:r>
    </w:p>
    <w:p>
      <w:pPr>
        <w:pStyle w:val="BodyText"/>
      </w:pPr>
      <w:r>
        <w:t xml:space="preserve">The Lender will not fund the Loan if</w:t>
      </w:r>
      <w:r>
        <w:t xml:space="preserve"> </w:t>
      </w:r>
      <w:r>
        <w:t xml:space="preserve">“</w:t>
      </w:r>
      <w:r>
        <w:t xml:space="preserve">there are unresolved data gaps that, in the Bank’s judgment, prevent adequate characterization of the environmental risk associated with the Property</w:t>
      </w:r>
      <w:r>
        <w:t xml:space="preserve">”</w:t>
      </w:r>
      <w:r>
        <w:t xml:space="preserve"> </w:t>
      </w:r>
      <w:r>
        <w:t xml:space="preserve">(§ 3.C(d)). The assessment currently has multiple unresolved data gaps: corporate records 1961–1990 not produced (Issue 14); no former-employee interviews (Issue 15); the uncharacterized monitoring well MW-1 (Issue 11); the two unregistered/unclosed USTs of unknown status (Issues 8, 10); and the off-site PCE plume not delineated on the Property (Issue 7). The Lender has stated it</w:t>
      </w:r>
      <w:r>
        <w:t xml:space="preserve"> </w:t>
      </w:r>
      <w:r>
        <w:t xml:space="preserve">“</w:t>
      </w:r>
      <w:r>
        <w:t xml:space="preserve">will independently assess the materiality of any unresolved data gaps.</w:t>
      </w:r>
      <w:r>
        <w:t xml:space="preserve">”</w:t>
      </w:r>
      <w:r>
        <w:t xml:space="preserve"> </w:t>
      </w:r>
      <w:r>
        <w:t xml:space="preserve">These open gaps create a real risk of a Lender decline independent of the remediation-cost thresholds.</w:t>
      </w:r>
      <w:r>
        <w:t xml:space="preserve"> </w:t>
      </w:r>
      <w:r>
        <w:rPr>
          <w:i/>
          <w:iCs/>
        </w:rPr>
        <w:t xml:space="preserve">Source: Lender Letter §§ 2, 3.C(d).</w:t>
      </w:r>
    </w:p>
    <w:bookmarkEnd w:id="64"/>
    <w:bookmarkStart w:id="65" w:name="X699bd393d8845ec1d4ddd5ad627dd098fb0aa12"/>
    <w:p>
      <w:pPr>
        <w:pStyle w:val="Heading3"/>
      </w:pPr>
      <w:r>
        <w:t xml:space="preserve">Issue 36 — Lender</w:t>
      </w:r>
      <w:r>
        <w:t xml:space="preserve"> </w:t>
      </w:r>
      <w:r>
        <w:t xml:space="preserve">“</w:t>
      </w:r>
      <w:r>
        <w:t xml:space="preserve">Unacceptable Risk</w:t>
      </w:r>
      <w:r>
        <w:t xml:space="preserve">”</w:t>
      </w:r>
      <w:r>
        <w:t xml:space="preserve"> </w:t>
      </w:r>
      <w:r>
        <w:t xml:space="preserve">Thresholds Not Triggered: NPL and RCRA Corrective Action (Compliant)</w:t>
      </w:r>
    </w:p>
    <w:p>
      <w:pPr>
        <w:pStyle w:val="FirstParagraph"/>
      </w:pPr>
      <w:r>
        <w:rPr>
          <w:b/>
          <w:bCs/>
        </w:rPr>
        <w:t xml:space="preserve">Severity: LOW (Compliant — noted for completeness)</w:t>
      </w:r>
    </w:p>
    <w:p>
      <w:pPr>
        <w:pStyle w:val="BodyText"/>
      </w:pPr>
      <w:r>
        <w:t xml:space="preserve">Two of the Lender’s</w:t>
      </w:r>
      <w:r>
        <w:t xml:space="preserve"> </w:t>
      </w:r>
      <w:r>
        <w:t xml:space="preserve">“</w:t>
      </w:r>
      <w:r>
        <w:t xml:space="preserve">unacceptable risk</w:t>
      </w:r>
      <w:r>
        <w:t xml:space="preserve">”</w:t>
      </w:r>
      <w:r>
        <w:t xml:space="preserve"> </w:t>
      </w:r>
      <w:r>
        <w:t xml:space="preserve">decline triggers are</w:t>
      </w:r>
      <w:r>
        <w:t xml:space="preserve"> </w:t>
      </w:r>
      <w:r>
        <w:rPr>
          <w:b/>
          <w:bCs/>
        </w:rPr>
        <w:t xml:space="preserve">not implicated</w:t>
      </w:r>
      <w:r>
        <w:t xml:space="preserve">: (a) § 3.C(b) — the Property is not listed or proposed for listing on the National Priorities List (NPL); and (b) § 3.C(c) — the Property is not subject to an active RCRA corrective action order or similar enforcement action that could result in a lien senior to the Bank’s mortgage. Ohio EPA confirmed the Property does not appear on the NPL, CERCLIS/SEMS active list, Ohio Master Sites List, CORRACTS, or ERNS. This is a favorable finding, though it does not offset the triggered thresholds in Issues 34 and 35.</w:t>
      </w:r>
      <w:r>
        <w:t xml:space="preserve"> </w:t>
      </w:r>
      <w:r>
        <w:rPr>
          <w:i/>
          <w:iCs/>
        </w:rPr>
        <w:t xml:space="preserve">Source: Lender Letter § 3.C(b)–(c); Ohio EPA Response § 5; EDR Summary.</w:t>
      </w:r>
    </w:p>
    <w:bookmarkEnd w:id="65"/>
    <w:bookmarkStart w:id="66" w:name="X54a5b08e4c03b323db000afbc71884c8db90d2d"/>
    <w:p>
      <w:pPr>
        <w:pStyle w:val="Heading3"/>
      </w:pPr>
      <w:r>
        <w:t xml:space="preserve">Issue 37 — Lender Post-Closing Environmental Covenants (Future Obligations on Buyer)</w:t>
      </w:r>
    </w:p>
    <w:p>
      <w:pPr>
        <w:pStyle w:val="FirstParagraph"/>
      </w:pPr>
      <w:r>
        <w:rPr>
          <w:b/>
          <w:bCs/>
        </w:rPr>
        <w:t xml:space="preserve">Severity: MEDIUM</w:t>
      </w:r>
    </w:p>
    <w:p>
      <w:pPr>
        <w:pStyle w:val="BodyText"/>
      </w:pPr>
      <w:r>
        <w:t xml:space="preserve">The Lender Letter (§ 6) advises that the loan documents will impose ongoing environmental covenants on Buyer, including: (a) notify the Bank in writing within</w:t>
      </w:r>
      <w:r>
        <w:t xml:space="preserve"> </w:t>
      </w:r>
      <w:r>
        <w:rPr>
          <w:b/>
          <w:bCs/>
        </w:rPr>
        <w:t xml:space="preserve">five (5) business days</w:t>
      </w:r>
      <w:r>
        <w:t xml:space="preserve"> </w:t>
      </w:r>
      <w:r>
        <w:t xml:space="preserve">of discovering any release or threatened release at, on, under, or migrating to or from the Property; (b)</w:t>
      </w:r>
      <w:r>
        <w:t xml:space="preserve"> </w:t>
      </w:r>
      <w:r>
        <w:rPr>
          <w:b/>
          <w:bCs/>
        </w:rPr>
        <w:t xml:space="preserve">maintain environmental insurance (including the PLL policy) for the full term of the Loan</w:t>
      </w:r>
      <w:r>
        <w:t xml:space="preserve">; (c) comply with all applicable environmental laws, regulations, and permits; (d)</w:t>
      </w:r>
      <w:r>
        <w:t xml:space="preserve"> </w:t>
      </w:r>
      <w:r>
        <w:rPr>
          <w:b/>
          <w:bCs/>
        </w:rPr>
        <w:t xml:space="preserve">not install, use, operate, or close any underground storage tanks at the Property without the Bank’s prior written consent</w:t>
      </w:r>
      <w:r>
        <w:t xml:space="preserve">; and (e) provide</w:t>
      </w:r>
      <w:r>
        <w:t xml:space="preserve"> </w:t>
      </w:r>
      <w:r>
        <w:rPr>
          <w:b/>
          <w:bCs/>
        </w:rPr>
        <w:t xml:space="preserve">annual environmental compliance certifications</w:t>
      </w:r>
      <w:r>
        <w:t xml:space="preserve"> </w:t>
      </w:r>
      <w:r>
        <w:t xml:space="preserve">to the Bank. Covenant (d) is particularly relevant given the existing UST issues (the active diesel UST and the two unregistered historical USTs), and covenant (b) locks Buyer into long-term insurance cost obligations. Buyer should factor these covenants into its operating cost model and closing preparations.</w:t>
      </w:r>
      <w:r>
        <w:t xml:space="preserve"> </w:t>
      </w:r>
      <w:r>
        <w:rPr>
          <w:i/>
          <w:iCs/>
        </w:rPr>
        <w:t xml:space="preserve">Source: Lender Letter § 6.</w:t>
      </w:r>
    </w:p>
    <w:bookmarkEnd w:id="66"/>
    <w:bookmarkStart w:id="67" w:name="X1bcd728d220bd2be5fd6238a0c0a31aca10a1dd"/>
    <w:p>
      <w:pPr>
        <w:pStyle w:val="Heading3"/>
      </w:pPr>
      <w:r>
        <w:t xml:space="preserve">Issue 38 — Lender Compliance Confirmed (Positive Findings)</w:t>
      </w:r>
    </w:p>
    <w:p>
      <w:pPr>
        <w:pStyle w:val="FirstParagraph"/>
      </w:pPr>
      <w:r>
        <w:rPr>
          <w:b/>
          <w:bCs/>
        </w:rPr>
        <w:t xml:space="preserve">Severity: LOW (Compliant — noted for completeness)</w:t>
      </w:r>
    </w:p>
    <w:p>
      <w:pPr>
        <w:pStyle w:val="BodyText"/>
      </w:pPr>
      <w:r>
        <w:t xml:space="preserve">The following Lender requirements are satisfied: (a) the Phase I ESA conforms to ASTM E1527-21 (current standard); (b) the Phase I ESA names Cornerstone Industrial Partners LLC as the</w:t>
      </w:r>
      <w:r>
        <w:t xml:space="preserve"> </w:t>
      </w:r>
      <w:r>
        <w:t xml:space="preserve">“</w:t>
      </w:r>
      <w:r>
        <w:t xml:space="preserve">User</w:t>
      </w:r>
      <w:r>
        <w:t xml:space="preserve">”</w:t>
      </w:r>
      <w:r>
        <w:t xml:space="preserve"> </w:t>
      </w:r>
      <w:r>
        <w:t xml:space="preserve">and Great Lakes Capital Bank as an authorized reliance party; (c) the site reconnaissance (October 2, 2024) occurred within the 180-day shelf-life of the December 15, 2024 closing (no earlier than June 18, 2024 required; report valid through March 31, 2025); (d) the report was delivered before the November 15, 2024 deadline; (e) the Environmental Professional (Lauren Haddad, P.E.) meets the 40 C.F.R. § 312.10 definition; and (f) the consultant carries $5,000,000 professional liability insurance (Pinnacle Specialty Insurance Group, Policy No. PSI-ENV-2024-08827), exceeding the $2,000,000 minimum. The Lender also notes that AAI failure would expose</w:t>
      </w:r>
      <w:r>
        <w:t xml:space="preserve"> </w:t>
      </w:r>
      <w:r>
        <w:rPr>
          <w:b/>
          <w:bCs/>
        </w:rPr>
        <w:t xml:space="preserve">both the Borrower and the Bank</w:t>
      </w:r>
      <w:r>
        <w:t xml:space="preserve"> </w:t>
      </w:r>
      <w:r>
        <w:t xml:space="preserve">(as holder of a security interest) to CERCLA liability without statutory defenses, which is why the Bank’s environmental counsel (Whitfield &amp; Crane LLP) will independently review the Phase I for AAI compliance.</w:t>
      </w:r>
      <w:r>
        <w:t xml:space="preserve"> </w:t>
      </w:r>
      <w:r>
        <w:rPr>
          <w:i/>
          <w:iCs/>
        </w:rPr>
        <w:t xml:space="preserve">Source: Lender Letter §§ 2, 4, 5; Greenfield Phase I (cover, §§ 2.2, 2.3, 10.0, Appendix E).</w:t>
      </w:r>
    </w:p>
    <w:p>
      <w:r>
        <w:pict>
          <v:rect style="width:0;height:1.5pt" o:hralign="center" o:hrstd="t" o:hr="t"/>
        </w:pict>
      </w:r>
    </w:p>
    <w:bookmarkEnd w:id="67"/>
    <w:bookmarkEnd w:id="68"/>
    <w:bookmarkStart w:id="78" w:name="transactional-and-contractual-risk"/>
    <w:p>
      <w:pPr>
        <w:pStyle w:val="Heading2"/>
      </w:pPr>
      <w:r>
        <w:t xml:space="preserve">10. Transactional and Contractual Risk</w:t>
      </w:r>
    </w:p>
    <w:bookmarkStart w:id="69" w:name="X676f0b64f802f5302692431f41b2ebb354e2b71"/>
    <w:p>
      <w:pPr>
        <w:pStyle w:val="Heading3"/>
      </w:pPr>
      <w:r>
        <w:t xml:space="preserve">Issue 39 — Indemnification Cap ($1,750,000) May Be Insufficient</w:t>
      </w:r>
    </w:p>
    <w:p>
      <w:pPr>
        <w:pStyle w:val="FirstParagraph"/>
      </w:pPr>
      <w:r>
        <w:rPr>
          <w:b/>
          <w:bCs/>
        </w:rPr>
        <w:t xml:space="preserve">Severity: HIGH</w:t>
      </w:r>
    </w:p>
    <w:p>
      <w:pPr>
        <w:pStyle w:val="BodyText"/>
      </w:pPr>
      <w:r>
        <w:t xml:space="preserve">Seller’s aggregate indemnification liability is capped at $1,750,000 (20% of the Purchase Price) under § 8.4(b). This cap applies to Pre-Closing Environmental Liabilities (§ 8.2(a)(iii)). Potential remediation costs for TCE soil/groundwater contamination, hexavalent chromium contamination, the off-site PCE plume, and multiple uncharacterized USTs could exceed $1,750,000, particularly if groundwater remediation or vapor mitigation is required. The cap may be insufficient relative to the potential exposure.</w:t>
      </w:r>
      <w:r>
        <w:t xml:space="preserve"> </w:t>
      </w:r>
      <w:r>
        <w:rPr>
          <w:i/>
          <w:iCs/>
        </w:rPr>
        <w:t xml:space="preserve">Source: Purchase Agreement §§ 8.2(c), 8.4(b).</w:t>
      </w:r>
    </w:p>
    <w:bookmarkEnd w:id="69"/>
    <w:bookmarkStart w:id="70" w:name="Xb2d55e87e34bb31b54f0a763fe6dd41cdceabd2"/>
    <w:p>
      <w:pPr>
        <w:pStyle w:val="Heading3"/>
      </w:pPr>
      <w:r>
        <w:t xml:space="preserve">Issue 40 — Purchase Price Reflects No Disclosed Environmental Discount</w:t>
      </w:r>
    </w:p>
    <w:p>
      <w:pPr>
        <w:pStyle w:val="FirstParagraph"/>
      </w:pPr>
      <w:r>
        <w:rPr>
          <w:b/>
          <w:bCs/>
        </w:rPr>
        <w:t xml:space="preserve">Severity: MEDIUM</w:t>
      </w:r>
    </w:p>
    <w:p>
      <w:pPr>
        <w:pStyle w:val="BodyText"/>
      </w:pPr>
      <w:r>
        <w:t xml:space="preserve">The Greenfield Phase I ESA (§ 4.5) states that</w:t>
      </w:r>
      <w:r>
        <w:t xml:space="preserve"> </w:t>
      </w:r>
      <w:r>
        <w:t xml:space="preserve">“</w:t>
      </w:r>
      <w:r>
        <w:t xml:space="preserve">The User did not indicate that the purchase price for the Subject Property reflects any reduction for known or suspected environmental conditions or cleanup costs.</w:t>
      </w:r>
      <w:r>
        <w:t xml:space="preserve">”</w:t>
      </w:r>
      <w:r>
        <w:t xml:space="preserve"> </w:t>
      </w:r>
      <w:r>
        <w:t xml:space="preserve">The reported purchase price is $8,750,000. Notwithstanding the significant environmental conditions identified (two RECs, an off-site PCE plume, uncharacterized USTs, a documented NOV), Buyer is apparently paying full price with no disclosed environmental adjustment. This heightens the importance of the indemnification provisions (Issues 39, 43), environmental insurance (Issue 29), and the Phase II cost estimates as the primary risk-allocation mechanisms, since the price itself does not reflect an environmental discount.</w:t>
      </w:r>
      <w:r>
        <w:t xml:space="preserve"> </w:t>
      </w:r>
      <w:r>
        <w:rPr>
          <w:i/>
          <w:iCs/>
        </w:rPr>
        <w:t xml:space="preserve">Source: Greenfield Phase I § 4.5; Purchase Agreement (Purchase Price $8,750,000).</w:t>
      </w:r>
    </w:p>
    <w:bookmarkEnd w:id="70"/>
    <w:bookmarkStart w:id="71" w:name="Xec6a511079f4ca62b7f00ce677fe15b924743ab"/>
    <w:p>
      <w:pPr>
        <w:pStyle w:val="Heading3"/>
      </w:pPr>
      <w:r>
        <w:t xml:space="preserve">Issue 41 — Three-Year Survival Period May Be Insufficient for Environmental Claims</w:t>
      </w:r>
    </w:p>
    <w:p>
      <w:pPr>
        <w:pStyle w:val="FirstParagraph"/>
      </w:pPr>
      <w:r>
        <w:rPr>
          <w:b/>
          <w:bCs/>
        </w:rPr>
        <w:t xml:space="preserve">Severity: MEDIUM</w:t>
      </w:r>
    </w:p>
    <w:p>
      <w:pPr>
        <w:pStyle w:val="BodyText"/>
      </w:pPr>
      <w:r>
        <w:t xml:space="preserve">Representations and warranties (including §§ 4.12 and 4.13) and Seller’s indemnification obligation for Pre-Closing Environmental Liabilities survive for three (3) years following the Closing Date (§ 8.4(c)). Environmental conditions — particularly groundwater contamination (TCE, PCE) and UST-related releases — are frequently discovered or manifest beyond three years. A three-year survival period is relatively short for environmental matters and creates a risk that late-discovered conditions will not be recoverable (absent fraud). Note that a claim survives to final resolution only if written notice specifying the claim is delivered to Seller</w:t>
      </w:r>
      <w:r>
        <w:t xml:space="preserve"> </w:t>
      </w:r>
      <w:r>
        <w:rPr>
          <w:b/>
          <w:bCs/>
        </w:rPr>
        <w:t xml:space="preserve">before</w:t>
      </w:r>
      <w:r>
        <w:t xml:space="preserve"> </w:t>
      </w:r>
      <w:r>
        <w:t xml:space="preserve">the Survival Period expires.</w:t>
      </w:r>
      <w:r>
        <w:t xml:space="preserve"> </w:t>
      </w:r>
      <w:r>
        <w:rPr>
          <w:i/>
          <w:iCs/>
        </w:rPr>
        <w:t xml:space="preserve">Source: Purchase Agreement § 8.4(c).</w:t>
      </w:r>
    </w:p>
    <w:bookmarkEnd w:id="71"/>
    <w:bookmarkStart w:id="72" w:name="X0add2a6a2dee033c92865b9a8d398a69728c444"/>
    <w:p>
      <w:pPr>
        <w:pStyle w:val="Heading3"/>
      </w:pPr>
      <w:r>
        <w:t xml:space="preserve">Issue 42 — Basket Does Not Apply to Pre-Closing Environmental Liabilities (Favorable to Buyer)</w:t>
      </w:r>
    </w:p>
    <w:p>
      <w:pPr>
        <w:pStyle w:val="FirstParagraph"/>
      </w:pPr>
      <w:r>
        <w:rPr>
          <w:b/>
          <w:bCs/>
        </w:rPr>
        <w:t xml:space="preserve">Severity: LOW (Favorable — noted for completeness)</w:t>
      </w:r>
    </w:p>
    <w:p>
      <w:pPr>
        <w:pStyle w:val="BodyText"/>
      </w:pPr>
      <w:r>
        <w:t xml:space="preserve">The $87,500 basket (1% of Purchase Price) applies only to breaches of representations and warranties under § 8.2(a)(i) and does</w:t>
      </w:r>
      <w:r>
        <w:t xml:space="preserve"> </w:t>
      </w:r>
      <w:r>
        <w:rPr>
          <w:b/>
          <w:bCs/>
        </w:rPr>
        <w:t xml:space="preserve">not</w:t>
      </w:r>
      <w:r>
        <w:t xml:space="preserve"> </w:t>
      </w:r>
      <w:r>
        <w:t xml:space="preserve">apply to Pre-Closing Environmental Liabilities under § 8.2(a)(iii) or to third-party claims under § 8.2(a)(iv). This is favorable to Buyer, as environmental claims may be asserted without meeting the basket threshold (though they remain subject to the cap and survival period).</w:t>
      </w:r>
      <w:r>
        <w:t xml:space="preserve"> </w:t>
      </w:r>
      <w:r>
        <w:rPr>
          <w:i/>
          <w:iCs/>
        </w:rPr>
        <w:t xml:space="preserve">Source: Purchase Agreement § 8.4(a).</w:t>
      </w:r>
    </w:p>
    <w:bookmarkEnd w:id="72"/>
    <w:bookmarkStart w:id="73" w:name="X8acc82e6a879ab36e5e18035e0f17585ba283ee"/>
    <w:p>
      <w:pPr>
        <w:pStyle w:val="Heading3"/>
      </w:pPr>
      <w:r>
        <w:t xml:space="preserve">Issue 43 — Fraud / Intentional Misrepresentation Exception May Apply</w:t>
      </w:r>
    </w:p>
    <w:p>
      <w:pPr>
        <w:pStyle w:val="FirstParagraph"/>
      </w:pPr>
      <w:r>
        <w:rPr>
          <w:b/>
          <w:bCs/>
        </w:rPr>
        <w:t xml:space="preserve">Severity: HIGH</w:t>
      </w:r>
    </w:p>
    <w:p>
      <w:pPr>
        <w:pStyle w:val="BodyText"/>
      </w:pPr>
      <w:r>
        <w:t xml:space="preserve">Section 8.4(d) provides that the basket, cap, and survival period do not apply to Losses arising from fraud or intentional misrepresentation by Seller, with the burden on the party asserting the claim. The apparent breaches of § 4.12(c) (failure to disclose the 2003 NOV, a matter of public record addressed to Seller) and § 4.13 (omission of two documented USTs from Schedule 4.13) may support a fraud/intentional-misrepresentation argument, which would allow recovery of full Losses without the $1,750,000 cap or three-year survival limitation. This is a significant potential remedy but carries an elevated burden of proof. See Issues 20 and 21.</w:t>
      </w:r>
      <w:r>
        <w:t xml:space="preserve"> </w:t>
      </w:r>
      <w:r>
        <w:rPr>
          <w:i/>
          <w:iCs/>
        </w:rPr>
        <w:t xml:space="preserve">Source: Purchase Agreement § 8.4(d).</w:t>
      </w:r>
    </w:p>
    <w:bookmarkEnd w:id="73"/>
    <w:bookmarkStart w:id="74" w:name="Xdc388e90d347eb61cf63353dd68fac6d8428beb"/>
    <w:p>
      <w:pPr>
        <w:pStyle w:val="Heading3"/>
      </w:pPr>
      <w:r>
        <w:t xml:space="preserve">Issue 44 — Environmental Termination Right: Tight Timeline and Potential Lapse</w:t>
      </w:r>
    </w:p>
    <w:p>
      <w:pPr>
        <w:pStyle w:val="FirstParagraph"/>
      </w:pPr>
      <w:r>
        <w:rPr>
          <w:b/>
          <w:bCs/>
        </w:rPr>
        <w:t xml:space="preserve">Severity: MEDIUM</w:t>
      </w:r>
    </w:p>
    <w:p>
      <w:pPr>
        <w:pStyle w:val="BodyText"/>
      </w:pPr>
      <w:r>
        <w:t xml:space="preserve">Under § 6.3(b), Buyer may terminate the Agreement and recover the Earnest Money Deposit ($437,500) if the Phase I ESA identifies RECs that could result in Remediation Costs exceeding $500,000, provided written notice is delivered</w:t>
      </w:r>
      <w:r>
        <w:t xml:space="preserve"> </w:t>
      </w:r>
      <w:r>
        <w:rPr>
          <w:b/>
          <w:bCs/>
        </w:rPr>
        <w:t xml:space="preserve">on or before October 31, 2024</w:t>
      </w:r>
      <w:r>
        <w:t xml:space="preserve"> </w:t>
      </w:r>
      <w:r>
        <w:t xml:space="preserve">(expiration of the Environmental Due Diligence Period). The Phase I ESA is dated October 25, 2024, leaving approximately six days to evaluate the RECs and exercise the termination right. If Buyer did not deliver a termination notice by October 31, 2024, the environmental termination right is</w:t>
      </w:r>
      <w:r>
        <w:t xml:space="preserve"> </w:t>
      </w:r>
      <w:r>
        <w:rPr>
          <w:b/>
          <w:bCs/>
        </w:rPr>
        <w:t xml:space="preserve">deemed waived</w:t>
      </w:r>
      <w:r>
        <w:t xml:space="preserve"> </w:t>
      </w:r>
      <w:r>
        <w:t xml:space="preserve">(§ 6.3(c)), though indemnification rights under Article VIII survive. Buyer should confirm whether the termination right was preserved or has lapsed, and assess the implications for indemnification-only recourse.</w:t>
      </w:r>
      <w:r>
        <w:t xml:space="preserve"> </w:t>
      </w:r>
      <w:r>
        <w:rPr>
          <w:i/>
          <w:iCs/>
        </w:rPr>
        <w:t xml:space="preserve">Source: Purchase Agreement §§ 6.3(b)–(c).</w:t>
      </w:r>
    </w:p>
    <w:bookmarkEnd w:id="74"/>
    <w:bookmarkStart w:id="75" w:name="Xe041a6cdff17507fae2dc37262c8b76753a1972"/>
    <w:p>
      <w:pPr>
        <w:pStyle w:val="Heading3"/>
      </w:pPr>
      <w:r>
        <w:t xml:space="preserve">Issue 45 — Sole Recourse Limitation for Pre-Closing Environmental Liabilities</w:t>
      </w:r>
    </w:p>
    <w:p>
      <w:pPr>
        <w:pStyle w:val="FirstParagraph"/>
      </w:pPr>
      <w:r>
        <w:rPr>
          <w:b/>
          <w:bCs/>
        </w:rPr>
        <w:t xml:space="preserve">Severity: MEDIUM</w:t>
      </w:r>
    </w:p>
    <w:p>
      <w:pPr>
        <w:pStyle w:val="BodyText"/>
      </w:pPr>
      <w:r>
        <w:t xml:space="preserve">Section 8.2(b)–(c) provides that Seller’s indemnification is the</w:t>
      </w:r>
      <w:r>
        <w:t xml:space="preserve"> </w:t>
      </w:r>
      <w:r>
        <w:t xml:space="preserve">“</w:t>
      </w:r>
      <w:r>
        <w:t xml:space="preserve">sole and exclusive remedy</w:t>
      </w:r>
      <w:r>
        <w:t xml:space="preserve">”</w:t>
      </w:r>
      <w:r>
        <w:t xml:space="preserve"> </w:t>
      </w:r>
      <w:r>
        <w:t xml:space="preserve">of the Buyer Indemnified Parties for the matters described (except in the case of fraud or intentional misrepresentation). Buyer’s recourse for Pre-Closing Environmental Liabilities is therefore limited to indemnification (subject to cap and survival) or the fraud exception. This limitation reinforces the importance of the fraud analysis (Issue 43), environmental insurance (Issue 29), and the Phase II cost estimates.</w:t>
      </w:r>
      <w:r>
        <w:t xml:space="preserve"> </w:t>
      </w:r>
      <w:r>
        <w:rPr>
          <w:i/>
          <w:iCs/>
        </w:rPr>
        <w:t xml:space="preserve">Source: Purchase Agreement §§ 8.2(b)–(c).</w:t>
      </w:r>
    </w:p>
    <w:bookmarkEnd w:id="75"/>
    <w:bookmarkStart w:id="76" w:name="Xc4e0783653a9fb292587713b5adff9d3214a26e"/>
    <w:p>
      <w:pPr>
        <w:pStyle w:val="Heading3"/>
      </w:pPr>
      <w:r>
        <w:t xml:space="preserve">Issue 46 — Buyer’s Mitigation Obligation Under § 8.4(e)</w:t>
      </w:r>
    </w:p>
    <w:p>
      <w:pPr>
        <w:pStyle w:val="FirstParagraph"/>
      </w:pPr>
      <w:r>
        <w:rPr>
          <w:b/>
          <w:bCs/>
        </w:rPr>
        <w:t xml:space="preserve">Severity: MEDIUM</w:t>
      </w:r>
    </w:p>
    <w:p>
      <w:pPr>
        <w:pStyle w:val="BodyText"/>
      </w:pPr>
      <w:r>
        <w:t xml:space="preserve">Section 8.4(e) requires each Buyer Indemnified Party to</w:t>
      </w:r>
      <w:r>
        <w:t xml:space="preserve"> </w:t>
      </w:r>
      <w:r>
        <w:t xml:space="preserve">“</w:t>
      </w:r>
      <w:r>
        <w:t xml:space="preserve">use commercially reasonable efforts to mitigate any Losses for which it seeks indemnification,</w:t>
      </w:r>
      <w:r>
        <w:t xml:space="preserve">”</w:t>
      </w:r>
      <w:r>
        <w:t xml:space="preserve"> </w:t>
      </w:r>
      <w:r>
        <w:t xml:space="preserve">including</w:t>
      </w:r>
      <w:r>
        <w:t xml:space="preserve"> </w:t>
      </w:r>
      <w:r>
        <w:t xml:space="preserve">“</w:t>
      </w:r>
      <w:r>
        <w:t xml:space="preserve">pursuing available insurance coverage and taking reasonable steps to minimize ongoing damages.</w:t>
      </w:r>
      <w:r>
        <w:t xml:space="preserve">”</w:t>
      </w:r>
      <w:r>
        <w:t xml:space="preserve"> </w:t>
      </w:r>
      <w:r>
        <w:t xml:space="preserve">Failure to mitigate reduces recoverable Losses by the amount that could reasonably have been avoided. This obligation interacts directly with the Lender’s PLL insurance requirement (Issue 29): obtaining and pursuing the PLL policy is both a Lender condition and a contractual mitigation duty. Buyer should document its mitigation efforts (including insurance procurement and prompt response to any discovered conditions) to preserve its indemnification recovery.</w:t>
      </w:r>
      <w:r>
        <w:t xml:space="preserve"> </w:t>
      </w:r>
      <w:r>
        <w:rPr>
          <w:i/>
          <w:iCs/>
        </w:rPr>
        <w:t xml:space="preserve">Source: Purchase Agreement § 8.4(e); Lender Letter § 3.B.2.</w:t>
      </w:r>
    </w:p>
    <w:bookmarkEnd w:id="76"/>
    <w:bookmarkStart w:id="77" w:name="X50646901c8f8e7242c819f88dc75c796156dc97"/>
    <w:p>
      <w:pPr>
        <w:pStyle w:val="Heading3"/>
      </w:pPr>
      <w:r>
        <w:t xml:space="preserve">Issue 47 — Insurance Offset Reduces Seller Indemnification Under § 8.4(f)</w:t>
      </w:r>
    </w:p>
    <w:p>
      <w:pPr>
        <w:pStyle w:val="FirstParagraph"/>
      </w:pPr>
      <w:r>
        <w:rPr>
          <w:b/>
          <w:bCs/>
        </w:rPr>
        <w:t xml:space="preserve">Severity: MEDIUM</w:t>
      </w:r>
    </w:p>
    <w:p>
      <w:pPr>
        <w:pStyle w:val="BodyText"/>
      </w:pPr>
      <w:r>
        <w:t xml:space="preserve">Section 8.4(f) provides that Seller’s indemnification obligations</w:t>
      </w:r>
      <w:r>
        <w:t xml:space="preserve"> </w:t>
      </w:r>
      <w:r>
        <w:t xml:space="preserve">“</w:t>
      </w:r>
      <w:r>
        <w:t xml:space="preserve">shall be reduced by the amount of any insurance proceeds actually received by the Buyer Indemnified Parties with respect to the applicable Losses,</w:t>
      </w:r>
      <w:r>
        <w:t xml:space="preserve">”</w:t>
      </w:r>
      <w:r>
        <w:t xml:space="preserve"> </w:t>
      </w:r>
      <w:r>
        <w:t xml:space="preserve">net of reasonable costs of collection (premiums, deductibles, co-payments, and attorneys’ fees). Buyer must use commercially reasonable efforts to pursue available insurance (though it need not litigate against insurers). The practical effect: if Buyer obtains the PLL policy required by the Lender (Issue 29) and that policy pays out for remediation,</w:t>
      </w:r>
      <w:r>
        <w:t xml:space="preserve"> </w:t>
      </w:r>
      <w:r>
        <w:rPr>
          <w:b/>
          <w:bCs/>
        </w:rPr>
        <w:t xml:space="preserve">Seller’s indemnification obligation is correspondingly reduced</w:t>
      </w:r>
      <w:r>
        <w:t xml:space="preserve">. Buyer should not assume the PLL policy and Seller indemnification are fully additive; the net cost of collection (deductibles, premiums) also reduces the offset. This makes the adequacy of the $1,750,000 cap (Issue 39) and the PLL policy limits (Issue 29) interdependent.</w:t>
      </w:r>
      <w:r>
        <w:t xml:space="preserve"> </w:t>
      </w:r>
      <w:r>
        <w:rPr>
          <w:i/>
          <w:iCs/>
        </w:rPr>
        <w:t xml:space="preserve">Source: Purchase Agreement § 8.4(f); Lender Letter § 3.B.2.</w:t>
      </w:r>
    </w:p>
    <w:p>
      <w:r>
        <w:pict>
          <v:rect style="width:0;height:1.5pt" o:hralign="center" o:hrstd="t" o:hr="t"/>
        </w:pict>
      </w:r>
    </w:p>
    <w:bookmarkEnd w:id="77"/>
    <w:bookmarkEnd w:id="78"/>
    <w:bookmarkStart w:id="82" w:name="Xbb5babfda29d33bc14d7e49fc002f121cccbb8a"/>
    <w:p>
      <w:pPr>
        <w:pStyle w:val="Heading2"/>
      </w:pPr>
      <w:r>
        <w:t xml:space="preserve">11. Non-Scope Observations and Compliant Items</w:t>
      </w:r>
    </w:p>
    <w:bookmarkStart w:id="79" w:name="Xbcfe60659ac64331a786e2201f61798b69966dc"/>
    <w:p>
      <w:pPr>
        <w:pStyle w:val="Heading3"/>
      </w:pPr>
      <w:r>
        <w:t xml:space="preserve">Issue 48 — Non-Scope Items: Asbestos, Lead-Based Paint, Radon, Mold Not Assessed</w:t>
      </w:r>
    </w:p>
    <w:p>
      <w:pPr>
        <w:pStyle w:val="FirstParagraph"/>
      </w:pPr>
      <w:r>
        <w:rPr>
          <w:b/>
          <w:bCs/>
        </w:rPr>
        <w:t xml:space="preserve">Severity: LOW</w:t>
      </w:r>
    </w:p>
    <w:p>
      <w:pPr>
        <w:pStyle w:val="BodyText"/>
      </w:pPr>
      <w:r>
        <w:t xml:space="preserve">The Phase I ESA did not include assessment of asbestos-containing materials (ACM), lead-based paint (LBP), radon, or mold (non-scope under ASTM E1527-21). Buildings constructed in 1962, 1972, and 1978 are of an age where ACM and LBP may be present. If renovation, demolition, or occupancy is planned (Buyer’s intended use is warehousing/light industrial), separate ACM and LBP surveys are advisable.</w:t>
      </w:r>
      <w:r>
        <w:t xml:space="preserve"> </w:t>
      </w:r>
      <w:r>
        <w:rPr>
          <w:i/>
          <w:iCs/>
        </w:rPr>
        <w:t xml:space="preserve">Source: Greenfield Phase I § 2.2.</w:t>
      </w:r>
    </w:p>
    <w:bookmarkEnd w:id="79"/>
    <w:bookmarkStart w:id="80" w:name="X5e3b47bea27f4090ec38ba74e02b6795d11efd1"/>
    <w:p>
      <w:pPr>
        <w:pStyle w:val="Heading3"/>
      </w:pPr>
      <w:r>
        <w:t xml:space="preserve">Issue 49 — Active 10,000-Gallon Diesel UST (Compliant); § 4.13(c) Representation Accurate</w:t>
      </w:r>
    </w:p>
    <w:p>
      <w:pPr>
        <w:pStyle w:val="FirstParagraph"/>
      </w:pPr>
      <w:r>
        <w:rPr>
          <w:b/>
          <w:bCs/>
        </w:rPr>
        <w:t xml:space="preserve">Severity: LOW (Compliant — noted for completeness)</w:t>
      </w:r>
    </w:p>
    <w:p>
      <w:pPr>
        <w:pStyle w:val="BodyText"/>
      </w:pPr>
      <w:r>
        <w:t xml:space="preserve">The registered 10,000-gallon diesel UST (Ohio Facility ID 48-22-10-0087), installed 1978 and upgraded with cathodic corrosion protection (and fiberglass lining) in 1998, is properly registered, was last inspected May 15, 2022 with no violations, and showed no evidence of release during reconnaissance. This UST does not constitute a REC and is the only UST disclosed on Schedule 4.13. Accordingly, Seller’s § 4.13(c) representation — that all USTs currently in service comply with applicable technical standards (leak detection, corrosion protection, spill/overfill protection) and that the most recent compliance inspection noted no violations — appears</w:t>
      </w:r>
      <w:r>
        <w:t xml:space="preserve"> </w:t>
      </w:r>
      <w:r>
        <w:rPr>
          <w:b/>
          <w:bCs/>
        </w:rPr>
        <w:t xml:space="preserve">accurate</w:t>
      </w:r>
      <w:r>
        <w:t xml:space="preserve"> </w:t>
      </w:r>
      <w:r>
        <w:t xml:space="preserve">as to this tank. (The § 4.13(a) and (b) representations remain problematic as to the omitted historical tanks — see Issues 21 and 22.)</w:t>
      </w:r>
      <w:r>
        <w:t xml:space="preserve"> </w:t>
      </w:r>
      <w:r>
        <w:rPr>
          <w:i/>
          <w:iCs/>
        </w:rPr>
        <w:t xml:space="preserve">Source: Greenfield Phase I §§ 5.1.1, 6.2.2, 9.5; Ohio EPA Response § 3; Purchase Agreement § 4.13(c), Schedule 4.13.</w:t>
      </w:r>
    </w:p>
    <w:bookmarkEnd w:id="80"/>
    <w:bookmarkStart w:id="81" w:name="X393f12821c25870c6676a621fec9abde7e2a6ce"/>
    <w:p>
      <w:pPr>
        <w:pStyle w:val="Heading3"/>
      </w:pPr>
      <w:r>
        <w:t xml:space="preserve">Issue 50 — RCRA SQG Status, No CRECs, and Other Compliant/De Minimis Items</w:t>
      </w:r>
    </w:p>
    <w:p>
      <w:pPr>
        <w:pStyle w:val="FirstParagraph"/>
      </w:pPr>
      <w:r>
        <w:rPr>
          <w:b/>
          <w:bCs/>
        </w:rPr>
        <w:t xml:space="preserve">Severity: LOW (Compliant/De Minimis — noted for completeness)</w:t>
      </w:r>
    </w:p>
    <w:p>
      <w:pPr>
        <w:pStyle w:val="BodyText"/>
      </w:pPr>
      <w:r>
        <w:t xml:space="preserve">The following are confirmed compliant or de minimis: (a)</w:t>
      </w:r>
      <w:r>
        <w:t xml:space="preserve"> </w:t>
      </w:r>
      <w:r>
        <w:rPr>
          <w:b/>
          <w:bCs/>
        </w:rPr>
        <w:t xml:space="preserve">RCRA SQG status</w:t>
      </w:r>
      <w:r>
        <w:t xml:space="preserve"> </w:t>
      </w:r>
      <w:r>
        <w:t xml:space="preserve">(EPA ID OHD044891237) — routine regulatory classification, no violations in ECHO, not a REC; (b)</w:t>
      </w:r>
      <w:r>
        <w:t xml:space="preserve"> </w:t>
      </w:r>
      <w:r>
        <w:rPr>
          <w:b/>
          <w:bCs/>
        </w:rPr>
        <w:t xml:space="preserve">no Controlled Recognized Environmental Conditions (CRECs)</w:t>
      </w:r>
      <w:r>
        <w:t xml:space="preserve"> </w:t>
      </w:r>
      <w:r>
        <w:t xml:space="preserve">were identified for the Property (Greenfield Phase I § 9.2) — i.e., no past releases with contamination left in place under required controls; (c)</w:t>
      </w:r>
      <w:r>
        <w:t xml:space="preserve"> </w:t>
      </w:r>
      <w:r>
        <w:rPr>
          <w:b/>
          <w:bCs/>
        </w:rPr>
        <w:t xml:space="preserve">Toledo Coatings &amp; Adhesives Inc.</w:t>
      </w:r>
      <w:r>
        <w:t xml:space="preserve"> </w:t>
      </w:r>
      <w:r>
        <w:t xml:space="preserve">(adjacent east) — CERCLIS/SEMS archive, EPA NFA/NFRAP 1999, no documented plume migrating toward the Property, not a REC; (d)</w:t>
      </w:r>
      <w:r>
        <w:t xml:space="preserve"> </w:t>
      </w:r>
      <w:r>
        <w:rPr>
          <w:b/>
          <w:bCs/>
        </w:rPr>
        <w:t xml:space="preserve">Norfolk Southern Railroad herbicide application</w:t>
      </w:r>
      <w:r>
        <w:t xml:space="preserve"> </w:t>
      </w:r>
      <w:r>
        <w:t xml:space="preserve">(west boundary) — de minimis; (e)</w:t>
      </w:r>
      <w:r>
        <w:t xml:space="preserve"> </w:t>
      </w:r>
      <w:r>
        <w:rPr>
          <w:b/>
          <w:bCs/>
        </w:rPr>
        <w:t xml:space="preserve">pole-mounted electrical transformer</w:t>
      </w:r>
      <w:r>
        <w:t xml:space="preserve"> </w:t>
      </w:r>
      <w:r>
        <w:t xml:space="preserve">at the eastern property boundary, owned/maintained by Toledo Edison, displayed no PCB warning labels and no evidence of leakage — no PCB concern identified; (f)</w:t>
      </w:r>
      <w:r>
        <w:t xml:space="preserve"> </w:t>
      </w:r>
      <w:r>
        <w:rPr>
          <w:b/>
          <w:bCs/>
        </w:rPr>
        <w:t xml:space="preserve">maintenance/utility building</w:t>
      </w:r>
      <w:r>
        <w:t xml:space="preserve"> </w:t>
      </w:r>
      <w:r>
        <w:t xml:space="preserve">— minor oil staining near a floor drain in the workshop area, characterized as incidental and de minimis; (g)</w:t>
      </w:r>
      <w:r>
        <w:t xml:space="preserve"> </w:t>
      </w:r>
      <w:r>
        <w:rPr>
          <w:b/>
          <w:bCs/>
        </w:rPr>
        <w:t xml:space="preserve">stormwater detention basin</w:t>
      </w:r>
      <w:r>
        <w:t xml:space="preserve"> </w:t>
      </w:r>
      <w:r>
        <w:t xml:space="preserve">(northeast corner) — functional, no staining/sheen/odors observed; (h) no environmental liens or recorded institutional controls on the Property parcels; and (i) the Property is not on the NPL, CERCLIS active, CORRACTS, Ohio Master Sites List, or ERNS.</w:t>
      </w:r>
      <w:r>
        <w:t xml:space="preserve"> </w:t>
      </w:r>
      <w:r>
        <w:rPr>
          <w:i/>
          <w:iCs/>
        </w:rPr>
        <w:t xml:space="preserve">Source: Greenfield Phase I §§ 5.1.1, 6.2.1, 6.3.4, 9.2, 9.4, 9.5; Ohio EPA Response § 5; EDR Summary.</w:t>
      </w:r>
    </w:p>
    <w:p>
      <w:r>
        <w:pict>
          <v:rect style="width:0;height:1.5pt" o:hralign="center" o:hrstd="t" o:hr="t"/>
        </w:pict>
      </w:r>
    </w:p>
    <w:bookmarkEnd w:id="81"/>
    <w:bookmarkEnd w:id="82"/>
    <w:bookmarkStart w:id="83" w:name="severity-summary"/>
    <w:p>
      <w:pPr>
        <w:pStyle w:val="Heading2"/>
      </w:pPr>
      <w:r>
        <w:t xml:space="preserve">12.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 Numbers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7, 20, 27, 28</w:t>
            </w:r>
          </w:p>
        </w:tc>
      </w:tr>
      <w:tr>
        <w:tc>
          <w:tcPr/>
          <w:p>
            <w:pPr>
              <w:pStyle w:val="Compact"/>
              <w:jc w:val="left"/>
            </w:pPr>
            <w:r>
              <w:rPr>
                <w:b/>
                <w:bCs/>
              </w:rPr>
              <w:t xml:space="preserve">HIGH</w:t>
            </w:r>
          </w:p>
        </w:tc>
        <w:tc>
          <w:tcPr/>
          <w:p>
            <w:pPr>
              <w:pStyle w:val="Compact"/>
              <w:jc w:val="left"/>
            </w:pPr>
            <w:r>
              <w:t xml:space="preserve">24</w:t>
            </w:r>
          </w:p>
        </w:tc>
        <w:tc>
          <w:tcPr/>
          <w:p>
            <w:pPr>
              <w:pStyle w:val="Compact"/>
              <w:jc w:val="left"/>
            </w:pPr>
            <w:r>
              <w:t xml:space="preserve">1, 2, 4, 5, 6, 8, 9, 11, 12, 13, 21, 22, 23, 24, 25, 29, 30, 31, 32, 33, 34, 35, 39, 43</w:t>
            </w:r>
          </w:p>
        </w:tc>
      </w:tr>
      <w:tr>
        <w:tc>
          <w:tcPr/>
          <w:p>
            <w:pPr>
              <w:pStyle w:val="Compact"/>
              <w:jc w:val="left"/>
            </w:pPr>
            <w:r>
              <w:rPr>
                <w:b/>
                <w:bCs/>
              </w:rPr>
              <w:t xml:space="preserve">MEDIUM</w:t>
            </w:r>
          </w:p>
        </w:tc>
        <w:tc>
          <w:tcPr/>
          <w:p>
            <w:pPr>
              <w:pStyle w:val="Compact"/>
              <w:jc w:val="left"/>
            </w:pPr>
            <w:r>
              <w:t xml:space="preserve">14</w:t>
            </w:r>
          </w:p>
        </w:tc>
        <w:tc>
          <w:tcPr/>
          <w:p>
            <w:pPr>
              <w:pStyle w:val="Compact"/>
              <w:jc w:val="left"/>
            </w:pPr>
            <w:r>
              <w:t xml:space="preserve">3, 10, 14, 15, 16, 19, 26, 37, 40, 41, 44, 45, 46, 47</w:t>
            </w:r>
          </w:p>
        </w:tc>
      </w:tr>
      <w:tr>
        <w:tc>
          <w:tcPr/>
          <w:p>
            <w:pPr>
              <w:pStyle w:val="Compact"/>
              <w:jc w:val="left"/>
            </w:pPr>
            <w:r>
              <w:rPr>
                <w:b/>
                <w:bCs/>
              </w:rPr>
              <w:t xml:space="preserve">LOW</w:t>
            </w:r>
          </w:p>
        </w:tc>
        <w:tc>
          <w:tcPr/>
          <w:p>
            <w:pPr>
              <w:pStyle w:val="Compact"/>
              <w:jc w:val="left"/>
            </w:pPr>
            <w:r>
              <w:t xml:space="preserve">8</w:t>
            </w:r>
          </w:p>
        </w:tc>
        <w:tc>
          <w:tcPr/>
          <w:p>
            <w:pPr>
              <w:pStyle w:val="Compact"/>
              <w:jc w:val="left"/>
            </w:pPr>
            <w:r>
              <w:t xml:space="preserve">17, 18, 36, 38, 42, 48, 49, 50</w:t>
            </w:r>
          </w:p>
        </w:tc>
      </w:tr>
      <w:tr>
        <w:tc>
          <w:tcPr/>
          <w:p>
            <w:pPr>
              <w:pStyle w:val="Compact"/>
              <w:jc w:val="left"/>
            </w:pPr>
            <w:r>
              <w:rPr>
                <w:b/>
                <w:bCs/>
              </w:rPr>
              <w:t xml:space="preserve">Total</w:t>
            </w:r>
          </w:p>
        </w:tc>
        <w:tc>
          <w:tcPr/>
          <w:p>
            <w:pPr>
              <w:pStyle w:val="Compact"/>
              <w:jc w:val="left"/>
            </w:pPr>
            <w:r>
              <w:t xml:space="preserve">50</w:t>
            </w:r>
          </w:p>
        </w:tc>
        <w:tc>
          <w:tcPr/>
          <w:p>
            <w:pPr>
              <w:pStyle w:val="Compact"/>
              <w:jc w:val="left"/>
            </w:pPr>
            <w:r>
              <w:t xml:space="preserve">—</w:t>
            </w:r>
          </w:p>
        </w:tc>
      </w:tr>
    </w:tbl>
    <w:p>
      <w:pPr>
        <w:pStyle w:val="BodyText"/>
      </w:pPr>
      <w:r>
        <w:rPr>
          <w:i/>
          <w:iCs/>
        </w:rPr>
        <w:t xml:space="preserve">Note: Certain issues carry dual characterizations (e.g., a condition that is both an environmental concern and a data gap); each is counted once at its primary severity. The HIGH count reflects the substantial number of significant environmental conditions, representation breaches, and unsatisfied Lender conditions.</w:t>
      </w:r>
    </w:p>
    <w:p>
      <w:r>
        <w:pict>
          <v:rect style="width:0;height:1.5pt" o:hralign="center" o:hrstd="t" o:hr="t"/>
        </w:pict>
      </w:r>
    </w:p>
    <w:bookmarkEnd w:id="83"/>
    <w:bookmarkStart w:id="84" w:name="recommendations-and-next-steps"/>
    <w:p>
      <w:pPr>
        <w:pStyle w:val="Heading2"/>
      </w:pPr>
      <w:r>
        <w:t xml:space="preserve">13. Recommendations and Next Steps</w:t>
      </w:r>
    </w:p>
    <w:p>
      <w:pPr>
        <w:numPr>
          <w:ilvl w:val="0"/>
          <w:numId w:val="1002"/>
        </w:numPr>
      </w:pPr>
      <w:r>
        <w:rPr>
          <w:b/>
          <w:bCs/>
        </w:rPr>
        <w:t xml:space="preserve">Commission a Phase II ESA immediately</w:t>
      </w:r>
      <w:r>
        <w:t xml:space="preserve"> </w:t>
      </w:r>
      <w:r>
        <w:t xml:space="preserve">(ASTM E1903-19) addressing, at minimum: (a) soil and groundwater beneath the former TCE degreasing area and the abandoned TCE drum (VOCs, including TCE and degradation products); (b) soil and groundwater beneath the former electroplating room and characterization of the sump liquid (hexavalent chromium, total chromium, nickel, pH); (c) the former outdoor drum-storage area / 2003 NOV location (metals, VOCs); (d) a geophysical survey to locate and assess the 2,000-gallon waste solvent UST and the 500-gallon heating oil UST; and (e) groundwater monitoring wells to evaluate off-site PCE plume migration onto the Property (noting the shallow 8–15 ft water table). The Phase II must include best-case, most-likely, and worst-case remediation cost estimates prepared by a licensed professional engineer (Lender requirement).</w:t>
      </w:r>
    </w:p>
    <w:p>
      <w:pPr>
        <w:numPr>
          <w:ilvl w:val="0"/>
          <w:numId w:val="1002"/>
        </w:numPr>
      </w:pPr>
      <w:r>
        <w:rPr>
          <w:b/>
          <w:bCs/>
        </w:rPr>
        <w:t xml:space="preserve">Obtain PLL insurance</w:t>
      </w:r>
      <w:r>
        <w:t xml:space="preserve"> </w:t>
      </w:r>
      <w:r>
        <w:t xml:space="preserve">(≥ $5,000,000, 10-year term, A- or better carrier, Bank as additional insured/loss payee) — a non-negotiable Lender condition given the identified RECs. Note the § 8.4(f) insurance-offset interaction (Issue 47).</w:t>
      </w:r>
    </w:p>
    <w:p>
      <w:pPr>
        <w:numPr>
          <w:ilvl w:val="0"/>
          <w:numId w:val="1002"/>
        </w:numPr>
      </w:pPr>
      <w:r>
        <w:rPr>
          <w:b/>
          <w:bCs/>
        </w:rPr>
        <w:t xml:space="preserve">Conduct a vapor intrusion assessment</w:t>
      </w:r>
      <w:r>
        <w:t xml:space="preserve"> </w:t>
      </w:r>
      <w:r>
        <w:t xml:space="preserve">for VOCs (TCE and PCE), particularly given the elevated PID readings, the off-site PCE plume, the shallow groundwater, and the non-operational ventilation in the former degreasing and electroplating areas.</w:t>
      </w:r>
    </w:p>
    <w:p>
      <w:pPr>
        <w:numPr>
          <w:ilvl w:val="0"/>
          <w:numId w:val="1002"/>
        </w:numPr>
      </w:pPr>
      <w:r>
        <w:rPr>
          <w:b/>
          <w:bCs/>
        </w:rPr>
        <w:t xml:space="preserve">Investigate monitoring well MW-1</w:t>
      </w:r>
      <w:r>
        <w:t xml:space="preserve"> </w:t>
      </w:r>
      <w:r>
        <w:t xml:space="preserve">— determine its origin, obtain any construction logs and historical analytical data (including from Ohio EPA and the Lake Erie Dry Cleaning VAP file), and assess whether it contains data relevant to PCE migration onto the Property.</w:t>
      </w:r>
    </w:p>
    <w:p>
      <w:pPr>
        <w:numPr>
          <w:ilvl w:val="0"/>
          <w:numId w:val="1002"/>
        </w:numPr>
      </w:pPr>
      <w:r>
        <w:rPr>
          <w:b/>
          <w:bCs/>
        </w:rPr>
        <w:t xml:space="preserve">Demand production of the 2003 consent order and compliance certification</w:t>
      </w:r>
      <w:r>
        <w:t xml:space="preserve"> </w:t>
      </w:r>
      <w:r>
        <w:t xml:space="preserve">from Seller, and submit a separate public-records request to Ohio EPA Central Office, Division of Hazardous Waste Management (File No. NW-2003-0471). Account for the 30-to-45-business-day retrieval time against the Lender’s November 30, 2024 deadline. Confirm whether the NOV/consent order was fully resolved.</w:t>
      </w:r>
    </w:p>
    <w:p>
      <w:pPr>
        <w:numPr>
          <w:ilvl w:val="0"/>
          <w:numId w:val="1002"/>
        </w:numPr>
      </w:pPr>
      <w:r>
        <w:rPr>
          <w:b/>
          <w:bCs/>
        </w:rPr>
        <w:t xml:space="preserve">Pursue the additional agency record sources recommended by Ohio EPA</w:t>
      </w:r>
      <w:r>
        <w:t xml:space="preserve"> </w:t>
      </w:r>
      <w:r>
        <w:t xml:space="preserve">— City of Toledo Department of Public Utilities (sewer/pretreatment discharge records), Lucas County Health Department, Toledo Fire Department (UST permits), and Ohio Department of Commerce State Fire Marshal (AST records) — to close the open data gaps (Issue 19).</w:t>
      </w:r>
    </w:p>
    <w:p>
      <w:pPr>
        <w:numPr>
          <w:ilvl w:val="0"/>
          <w:numId w:val="1002"/>
        </w:numPr>
      </w:pPr>
      <w:r>
        <w:rPr>
          <w:b/>
          <w:bCs/>
        </w:rPr>
        <w:t xml:space="preserve">Pursue Schedule corrections and representation remedies.</w:t>
      </w:r>
      <w:r>
        <w:t xml:space="preserve"> </w:t>
      </w:r>
      <w:r>
        <w:t xml:space="preserve">Formally notify Seller of the discrepancies in Schedule 4.12(c) (omitted 2003 NOV) and Schedule 4.13 (omitted USTs), and the potential breaches of §§ 4.12(a), (b), (d), 4.13(a), and 4.13(b). Seek corrective disclosures, an updated Schedule 4.13, and consideration of an increased indemnification cap, extended survival period, and/or a dedicated environmental escrow or holdback. Evaluate the fraud/intentional-misrepresentation exception (§ 8.4(d)) given the public-record nature of the omitted NOV.</w:t>
      </w:r>
    </w:p>
    <w:p>
      <w:pPr>
        <w:numPr>
          <w:ilvl w:val="0"/>
          <w:numId w:val="1002"/>
        </w:numPr>
      </w:pPr>
      <w:r>
        <w:rPr>
          <w:b/>
          <w:bCs/>
        </w:rPr>
        <w:t xml:space="preserve">Reconcile the Phase I ESA’s REC classification with the Lender’s requirements.</w:t>
      </w:r>
      <w:r>
        <w:t xml:space="preserve"> </w:t>
      </w:r>
      <w:r>
        <w:t xml:space="preserve">Request that the Environmental Professional supplement the Phase I ESA to classify the off-site PCE plume as a REC (or otherwise address the Lender’s explicit requirement) and to address the additional EDR-listed sites and the sanitary-sewer preferential pathway.</w:t>
      </w:r>
    </w:p>
    <w:p>
      <w:pPr>
        <w:numPr>
          <w:ilvl w:val="0"/>
          <w:numId w:val="1002"/>
        </w:numPr>
      </w:pPr>
      <w:r>
        <w:rPr>
          <w:b/>
          <w:bCs/>
        </w:rPr>
        <w:t xml:space="preserve">Confirm the status of the Environmental Due Diligence Period termination right.</w:t>
      </w:r>
      <w:r>
        <w:t xml:space="preserve"> </w:t>
      </w:r>
      <w:r>
        <w:t xml:space="preserve">Determine whether Buyer delivered (or intends to deliver) a termination notice under § 6.3(b) by October 31, 2024, or whether the right has lapsed, and assess the implications for indemnification-only recourse.</w:t>
      </w:r>
    </w:p>
    <w:p>
      <w:pPr>
        <w:numPr>
          <w:ilvl w:val="0"/>
          <w:numId w:val="1002"/>
        </w:numPr>
      </w:pPr>
      <w:r>
        <w:rPr>
          <w:b/>
          <w:bCs/>
        </w:rPr>
        <w:t xml:space="preserve">Assess the Lender</w:t>
      </w:r>
      <w:r>
        <w:rPr>
          <w:b/>
          <w:bCs/>
        </w:rPr>
        <w:t xml:space="preserve"> </w:t>
      </w:r>
      <w:r>
        <w:rPr>
          <w:b/>
          <w:bCs/>
        </w:rPr>
        <w:t xml:space="preserve">“</w:t>
      </w:r>
      <w:r>
        <w:rPr>
          <w:b/>
          <w:bCs/>
        </w:rPr>
        <w:t xml:space="preserve">unacceptable risk</w:t>
      </w:r>
      <w:r>
        <w:rPr>
          <w:b/>
          <w:bCs/>
        </w:rPr>
        <w:t xml:space="preserve">”</w:t>
      </w:r>
      <w:r>
        <w:rPr>
          <w:b/>
          <w:bCs/>
        </w:rPr>
        <w:t xml:space="preserve"> </w:t>
      </w:r>
      <w:r>
        <w:rPr>
          <w:b/>
          <w:bCs/>
        </w:rPr>
        <w:t xml:space="preserve">thresholds</w:t>
      </w:r>
      <w:r>
        <w:t xml:space="preserve"> </w:t>
      </w:r>
      <w:r>
        <w:t xml:space="preserve">once Phase II cost estimates and the appraisal are available, including whether worst-case remediation could exceed 50% of appraised value (§ 3.C(a)) and whether the unresolved data gaps (§ 3.C(d)) can be closed before underwriting.</w:t>
      </w:r>
    </w:p>
    <w:p>
      <w:pPr>
        <w:numPr>
          <w:ilvl w:val="0"/>
          <w:numId w:val="1002"/>
        </w:numPr>
      </w:pPr>
      <w:r>
        <w:rPr>
          <w:b/>
          <w:bCs/>
        </w:rPr>
        <w:t xml:space="preserve">Coordinate the delivery timeline.</w:t>
      </w:r>
      <w:r>
        <w:t xml:space="preserve"> </w:t>
      </w:r>
      <w:r>
        <w:t xml:space="preserve">The Phase II, PLL binder, and escrow evidence are due to the Lender by November 30, 2024. Assess feasibility and negotiate a closing extension if necessary.</w:t>
      </w:r>
    </w:p>
    <w:p>
      <w:pPr>
        <w:numPr>
          <w:ilvl w:val="0"/>
          <w:numId w:val="1002"/>
        </w:numPr>
      </w:pPr>
      <w:r>
        <w:rPr>
          <w:b/>
          <w:bCs/>
        </w:rPr>
        <w:t xml:space="preserve">Factor the Lender’s post-closing covenants into the operating model</w:t>
      </w:r>
      <w:r>
        <w:t xml:space="preserve"> </w:t>
      </w:r>
      <w:r>
        <w:t xml:space="preserve">(Issue 37), particularly the no-UST-work-without-consent covenant and the long-term insurance maintenance obligation.</w:t>
      </w:r>
    </w:p>
    <w:p>
      <w:r>
        <w:pict>
          <v:rect style="width:0;height:1.5pt" o:hralign="center" o:hrstd="t" o:hr="t"/>
        </w:pict>
      </w:r>
    </w:p>
    <w:bookmarkEnd w:id="84"/>
    <w:bookmarkStart w:id="85" w:name="Xa1d6a99ab1274523a5043ca23aa5fb9037e0cfa"/>
    <w:p>
      <w:pPr>
        <w:pStyle w:val="Heading2"/>
      </w:pPr>
      <w:r>
        <w:t xml:space="preserve">14. Separate Matter — 2850 Millrace Road, Dayton, Ohio (Not Part of This Acquisition)</w:t>
      </w:r>
    </w:p>
    <w:p>
      <w:pPr>
        <w:pStyle w:val="FirstParagraph"/>
      </w:pPr>
      <w:r>
        <w:t xml:space="preserve">For completeness, the diligence file also contains three documents relating to a</w:t>
      </w:r>
      <w:r>
        <w:t xml:space="preserve"> </w:t>
      </w:r>
      <w:r>
        <w:rPr>
          <w:b/>
          <w:bCs/>
        </w:rPr>
        <w:t xml:space="preserve">separate and unrelated transaction</w:t>
      </w:r>
      <w:r>
        <w:t xml:space="preserve"> </w:t>
      </w:r>
      <w:r>
        <w:t xml:space="preserve">concerning 2850 Millrace Road, Dayton, Ohio (Montgomery County): (a) a Terravista Environmental Consulting Inc. Phase I ESA dated April 18, 2025 (Project No. TEC-2025-0347); (b) a Redland Environmental Services UST Closure Report dated November 12, 2004; and (c) a GeoSearch Data Systems environmental database search summary dated March 28, 2025. That property has a different seller (Valtec Manufacturing Holdings Inc.), a different purchase price ($4,200,000), different buyer’s counsel (Bridgewell &amp; Hatch LLP), and a later assessment date.</w:t>
      </w:r>
      <w:r>
        <w:t xml:space="preserve"> </w:t>
      </w:r>
      <w:r>
        <w:rPr>
          <w:b/>
          <w:bCs/>
        </w:rPr>
        <w:t xml:space="preserve">These documents are not part of the Toledo acquisition governed by the Asset Purchase Agreement and are not analyzed in this memorandum.</w:t>
      </w:r>
      <w:r>
        <w:t xml:space="preserve"> </w:t>
      </w:r>
      <w:r>
        <w:t xml:space="preserve">They have been reviewed and confirmed to relate to a distinct matter. If Cornerstone wishes, a separate issues memorandum can be prepared for the Dayton property.</w:t>
      </w:r>
    </w:p>
    <w:p>
      <w:pPr>
        <w:pStyle w:val="BodyText"/>
      </w:pPr>
      <w:r>
        <w:rPr>
          <w:i/>
          <w:iCs/>
        </w:rPr>
        <w:t xml:space="preserve">Note for the Dayton file (if a separate memo is later requested): the Terravista Phase I ESA states it was prepared to ASTM E1527-13 (the prior standard, not the current E1527-21), while the GeoSearch database summary references ASTM E1527-21 — an internal inconsistency; and the UST Closure Report’s Tank 3 (4,000-gallon waste oil UST) analytical results were</w:t>
      </w:r>
      <w:r>
        <w:rPr>
          <w:i/>
          <w:iCs/>
        </w:rPr>
        <w:t xml:space="preserve"> </w:t>
      </w:r>
      <w:r>
        <w:rPr>
          <w:i/>
          <w:iCs/>
        </w:rPr>
        <w:t xml:space="preserve">“</w:t>
      </w:r>
      <w:r>
        <w:rPr>
          <w:i/>
          <w:iCs/>
        </w:rPr>
        <w:t xml:space="preserve">pending</w:t>
      </w:r>
      <w:r>
        <w:rPr>
          <w:i/>
          <w:iCs/>
        </w:rPr>
        <w:t xml:space="preserve">”</w:t>
      </w:r>
      <w:r>
        <w:rPr>
          <w:i/>
          <w:iCs/>
        </w:rPr>
        <w:t xml:space="preserve"> </w:t>
      </w:r>
      <w:r>
        <w:rPr>
          <w:i/>
          <w:iCs/>
        </w:rPr>
        <w:t xml:space="preserve">at the time of the 2004 report, with no supplemental report located and no closure letter for Tank 3 produced.</w:t>
      </w:r>
    </w:p>
    <w:p>
      <w:r>
        <w:pict>
          <v:rect style="width:0;height:1.5pt" o:hralign="center" o:hrstd="t" o:hr="t"/>
        </w:pict>
      </w:r>
    </w:p>
    <w:bookmarkEnd w:id="85"/>
    <w:bookmarkStart w:id="86" w:name="limitations"/>
    <w:p>
      <w:pPr>
        <w:pStyle w:val="Heading2"/>
      </w:pPr>
      <w:r>
        <w:t xml:space="preserve">15. Limitations</w:t>
      </w:r>
    </w:p>
    <w:p>
      <w:pPr>
        <w:pStyle w:val="FirstParagraph"/>
      </w:pPr>
      <w:r>
        <w:t xml:space="preserve">This memorandum is based solely on the documents listed in Section 2.2 and was prepared to assist Buyer and its counsel in evaluating environmental issues in connection with the proposed acquisition. It is not a Phase I or Phase II Environmental Site Assessment and does not constitute an opinion of counsel. Severity ratings reflect the reviewer’s professional judgment based on the documents reviewed and are intended to prioritize follow-up; they are not guarantees of outcome. Facts and conclusions may change based on the results of a Phase II ESA, additional regulatory file review, or information subsequently produced by Seller. This memorandum is privileged and confidential and prepared in anticipation of the transaction; it should not be disclosed to third parties (including the Lender) without coordination with Buyer’s counsel.</w:t>
      </w:r>
    </w:p>
    <w:p>
      <w:pPr>
        <w:pStyle w:val="BodyText"/>
      </w:pPr>
      <w:r>
        <w:rPr>
          <w:i/>
          <w:iCs/>
        </w:rPr>
        <w:t xml:space="preserve">— End of Memorandum —</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2026-06-27T01:14:34Z</dcterms:created>
  <dcterms:modified xsi:type="dcterms:W3CDTF">2026-06-27T01:14:34Z</dcterms:modified>
</cp:coreProperties>
</file>

<file path=docProps/custom.xml><?xml version="1.0" encoding="utf-8"?>
<Properties xmlns="http://schemas.openxmlformats.org/officeDocument/2006/custom-properties" xmlns:vt="http://schemas.openxmlformats.org/officeDocument/2006/docPropsVTypes"/>
</file>