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Marcus J. Whitmore, Chief Investment Officer and Managing Member, Whitmore Capital Management LLC; Sandra K. Liu, Chief Compliance Officer and General Counsel</w:t>
      </w:r>
    </w:p>
    <w:p>
      <w:pPr>
        <w:pStyle w:val="BodyText"/>
      </w:pPr>
      <w:r>
        <w:rPr>
          <w:b/>
          <w:bCs/>
        </w:rPr>
        <w:t xml:space="preserve">FROM:</w:t>
      </w:r>
      <w:r>
        <w:t xml:space="preserve"> </w:t>
      </w:r>
      <w:r>
        <w:t xml:space="preserve">Bridgeford Hollis LLP, Fund Counsel</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Discrepancies and Unresolved Issues Identified in Connection with the Final Closing of Whitmore Capital Partners VII, LP</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is delivered in connection with the final closing of Whitmore Capital Partners VII, LP (the</w:t>
      </w:r>
      <w:r>
        <w:t xml:space="preserve"> </w:t>
      </w:r>
      <w:r>
        <w:t xml:space="preserve">“</w:t>
      </w:r>
      <w:r>
        <w:t xml:space="preserve">Fund</w:t>
      </w:r>
      <w:r>
        <w:t xml:space="preserve">”</w:t>
      </w:r>
      <w:r>
        <w:t xml:space="preserve"> </w:t>
      </w:r>
      <w:r>
        <w:t xml:space="preserve">or</w:t>
      </w:r>
      <w:r>
        <w:t xml:space="preserve"> </w:t>
      </w:r>
      <w:r>
        <w:t xml:space="preserve">“</w:t>
      </w:r>
      <w:r>
        <w:t xml:space="preserve">Fund VII</w:t>
      </w:r>
      <w:r>
        <w:t xml:space="preserve">”</w:t>
      </w:r>
      <w:r>
        <w:t xml:space="preserve">) scheduled for January 31, 2025 (the</w:t>
      </w:r>
      <w:r>
        <w:t xml:space="preserve"> </w:t>
      </w:r>
      <w:r>
        <w:t xml:space="preserve">“</w:t>
      </w:r>
      <w:r>
        <w:t xml:space="preserve">Final Closing</w:t>
      </w:r>
      <w:r>
        <w:t xml:space="preserve">”</w:t>
      </w:r>
      <w:r>
        <w:t xml:space="preserve">). In the course of preparing the Final Closing Certificate and reviewing the closing record, we have reviewed the following source documents (collectively, the</w:t>
      </w:r>
      <w:r>
        <w:t xml:space="preserve"> </w:t>
      </w:r>
      <w:r>
        <w:t xml:space="preserve">“</w:t>
      </w:r>
      <w:r>
        <w:t xml:space="preserve">Source Documents</w:t>
      </w:r>
      <w:r>
        <w:t xml:space="preserve">”</w:t>
      </w:r>
      <w:r>
        <w:t xml:space="preserve">):</w:t>
      </w:r>
    </w:p>
    <w:p>
      <w:pPr>
        <w:pStyle w:val="Compact"/>
        <w:numPr>
          <w:ilvl w:val="0"/>
          <w:numId w:val="1001"/>
        </w:numPr>
      </w:pPr>
      <w:r>
        <w:t xml:space="preserve">The Amended and Restated Agreement of Limited Partnership, dated as of September 15, 2024 (the</w:t>
      </w:r>
      <w:r>
        <w:t xml:space="preserve"> </w:t>
      </w:r>
      <w:r>
        <w:t xml:space="preserve">“</w:t>
      </w:r>
      <w:r>
        <w:t xml:space="preserve">LPA</w:t>
      </w:r>
      <w:r>
        <w:t xml:space="preserve">”</w:t>
      </w:r>
      <w:r>
        <w:t xml:space="preserve">);</w:t>
      </w:r>
    </w:p>
    <w:p>
      <w:pPr>
        <w:pStyle w:val="Compact"/>
        <w:numPr>
          <w:ilvl w:val="0"/>
          <w:numId w:val="1001"/>
        </w:numPr>
      </w:pPr>
      <w:r>
        <w:t xml:space="preserve">Amendment No. 1 to the LPA, dated November 30, 2024 (</w:t>
      </w:r>
      <w:r>
        <w:t xml:space="preserve">“</w:t>
      </w:r>
      <w:r>
        <w:t xml:space="preserve">Amendment No. 1</w:t>
      </w:r>
      <w:r>
        <w:t xml:space="preserve">”</w:t>
      </w:r>
      <w:r>
        <w:t xml:space="preserve">);</w:t>
      </w:r>
    </w:p>
    <w:p>
      <w:pPr>
        <w:pStyle w:val="Compact"/>
        <w:numPr>
          <w:ilvl w:val="0"/>
          <w:numId w:val="1001"/>
        </w:numPr>
      </w:pPr>
      <w:r>
        <w:t xml:space="preserve">The form of Subscription Agreement for use in connection with the Final Closing (the</w:t>
      </w:r>
      <w:r>
        <w:t xml:space="preserve"> </w:t>
      </w:r>
      <w:r>
        <w:t xml:space="preserve">“</w:t>
      </w:r>
      <w:r>
        <w:t xml:space="preserve">Subscription Agreement</w:t>
      </w:r>
      <w:r>
        <w:t xml:space="preserve">”</w:t>
      </w:r>
      <w:r>
        <w:t xml:space="preserve">);</w:t>
      </w:r>
    </w:p>
    <w:p>
      <w:pPr>
        <w:pStyle w:val="Compact"/>
        <w:numPr>
          <w:ilvl w:val="0"/>
          <w:numId w:val="1001"/>
        </w:numPr>
      </w:pPr>
      <w:r>
        <w:t xml:space="preserve">Capital Call Notice No. 1, dated October 10, 2024 (</w:t>
      </w:r>
      <w:r>
        <w:t xml:space="preserve">“</w:t>
      </w:r>
      <w:r>
        <w:t xml:space="preserve">CC#1</w:t>
      </w:r>
      <w:r>
        <w:t xml:space="preserve">”</w:t>
      </w:r>
      <w:r>
        <w:t xml:space="preserve">);</w:t>
      </w:r>
    </w:p>
    <w:p>
      <w:pPr>
        <w:pStyle w:val="Compact"/>
        <w:numPr>
          <w:ilvl w:val="0"/>
          <w:numId w:val="1001"/>
        </w:numPr>
      </w:pPr>
      <w:r>
        <w:t xml:space="preserve">Capital Call Notice No. 2, dated December 15, 2024 (</w:t>
      </w:r>
      <w:r>
        <w:t xml:space="preserve">“</w:t>
      </w:r>
      <w:r>
        <w:t xml:space="preserve">CC#2</w:t>
      </w:r>
      <w:r>
        <w:t xml:space="preserve">”</w:t>
      </w:r>
      <w:r>
        <w:t xml:space="preserve">);</w:t>
      </w:r>
    </w:p>
    <w:p>
      <w:pPr>
        <w:pStyle w:val="Compact"/>
        <w:numPr>
          <w:ilvl w:val="0"/>
          <w:numId w:val="1001"/>
        </w:numPr>
      </w:pPr>
      <w:r>
        <w:t xml:space="preserve">The administrative closing checklist maintained by Oakmere Fund Services LLC (the</w:t>
      </w:r>
      <w:r>
        <w:t xml:space="preserve"> </w:t>
      </w:r>
      <w:r>
        <w:t xml:space="preserve">“</w:t>
      </w:r>
      <w:r>
        <w:t xml:space="preserve">Admin Checklist</w:t>
      </w:r>
      <w:r>
        <w:t xml:space="preserve">”</w:t>
      </w:r>
      <w:r>
        <w:t xml:space="preserve">);</w:t>
      </w:r>
    </w:p>
    <w:p>
      <w:pPr>
        <w:pStyle w:val="Compact"/>
        <w:numPr>
          <w:ilvl w:val="0"/>
          <w:numId w:val="1001"/>
        </w:numPr>
      </w:pPr>
      <w:r>
        <w:t xml:space="preserve">The AML/KYC completion email from Jonathan C. Prewitt of Oakmere Fund Services LLC, dated January 24, 2025 (the</w:t>
      </w:r>
      <w:r>
        <w:t xml:space="preserve"> </w:t>
      </w:r>
      <w:r>
        <w:t xml:space="preserve">“</w:t>
      </w:r>
      <w:r>
        <w:t xml:space="preserve">AML Email</w:t>
      </w:r>
      <w:r>
        <w:t xml:space="preserve">”</w:t>
      </w:r>
      <w:r>
        <w:t xml:space="preserve">); and</w:t>
      </w:r>
    </w:p>
    <w:p>
      <w:pPr>
        <w:pStyle w:val="Compact"/>
        <w:numPr>
          <w:ilvl w:val="0"/>
          <w:numId w:val="1001"/>
        </w:numPr>
      </w:pPr>
      <w:r>
        <w:t xml:space="preserve">The GP internal closing memorandum dated January 28, 2025 (the</w:t>
      </w:r>
      <w:r>
        <w:t xml:space="preserve"> </w:t>
      </w:r>
      <w:r>
        <w:t xml:space="preserve">“</w:t>
      </w:r>
      <w:r>
        <w:t xml:space="preserve">GP Memo</w:t>
      </w:r>
      <w:r>
        <w:t xml:space="preserve">”</w:t>
      </w:r>
      <w:r>
        <w:t xml:space="preserve">).</w:t>
      </w:r>
    </w:p>
    <w:p>
      <w:pPr>
        <w:pStyle w:val="FirstParagraph"/>
      </w:pPr>
      <w:r>
        <w:t xml:space="preserve">This memorandum flags the discrepancies, internal inconsistencies, and unresolved items we have identified among the Source Documents. The items are organized by severity.</w:t>
      </w:r>
      <w:r>
        <w:t xml:space="preserve"> </w:t>
      </w:r>
      <w:r>
        <w:rPr>
          <w:b/>
          <w:bCs/>
        </w:rPr>
        <w:t xml:space="preserve">Tier 1</w:t>
      </w:r>
      <w:r>
        <w:t xml:space="preserve"> </w:t>
      </w:r>
      <w:r>
        <w:t xml:space="preserve">items are material and bear directly on non-waivable conditions precedent under Section 11.2 of the LPA; they must be resolved before the Final Closing can be consummated.</w:t>
      </w:r>
      <w:r>
        <w:t xml:space="preserve"> </w:t>
      </w:r>
      <w:r>
        <w:rPr>
          <w:b/>
          <w:bCs/>
        </w:rPr>
        <w:t xml:space="preserve">Tier 2</w:t>
      </w:r>
      <w:r>
        <w:t xml:space="preserve"> </w:t>
      </w:r>
      <w:r>
        <w:t xml:space="preserve">items are conditions precedent that remain pending and must be completed at or prior to closing.</w:t>
      </w:r>
      <w:r>
        <w:t xml:space="preserve"> </w:t>
      </w:r>
      <w:r>
        <w:rPr>
          <w:b/>
          <w:bCs/>
        </w:rPr>
        <w:t xml:space="preserve">Tier 3</w:t>
      </w:r>
      <w:r>
        <w:t xml:space="preserve"> </w:t>
      </w:r>
      <w:r>
        <w:t xml:space="preserve">items are obligations triggered by the Final Closing that must be satisfied on a post-closing timetable.</w:t>
      </w:r>
      <w:r>
        <w:t xml:space="preserve"> </w:t>
      </w:r>
      <w:r>
        <w:rPr>
          <w:b/>
          <w:bCs/>
        </w:rPr>
        <w:t xml:space="preserve">Tier 4</w:t>
      </w:r>
      <w:r>
        <w:t xml:space="preserve"> </w:t>
      </w:r>
      <w:r>
        <w:t xml:space="preserve">items are document-quality discrepancies (cross-reference errors, data inconsistencies, and housekeeping matters) that should be corrected or noted but do not, standing alone, prevent closing.</w:t>
      </w:r>
    </w:p>
    <w:p>
      <w:pPr>
        <w:pStyle w:val="BodyText"/>
      </w:pPr>
      <w:r>
        <w:t xml:space="preserve">A summary of the Final Closing parameters, as reflected in the Source Documents, is set forth below for 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 / Value</w:t>
            </w:r>
          </w:p>
        </w:tc>
      </w:tr>
      <w:tr>
        <w:tc>
          <w:tcPr/>
          <w:p>
            <w:pPr>
              <w:pStyle w:val="Compact"/>
              <w:jc w:val="left"/>
            </w:pPr>
            <w:r>
              <w:t xml:space="preserve">Final Closing date</w:t>
            </w:r>
          </w:p>
        </w:tc>
        <w:tc>
          <w:tcPr/>
          <w:p>
            <w:pPr>
              <w:pStyle w:val="Compact"/>
              <w:jc w:val="left"/>
            </w:pPr>
            <w:r>
              <w:t xml:space="preserve">January 31, 2025</w:t>
            </w:r>
          </w:p>
        </w:tc>
      </w:tr>
      <w:tr>
        <w:tc>
          <w:tcPr/>
          <w:p>
            <w:pPr>
              <w:pStyle w:val="Compact"/>
              <w:jc w:val="left"/>
            </w:pPr>
            <w:r>
              <w:t xml:space="preserve">Incoming Final Closing LPs</w:t>
            </w:r>
          </w:p>
        </w:tc>
        <w:tc>
          <w:tcPr/>
          <w:p>
            <w:pPr>
              <w:pStyle w:val="Compact"/>
              <w:jc w:val="left"/>
            </w:pPr>
            <w:r>
              <w:t xml:space="preserve">6</w:t>
            </w:r>
          </w:p>
        </w:tc>
      </w:tr>
      <w:tr>
        <w:tc>
          <w:tcPr/>
          <w:p>
            <w:pPr>
              <w:pStyle w:val="Compact"/>
              <w:jc w:val="left"/>
            </w:pPr>
            <w:r>
              <w:t xml:space="preserve">Aggregate Final Closing LP commitments</w:t>
            </w:r>
          </w:p>
        </w:tc>
        <w:tc>
          <w:tcPr/>
          <w:p>
            <w:pPr>
              <w:pStyle w:val="Compact"/>
              <w:jc w:val="left"/>
            </w:pPr>
            <w:r>
              <w:t xml:space="preserve">$285,000,000</w:t>
            </w:r>
          </w:p>
        </w:tc>
      </w:tr>
      <w:tr>
        <w:tc>
          <w:tcPr/>
          <w:p>
            <w:pPr>
              <w:pStyle w:val="Compact"/>
              <w:jc w:val="left"/>
            </w:pPr>
            <w:r>
              <w:t xml:space="preserve">Aggregate LP commitments (all closings)</w:t>
            </w:r>
          </w:p>
        </w:tc>
        <w:tc>
          <w:tcPr/>
          <w:p>
            <w:pPr>
              <w:pStyle w:val="Compact"/>
              <w:jc w:val="left"/>
            </w:pPr>
            <w:r>
              <w:t xml:space="preserve">$1,600,000,000</w:t>
            </w:r>
          </w:p>
        </w:tc>
      </w:tr>
      <w:tr>
        <w:tc>
          <w:tcPr/>
          <w:p>
            <w:pPr>
              <w:pStyle w:val="Compact"/>
              <w:jc w:val="left"/>
            </w:pPr>
            <w:r>
              <w:t xml:space="preserve">GP Commitment</w:t>
            </w:r>
          </w:p>
        </w:tc>
        <w:tc>
          <w:tcPr/>
          <w:p>
            <w:pPr>
              <w:pStyle w:val="Compact"/>
              <w:jc w:val="left"/>
            </w:pPr>
            <w:r>
              <w:t xml:space="preserve">$15,000,000</w:t>
            </w:r>
          </w:p>
        </w:tc>
      </w:tr>
      <w:tr>
        <w:tc>
          <w:tcPr/>
          <w:p>
            <w:pPr>
              <w:pStyle w:val="Compact"/>
              <w:jc w:val="left"/>
            </w:pPr>
            <w:r>
              <w:t xml:space="preserve">Total Fund commitments</w:t>
            </w:r>
          </w:p>
        </w:tc>
        <w:tc>
          <w:tcPr/>
          <w:p>
            <w:pPr>
              <w:pStyle w:val="Compact"/>
              <w:jc w:val="left"/>
            </w:pPr>
            <w:r>
              <w:t xml:space="preserve">$1,615,000,000</w:t>
            </w:r>
          </w:p>
        </w:tc>
      </w:tr>
      <w:tr>
        <w:tc>
          <w:tcPr/>
          <w:p>
            <w:pPr>
              <w:pStyle w:val="Compact"/>
              <w:jc w:val="left"/>
            </w:pPr>
            <w:r>
              <w:t xml:space="preserve">Target Fund Size (LPA § 3.1(d))</w:t>
            </w:r>
          </w:p>
        </w:tc>
        <w:tc>
          <w:tcPr/>
          <w:p>
            <w:pPr>
              <w:pStyle w:val="Compact"/>
              <w:jc w:val="left"/>
            </w:pPr>
            <w:r>
              <w:t xml:space="preserve">$1,500,000,000</w:t>
            </w:r>
          </w:p>
        </w:tc>
      </w:tr>
      <w:tr>
        <w:tc>
          <w:tcPr/>
          <w:p>
            <w:pPr>
              <w:pStyle w:val="Compact"/>
              <w:jc w:val="left"/>
            </w:pPr>
            <w:r>
              <w:t xml:space="preserve">Hard Cap (LPA § 3.1(c))</w:t>
            </w:r>
          </w:p>
        </w:tc>
        <w:tc>
          <w:tcPr/>
          <w:p>
            <w:pPr>
              <w:pStyle w:val="Compact"/>
              <w:jc w:val="left"/>
            </w:pPr>
            <w:r>
              <w:t xml:space="preserve">$1,750,000,000</w:t>
            </w:r>
          </w:p>
        </w:tc>
      </w:tr>
      <w:tr>
        <w:tc>
          <w:tcPr/>
          <w:p>
            <w:pPr>
              <w:pStyle w:val="Compact"/>
              <w:jc w:val="left"/>
            </w:pPr>
            <w:r>
              <w:t xml:space="preserve">Total beneficial owners (33 LPs + GP)</w:t>
            </w:r>
          </w:p>
        </w:tc>
        <w:tc>
          <w:tcPr/>
          <w:p>
            <w:pPr>
              <w:pStyle w:val="Compact"/>
              <w:jc w:val="left"/>
            </w:pPr>
            <w:r>
              <w:t xml:space="preserve">34</w:t>
            </w:r>
          </w:p>
        </w:tc>
      </w:tr>
    </w:tbl>
    <w:p>
      <w:r>
        <w:pict>
          <v:rect style="width:0;height:1.5pt" o:hralign="center" o:hrstd="t" o:hr="t"/>
        </w:pict>
      </w:r>
    </w:p>
    <w:bookmarkEnd w:id="20"/>
    <w:bookmarkStart w:id="24" w:name="X212fdde1d91f1ec874cac8fd36196a25e359046"/>
    <w:p>
      <w:pPr>
        <w:pStyle w:val="Heading2"/>
      </w:pPr>
      <w:r>
        <w:t xml:space="preserve">II. Tier 1 — Material Issues Affecting Non-Waivable Conditions Precedent</w:t>
      </w:r>
    </w:p>
    <w:bookmarkStart w:id="21" w:name="X1184b627f46cc96961e442415d5ca6ba15e62b8"/>
    <w:p>
      <w:pPr>
        <w:pStyle w:val="Heading3"/>
      </w:pPr>
      <w:r>
        <w:t xml:space="preserve">A. AML/KYC Verification Does Not Cover All Six Final Closing Limited Partners (LPA § 11.2(3))</w:t>
      </w:r>
    </w:p>
    <w:p>
      <w:pPr>
        <w:pStyle w:val="FirstParagraph"/>
      </w:pPr>
      <w:r>
        <w:rPr>
          <w:b/>
          <w:bCs/>
        </w:rPr>
        <w:t xml:space="preserve">Issue.</w:t>
      </w:r>
      <w:r>
        <w:t xml:space="preserve"> </w:t>
      </w:r>
      <w:r>
        <w:t xml:space="preserve">Condition 11.2(3) requires the Fund Administrator to confirm in writing that satisfactory AML/KYC documentation has been received and verified for</w:t>
      </w:r>
      <w:r>
        <w:t xml:space="preserve"> </w:t>
      </w:r>
      <w:r>
        <w:rPr>
          <w:b/>
          <w:bCs/>
        </w:rPr>
        <w:t xml:space="preserve">each</w:t>
      </w:r>
      <w:r>
        <w:t xml:space="preserve"> </w:t>
      </w:r>
      <w:r>
        <w:t xml:space="preserve">incoming Limited Partner, and to deliver a written AML/KYC completion certificate prior to each Closing. Section 11.3 of the LPA provides that the AML/KYC condition (§ 11.2(3))</w:t>
      </w:r>
      <w:r>
        <w:t xml:space="preserve"> </w:t>
      </w:r>
      <w:r>
        <w:rPr>
          <w:b/>
          <w:bCs/>
        </w:rPr>
        <w:t xml:space="preserve">may not be waived under any circumstances</w:t>
      </w:r>
      <w:r>
        <w:t xml:space="preserve">.</w:t>
      </w:r>
    </w:p>
    <w:p>
      <w:pPr>
        <w:pStyle w:val="BodyText"/>
      </w:pPr>
      <w:r>
        <w:t xml:space="preserve">The AML Email from Jonathan C. Prewitt (Oakmere Fund Services LLC), dated January 24, 2025, confirms AML/KYC verification for only</w:t>
      </w:r>
      <w:r>
        <w:t xml:space="preserve"> </w:t>
      </w:r>
      <w:r>
        <w:rPr>
          <w:b/>
          <w:bCs/>
        </w:rPr>
        <w:t xml:space="preserve">five (5)</w:t>
      </w:r>
      <w:r>
        <w:t xml:space="preserve"> </w:t>
      </w:r>
      <w:r>
        <w:t xml:space="preserve">of the six Final Closing Limited Partners:</w:t>
      </w:r>
    </w:p>
    <w:p>
      <w:pPr>
        <w:pStyle w:val="Compact"/>
        <w:numPr>
          <w:ilvl w:val="0"/>
          <w:numId w:val="1002"/>
        </w:numPr>
      </w:pPr>
      <w:r>
        <w:t xml:space="preserve">Meridian State Teachers’ Retirement System;</w:t>
      </w:r>
    </w:p>
    <w:p>
      <w:pPr>
        <w:pStyle w:val="Compact"/>
        <w:numPr>
          <w:ilvl w:val="0"/>
          <w:numId w:val="1002"/>
        </w:numPr>
      </w:pPr>
      <w:r>
        <w:t xml:space="preserve">Haverfield Family Office LLC;</w:t>
      </w:r>
    </w:p>
    <w:p>
      <w:pPr>
        <w:pStyle w:val="Compact"/>
        <w:numPr>
          <w:ilvl w:val="0"/>
          <w:numId w:val="1002"/>
        </w:numPr>
      </w:pPr>
      <w:r>
        <w:t xml:space="preserve">Northbridge Endowment Fund;</w:t>
      </w:r>
    </w:p>
    <w:p>
      <w:pPr>
        <w:pStyle w:val="Compact"/>
        <w:numPr>
          <w:ilvl w:val="0"/>
          <w:numId w:val="1002"/>
        </w:numPr>
      </w:pPr>
      <w:r>
        <w:t xml:space="preserve">Sentry Municipal Employees’ Pension Trust; and</w:t>
      </w:r>
    </w:p>
    <w:p>
      <w:pPr>
        <w:pStyle w:val="Compact"/>
        <w:numPr>
          <w:ilvl w:val="0"/>
          <w:numId w:val="1002"/>
        </w:numPr>
      </w:pPr>
      <w:r>
        <w:t xml:space="preserve">Kingsgate Ventures Fund-of-Funds III, LP.</w:t>
      </w:r>
    </w:p>
    <w:p>
      <w:pPr>
        <w:pStyle w:val="FirstParagraph"/>
      </w:pPr>
      <w:r>
        <w:rPr>
          <w:b/>
          <w:bCs/>
        </w:rPr>
        <w:t xml:space="preserve">Cascade Re Insurance Ltd. is not identified or addressed in the AML Email.</w:t>
      </w:r>
      <w:r>
        <w:t xml:space="preserve"> </w:t>
      </w:r>
      <w:r>
        <w:t xml:space="preserve">This is significant because Cascade Re is a Bermuda-domiciled Class 3B reinsurer — a non-U.S. entity that would ordinarily warrant enhanced due diligence (including, at minimum, sanctions screening against non-U.S. lists, beneficial ownership analysis, and source-of-funds review). The Admin Checklist (item 18) marks AML/KYC as</w:t>
      </w:r>
      <w:r>
        <w:t xml:space="preserve"> </w:t>
      </w:r>
      <w:r>
        <w:t xml:space="preserve">“</w:t>
      </w:r>
      <w:r>
        <w:t xml:space="preserve">Complete</w:t>
      </w:r>
      <w:r>
        <w:t xml:space="preserve">”</w:t>
      </w:r>
      <w:r>
        <w:t xml:space="preserve"> </w:t>
      </w:r>
      <w:r>
        <w:t xml:space="preserve">for</w:t>
      </w:r>
      <w:r>
        <w:t xml:space="preserve"> </w:t>
      </w:r>
      <w:r>
        <w:t xml:space="preserve">“</w:t>
      </w:r>
      <w:r>
        <w:t xml:space="preserve">all Final Closing limited partners</w:t>
      </w:r>
      <w:r>
        <w:t xml:space="preserve">”</w:t>
      </w:r>
      <w:r>
        <w:t xml:space="preserve"> </w:t>
      </w:r>
      <w:r>
        <w:t xml:space="preserve">and cites the AML Email as the supporting document, but the AML Email on its face does not cover Cascade Re.</w:t>
      </w:r>
    </w:p>
    <w:p>
      <w:pPr>
        <w:pStyle w:val="BodyText"/>
      </w:pPr>
      <w:r>
        <w:rPr>
          <w:b/>
          <w:bCs/>
        </w:rPr>
        <w:t xml:space="preserve">Recommendation.</w:t>
      </w:r>
      <w:r>
        <w:t xml:space="preserve"> </w:t>
      </w:r>
      <w:r>
        <w:t xml:space="preserve">Obtain a separate written confirmation from Oakmere Fund Services LLC that satisfactory AML/KYC verification (including enhanced due diligence appropriate to a Bermuda insurance entity) has been completed for Cascade Re Insurance Ltd., and attach it to the closing record. The Final Closing cannot be consummated, and the closing certificate cannot certify Condition 11.2(3), until this confirmation is in hand.</w:t>
      </w:r>
    </w:p>
    <w:bookmarkEnd w:id="21"/>
    <w:bookmarkStart w:id="22" w:name="Xe62953fd932b1259967103a95ce839c03e1cbf8"/>
    <w:p>
      <w:pPr>
        <w:pStyle w:val="Heading3"/>
      </w:pPr>
      <w:r>
        <w:t xml:space="preserve">B. ERISA / Benefit Plan Investor Calculation — Internal Inconsistency and Potential Cap Exposure (LPA § 11.2(5); § 6.8)</w:t>
      </w:r>
    </w:p>
    <w:p>
      <w:pPr>
        <w:pStyle w:val="FirstParagraph"/>
      </w:pPr>
      <w:r>
        <w:rPr>
          <w:b/>
          <w:bCs/>
        </w:rPr>
        <w:t xml:space="preserve">Issue.</w:t>
      </w:r>
      <w:r>
        <w:t xml:space="preserve"> </w:t>
      </w:r>
      <w:r>
        <w:t xml:space="preserve">Condition 11.2(5) requires the General Partner to determine that, after giving effect to the admission of all incoming Limited Partners, the aggregate Capital Commitments of Benefit Plan Investors do not exceed 24.99% of total Capital Commitments. Section 11.3 provides that the ERISA condition (§ 11.2(5))</w:t>
      </w:r>
      <w:r>
        <w:t xml:space="preserve"> </w:t>
      </w:r>
      <w:r>
        <w:rPr>
          <w:b/>
          <w:bCs/>
        </w:rPr>
        <w:t xml:space="preserve">may not be waived</w:t>
      </w:r>
      <w:r>
        <w:t xml:space="preserve">.</w:t>
      </w:r>
    </w:p>
    <w:p>
      <w:pPr>
        <w:pStyle w:val="BodyText"/>
      </w:pPr>
      <w:r>
        <w:t xml:space="preserve">Three interrelated problems exist:</w:t>
      </w:r>
    </w:p>
    <w:p>
      <w:pPr>
        <w:pStyle w:val="BodyText"/>
      </w:pPr>
      <w:r>
        <w:rPr>
          <w:b/>
          <w:bCs/>
        </w:rPr>
        <w:t xml:space="preserve">(1) Internal inconsistency within the Admin Checklist.</w:t>
      </w:r>
      <w:r>
        <w:t xml:space="preserve"> </w:t>
      </w:r>
      <w:r>
        <w:t xml:space="preserve">The Admin Checklist’s</w:t>
      </w:r>
      <w:r>
        <w:t xml:space="preserve"> </w:t>
      </w:r>
      <w:r>
        <w:t xml:space="preserve">“</w:t>
      </w:r>
      <w:r>
        <w:t xml:space="preserve">Commitment Schedule</w:t>
      </w:r>
      <w:r>
        <w:t xml:space="preserve">”</w:t>
      </w:r>
      <w:r>
        <w:t xml:space="preserve"> </w:t>
      </w:r>
      <w:r>
        <w:t xml:space="preserve">tab flags seven prior-closing Limited Partners and two Final Closing Limited Partners as</w:t>
      </w:r>
      <w:r>
        <w:t xml:space="preserve"> </w:t>
      </w:r>
      <w:r>
        <w:t xml:space="preserve">“</w:t>
      </w:r>
      <w:r>
        <w:t xml:space="preserve">ERISA Plan Investor</w:t>
      </w:r>
      <w:r>
        <w:t xml:space="preserve">”</w:t>
      </w:r>
      <w:r>
        <w:t xml:space="preserve"> </w:t>
      </w:r>
      <w:r>
        <w:t xml:space="preserve">(Y). Aggregating those per-investor flags yields approximately</w:t>
      </w:r>
      <w:r>
        <w:t xml:space="preserve"> </w:t>
      </w:r>
      <w:r>
        <w:rPr>
          <w:b/>
          <w:bCs/>
        </w:rPr>
        <w:t xml:space="preserve">$335,300,000</w:t>
      </w:r>
      <w:r>
        <w:t xml:space="preserve"> </w:t>
      </w:r>
      <w:r>
        <w:t xml:space="preserve">in prior-closing Benefit Plan Investor commitments and</w:t>
      </w:r>
      <w:r>
        <w:t xml:space="preserve"> </w:t>
      </w:r>
      <w:r>
        <w:rPr>
          <w:b/>
          <w:bCs/>
        </w:rPr>
        <w:t xml:space="preserve">$465,300,000</w:t>
      </w:r>
      <w:r>
        <w:t xml:space="preserve"> </w:t>
      </w:r>
      <w:r>
        <w:t xml:space="preserve">in total Benefit Plan Investor commitments across all closings, which would represent approximately</w:t>
      </w:r>
      <w:r>
        <w:t xml:space="preserve"> </w:t>
      </w:r>
      <w:r>
        <w:rPr>
          <w:b/>
          <w:bCs/>
        </w:rPr>
        <w:t xml:space="preserve">28.8%</w:t>
      </w:r>
      <w:r>
        <w:t xml:space="preserve"> </w:t>
      </w:r>
      <w:r>
        <w:t xml:space="preserve">of total Fund commitments —</w:t>
      </w:r>
      <w:r>
        <w:t xml:space="preserve"> </w:t>
      </w:r>
      <w:r>
        <w:rPr>
          <w:b/>
          <w:bCs/>
        </w:rPr>
        <w:t xml:space="preserve">above</w:t>
      </w:r>
      <w:r>
        <w:t xml:space="preserve"> </w:t>
      </w:r>
      <w:r>
        <w:t xml:space="preserve">the 24.99% cap. However, the</w:t>
      </w:r>
      <w:r>
        <w:t xml:space="preserve"> </w:t>
      </w:r>
      <w:r>
        <w:t xml:space="preserve">“</w:t>
      </w:r>
      <w:r>
        <w:t xml:space="preserve">ERISA Analysis</w:t>
      </w:r>
      <w:r>
        <w:t xml:space="preserve">”</w:t>
      </w:r>
      <w:r>
        <w:t xml:space="preserve"> </w:t>
      </w:r>
      <w:r>
        <w:t xml:space="preserve">summary in the same workbook (and the GP Memo and the Subscription Agreement) states prior-closing Benefit Plan Investor commitments of</w:t>
      </w:r>
      <w:r>
        <w:t xml:space="preserve"> </w:t>
      </w:r>
      <w:r>
        <w:rPr>
          <w:b/>
          <w:bCs/>
        </w:rPr>
        <w:t xml:space="preserve">$225,300,000</w:t>
      </w:r>
      <w:r>
        <w:t xml:space="preserve"> </w:t>
      </w:r>
      <w:r>
        <w:t xml:space="preserve">and total Benefit Plan Investor commitments of</w:t>
      </w:r>
      <w:r>
        <w:t xml:space="preserve"> </w:t>
      </w:r>
      <w:r>
        <w:rPr>
          <w:b/>
          <w:bCs/>
        </w:rPr>
        <w:t xml:space="preserve">$355,300,000</w:t>
      </w:r>
      <w:r>
        <w:t xml:space="preserve">, representing</w:t>
      </w:r>
      <w:r>
        <w:t xml:space="preserve"> </w:t>
      </w:r>
      <w:r>
        <w:rPr>
          <w:b/>
          <w:bCs/>
        </w:rPr>
        <w:t xml:space="preserve">22.00%</w:t>
      </w:r>
      <w:r>
        <w:t xml:space="preserve"> </w:t>
      </w:r>
      <w:r>
        <w:t xml:space="preserve">— below the cap. The per-investor flags and the summary thus differ by</w:t>
      </w:r>
      <w:r>
        <w:t xml:space="preserve"> </w:t>
      </w:r>
      <w:r>
        <w:rPr>
          <w:b/>
          <w:bCs/>
        </w:rPr>
        <w:t xml:space="preserve">$110,000,000</w:t>
      </w:r>
      <w:r>
        <w:t xml:space="preserve"> </w:t>
      </w:r>
      <w:r>
        <w:t xml:space="preserve">and do not reconcile. Depending on which is correct, the Fund is either comfortably within the cap (22.00%) or in excess of it (approximately 28.8%).</w:t>
      </w:r>
    </w:p>
    <w:p>
      <w:pPr>
        <w:pStyle w:val="BodyText"/>
      </w:pPr>
      <w:r>
        <w:rPr>
          <w:b/>
          <w:bCs/>
        </w:rPr>
        <w:t xml:space="preserve">(2) Ambiguity in the treatment of governmental plans.</w:t>
      </w:r>
      <w:r>
        <w:t xml:space="preserve"> </w:t>
      </w:r>
      <w:r>
        <w:t xml:space="preserve">The definition of</w:t>
      </w:r>
      <w:r>
        <w:t xml:space="preserve"> </w:t>
      </w:r>
      <w:r>
        <w:t xml:space="preserve">“</w:t>
      </w:r>
      <w:r>
        <w:t xml:space="preserve">Benefit Plan Investor</w:t>
      </w:r>
      <w:r>
        <w:t xml:space="preserve">”</w:t>
      </w:r>
      <w:r>
        <w:t xml:space="preserve"> </w:t>
      </w:r>
      <w:r>
        <w:t xml:space="preserve">in Article I of the LPA tracks the DOL plan-assets regulation and does</w:t>
      </w:r>
      <w:r>
        <w:t xml:space="preserve"> </w:t>
      </w:r>
      <w:r>
        <w:rPr>
          <w:b/>
          <w:bCs/>
        </w:rPr>
        <w:t xml:space="preserve">not</w:t>
      </w:r>
      <w:r>
        <w:t xml:space="preserve"> </w:t>
      </w:r>
      <w:r>
        <w:t xml:space="preserve">include governmental plans (which are exempt from Title I of ERISA and Section 4975 of the Code). The form of Subscription Agreement, however, states (Box C) that governmental plans and church plans</w:t>
      </w:r>
      <w:r>
        <w:t xml:space="preserve"> </w:t>
      </w:r>
      <w:r>
        <w:t xml:space="preserve">“</w:t>
      </w:r>
      <w:r>
        <w:t xml:space="preserve">are treated as</w:t>
      </w:r>
      <w:r>
        <w:t xml:space="preserve"> </w:t>
      </w:r>
      <w:r>
        <w:t xml:space="preserve">‘</w:t>
      </w:r>
      <w:r>
        <w:t xml:space="preserve">benefit plan investors</w:t>
      </w:r>
      <w:r>
        <w:t xml:space="preserve">’</w:t>
      </w:r>
      <w:r>
        <w:t xml:space="preserve"> </w:t>
      </w:r>
      <w:r>
        <w:t xml:space="preserve">to the extent specified in the LPA</w:t>
      </w:r>
      <w:r>
        <w:t xml:space="preserve">”</w:t>
      </w:r>
      <w:r>
        <w:t xml:space="preserve"> </w:t>
      </w:r>
      <w:r>
        <w:t xml:space="preserve">for purposes of the Section 6.8 threshold, and the Admin Checklist flags several governmental/municipal pension plans as ERISA Plan Investors. The Source Documents are therefore inconsistent as to whether governmental plans count toward the 24.99% cap. This ambiguity drives the entire calculation: if governmental plans are excluded (per a strict reading of the LPA definition), the Benefit Plan Investor percentage is far below the cap; if they are included (per the Subscription Agreement and the per-investor flags), the percentage may exceed the cap.</w:t>
      </w:r>
    </w:p>
    <w:p>
      <w:pPr>
        <w:pStyle w:val="BodyText"/>
      </w:pPr>
      <w:r>
        <w:rPr>
          <w:b/>
          <w:bCs/>
        </w:rPr>
        <w:t xml:space="preserve">(3) Error in the GP Memo’s ERISA calculation.</w:t>
      </w:r>
      <w:r>
        <w:t xml:space="preserve"> </w:t>
      </w:r>
      <w:r>
        <w:t xml:space="preserve">The GP Memo (Section V.C) states that</w:t>
      </w:r>
      <w:r>
        <w:t xml:space="preserve"> </w:t>
      </w:r>
      <w:r>
        <w:t xml:space="preserve">“</w:t>
      </w:r>
      <w:r>
        <w:t xml:space="preserve">Following the final closing, total Fund commitments will be approximately $1,140,000,000,</w:t>
      </w:r>
      <w:r>
        <w:t xml:space="preserve">”</w:t>
      </w:r>
      <w:r>
        <w:t xml:space="preserve"> </w:t>
      </w:r>
      <w:r>
        <w:t xml:space="preserve">and computes the Benefit Plan Investor percentage as</w:t>
      </w:r>
      <w:r>
        <w:t xml:space="preserve"> </w:t>
      </w:r>
      <w:r>
        <w:t xml:space="preserve">“</w:t>
      </w:r>
      <w:r>
        <w:t xml:space="preserve">$225,300,000 / $1,140,000,000 = approximately 19.8%.</w:t>
      </w:r>
      <w:r>
        <w:t xml:space="preserve">”</w:t>
      </w:r>
      <w:r>
        <w:t xml:space="preserve"> </w:t>
      </w:r>
      <w:r>
        <w:t xml:space="preserve">The denominator is incorrect — total Fund commitments following the Final Closing are</w:t>
      </w:r>
      <w:r>
        <w:t xml:space="preserve"> </w:t>
      </w:r>
      <w:r>
        <w:rPr>
          <w:b/>
          <w:bCs/>
        </w:rPr>
        <w:t xml:space="preserve">$1,615,000,000</w:t>
      </w:r>
      <w:r>
        <w:t xml:space="preserve"> </w:t>
      </w:r>
      <w:r>
        <w:t xml:space="preserve">(as the GP Memo’s own reconciliation table in Section III confirms). In addition, the $225,300,000 numerator reflects only prior-closing Benefit Plan Investor commitments and excludes the Final Closing Benefit Plan Investors (Meridian State Teachers’ Retirement System ($100,000,000) and Sentry Municipal Employees’ Pension Trust ($30,000,000)). The GP Memo’s 19.8% figure is therefore based on both an incorrect denominator and an incomplete numerator, and is inconsistent with the 22.00% figure used in the Subscription Agreement and the Admin Checklist summary.</w:t>
      </w:r>
    </w:p>
    <w:p>
      <w:pPr>
        <w:pStyle w:val="BodyText"/>
      </w:pPr>
      <w:r>
        <w:rPr>
          <w:b/>
          <w:bCs/>
        </w:rPr>
        <w:t xml:space="preserve">Recommendation.</w:t>
      </w:r>
      <w:r>
        <w:t xml:space="preserve"> </w:t>
      </w:r>
      <w:r>
        <w:t xml:space="preserve">Before certifying Condition 11.2(5): (i) reconcile the per-investor Benefit Plan Investor classifications in the Admin Checklist with the aggregate figure used in the ERISA determination, and document the reconciliation; (ii) confirm and document the Fund’s treatment of governmental plans for Section 6.8 purposes (and consider whether the LPA definition or the Subscription Agreement should be conformed); and (iii) correct the GP Memo’s ERISA calculation. The closing certificate should reflect the reconciled figure. If, after reconciliation, the Benefit Plan Investor percentage exceeds 24.99%, the General Partner must reduce or decline the relevant commitments pursuant to Section 6.8 before admitting the affected Limited Partners.</w:t>
      </w:r>
    </w:p>
    <w:bookmarkEnd w:id="22"/>
    <w:bookmarkStart w:id="23" w:name="X94c38b8399ab108b2f1292704dfd6d6a8accd4b"/>
    <w:p>
      <w:pPr>
        <w:pStyle w:val="Heading3"/>
      </w:pPr>
      <w:r>
        <w:t xml:space="preserve">C. Key Person Status of Priya S. Mehta Not Addressed (LPA § 11.2(6); § 9.4(d))</w:t>
      </w:r>
    </w:p>
    <w:p>
      <w:pPr>
        <w:pStyle w:val="FirstParagraph"/>
      </w:pPr>
      <w:r>
        <w:rPr>
          <w:b/>
          <w:bCs/>
        </w:rPr>
        <w:t xml:space="preserve">Issue.</w:t>
      </w:r>
      <w:r>
        <w:t xml:space="preserve"> </w:t>
      </w:r>
      <w:r>
        <w:t xml:space="preserve">Section 9.4 of the LPA designates</w:t>
      </w:r>
      <w:r>
        <w:t xml:space="preserve"> </w:t>
      </w:r>
      <w:r>
        <w:rPr>
          <w:b/>
          <w:bCs/>
        </w:rPr>
        <w:t xml:space="preserve">both</w:t>
      </w:r>
      <w:r>
        <w:t xml:space="preserve"> </w:t>
      </w:r>
      <w:r>
        <w:t xml:space="preserve">Marcus J. Whitmore and Priya S. Mehta as</w:t>
      </w:r>
      <w:r>
        <w:t xml:space="preserve"> </w:t>
      </w:r>
      <w:r>
        <w:t xml:space="preserve">“</w:t>
      </w:r>
      <w:r>
        <w:t xml:space="preserve">Key Persons.</w:t>
      </w:r>
      <w:r>
        <w:t xml:space="preserve">”</w:t>
      </w:r>
      <w:r>
        <w:t xml:space="preserve"> </w:t>
      </w:r>
      <w:r>
        <w:t xml:space="preserve">Section 11.2(6) requires that</w:t>
      </w:r>
      <w:r>
        <w:t xml:space="preserve"> </w:t>
      </w:r>
      <w:r>
        <w:t xml:space="preserve">“</w:t>
      </w:r>
      <w:r>
        <w:t xml:space="preserve">each Key Person … shall continue to devote substantially all of his or her business time and efforts to the Partnership, and no Key Person Event shall have occurred or be reasonably expected to occur.</w:t>
      </w:r>
      <w:r>
        <w:t xml:space="preserve">”</w:t>
      </w:r>
      <w:r>
        <w:t xml:space="preserve"> </w:t>
      </w:r>
      <w:r>
        <w:t xml:space="preserve">Section 9.4(d) requires the General Partner to</w:t>
      </w:r>
      <w:r>
        <w:t xml:space="preserve"> </w:t>
      </w:r>
      <w:r>
        <w:t xml:space="preserve">“</w:t>
      </w:r>
      <w:r>
        <w:t xml:space="preserve">certify at each Closing that</w:t>
      </w:r>
      <w:r>
        <w:t xml:space="preserve"> </w:t>
      </w:r>
      <w:r>
        <w:rPr>
          <w:b/>
          <w:bCs/>
        </w:rPr>
        <w:t xml:space="preserve">each</w:t>
      </w:r>
      <w:r>
        <w:t xml:space="preserve"> </w:t>
      </w:r>
      <w:r>
        <w:t xml:space="preserve">Key Person continues to devote substantially all of his or her business time.</w:t>
      </w:r>
      <w:r>
        <w:t xml:space="preserve">”</w:t>
      </w:r>
    </w:p>
    <w:p>
      <w:pPr>
        <w:pStyle w:val="BodyText"/>
      </w:pPr>
      <w:r>
        <w:t xml:space="preserve">The GP Memo (Section VII and Condition 6) and the Admin Checklist (item 24) address the Key Person status of Marcus J. Whitmore only and are silent as to Priya S. Mehta. By contrast, Amendment No. 1 (Section 2.2(b)), executed at the Second Closing, properly certified the status of</w:t>
      </w:r>
      <w:r>
        <w:t xml:space="preserve"> </w:t>
      </w:r>
      <w:r>
        <w:rPr>
          <w:b/>
          <w:bCs/>
        </w:rPr>
        <w:t xml:space="preserve">both</w:t>
      </w:r>
      <w:r>
        <w:t xml:space="preserve"> </w:t>
      </w:r>
      <w:r>
        <w:t xml:space="preserve">Key Persons. The Final Closing certification must likewise address both.</w:t>
      </w:r>
    </w:p>
    <w:p>
      <w:pPr>
        <w:pStyle w:val="BodyText"/>
      </w:pPr>
      <w:r>
        <w:rPr>
          <w:b/>
          <w:bCs/>
        </w:rPr>
        <w:t xml:space="preserve">Recommendation.</w:t>
      </w:r>
      <w:r>
        <w:t xml:space="preserve"> </w:t>
      </w:r>
      <w:r>
        <w:t xml:space="preserve">Confirm and document that Priya S. Mehta continues to devote substantially all of her business time and efforts to the Partnership and that no Key Person Event has occurred or is reasonably expected to occur with respect to her, and reflect such confirmation in the Final Closing Certificate. The certification of Condition 11.2(6) and the Section 9.4(d) Key Person certification should not be executed until both Key Persons are addressed.</w:t>
      </w:r>
    </w:p>
    <w:p>
      <w:r>
        <w:pict>
          <v:rect style="width:0;height:1.5pt" o:hralign="center" o:hrstd="t" o:hr="t"/>
        </w:pict>
      </w:r>
    </w:p>
    <w:bookmarkEnd w:id="23"/>
    <w:bookmarkEnd w:id="24"/>
    <w:bookmarkStart w:id="28" w:name="Xb138d9d917716a2bab568265570e90f4fb1c0c6"/>
    <w:p>
      <w:pPr>
        <w:pStyle w:val="Heading2"/>
      </w:pPr>
      <w:r>
        <w:t xml:space="preserve">III. Tier 2 — Conditions Precedent Remaining Pending</w:t>
      </w:r>
    </w:p>
    <w:bookmarkStart w:id="25" w:name="X6af676cf8cc00fa9f5de12d4e62f8b6bdc46ee1"/>
    <w:p>
      <w:pPr>
        <w:pStyle w:val="Heading3"/>
      </w:pPr>
      <w:r>
        <w:t xml:space="preserve">D. Capital Contributions Not Yet Confirmed Received (LPA § 11.2(2))</w:t>
      </w:r>
    </w:p>
    <w:p>
      <w:pPr>
        <w:pStyle w:val="FirstParagraph"/>
      </w:pPr>
      <w:r>
        <w:rPr>
          <w:b/>
          <w:bCs/>
        </w:rPr>
        <w:t xml:space="preserve">Issue.</w:t>
      </w:r>
      <w:r>
        <w:t xml:space="preserve"> </w:t>
      </w:r>
      <w:r>
        <w:t xml:space="preserve">Condition 11.2(2) requires that all Capital Contributions due at the Final Closing (including catch-up contributions and equalization interest) be received in immediately available funds, with the Fund Administrator confirming receipt prior to consummation. The Admin Checklist (item 21) marks escrow funding confirmation as</w:t>
      </w:r>
      <w:r>
        <w:t xml:space="preserve"> </w:t>
      </w:r>
      <w:r>
        <w:t xml:space="preserve">“</w:t>
      </w:r>
      <w:r>
        <w:t xml:space="preserve">Pending — Awaiting bank confirmation of wire receipts as of January 30, 2025.</w:t>
      </w:r>
      <w:r>
        <w:t xml:space="preserve">”</w:t>
      </w:r>
    </w:p>
    <w:p>
      <w:pPr>
        <w:pStyle w:val="BodyText"/>
      </w:pPr>
      <w:r>
        <w:rPr>
          <w:b/>
          <w:bCs/>
        </w:rPr>
        <w:t xml:space="preserve">Recommendation.</w:t>
      </w:r>
      <w:r>
        <w:t xml:space="preserve"> </w:t>
      </w:r>
      <w:r>
        <w:t xml:space="preserve">The Final Closing should not be consummated, and the closing certificate should not certify Condition 11.2(2), until Oakmere Fund Services LLC confirms in writing that all six Final Closing Limited Partners have wired the full amount of their catch-up capital contributions and equalization interest to the Pinnacle National Bank escrow account (ending 9213).</w:t>
      </w:r>
    </w:p>
    <w:bookmarkEnd w:id="25"/>
    <w:bookmarkStart w:id="26" w:name="Xc0550eefbd8d4a5b0a24078db7c3afaa722fdb4"/>
    <w:p>
      <w:pPr>
        <w:pStyle w:val="Heading3"/>
      </w:pPr>
      <w:r>
        <w:t xml:space="preserve">E. Legal Opinions Not Yet Delivered (LPA § 11.2(7))</w:t>
      </w:r>
    </w:p>
    <w:p>
      <w:pPr>
        <w:pStyle w:val="FirstParagraph"/>
      </w:pPr>
      <w:r>
        <w:rPr>
          <w:b/>
          <w:bCs/>
        </w:rPr>
        <w:t xml:space="preserve">Issue.</w:t>
      </w:r>
      <w:r>
        <w:t xml:space="preserve"> </w:t>
      </w:r>
      <w:r>
        <w:t xml:space="preserve">Condition 11.2(7) requires Fund Counsel to deliver legal opinions dated as of the Closing date. The Admin Checklist (item 23) reflects that draft opinions were circulated on January 28, 2025, with the</w:t>
      </w:r>
      <w:r>
        <w:t xml:space="preserve"> </w:t>
      </w:r>
      <w:r>
        <w:t xml:space="preserve">“</w:t>
      </w:r>
      <w:r>
        <w:t xml:space="preserve">final execution version pending.</w:t>
      </w:r>
      <w:r>
        <w:t xml:space="preserve">”</w:t>
      </w:r>
      <w:r>
        <w:t xml:space="preserve"> </w:t>
      </w:r>
      <w:r>
        <w:t xml:space="preserve">The GP Memo (Condition 7) likewise describes this item as</w:t>
      </w:r>
      <w:r>
        <w:t xml:space="preserve"> </w:t>
      </w:r>
      <w:r>
        <w:t xml:space="preserve">“</w:t>
      </w:r>
      <w:r>
        <w:t xml:space="preserve">In Process.</w:t>
      </w:r>
      <w:r>
        <w:t xml:space="preserve">”</w:t>
      </w:r>
    </w:p>
    <w:p>
      <w:pPr>
        <w:pStyle w:val="BodyText"/>
      </w:pPr>
      <w:r>
        <w:rPr>
          <w:b/>
          <w:bCs/>
        </w:rPr>
        <w:t xml:space="preserve">Recommendation.</w:t>
      </w:r>
      <w:r>
        <w:t xml:space="preserve"> </w:t>
      </w:r>
      <w:r>
        <w:t xml:space="preserve">Finalize and deliver the executed legal opinions (formation, enforceability, and securities law/Regulation D) at or prior to the Final Closing. The closing certificate should not certify Condition 11.2(7) until the executed opinions are delivered.</w:t>
      </w:r>
    </w:p>
    <w:bookmarkEnd w:id="26"/>
    <w:bookmarkStart w:id="27" w:name="X378ceced4ed4e10191272f61b3a873f09c64d83"/>
    <w:p>
      <w:pPr>
        <w:pStyle w:val="Heading3"/>
      </w:pPr>
      <w:r>
        <w:t xml:space="preserve">F. Updated Schedule A — Finalization (LPA § 11.2(8))</w:t>
      </w:r>
    </w:p>
    <w:p>
      <w:pPr>
        <w:pStyle w:val="FirstParagraph"/>
      </w:pPr>
      <w:r>
        <w:rPr>
          <w:b/>
          <w:bCs/>
        </w:rPr>
        <w:t xml:space="preserve">Issue.</w:t>
      </w:r>
      <w:r>
        <w:t xml:space="preserve"> </w:t>
      </w:r>
      <w:r>
        <w:t xml:space="preserve">Condition 11.2(8) requires an updated Schedule A reflecting all Partners after the Final Closing. The Admin Checklist (item 26) marks this item</w:t>
      </w:r>
      <w:r>
        <w:t xml:space="preserve"> </w:t>
      </w:r>
      <w:r>
        <w:t xml:space="preserve">“</w:t>
      </w:r>
      <w:r>
        <w:t xml:space="preserve">Complete</w:t>
      </w:r>
      <w:r>
        <w:t xml:space="preserve">”</w:t>
      </w:r>
      <w:r>
        <w:t xml:space="preserve"> </w:t>
      </w:r>
      <w:r>
        <w:t xml:space="preserve">as of January 30, 2025, while the GP Memo (Condition 8) describes it as</w:t>
      </w:r>
      <w:r>
        <w:t xml:space="preserve"> </w:t>
      </w:r>
      <w:r>
        <w:t xml:space="preserve">“</w:t>
      </w:r>
      <w:r>
        <w:t xml:space="preserve">In Process</w:t>
      </w:r>
      <w:r>
        <w:t xml:space="preserve">”</w:t>
      </w:r>
      <w:r>
        <w:t xml:space="preserve"> </w:t>
      </w:r>
      <w:r>
        <w:t xml:space="preserve">with a preliminary draft under review. The detailed commitment schedule in the Admin Checklist appears substantially complete, but the final version must be confirmed and attached to the closing certificate.</w:t>
      </w:r>
    </w:p>
    <w:p>
      <w:pPr>
        <w:pStyle w:val="BodyText"/>
      </w:pPr>
      <w:r>
        <w:rPr>
          <w:b/>
          <w:bCs/>
        </w:rPr>
        <w:t xml:space="preserve">Recommendation.</w:t>
      </w:r>
      <w:r>
        <w:t xml:space="preserve"> </w:t>
      </w:r>
      <w:r>
        <w:t xml:space="preserve">Confirm the final updated Schedule A with the Fund Administrator and Fund Counsel, attach it to the Final Closing Certificate, and distribute it to all Partners within ten (10) Business Days following the Final Closing as required by Section 11.1 of the LPA.</w:t>
      </w:r>
    </w:p>
    <w:p>
      <w:r>
        <w:pict>
          <v:rect style="width:0;height:1.5pt" o:hralign="center" o:hrstd="t" o:hr="t"/>
        </w:pict>
      </w:r>
    </w:p>
    <w:bookmarkEnd w:id="27"/>
    <w:bookmarkEnd w:id="28"/>
    <w:bookmarkStart w:id="34" w:name="Xc0e16c05b599f2886e42d75c77cd250260588fa"/>
    <w:p>
      <w:pPr>
        <w:pStyle w:val="Heading2"/>
      </w:pPr>
      <w:r>
        <w:t xml:space="preserve">IV. Tier 3 — Obligations Triggered by the Final Closing (Post-Closing)</w:t>
      </w:r>
    </w:p>
    <w:bookmarkStart w:id="29" w:name="X7ef9eb151b17122bc814ed39c330a5db66398ff"/>
    <w:p>
      <w:pPr>
        <w:pStyle w:val="Heading3"/>
      </w:pPr>
      <w:r>
        <w:t xml:space="preserve">G. Target Fund Size Exceeded — Advisory Committee Notification Required (LPA § 3.1(d))</w:t>
      </w:r>
    </w:p>
    <w:p>
      <w:pPr>
        <w:pStyle w:val="FirstParagraph"/>
      </w:pPr>
      <w:r>
        <w:rPr>
          <w:b/>
          <w:bCs/>
        </w:rPr>
        <w:t xml:space="preserve">Issue.</w:t>
      </w:r>
      <w:r>
        <w:t xml:space="preserve"> </w:t>
      </w:r>
      <w:r>
        <w:t xml:space="preserve">Total Fund commitments following the Final Closing ($1,615,000,000) exceed the Target Fund Size ($1,500,000,000) by $115,000,000. The Target Fund Size is first exceeded at the Final Closing (commitments after the Second Closing were $1,330,000,000, below the Target). Section 3.1(d) requires the General Partner to notify the Advisory Committee in writing of such excess, including the amount of the excess and the identities and commitments of the Partners admitted at the applicable Closing,</w:t>
      </w:r>
      <w:r>
        <w:t xml:space="preserve"> </w:t>
      </w:r>
      <w:r>
        <w:rPr>
          <w:b/>
          <w:bCs/>
        </w:rPr>
        <w:t xml:space="preserve">not later than five (5) Business Days</w:t>
      </w:r>
      <w:r>
        <w:t xml:space="preserve"> </w:t>
      </w:r>
      <w:r>
        <w:t xml:space="preserve">following the Closing at which the Target is first exceeded. This notification is not listed among the outstanding action items in the GP Memo (Section XII).</w:t>
      </w:r>
    </w:p>
    <w:p>
      <w:pPr>
        <w:pStyle w:val="BodyText"/>
      </w:pPr>
      <w:r>
        <w:rPr>
          <w:b/>
          <w:bCs/>
        </w:rPr>
        <w:t xml:space="preserve">Discrepancy in characterization.</w:t>
      </w:r>
      <w:r>
        <w:t xml:space="preserve"> </w:t>
      </w:r>
      <w:r>
        <w:t xml:space="preserve">The Subscription Agreement (preamble and Section 5.1) states that the Advisory Committee notification</w:t>
      </w:r>
      <w:r>
        <w:t xml:space="preserve"> </w:t>
      </w:r>
      <w:r>
        <w:t xml:space="preserve">“</w:t>
      </w:r>
      <w:r>
        <w:t xml:space="preserve">is a condition to the acceptance of commitments above the Fund Target.</w:t>
      </w:r>
      <w:r>
        <w:t xml:space="preserve">”</w:t>
      </w:r>
      <w:r>
        <w:t xml:space="preserve"> </w:t>
      </w:r>
      <w:r>
        <w:t xml:space="preserve">The LPA, by contrast, states in Section 3.1(d) that</w:t>
      </w:r>
      <w:r>
        <w:t xml:space="preserve"> </w:t>
      </w:r>
      <w:r>
        <w:t xml:space="preserve">“</w:t>
      </w:r>
      <w:r>
        <w:t xml:space="preserve">exceeding the Target Fund Size shall not require Advisory Committee consent, provided that the Hard Cap is not exceeded.</w:t>
      </w:r>
      <w:r>
        <w:t xml:space="preserve">”</w:t>
      </w:r>
      <w:r>
        <w:t xml:space="preserve"> </w:t>
      </w:r>
      <w:r>
        <w:t xml:space="preserve">The LPA does not list the Target notification among the conditions precedent in Section 11.2. The Subscription Agreement thus elevates the notification to a</w:t>
      </w:r>
      <w:r>
        <w:t xml:space="preserve"> </w:t>
      </w:r>
      <w:r>
        <w:t xml:space="preserve">“</w:t>
      </w:r>
      <w:r>
        <w:t xml:space="preserve">condition to acceptance,</w:t>
      </w:r>
      <w:r>
        <w:t xml:space="preserve">”</w:t>
      </w:r>
      <w:r>
        <w:t xml:space="preserve"> </w:t>
      </w:r>
      <w:r>
        <w:t xml:space="preserve">while the LPA treats it as a notification obligation. Although the notification is not a Section 11.2 condition precedent, the Subscription Agreement’s characterization creates an expectation that should be satisfied promptly.</w:t>
      </w:r>
    </w:p>
    <w:p>
      <w:pPr>
        <w:pStyle w:val="BodyText"/>
      </w:pPr>
      <w:r>
        <w:rPr>
          <w:b/>
          <w:bCs/>
        </w:rPr>
        <w:t xml:space="preserve">Recommendation.</w:t>
      </w:r>
      <w:r>
        <w:t xml:space="preserve"> </w:t>
      </w:r>
      <w:r>
        <w:t xml:space="preserve">Deliver the written Advisory Committee notification within five (5) Business Days following the Final Closing. Consider conforming the Subscription Agreement’s</w:t>
      </w:r>
      <w:r>
        <w:t xml:space="preserve"> </w:t>
      </w:r>
      <w:r>
        <w:t xml:space="preserve">“</w:t>
      </w:r>
      <w:r>
        <w:t xml:space="preserve">condition to acceptance</w:t>
      </w:r>
      <w:r>
        <w:t xml:space="preserve">”</w:t>
      </w:r>
      <w:r>
        <w:t xml:space="preserve"> </w:t>
      </w:r>
      <w:r>
        <w:t xml:space="preserve">language to the LPA in future closings or by clarifying side letter.</w:t>
      </w:r>
    </w:p>
    <w:bookmarkEnd w:id="29"/>
    <w:bookmarkStart w:id="30" w:name="X2ebf9b1980d68d5cf1b4c2cedfa2f094542b17c"/>
    <w:p>
      <w:pPr>
        <w:pStyle w:val="Heading3"/>
      </w:pPr>
      <w:r>
        <w:t xml:space="preserve">H. Advisory Committee — Vacant Fifth Seat (LPA § 9.1(b))</w:t>
      </w:r>
    </w:p>
    <w:p>
      <w:pPr>
        <w:pStyle w:val="FirstParagraph"/>
      </w:pPr>
      <w:r>
        <w:rPr>
          <w:b/>
          <w:bCs/>
        </w:rPr>
        <w:t xml:space="preserve">Issue.</w:t>
      </w:r>
      <w:r>
        <w:t xml:space="preserve"> </w:t>
      </w:r>
      <w:r>
        <w:t xml:space="preserve">The Advisory Committee has five (5) seats. Three were filled at the Initial Closing, and Thomas A. Riley (Birchwood Insurance Co.) was appointed at the Second Closing (per Amendment No. 1, Section 1.3). One seat remains vacant. Advisory Committee composition is not a condition precedent under Section 11.2, but Section 9.1(b) directs the General Partner to use commercially reasonable efforts to fill a vacant seat from Limited Partners admitted at the applicable Subsequent Closing within thirty (30) days of the Closing.</w:t>
      </w:r>
    </w:p>
    <w:p>
      <w:pPr>
        <w:pStyle w:val="BodyText"/>
      </w:pPr>
      <w:r>
        <w:rPr>
          <w:b/>
          <w:bCs/>
        </w:rPr>
        <w:t xml:space="preserve">Recommendation.</w:t>
      </w:r>
      <w:r>
        <w:t xml:space="preserve"> </w:t>
      </w:r>
      <w:r>
        <w:t xml:space="preserve">Initiate outreach to Final Closing Limited Partners to fill the vacant seat (the GP Memo recommends Meridian State Teachers’ Retirement System) within thirty (30) days following the Final Closing.</w:t>
      </w:r>
    </w:p>
    <w:bookmarkEnd w:id="30"/>
    <w:bookmarkStart w:id="31" w:name="i.-form-d-amendment-sec-rule-503"/>
    <w:p>
      <w:pPr>
        <w:pStyle w:val="Heading3"/>
      </w:pPr>
      <w:r>
        <w:t xml:space="preserve">I. Form D Amendment (SEC Rule 503)</w:t>
      </w:r>
    </w:p>
    <w:p>
      <w:pPr>
        <w:pStyle w:val="FirstParagraph"/>
      </w:pPr>
      <w:r>
        <w:rPr>
          <w:b/>
          <w:bCs/>
        </w:rPr>
        <w:t xml:space="preserve">Issue.</w:t>
      </w:r>
      <w:r>
        <w:t xml:space="preserve"> </w:t>
      </w:r>
      <w:r>
        <w:t xml:space="preserve">An amended Form D must be filed with the SEC within fifteen (15) days following the Final Closing (i.e., by February 15, 2025) to reflect the six additional investors and the updated aggregate offering amount. Prior Form D filings were made on September 20, 2024 (initial) and December 5, 2024 (amended). The Admin Checklist (item 28) marks this as</w:t>
      </w:r>
      <w:r>
        <w:t xml:space="preserve"> </w:t>
      </w:r>
      <w:r>
        <w:t xml:space="preserve">“</w:t>
      </w:r>
      <w:r>
        <w:t xml:space="preserve">Pending — post-closing item.</w:t>
      </w:r>
      <w:r>
        <w:t xml:space="preserve">”</w:t>
      </w:r>
    </w:p>
    <w:p>
      <w:pPr>
        <w:pStyle w:val="BodyText"/>
      </w:pPr>
      <w:r>
        <w:rPr>
          <w:b/>
          <w:bCs/>
        </w:rPr>
        <w:t xml:space="preserve">Recommendation.</w:t>
      </w:r>
      <w:r>
        <w:t xml:space="preserve"> </w:t>
      </w:r>
      <w:r>
        <w:t xml:space="preserve">Prepare and file the amended Form D by February 15, 2025.</w:t>
      </w:r>
    </w:p>
    <w:bookmarkEnd w:id="31"/>
    <w:bookmarkStart w:id="32" w:name="j.-mfn-notices-lpa-12.3"/>
    <w:p>
      <w:pPr>
        <w:pStyle w:val="Heading3"/>
      </w:pPr>
      <w:r>
        <w:t xml:space="preserve">J. MFN Notices (LPA § 12.3)</w:t>
      </w:r>
    </w:p>
    <w:p>
      <w:pPr>
        <w:pStyle w:val="FirstParagraph"/>
      </w:pPr>
      <w:r>
        <w:rPr>
          <w:b/>
          <w:bCs/>
        </w:rPr>
        <w:t xml:space="preserve">Issue.</w:t>
      </w:r>
      <w:r>
        <w:t xml:space="preserve"> </w:t>
      </w:r>
      <w:r>
        <w:t xml:space="preserve">Section 12.3(b) requires the General Partner to provide each MFN Eligible Partner (Capital Commitment ≥ $50,000,000) with a written MFN Notice summarizing electable side letter provisions within thirty (30) days following the Final Closing. Fourteen (14) side letters have been executed across all closings. Among the Final Closing Limited Partners, Meridian State Teachers’ Retirement System ($100,000,000) and Northbridge Endowment Fund ($60,000,000) meet the MFN eligibility threshold. The Admin Checklist (item 31) marks this as</w:t>
      </w:r>
      <w:r>
        <w:t xml:space="preserve"> </w:t>
      </w:r>
      <w:r>
        <w:t xml:space="preserve">“</w:t>
      </w:r>
      <w:r>
        <w:t xml:space="preserve">Pending — post-closing item.</w:t>
      </w:r>
      <w:r>
        <w:t xml:space="preserve">”</w:t>
      </w:r>
    </w:p>
    <w:p>
      <w:pPr>
        <w:pStyle w:val="BodyText"/>
      </w:pPr>
      <w:r>
        <w:rPr>
          <w:b/>
          <w:bCs/>
        </w:rPr>
        <w:t xml:space="preserve">Recommendation.</w:t>
      </w:r>
      <w:r>
        <w:t xml:space="preserve"> </w:t>
      </w:r>
      <w:r>
        <w:t xml:space="preserve">Prepare and circulate the MFN Notice to all eligible Limited Partners (including any prior-closing eligible Limited Partners who have not received an updated notice reflecting side letters executed at or after the Second Closing) within thirty (30) days following the Final Closing.</w:t>
      </w:r>
    </w:p>
    <w:bookmarkEnd w:id="32"/>
    <w:bookmarkStart w:id="33" w:name="k.-blue-sky-filings"/>
    <w:p>
      <w:pPr>
        <w:pStyle w:val="Heading3"/>
      </w:pPr>
      <w:r>
        <w:t xml:space="preserve">K. Blue Sky Filings</w:t>
      </w:r>
    </w:p>
    <w:p>
      <w:pPr>
        <w:pStyle w:val="FirstParagraph"/>
      </w:pPr>
      <w:r>
        <w:rPr>
          <w:b/>
          <w:bCs/>
        </w:rPr>
        <w:t xml:space="preserve">Issue.</w:t>
      </w:r>
      <w:r>
        <w:t xml:space="preserve"> </w:t>
      </w:r>
      <w:r>
        <w:t xml:space="preserve">The GP Memo (Section XII, item 8) notes that applicable state notice filings in connection with the admission of the Final Closing Limited Partners should be confirmed and completed.</w:t>
      </w:r>
    </w:p>
    <w:p>
      <w:pPr>
        <w:pStyle w:val="BodyText"/>
      </w:pPr>
      <w:r>
        <w:rPr>
          <w:b/>
          <w:bCs/>
        </w:rPr>
        <w:t xml:space="preserve">Recommendation.</w:t>
      </w:r>
      <w:r>
        <w:t xml:space="preserve"> </w:t>
      </w:r>
      <w:r>
        <w:t xml:space="preserve">Confirm applicable state filing requirements and complete any required notice filings.</w:t>
      </w:r>
    </w:p>
    <w:p>
      <w:r>
        <w:pict>
          <v:rect style="width:0;height:1.5pt" o:hralign="center" o:hrstd="t" o:hr="t"/>
        </w:pict>
      </w:r>
    </w:p>
    <w:bookmarkEnd w:id="33"/>
    <w:bookmarkEnd w:id="34"/>
    <w:bookmarkStart w:id="48" w:name="X04a3c39dad19d09661b4638b5cd0ab97167d101"/>
    <w:p>
      <w:pPr>
        <w:pStyle w:val="Heading2"/>
      </w:pPr>
      <w:r>
        <w:t xml:space="preserve">V. Tier 4 — Document Discrepancies, Cross-Reference Errors, and Data Inconsistencies</w:t>
      </w:r>
    </w:p>
    <w:bookmarkStart w:id="35" w:name="Xfec6ae8497dfbb180e852e19802fc0c7e6a693b"/>
    <w:p>
      <w:pPr>
        <w:pStyle w:val="Heading3"/>
      </w:pPr>
      <w:r>
        <w:t xml:space="preserve">L. Equalization Interest — Day-Count Discrepancy for Capital Call No. 2</w:t>
      </w:r>
    </w:p>
    <w:p>
      <w:pPr>
        <w:pStyle w:val="FirstParagraph"/>
      </w:pPr>
      <w:r>
        <w:rPr>
          <w:b/>
          <w:bCs/>
        </w:rPr>
        <w:t xml:space="preserve">Issue.</w:t>
      </w:r>
      <w:r>
        <w:t xml:space="preserve"> </w:t>
      </w:r>
      <w:r>
        <w:t xml:space="preserve">The Subscription Agreement (Section 1.3 and Schedule I) computes equalization interest for CC#2 using a</w:t>
      </w:r>
      <w:r>
        <w:t xml:space="preserve"> </w:t>
      </w:r>
      <w:r>
        <w:rPr>
          <w:b/>
          <w:bCs/>
        </w:rPr>
        <w:t xml:space="preserve">47-day</w:t>
      </w:r>
      <w:r>
        <w:t xml:space="preserve"> </w:t>
      </w:r>
      <w:r>
        <w:t xml:space="preserve">period (December 15, 2024 through January 31, 2025). The Admin Checklist’s</w:t>
      </w:r>
      <w:r>
        <w:t xml:space="preserve"> </w:t>
      </w:r>
      <w:r>
        <w:t xml:space="preserve">“</w:t>
      </w:r>
      <w:r>
        <w:t xml:space="preserve">Equalization Calc</w:t>
      </w:r>
      <w:r>
        <w:t xml:space="preserve">”</w:t>
      </w:r>
      <w:r>
        <w:t xml:space="preserve"> </w:t>
      </w:r>
      <w:r>
        <w:t xml:space="preserve">tab computes the same interest using a</w:t>
      </w:r>
      <w:r>
        <w:t xml:space="preserve"> </w:t>
      </w:r>
      <w:r>
        <w:rPr>
          <w:b/>
          <w:bCs/>
        </w:rPr>
        <w:t xml:space="preserve">46-day</w:t>
      </w:r>
      <w:r>
        <w:t xml:space="preserve"> </w:t>
      </w:r>
      <w:r>
        <w:t xml:space="preserve">period. The 47-day figure is consistent with the day-count convention used for CC#1 (113 days, October 10, 2024 through January 31, 2025) in both documents; the 46-day figure for CC#2 in the Admin Checklist appears to be a one-day error.</w:t>
      </w:r>
    </w:p>
    <w:p>
      <w:pPr>
        <w:pStyle w:val="BodyText"/>
      </w:pPr>
      <w:r>
        <w:t xml:space="preserve">The resulting aggregate equalization interest differs by approximately</w:t>
      </w:r>
      <w:r>
        <w:t xml:space="preserve"> </w:t>
      </w:r>
      <w:r>
        <w:rPr>
          <w:b/>
          <w:bCs/>
        </w:rPr>
        <w:t xml:space="preserve">$3,123.29</w:t>
      </w:r>
      <w:r>
        <w:t xml:space="preserve"> </w:t>
      </w:r>
      <w:r>
        <w:t xml:space="preserve">(the one-day interest on $14,250,000 at 8%): the Admin Checklist totals</w:t>
      </w:r>
      <w:r>
        <w:t xml:space="preserve"> </w:t>
      </w:r>
      <w:r>
        <w:rPr>
          <w:b/>
          <w:bCs/>
        </w:rPr>
        <w:t xml:space="preserve">$849,534.24</w:t>
      </w:r>
      <w:r>
        <w:t xml:space="preserve">, while the Subscription Agreement’s per-investor calculations total</w:t>
      </w:r>
      <w:r>
        <w:t xml:space="preserve"> </w:t>
      </w:r>
      <w:r>
        <w:rPr>
          <w:b/>
          <w:bCs/>
        </w:rPr>
        <w:t xml:space="preserve">$852,657.53</w:t>
      </w:r>
      <w:r>
        <w:t xml:space="preserve">.</w:t>
      </w:r>
    </w:p>
    <w:p>
      <w:pPr>
        <w:pStyle w:val="BodyText"/>
      </w:pPr>
      <w:r>
        <w:rPr>
          <w:b/>
          <w:bCs/>
        </w:rPr>
        <w:t xml:space="preserve">Recommendation.</w:t>
      </w:r>
      <w:r>
        <w:t xml:space="preserve"> </w:t>
      </w:r>
      <w:r>
        <w:t xml:space="preserve">Reconcile the day-count for CC#2 (confirm 47 days) and recompute the equalization interest before finalizing the closing statement. The LPA provides for interest</w:t>
      </w:r>
      <w:r>
        <w:t xml:space="preserve"> </w:t>
      </w:r>
      <w:r>
        <w:t xml:space="preserve">“</w:t>
      </w:r>
      <w:r>
        <w:t xml:space="preserve">from the date of the applicable prior Capital Call through and including the date of the applicable Subsequent Closing</w:t>
      </w:r>
      <w:r>
        <w:t xml:space="preserve">”</w:t>
      </w:r>
      <w:r>
        <w:t xml:space="preserve">; the parties should confirm the inclusive/exclusive convention applied.</w:t>
      </w:r>
    </w:p>
    <w:bookmarkEnd w:id="35"/>
    <w:bookmarkStart w:id="36" w:name="X2fd7075b84cb9ed9a2b5dbdb26167ef513b6345"/>
    <w:p>
      <w:pPr>
        <w:pStyle w:val="Heading3"/>
      </w:pPr>
      <w:r>
        <w:t xml:space="preserve">M. Equalization Interest — Multiple Aggregate Figures</w:t>
      </w:r>
    </w:p>
    <w:p>
      <w:pPr>
        <w:pStyle w:val="FirstParagraph"/>
      </w:pPr>
      <w:r>
        <w:rPr>
          <w:b/>
          <w:bCs/>
        </w:rPr>
        <w:t xml:space="preserve">Issue.</w:t>
      </w:r>
      <w:r>
        <w:t xml:space="preserve"> </w:t>
      </w:r>
      <w:r>
        <w:t xml:space="preserve">The Source Documents reflect three different aggregate equalization interest figures: (i) Admin Checklist:</w:t>
      </w:r>
      <w:r>
        <w:t xml:space="preserve"> </w:t>
      </w:r>
      <w:r>
        <w:rPr>
          <w:b/>
          <w:bCs/>
        </w:rPr>
        <w:t xml:space="preserve">$849,534.24</w:t>
      </w:r>
      <w:r>
        <w:t xml:space="preserve">; (ii) Subscription Agreement per-investor sum:</w:t>
      </w:r>
      <w:r>
        <w:t xml:space="preserve"> </w:t>
      </w:r>
      <w:r>
        <w:rPr>
          <w:b/>
          <w:bCs/>
        </w:rPr>
        <w:t xml:space="preserve">$852,657.53</w:t>
      </w:r>
      <w:r>
        <w:t xml:space="preserve">; and (iii) Subscription Agreement aggregate methodology:</w:t>
      </w:r>
      <w:r>
        <w:t xml:space="preserve"> </w:t>
      </w:r>
      <w:r>
        <w:rPr>
          <w:b/>
          <w:bCs/>
        </w:rPr>
        <w:t xml:space="preserve">$852,661.64</w:t>
      </w:r>
      <w:r>
        <w:t xml:space="preserve">. The Subscription Agreement itself discloses a $4.11 variance between its per-investor and aggregate figures (attributed to rounding) and designates the aggregate ($852,661.64) as controlling. The GP Memo states that the equalization interest calculations are</w:t>
      </w:r>
      <w:r>
        <w:t xml:space="preserve"> </w:t>
      </w:r>
      <w:r>
        <w:t xml:space="preserve">“</w:t>
      </w:r>
      <w:r>
        <w:t xml:space="preserve">under review by Bridgeford Hollis LLP.</w:t>
      </w:r>
      <w:r>
        <w:t xml:space="preserve">”</w:t>
      </w:r>
    </w:p>
    <w:p>
      <w:pPr>
        <w:pStyle w:val="BodyText"/>
      </w:pPr>
      <w:r>
        <w:rPr>
          <w:b/>
          <w:bCs/>
        </w:rPr>
        <w:t xml:space="preserve">Recommendation.</w:t>
      </w:r>
      <w:r>
        <w:t xml:space="preserve"> </w:t>
      </w:r>
      <w:r>
        <w:t xml:space="preserve">The Fund Administrator should finalize and confirm a single controlling aggregate equalization interest figure, reconcile it to the per-investor amounts, and reflect it in the closing statement. The figures remain estimates pending such confirmation.</w:t>
      </w:r>
    </w:p>
    <w:bookmarkEnd w:id="36"/>
    <w:bookmarkStart w:id="37" w:name="X58127ca92fc026cb3f03d9581373e533cdbbaf1"/>
    <w:p>
      <w:pPr>
        <w:pStyle w:val="Heading3"/>
      </w:pPr>
      <w:r>
        <w:t xml:space="preserve">N. Individual LP Commitment Amounts — CC#2 Exhibit A vs. Admin Checklist</w:t>
      </w:r>
    </w:p>
    <w:p>
      <w:pPr>
        <w:pStyle w:val="FirstParagraph"/>
      </w:pPr>
      <w:r>
        <w:rPr>
          <w:b/>
          <w:bCs/>
        </w:rPr>
        <w:t xml:space="preserve">Issue.</w:t>
      </w:r>
      <w:r>
        <w:t xml:space="preserve"> </w:t>
      </w:r>
      <w:r>
        <w:t xml:space="preserve">The Exhibit A to CC#2 lists the following individual commitments for three Initial Closing Limited Partners: Silvermark Capital Advisors — $125,000,000; Commonwealth Public Employees’ Retirement Fund — $100,000,000; Graystone Foundation — $75,000,000. The Admin Checklist’s Commitment Schedule lists different amounts for the same three Limited Partners: Silvermark Capital Advisors — $75,000,000; Commonwealth Public Employees’ Retirement Fund — $85,000,000; Graystone Foundation — $50,000,000. Both documents sum to the correct $940,000,000 aggregate for the Initial Closing LPs, but the individual allocations differ by $110,000,000 across these three Limited Partners.</w:t>
      </w:r>
    </w:p>
    <w:p>
      <w:pPr>
        <w:pStyle w:val="BodyText"/>
      </w:pPr>
      <w:r>
        <w:t xml:space="preserve">If CC#2 was issued using the commitment amounts in its Exhibit A, the individual capital call amounts for these three Limited Partners may have been computed off incorrect commitment figures (e.g., Silvermark would have been called $6,250,000 rather than $3,750,000 if its commitment is $75,000,000).</w:t>
      </w:r>
    </w:p>
    <w:p>
      <w:pPr>
        <w:pStyle w:val="BodyText"/>
      </w:pPr>
      <w:r>
        <w:rPr>
          <w:b/>
          <w:bCs/>
        </w:rPr>
        <w:t xml:space="preserve">Recommendation.</w:t>
      </w:r>
      <w:r>
        <w:t xml:space="preserve"> </w:t>
      </w:r>
      <w:r>
        <w:t xml:space="preserve">Reconcile the individual commitment amounts for Silvermark Capital Advisors, Commonwealth Public Employees’ Retirement Fund, and Graystone Foundation between the CC#2 Exhibit A and the Admin Checklist Commitment Schedule, confirm the correct amounts, and verify that the capital call amounts issued to these Limited Partners were correct. These three Limited Partners are also the Initial Closing representatives on the Advisory Committee.</w:t>
      </w:r>
    </w:p>
    <w:bookmarkEnd w:id="37"/>
    <w:bookmarkStart w:id="38" w:name="o.-cross-reference-errors-in-the-gp-memo"/>
    <w:p>
      <w:pPr>
        <w:pStyle w:val="Heading3"/>
      </w:pPr>
      <w:r>
        <w:t xml:space="preserve">O. Cross-Reference Errors in the GP Memo</w:t>
      </w:r>
    </w:p>
    <w:p>
      <w:pPr>
        <w:pStyle w:val="FirstParagraph"/>
      </w:pPr>
      <w:r>
        <w:rPr>
          <w:b/>
          <w:bCs/>
        </w:rPr>
        <w:t xml:space="preserve">Issue.</w:t>
      </w:r>
      <w:r>
        <w:t xml:space="preserve"> </w:t>
      </w:r>
      <w:r>
        <w:t xml:space="preserve">The GP Memo contains the following incorrect LPA cross-references:</w:t>
      </w:r>
    </w:p>
    <w:p>
      <w:pPr>
        <w:pStyle w:val="Compact"/>
        <w:numPr>
          <w:ilvl w:val="0"/>
          <w:numId w:val="1003"/>
        </w:numPr>
      </w:pPr>
      <w:r>
        <w:rPr>
          <w:b/>
          <w:bCs/>
        </w:rPr>
        <w:t xml:space="preserve">Section VIII:</w:t>
      </w:r>
      <w:r>
        <w:t xml:space="preserve"> </w:t>
      </w:r>
      <w:r>
        <w:t xml:space="preserve">states that the Investment Period continues</w:t>
      </w:r>
      <w:r>
        <w:t xml:space="preserve"> </w:t>
      </w:r>
      <w:r>
        <w:t xml:space="preserve">“</w:t>
      </w:r>
      <w:r>
        <w:t xml:space="preserve">unless earlier terminated in accordance with</w:t>
      </w:r>
      <w:r>
        <w:t xml:space="preserve"> </w:t>
      </w:r>
      <w:r>
        <w:rPr>
          <w:b/>
          <w:bCs/>
        </w:rPr>
        <w:t xml:space="preserve">Section 8.1</w:t>
      </w:r>
      <w:r>
        <w:t xml:space="preserve"> </w:t>
      </w:r>
      <w:r>
        <w:t xml:space="preserve">of the LPA.</w:t>
      </w:r>
      <w:r>
        <w:t xml:space="preserve">”</w:t>
      </w:r>
      <w:r>
        <w:t xml:space="preserve"> </w:t>
      </w:r>
      <w:r>
        <w:t xml:space="preserve">The Investment Period is governed by</w:t>
      </w:r>
      <w:r>
        <w:t xml:space="preserve"> </w:t>
      </w:r>
      <w:r>
        <w:rPr>
          <w:b/>
          <w:bCs/>
        </w:rPr>
        <w:t xml:space="preserve">Section 2.7</w:t>
      </w:r>
      <w:r>
        <w:t xml:space="preserve"> </w:t>
      </w:r>
      <w:r>
        <w:t xml:space="preserve">of the LPA; Section 8.1 governs the timing and form of distributions.</w:t>
      </w:r>
    </w:p>
    <w:p>
      <w:pPr>
        <w:pStyle w:val="Compact"/>
        <w:numPr>
          <w:ilvl w:val="0"/>
          <w:numId w:val="1003"/>
        </w:numPr>
      </w:pPr>
      <w:r>
        <w:rPr>
          <w:b/>
          <w:bCs/>
        </w:rPr>
        <w:t xml:space="preserve">Condition 10 (Section VI):</w:t>
      </w:r>
      <w:r>
        <w:t xml:space="preserve"> </w:t>
      </w:r>
      <w:r>
        <w:t xml:space="preserve">states that the General Partner’s representations and warranties are</w:t>
      </w:r>
      <w:r>
        <w:t xml:space="preserve"> </w:t>
      </w:r>
      <w:r>
        <w:t xml:space="preserve">“</w:t>
      </w:r>
      <w:r>
        <w:t xml:space="preserve">set forth in</w:t>
      </w:r>
      <w:r>
        <w:t xml:space="preserve"> </w:t>
      </w:r>
      <w:r>
        <w:rPr>
          <w:b/>
          <w:bCs/>
        </w:rPr>
        <w:t xml:space="preserve">Article VII</w:t>
      </w:r>
      <w:r>
        <w:t xml:space="preserve"> </w:t>
      </w:r>
      <w:r>
        <w:t xml:space="preserve">of the LPA.</w:t>
      </w:r>
      <w:r>
        <w:t xml:space="preserve">”</w:t>
      </w:r>
      <w:r>
        <w:t xml:space="preserve"> </w:t>
      </w:r>
      <w:r>
        <w:t xml:space="preserve">Article VII of the LPA governs Management Fees and Expenses, not GP representations. The LPA does not contain a dedicated article of General Partner representations and warranties; Section 11.2(10) refers to</w:t>
      </w:r>
      <w:r>
        <w:t xml:space="preserve"> </w:t>
      </w:r>
      <w:r>
        <w:t xml:space="preserve">“</w:t>
      </w:r>
      <w:r>
        <w:t xml:space="preserve">all representations and warranties of the General Partner contained in this Agreement.</w:t>
      </w:r>
      <w:r>
        <w:t xml:space="preserve">”</w:t>
      </w:r>
    </w:p>
    <w:p>
      <w:pPr>
        <w:pStyle w:val="FirstParagraph"/>
      </w:pPr>
      <w:r>
        <w:rPr>
          <w:b/>
          <w:bCs/>
        </w:rPr>
        <w:t xml:space="preserve">Recommendation.</w:t>
      </w:r>
      <w:r>
        <w:t xml:space="preserve"> </w:t>
      </w:r>
      <w:r>
        <w:t xml:space="preserve">Correct the cross-references in the GP Memo. The Final Closing Certificate’s certification under Condition 10 should track the language of Section 11.2(10) (representations</w:t>
      </w:r>
      <w:r>
        <w:t xml:space="preserve"> </w:t>
      </w:r>
      <w:r>
        <w:t xml:space="preserve">“</w:t>
      </w:r>
      <w:r>
        <w:t xml:space="preserve">contained in this Agreement</w:t>
      </w:r>
      <w:r>
        <w:t xml:space="preserve">”</w:t>
      </w:r>
      <w:r>
        <w:t xml:space="preserve">) rather than pinning to a specific article.</w:t>
      </w:r>
    </w:p>
    <w:bookmarkEnd w:id="38"/>
    <w:bookmarkStart w:id="39" w:name="Xcc98277012497226f1ab55dd9229865e472b2b5"/>
    <w:p>
      <w:pPr>
        <w:pStyle w:val="Heading3"/>
      </w:pPr>
      <w:r>
        <w:t xml:space="preserve">P. Cross-Reference Errors in Amendment No. 1</w:t>
      </w:r>
    </w:p>
    <w:p>
      <w:pPr>
        <w:pStyle w:val="FirstParagraph"/>
      </w:pPr>
      <w:r>
        <w:rPr>
          <w:b/>
          <w:bCs/>
        </w:rPr>
        <w:t xml:space="preserve">Issue.</w:t>
      </w:r>
      <w:r>
        <w:t xml:space="preserve"> </w:t>
      </w:r>
      <w:r>
        <w:t xml:space="preserve">Amendment No. 1 contains the following incorrect LPA cross-references:</w:t>
      </w:r>
    </w:p>
    <w:p>
      <w:pPr>
        <w:pStyle w:val="Compact"/>
        <w:numPr>
          <w:ilvl w:val="0"/>
          <w:numId w:val="1004"/>
        </w:numPr>
      </w:pPr>
      <w:r>
        <w:t xml:space="preserve">Recitals: cites</w:t>
      </w:r>
      <w:r>
        <w:t xml:space="preserve"> </w:t>
      </w:r>
      <w:r>
        <w:t xml:space="preserve">“</w:t>
      </w:r>
      <w:r>
        <w:t xml:space="preserve">Section 11.1(b)</w:t>
      </w:r>
      <w:r>
        <w:t xml:space="preserve">”</w:t>
      </w:r>
      <w:r>
        <w:t xml:space="preserve"> </w:t>
      </w:r>
      <w:r>
        <w:t xml:space="preserve">for subsequent closing authority — subsequent closings are governed by</w:t>
      </w:r>
      <w:r>
        <w:t xml:space="preserve"> </w:t>
      </w:r>
      <w:r>
        <w:rPr>
          <w:b/>
          <w:bCs/>
        </w:rPr>
        <w:t xml:space="preserve">Section 3.1(b)</w:t>
      </w:r>
      <w:r>
        <w:t xml:space="preserve"> </w:t>
      </w:r>
      <w:r>
        <w:t xml:space="preserve">(Section 11.1 governs admission mechanics and contains no subsection (b) in the form reviewed).</w:t>
      </w:r>
    </w:p>
    <w:p>
      <w:pPr>
        <w:pStyle w:val="Compact"/>
        <w:numPr>
          <w:ilvl w:val="0"/>
          <w:numId w:val="1004"/>
        </w:numPr>
      </w:pPr>
      <w:r>
        <w:t xml:space="preserve">Recitals and Section 1.2: cite</w:t>
      </w:r>
      <w:r>
        <w:t xml:space="preserve"> </w:t>
      </w:r>
      <w:r>
        <w:t xml:space="preserve">“</w:t>
      </w:r>
      <w:r>
        <w:t xml:space="preserve">Section 14.3</w:t>
      </w:r>
      <w:r>
        <w:t xml:space="preserve">”</w:t>
      </w:r>
      <w:r>
        <w:t xml:space="preserve"> </w:t>
      </w:r>
      <w:r>
        <w:t xml:space="preserve">/</w:t>
      </w:r>
      <w:r>
        <w:t xml:space="preserve"> </w:t>
      </w:r>
      <w:r>
        <w:t xml:space="preserve">“</w:t>
      </w:r>
      <w:r>
        <w:t xml:space="preserve">Section 14.3(b)</w:t>
      </w:r>
      <w:r>
        <w:t xml:space="preserve">”</w:t>
      </w:r>
      <w:r>
        <w:t xml:space="preserve"> </w:t>
      </w:r>
      <w:r>
        <w:t xml:space="preserve">for the General Partner’s authority to amend without Limited Partner consent — amendments are governed by</w:t>
      </w:r>
      <w:r>
        <w:t xml:space="preserve"> </w:t>
      </w:r>
      <w:r>
        <w:rPr>
          <w:b/>
          <w:bCs/>
        </w:rPr>
        <w:t xml:space="preserve">Section 14.1</w:t>
      </w:r>
      <w:r>
        <w:t xml:space="preserve"> </w:t>
      </w:r>
      <w:r>
        <w:t xml:space="preserve">(Section 14.3 governs governing law).</w:t>
      </w:r>
    </w:p>
    <w:p>
      <w:pPr>
        <w:pStyle w:val="Compact"/>
        <w:numPr>
          <w:ilvl w:val="0"/>
          <w:numId w:val="1004"/>
        </w:numPr>
      </w:pPr>
      <w:r>
        <w:t xml:space="preserve">Recitals: cite</w:t>
      </w:r>
      <w:r>
        <w:t xml:space="preserve"> </w:t>
      </w:r>
      <w:r>
        <w:t xml:space="preserve">“</w:t>
      </w:r>
      <w:r>
        <w:t xml:space="preserve">Section 3.1(a)</w:t>
      </w:r>
      <w:r>
        <w:t xml:space="preserve">”</w:t>
      </w:r>
      <w:r>
        <w:t xml:space="preserve"> </w:t>
      </w:r>
      <w:r>
        <w:t xml:space="preserve">for the Hard Cap — the Hard Cap is defined in Article I and addressed in</w:t>
      </w:r>
      <w:r>
        <w:t xml:space="preserve"> </w:t>
      </w:r>
      <w:r>
        <w:rPr>
          <w:b/>
          <w:bCs/>
        </w:rPr>
        <w:t xml:space="preserve">Section 3.1(c)</w:t>
      </w:r>
      <w:r>
        <w:t xml:space="preserve"> </w:t>
      </w:r>
      <w:r>
        <w:t xml:space="preserve">(Section 3.1(a) governs the Initial Closing).</w:t>
      </w:r>
    </w:p>
    <w:p>
      <w:pPr>
        <w:pStyle w:val="Compact"/>
        <w:numPr>
          <w:ilvl w:val="0"/>
          <w:numId w:val="1004"/>
        </w:numPr>
      </w:pPr>
      <w:r>
        <w:t xml:space="preserve">Section 2.2(a): cites</w:t>
      </w:r>
      <w:r>
        <w:t xml:space="preserve"> </w:t>
      </w:r>
      <w:r>
        <w:t xml:space="preserve">“</w:t>
      </w:r>
      <w:r>
        <w:t xml:space="preserve">Article XII</w:t>
      </w:r>
      <w:r>
        <w:t xml:space="preserve">”</w:t>
      </w:r>
      <w:r>
        <w:t xml:space="preserve"> </w:t>
      </w:r>
      <w:r>
        <w:t xml:space="preserve">for the General Partner’s representations and warranties — Article XII governs Confidentiality, Side Letters, and MFN matters.</w:t>
      </w:r>
    </w:p>
    <w:p>
      <w:pPr>
        <w:pStyle w:val="Compact"/>
        <w:numPr>
          <w:ilvl w:val="0"/>
          <w:numId w:val="1004"/>
        </w:numPr>
      </w:pPr>
      <w:r>
        <w:t xml:space="preserve">Section 2.2(c): refers to</w:t>
      </w:r>
      <w:r>
        <w:t xml:space="preserve"> </w:t>
      </w:r>
      <w:r>
        <w:t xml:space="preserve">“</w:t>
      </w:r>
      <w:r>
        <w:t xml:space="preserve">the Investment Manager</w:t>
      </w:r>
      <w:r>
        <w:t xml:space="preserve">”</w:t>
      </w:r>
      <w:r>
        <w:t xml:space="preserve"> </w:t>
      </w:r>
      <w:r>
        <w:t xml:space="preserve">— the LPA defines no</w:t>
      </w:r>
      <w:r>
        <w:t xml:space="preserve"> </w:t>
      </w:r>
      <w:r>
        <w:t xml:space="preserve">“</w:t>
      </w:r>
      <w:r>
        <w:t xml:space="preserve">Investment Manager</w:t>
      </w:r>
      <w:r>
        <w:t xml:space="preserve">”</w:t>
      </w:r>
      <w:r>
        <w:t xml:space="preserve"> </w:t>
      </w:r>
      <w:r>
        <w:t xml:space="preserve">separate from the General Partner (the General Partner is the registered investment adviser).</w:t>
      </w:r>
    </w:p>
    <w:p>
      <w:pPr>
        <w:pStyle w:val="FirstParagraph"/>
      </w:pPr>
      <w:r>
        <w:rPr>
          <w:b/>
          <w:bCs/>
        </w:rPr>
        <w:t xml:space="preserve">Recommendation.</w:t>
      </w:r>
      <w:r>
        <w:t xml:space="preserve"> </w:t>
      </w:r>
      <w:r>
        <w:t xml:space="preserve">Amendment No. 1 is executed and effective as of November 30, 2024; the cross-reference errors are baked into the executed instrument. They are largely harmless (the substantive provisions exist elsewhere in the LPA), but they should be corrected in any further amendment or restatement, and the</w:t>
      </w:r>
      <w:r>
        <w:t xml:space="preserve"> </w:t>
      </w:r>
      <w:r>
        <w:t xml:space="preserve">“</w:t>
      </w:r>
      <w:r>
        <w:t xml:space="preserve">Investment Manager</w:t>
      </w:r>
      <w:r>
        <w:t xml:space="preserve">”</w:t>
      </w:r>
      <w:r>
        <w:t xml:space="preserve"> </w:t>
      </w:r>
      <w:r>
        <w:t xml:space="preserve">terminology should be conformed to</w:t>
      </w:r>
      <w:r>
        <w:t xml:space="preserve"> </w:t>
      </w:r>
      <w:r>
        <w:t xml:space="preserve">“</w:t>
      </w:r>
      <w:r>
        <w:t xml:space="preserve">General Partner.</w:t>
      </w:r>
      <w:r>
        <w:t xml:space="preserve">”</w:t>
      </w:r>
    </w:p>
    <w:bookmarkEnd w:id="39"/>
    <w:bookmarkStart w:id="40" w:name="X14ba1d5de65c1cf48eb3097ef0babd6d24d7285"/>
    <w:p>
      <w:pPr>
        <w:pStyle w:val="Heading3"/>
      </w:pPr>
      <w:r>
        <w:t xml:space="preserve">Q. Cross-Reference Errors in the Subscription Agreement</w:t>
      </w:r>
    </w:p>
    <w:p>
      <w:pPr>
        <w:pStyle w:val="FirstParagraph"/>
      </w:pPr>
      <w:r>
        <w:rPr>
          <w:b/>
          <w:bCs/>
        </w:rPr>
        <w:t xml:space="preserve">Issue.</w:t>
      </w:r>
      <w:r>
        <w:t xml:space="preserve"> </w:t>
      </w:r>
      <w:r>
        <w:t xml:space="preserve">The form of Subscription Agreement contains the following incorrect LPA cross-references:</w:t>
      </w:r>
    </w:p>
    <w:p>
      <w:pPr>
        <w:pStyle w:val="Compact"/>
        <w:numPr>
          <w:ilvl w:val="0"/>
          <w:numId w:val="1005"/>
        </w:numPr>
      </w:pPr>
      <w:r>
        <w:t xml:space="preserve">Section 1.2: cites</w:t>
      </w:r>
      <w:r>
        <w:t xml:space="preserve"> </w:t>
      </w:r>
      <w:r>
        <w:t xml:space="preserve">“</w:t>
      </w:r>
      <w:r>
        <w:t xml:space="preserve">Section 3.5</w:t>
      </w:r>
      <w:r>
        <w:t xml:space="preserve">”</w:t>
      </w:r>
      <w:r>
        <w:t xml:space="preserve"> </w:t>
      </w:r>
      <w:r>
        <w:t xml:space="preserve">of the LPA for default remedies — defaults are governed by</w:t>
      </w:r>
      <w:r>
        <w:t xml:space="preserve"> </w:t>
      </w:r>
      <w:r>
        <w:rPr>
          <w:b/>
          <w:bCs/>
        </w:rPr>
        <w:t xml:space="preserve">Section 3.3</w:t>
      </w:r>
      <w:r>
        <w:t xml:space="preserve">.</w:t>
      </w:r>
    </w:p>
    <w:p>
      <w:pPr>
        <w:pStyle w:val="Compact"/>
        <w:numPr>
          <w:ilvl w:val="0"/>
          <w:numId w:val="1005"/>
        </w:numPr>
      </w:pPr>
      <w:r>
        <w:t xml:space="preserve">Sections 2.4(c), 3.1, and 8.8: cite</w:t>
      </w:r>
      <w:r>
        <w:t xml:space="preserve"> </w:t>
      </w:r>
      <w:r>
        <w:t xml:space="preserve">“</w:t>
      </w:r>
      <w:r>
        <w:t xml:space="preserve">Article X</w:t>
      </w:r>
      <w:r>
        <w:t xml:space="preserve">”</w:t>
      </w:r>
      <w:r>
        <w:t xml:space="preserve"> </w:t>
      </w:r>
      <w:r>
        <w:t xml:space="preserve">of the LPA for transfer restrictions — transfers are governed by</w:t>
      </w:r>
      <w:r>
        <w:t xml:space="preserve"> </w:t>
      </w:r>
      <w:r>
        <w:rPr>
          <w:b/>
          <w:bCs/>
        </w:rPr>
        <w:t xml:space="preserve">Article XIII</w:t>
      </w:r>
      <w:r>
        <w:t xml:space="preserve"> </w:t>
      </w:r>
      <w:r>
        <w:t xml:space="preserve">(Article X governs dissolution and winding up).</w:t>
      </w:r>
    </w:p>
    <w:p>
      <w:pPr>
        <w:pStyle w:val="Compact"/>
        <w:numPr>
          <w:ilvl w:val="0"/>
          <w:numId w:val="1005"/>
        </w:numPr>
      </w:pPr>
      <w:r>
        <w:t xml:space="preserve">Section 8.9: cites</w:t>
      </w:r>
      <w:r>
        <w:t xml:space="preserve"> </w:t>
      </w:r>
      <w:r>
        <w:t xml:space="preserve">“</w:t>
      </w:r>
      <w:r>
        <w:t xml:space="preserve">Section 14.2</w:t>
      </w:r>
      <w:r>
        <w:t xml:space="preserve">”</w:t>
      </w:r>
      <w:r>
        <w:t xml:space="preserve"> </w:t>
      </w:r>
      <w:r>
        <w:t xml:space="preserve">for the power of attorney — the power of attorney is in</w:t>
      </w:r>
      <w:r>
        <w:t xml:space="preserve"> </w:t>
      </w:r>
      <w:r>
        <w:rPr>
          <w:b/>
          <w:bCs/>
        </w:rPr>
        <w:t xml:space="preserve">Section 14.9</w:t>
      </w:r>
      <w:r>
        <w:t xml:space="preserve"> </w:t>
      </w:r>
      <w:r>
        <w:t xml:space="preserve">(Section 14.2 governs notices).</w:t>
      </w:r>
    </w:p>
    <w:p>
      <w:pPr>
        <w:pStyle w:val="Compact"/>
        <w:numPr>
          <w:ilvl w:val="0"/>
          <w:numId w:val="1005"/>
        </w:numPr>
      </w:pPr>
      <w:r>
        <w:t xml:space="preserve">Section 8.2: cites</w:t>
      </w:r>
      <w:r>
        <w:t xml:space="preserve"> </w:t>
      </w:r>
      <w:r>
        <w:t xml:space="preserve">“</w:t>
      </w:r>
      <w:r>
        <w:t xml:space="preserve">Section 14.6</w:t>
      </w:r>
      <w:r>
        <w:t xml:space="preserve">”</w:t>
      </w:r>
      <w:r>
        <w:t xml:space="preserve"> </w:t>
      </w:r>
      <w:r>
        <w:t xml:space="preserve">for dispute resolution — dispute resolution is in</w:t>
      </w:r>
      <w:r>
        <w:t xml:space="preserve"> </w:t>
      </w:r>
      <w:r>
        <w:rPr>
          <w:b/>
          <w:bCs/>
        </w:rPr>
        <w:t xml:space="preserve">Section 14.4</w:t>
      </w:r>
      <w:r>
        <w:t xml:space="preserve"> </w:t>
      </w:r>
      <w:r>
        <w:t xml:space="preserve">(Section 14.6 governs severability).</w:t>
      </w:r>
    </w:p>
    <w:p>
      <w:pPr>
        <w:pStyle w:val="Compact"/>
        <w:numPr>
          <w:ilvl w:val="0"/>
          <w:numId w:val="1005"/>
        </w:numPr>
      </w:pPr>
      <w:r>
        <w:t xml:space="preserve">Section 1.3: cites</w:t>
      </w:r>
      <w:r>
        <w:t xml:space="preserve"> </w:t>
      </w:r>
      <w:r>
        <w:t xml:space="preserve">“</w:t>
      </w:r>
      <w:r>
        <w:t xml:space="preserve">Section 3.2(c)(iii)</w:t>
      </w:r>
      <w:r>
        <w:t xml:space="preserve">”</w:t>
      </w:r>
      <w:r>
        <w:t xml:space="preserve"> </w:t>
      </w:r>
      <w:r>
        <w:t xml:space="preserve">— Section 3.2(c) contains no subsection (iii) in the form reviewed.</w:t>
      </w:r>
    </w:p>
    <w:p>
      <w:pPr>
        <w:pStyle w:val="FirstParagraph"/>
      </w:pPr>
      <w:r>
        <w:rPr>
          <w:b/>
          <w:bCs/>
        </w:rPr>
        <w:t xml:space="preserve">Recommendation.</w:t>
      </w:r>
      <w:r>
        <w:t xml:space="preserve"> </w:t>
      </w:r>
      <w:r>
        <w:t xml:space="preserve">The Subscription Agreements have been executed by the Final Closing Limited Partners; the cross-reference errors are baked into the executed documents. They should be corrected in the form for any future use. The errors do not alter substantive rights (the referenced provisions exist elsewhere in the LPA, and the LPA controls in the event of conflict), but they could cause confusion.</w:t>
      </w:r>
    </w:p>
    <w:bookmarkEnd w:id="40"/>
    <w:bookmarkStart w:id="41" w:name="X9cbbf29426d6ad5508beba049fdf662cbdc0663"/>
    <w:p>
      <w:pPr>
        <w:pStyle w:val="Heading3"/>
      </w:pPr>
      <w:r>
        <w:t xml:space="preserve">R. Cross-Reference Errors and Substantive Inconsistencies in the Capital Call Notices</w:t>
      </w:r>
    </w:p>
    <w:p>
      <w:pPr>
        <w:pStyle w:val="FirstParagraph"/>
      </w:pPr>
      <w:r>
        <w:rPr>
          <w:b/>
          <w:bCs/>
        </w:rPr>
        <w:t xml:space="preserve">Issue.</w:t>
      </w:r>
      <w:r>
        <w:t xml:space="preserve"> </w:t>
      </w:r>
      <w:r>
        <w:t xml:space="preserve">CC#1 and CC#2 contain the following incorrect LPA cross-references:</w:t>
      </w:r>
    </w:p>
    <w:p>
      <w:pPr>
        <w:pStyle w:val="Compact"/>
        <w:numPr>
          <w:ilvl w:val="0"/>
          <w:numId w:val="1006"/>
        </w:numPr>
      </w:pPr>
      <w:r>
        <w:t xml:space="preserve">CC#1 (Section V) and CC#2 (Section V): cite</w:t>
      </w:r>
      <w:r>
        <w:t xml:space="preserve"> </w:t>
      </w:r>
      <w:r>
        <w:t xml:space="preserve">“</w:t>
      </w:r>
      <w:r>
        <w:t xml:space="preserve">Section 3.5</w:t>
      </w:r>
      <w:r>
        <w:t xml:space="preserve">”</w:t>
      </w:r>
      <w:r>
        <w:t xml:space="preserve"> </w:t>
      </w:r>
      <w:r>
        <w:t xml:space="preserve">for default provisions — defaults are governed by</w:t>
      </w:r>
      <w:r>
        <w:t xml:space="preserve"> </w:t>
      </w:r>
      <w:r>
        <w:rPr>
          <w:b/>
          <w:bCs/>
        </w:rPr>
        <w:t xml:space="preserve">Section 3.3</w:t>
      </w:r>
      <w:r>
        <w:t xml:space="preserve">.</w:t>
      </w:r>
    </w:p>
    <w:p>
      <w:pPr>
        <w:pStyle w:val="Compact"/>
        <w:numPr>
          <w:ilvl w:val="0"/>
          <w:numId w:val="1006"/>
        </w:numPr>
      </w:pPr>
      <w:r>
        <w:t xml:space="preserve">CC#1 (Section VII): cites</w:t>
      </w:r>
      <w:r>
        <w:t xml:space="preserve"> </w:t>
      </w:r>
      <w:r>
        <w:t xml:space="preserve">“</w:t>
      </w:r>
      <w:r>
        <w:t xml:space="preserve">Section 14.1 (Notices)</w:t>
      </w:r>
      <w:r>
        <w:t xml:space="preserve">”</w:t>
      </w:r>
      <w:r>
        <w:t xml:space="preserve"> </w:t>
      </w:r>
      <w:r>
        <w:t xml:space="preserve">— notices are governed by</w:t>
      </w:r>
      <w:r>
        <w:t xml:space="preserve"> </w:t>
      </w:r>
      <w:r>
        <w:rPr>
          <w:b/>
          <w:bCs/>
        </w:rPr>
        <w:t xml:space="preserve">Section 14.2</w:t>
      </w:r>
      <w:r>
        <w:t xml:space="preserve"> </w:t>
      </w:r>
      <w:r>
        <w:t xml:space="preserve">(Section 14.1 governs amendments).</w:t>
      </w:r>
    </w:p>
    <w:p>
      <w:pPr>
        <w:pStyle w:val="Compact"/>
        <w:numPr>
          <w:ilvl w:val="0"/>
          <w:numId w:val="1006"/>
        </w:numPr>
      </w:pPr>
      <w:r>
        <w:t xml:space="preserve">CC#2 (Section III): cites</w:t>
      </w:r>
      <w:r>
        <w:t xml:space="preserve"> </w:t>
      </w:r>
      <w:r>
        <w:t xml:space="preserve">“</w:t>
      </w:r>
      <w:r>
        <w:t xml:space="preserve">Section 6.1</w:t>
      </w:r>
      <w:r>
        <w:t xml:space="preserve">”</w:t>
      </w:r>
      <w:r>
        <w:t xml:space="preserve"> </w:t>
      </w:r>
      <w:r>
        <w:t xml:space="preserve">for management fees — management fees are governed by</w:t>
      </w:r>
      <w:r>
        <w:t xml:space="preserve"> </w:t>
      </w:r>
      <w:r>
        <w:rPr>
          <w:b/>
          <w:bCs/>
        </w:rPr>
        <w:t xml:space="preserve">Section 7.1</w:t>
      </w:r>
      <w:r>
        <w:t xml:space="preserve"> </w:t>
      </w:r>
      <w:r>
        <w:t xml:space="preserve">(Section 6.1 governs Limited Partner representations).</w:t>
      </w:r>
    </w:p>
    <w:p>
      <w:pPr>
        <w:pStyle w:val="Compact"/>
        <w:numPr>
          <w:ilvl w:val="0"/>
          <w:numId w:val="1006"/>
        </w:numPr>
      </w:pPr>
      <w:r>
        <w:t xml:space="preserve">CC#2 (Section VIII): cites</w:t>
      </w:r>
      <w:r>
        <w:t xml:space="preserve"> </w:t>
      </w:r>
      <w:r>
        <w:t xml:space="preserve">“</w:t>
      </w:r>
      <w:r>
        <w:t xml:space="preserve">Section 13.1</w:t>
      </w:r>
      <w:r>
        <w:t xml:space="preserve">”</w:t>
      </w:r>
      <w:r>
        <w:t xml:space="preserve"> </w:t>
      </w:r>
      <w:r>
        <w:t xml:space="preserve">for notice provisions — notices are governed by</w:t>
      </w:r>
      <w:r>
        <w:t xml:space="preserve"> </w:t>
      </w:r>
      <w:r>
        <w:rPr>
          <w:b/>
          <w:bCs/>
        </w:rPr>
        <w:t xml:space="preserve">Section 14.2</w:t>
      </w:r>
      <w:r>
        <w:t xml:space="preserve"> </w:t>
      </w:r>
      <w:r>
        <w:t xml:space="preserve">(Section 13.1 governs restrictions on transfer).</w:t>
      </w:r>
    </w:p>
    <w:p>
      <w:pPr>
        <w:pStyle w:val="FirstParagraph"/>
      </w:pPr>
      <w:r>
        <w:rPr>
          <w:b/>
          <w:bCs/>
        </w:rPr>
        <w:t xml:space="preserve">Substantive inconsistency — default interest.</w:t>
      </w:r>
      <w:r>
        <w:t xml:space="preserve"> </w:t>
      </w:r>
      <w:r>
        <w:t xml:space="preserve">The LPA (Section 3.3(b)) provides for cure-period interest at</w:t>
      </w:r>
      <w:r>
        <w:t xml:space="preserve"> </w:t>
      </w:r>
      <w:r>
        <w:rPr>
          <w:b/>
          <w:bCs/>
        </w:rPr>
        <w:t xml:space="preserve">12% per annum</w:t>
      </w:r>
      <w:r>
        <w:t xml:space="preserve">. CC#1 states 12% per annum (consistent with the LPA). CC#2 (Section V) states 12% per annum</w:t>
      </w:r>
      <w:r>
        <w:t xml:space="preserve"> </w:t>
      </w:r>
      <w:r>
        <w:rPr>
          <w:b/>
          <w:bCs/>
        </w:rPr>
        <w:t xml:space="preserve">“</w:t>
      </w:r>
      <w:r>
        <w:rPr>
          <w:b/>
          <w:bCs/>
        </w:rPr>
        <w:t xml:space="preserve">compounding quarterly</w:t>
      </w:r>
      <w:r>
        <w:rPr>
          <w:b/>
          <w:bCs/>
        </w:rPr>
        <w:t xml:space="preserve">”</w:t>
      </w:r>
      <w:r>
        <w:t xml:space="preserve"> </w:t>
      </w:r>
      <w:r>
        <w:t xml:space="preserve">— the LPA does not provide for compounding (and the equalization interest rate is expressly stated to be simple, non-compounded). The Subscription Agreement (Section 1.2) references default interest at</w:t>
      </w:r>
      <w:r>
        <w:t xml:space="preserve"> </w:t>
      </w:r>
      <w:r>
        <w:t xml:space="preserve">“</w:t>
      </w:r>
      <w:r>
        <w:t xml:space="preserve">the lesser of</w:t>
      </w:r>
      <w:r>
        <w:t xml:space="preserve"> </w:t>
      </w:r>
      <w:r>
        <w:rPr>
          <w:b/>
          <w:bCs/>
        </w:rPr>
        <w:t xml:space="preserve">18% per annum</w:t>
      </w:r>
      <w:r>
        <w:t xml:space="preserve"> </w:t>
      </w:r>
      <w:r>
        <w:t xml:space="preserve">and the maximum rate permitted by applicable law</w:t>
      </w:r>
      <w:r>
        <w:t xml:space="preserve">”</w:t>
      </w:r>
      <w:r>
        <w:t xml:space="preserve"> </w:t>
      </w:r>
      <w:r>
        <w:t xml:space="preserve">— which differs from the LPA’s 12%. The Source Documents thus reflect three different default-interest characterizations (LPA: 12% simple; CC#2: 12% compounding quarterly; Subscription Agreement: 18% subject to a legal-rate cap).</w:t>
      </w:r>
    </w:p>
    <w:p>
      <w:pPr>
        <w:pStyle w:val="BodyText"/>
      </w:pPr>
      <w:r>
        <w:rPr>
          <w:b/>
          <w:bCs/>
        </w:rPr>
        <w:t xml:space="preserve">Recommendation.</w:t>
      </w:r>
      <w:r>
        <w:t xml:space="preserve"> </w:t>
      </w:r>
      <w:r>
        <w:t xml:space="preserve">Conform the default-interest provisions across the capital call notices and the Subscription Agreement to the LPA (12% per annum, simple interest, during the cure period). Correct the cross-references in any future capital call notices.</w:t>
      </w:r>
    </w:p>
    <w:bookmarkEnd w:id="41"/>
    <w:bookmarkStart w:id="42" w:name="Xe86fc762c5f6bce68245cae88bda92ab4041fbb"/>
    <w:p>
      <w:pPr>
        <w:pStyle w:val="Heading3"/>
      </w:pPr>
      <w:r>
        <w:t xml:space="preserve">S. Capital Call No. 1 — Drawdown Date Inconsistency</w:t>
      </w:r>
    </w:p>
    <w:p>
      <w:pPr>
        <w:pStyle w:val="FirstParagraph"/>
      </w:pPr>
      <w:r>
        <w:rPr>
          <w:b/>
          <w:bCs/>
        </w:rPr>
        <w:t xml:space="preserve">Issue.</w:t>
      </w:r>
      <w:r>
        <w:t xml:space="preserve"> </w:t>
      </w:r>
      <w:r>
        <w:t xml:space="preserve">CC#1 states that the</w:t>
      </w:r>
      <w:r>
        <w:t xml:space="preserve"> </w:t>
      </w:r>
      <w:r>
        <w:t xml:space="preserve">“</w:t>
      </w:r>
      <w:r>
        <w:t xml:space="preserve">Drawdown Date</w:t>
      </w:r>
      <w:r>
        <w:t xml:space="preserve">”</w:t>
      </w:r>
      <w:r>
        <w:t xml:space="preserve"> </w:t>
      </w:r>
      <w:r>
        <w:t xml:space="preserve">is</w:t>
      </w:r>
      <w:r>
        <w:t xml:space="preserve"> </w:t>
      </w:r>
      <w:r>
        <w:rPr>
          <w:b/>
          <w:bCs/>
        </w:rPr>
        <w:t xml:space="preserve">October 25, 2024</w:t>
      </w:r>
      <w:r>
        <w:t xml:space="preserve"> </w:t>
      </w:r>
      <w:r>
        <w:t xml:space="preserve">(described as ten (10) business days from the date of the notice). CC#2 (Section I) states that</w:t>
      </w:r>
      <w:r>
        <w:t xml:space="preserve"> </w:t>
      </w:r>
      <w:r>
        <w:t xml:space="preserve">“</w:t>
      </w:r>
      <w:r>
        <w:t xml:space="preserve">The Funding Date for Capital Call Notice No. 1 was</w:t>
      </w:r>
      <w:r>
        <w:t xml:space="preserve"> </w:t>
      </w:r>
      <w:r>
        <w:rPr>
          <w:b/>
          <w:bCs/>
        </w:rPr>
        <w:t xml:space="preserve">October 24, 2024</w:t>
      </w:r>
      <w:r>
        <w:t xml:space="preserve">.</w:t>
      </w:r>
      <w:r>
        <w:t xml:space="preserve">”</w:t>
      </w:r>
      <w:r>
        <w:t xml:space="preserve"> </w:t>
      </w:r>
      <w:r>
        <w:t xml:space="preserve">Ten (10) business days from October 10, 2024 is October 24, 2024. The two notices thus state different funding dates for CC#1.</w:t>
      </w:r>
    </w:p>
    <w:p>
      <w:pPr>
        <w:pStyle w:val="BodyText"/>
      </w:pPr>
      <w:r>
        <w:rPr>
          <w:b/>
          <w:bCs/>
        </w:rPr>
        <w:t xml:space="preserve">Recommendation.</w:t>
      </w:r>
      <w:r>
        <w:t xml:space="preserve"> </w:t>
      </w:r>
      <w:r>
        <w:t xml:space="preserve">Confirm the correct funding date for CC#1 and conform the references. This does not affect equalization interest (which runs from the notice date, October 10, 2024, not the funding date) but should be corrected for record accuracy.</w:t>
      </w:r>
    </w:p>
    <w:bookmarkEnd w:id="42"/>
    <w:bookmarkStart w:id="43" w:name="t.-ppm-date-inconsistency"/>
    <w:p>
      <w:pPr>
        <w:pStyle w:val="Heading3"/>
      </w:pPr>
      <w:r>
        <w:t xml:space="preserve">T. PPM Date Inconsistency</w:t>
      </w:r>
    </w:p>
    <w:p>
      <w:pPr>
        <w:pStyle w:val="FirstParagraph"/>
      </w:pPr>
      <w:r>
        <w:rPr>
          <w:b/>
          <w:bCs/>
        </w:rPr>
        <w:t xml:space="preserve">Issue.</w:t>
      </w:r>
      <w:r>
        <w:t xml:space="preserve"> </w:t>
      </w:r>
      <w:r>
        <w:t xml:space="preserve">The GP Memo and Amendment No. 1 refer to the Confidential Private Placement Memorandum as dated</w:t>
      </w:r>
      <w:r>
        <w:t xml:space="preserve"> </w:t>
      </w:r>
      <w:r>
        <w:rPr>
          <w:b/>
          <w:bCs/>
        </w:rPr>
        <w:t xml:space="preserve">July 2024</w:t>
      </w:r>
      <w:r>
        <w:t xml:space="preserve"> </w:t>
      </w:r>
      <w:r>
        <w:t xml:space="preserve">(the GP Memo specifies July 15, 2024). CC#2 (Section III(a)) refers to</w:t>
      </w:r>
      <w:r>
        <w:t xml:space="preserve"> </w:t>
      </w:r>
      <w:r>
        <w:t xml:space="preserve">“</w:t>
      </w:r>
      <w:r>
        <w:t xml:space="preserve">the Partnership’s Private Placement Memorandum dated</w:t>
      </w:r>
      <w:r>
        <w:t xml:space="preserve"> </w:t>
      </w:r>
      <w:r>
        <w:rPr>
          <w:b/>
          <w:bCs/>
        </w:rPr>
        <w:t xml:space="preserve">August 1, 2024</w:t>
      </w:r>
      <w:r>
        <w:t xml:space="preserve">”</w:t>
      </w:r>
      <w:r>
        <w:t xml:space="preserve"> </w:t>
      </w:r>
      <w:r>
        <w:t xml:space="preserve">— which is the date of formation of the Partnership, not the PPM date.</w:t>
      </w:r>
    </w:p>
    <w:p>
      <w:pPr>
        <w:pStyle w:val="BodyText"/>
      </w:pPr>
      <w:r>
        <w:rPr>
          <w:b/>
          <w:bCs/>
        </w:rPr>
        <w:t xml:space="preserve">Recommendation.</w:t>
      </w:r>
      <w:r>
        <w:t xml:space="preserve"> </w:t>
      </w:r>
      <w:r>
        <w:t xml:space="preserve">Confirm the correct PPM date and conform the reference in CC#2 (or any future capital call notice).</w:t>
      </w:r>
    </w:p>
    <w:bookmarkEnd w:id="43"/>
    <w:bookmarkStart w:id="44" w:name="Xef4c57768993dd01184df42a1b1e7e042783db5"/>
    <w:p>
      <w:pPr>
        <w:pStyle w:val="Heading3"/>
      </w:pPr>
      <w:r>
        <w:t xml:space="preserve">U. Contact Information Inconsistencies (Housekeeping)</w:t>
      </w:r>
    </w:p>
    <w:p>
      <w:pPr>
        <w:pStyle w:val="FirstParagraph"/>
      </w:pPr>
      <w:r>
        <w:rPr>
          <w:b/>
          <w:bCs/>
        </w:rPr>
        <w:t xml:space="preserve">Issue.</w:t>
      </w:r>
      <w:r>
        <w:t xml:space="preserve"> </w:t>
      </w:r>
      <w:r>
        <w:t xml:space="preserve">The Source Documents reflect inconsistent contact information for key individuals:</w:t>
      </w:r>
    </w:p>
    <w:p>
      <w:pPr>
        <w:pStyle w:val="Compact"/>
        <w:numPr>
          <w:ilvl w:val="0"/>
          <w:numId w:val="1007"/>
        </w:numPr>
      </w:pPr>
      <w:r>
        <w:rPr>
          <w:b/>
          <w:bCs/>
        </w:rPr>
        <w:t xml:space="preserve">Sandra K. Liu</w:t>
      </w:r>
      <w:r>
        <w:t xml:space="preserve"> </w:t>
      </w:r>
      <w:r>
        <w:t xml:space="preserve">— telephone: (312) 555-4718 (GP Memo); (312) 555-0184 (Subscription Agreement); (312) 555-7200 (CC#2). Email:</w:t>
      </w:r>
      <w:r>
        <w:t xml:space="preserve"> </w:t>
      </w:r>
      <w:r>
        <w:t xml:space="preserve">“</w:t>
      </w:r>
      <w:r>
        <w:t xml:space="preserve">s.liu@whitmorecapital.com</w:t>
      </w:r>
      <w:r>
        <w:t xml:space="preserve">”</w:t>
      </w:r>
      <w:r>
        <w:t xml:space="preserve"> </w:t>
      </w:r>
      <w:r>
        <w:t xml:space="preserve">(LPA, Section 14.2) vs. </w:t>
      </w:r>
      <w:r>
        <w:t xml:space="preserve">“</w:t>
      </w:r>
      <w:r>
        <w:t xml:space="preserve">sliu@whitmorecapital.com</w:t>
      </w:r>
      <w:r>
        <w:t xml:space="preserve">”</w:t>
      </w:r>
      <w:r>
        <w:t xml:space="preserve"> </w:t>
      </w:r>
      <w:r>
        <w:t xml:space="preserve">(GP Memo, Subscription Agreement, CC#2).</w:t>
      </w:r>
    </w:p>
    <w:p>
      <w:pPr>
        <w:pStyle w:val="Compact"/>
        <w:numPr>
          <w:ilvl w:val="0"/>
          <w:numId w:val="1007"/>
        </w:numPr>
      </w:pPr>
      <w:r>
        <w:rPr>
          <w:b/>
          <w:bCs/>
        </w:rPr>
        <w:t xml:space="preserve">Jonathan C. Prewitt</w:t>
      </w:r>
      <w:r>
        <w:t xml:space="preserve"> </w:t>
      </w:r>
      <w:r>
        <w:t xml:space="preserve">— telephone: (203) 555-4100 (LPA, Exhibit C); (203) 555-4180 (CC#2); (203) 555-0163 (Subscription Agreement); (203) 541-2280 (AML Email signature). Four different telephone numbers appear across the documents.</w:t>
      </w:r>
    </w:p>
    <w:p>
      <w:pPr>
        <w:pStyle w:val="FirstParagraph"/>
      </w:pPr>
      <w:r>
        <w:rPr>
          <w:b/>
          <w:bCs/>
        </w:rPr>
        <w:t xml:space="preserve">Recommendation.</w:t>
      </w:r>
      <w:r>
        <w:t xml:space="preserve"> </w:t>
      </w:r>
      <w:r>
        <w:t xml:space="preserve">Confirm the correct contact information and conform across the LPA, capital call notices, Subscription Agreement, and service-provider records.</w:t>
      </w:r>
    </w:p>
    <w:bookmarkEnd w:id="44"/>
    <w:bookmarkStart w:id="45" w:name="X44b0da0ae58e84d8945aea4f0bfffb35713d29d"/>
    <w:p>
      <w:pPr>
        <w:pStyle w:val="Heading3"/>
      </w:pPr>
      <w:r>
        <w:t xml:space="preserve">V. Administrative Inconsistencies in the Admin Checklist</w:t>
      </w:r>
    </w:p>
    <w:p>
      <w:pPr>
        <w:pStyle w:val="FirstParagraph"/>
      </w:pPr>
      <w:r>
        <w:rPr>
          <w:b/>
          <w:bCs/>
        </w:rPr>
        <w:t xml:space="preserve">Issue.</w:t>
      </w:r>
      <w:r>
        <w:t xml:space="preserve"> </w:t>
      </w:r>
      <w:r>
        <w:t xml:space="preserve">The Admin Checklist contains the following minor inconsistencies:</w:t>
      </w:r>
    </w:p>
    <w:p>
      <w:pPr>
        <w:pStyle w:val="Compact"/>
        <w:numPr>
          <w:ilvl w:val="0"/>
          <w:numId w:val="1008"/>
        </w:numPr>
      </w:pPr>
      <w:r>
        <w:t xml:space="preserve">Item 24 cites the</w:t>
      </w:r>
      <w:r>
        <w:t xml:space="preserve"> </w:t>
      </w:r>
      <w:r>
        <w:t xml:space="preserve">“</w:t>
      </w:r>
      <w:r>
        <w:t xml:space="preserve">GP Internal Closing Memorandum dated January 30, 2025,</w:t>
      </w:r>
      <w:r>
        <w:t xml:space="preserve">”</w:t>
      </w:r>
      <w:r>
        <w:t xml:space="preserve"> </w:t>
      </w:r>
      <w:r>
        <w:t xml:space="preserve">but the GP Memo is dated</w:t>
      </w:r>
      <w:r>
        <w:t xml:space="preserve"> </w:t>
      </w:r>
      <w:r>
        <w:rPr>
          <w:b/>
          <w:bCs/>
        </w:rPr>
        <w:t xml:space="preserve">January 28, 2025</w:t>
      </w:r>
      <w:r>
        <w:t xml:space="preserve">.</w:t>
      </w:r>
    </w:p>
    <w:p>
      <w:pPr>
        <w:pStyle w:val="Compact"/>
        <w:numPr>
          <w:ilvl w:val="0"/>
          <w:numId w:val="1008"/>
        </w:numPr>
      </w:pPr>
      <w:r>
        <w:t xml:space="preserve">Items 12–17 cite</w:t>
      </w:r>
      <w:r>
        <w:t xml:space="preserve"> </w:t>
      </w:r>
      <w:r>
        <w:t xml:space="preserve">“</w:t>
      </w:r>
      <w:r>
        <w:t xml:space="preserve">Subscription Agreement, Section 4(f)</w:t>
      </w:r>
      <w:r>
        <w:t xml:space="preserve">”</w:t>
      </w:r>
      <w:r>
        <w:t xml:space="preserve"> </w:t>
      </w:r>
      <w:r>
        <w:t xml:space="preserve">for the qualified purchaser representations, but qualified purchaser status is addressed in</w:t>
      </w:r>
      <w:r>
        <w:t xml:space="preserve"> </w:t>
      </w:r>
      <w:r>
        <w:rPr>
          <w:b/>
          <w:bCs/>
        </w:rPr>
        <w:t xml:space="preserve">Section 2.2(b)</w:t>
      </w:r>
      <w:r>
        <w:t xml:space="preserve"> </w:t>
      </w:r>
      <w:r>
        <w:t xml:space="preserve">of the Subscription Agreement (there is no Section 4(f); Section 4 addresses covenants).</w:t>
      </w:r>
    </w:p>
    <w:p>
      <w:pPr>
        <w:pStyle w:val="Compact"/>
        <w:numPr>
          <w:ilvl w:val="0"/>
          <w:numId w:val="1008"/>
        </w:numPr>
      </w:pPr>
      <w:r>
        <w:t xml:space="preserve">Item 19 refers to the</w:t>
      </w:r>
      <w:r>
        <w:t xml:space="preserve"> </w:t>
      </w:r>
      <w:r>
        <w:t xml:space="preserve">“</w:t>
      </w:r>
      <w:r>
        <w:t xml:space="preserve">25% threshold</w:t>
      </w:r>
      <w:r>
        <w:t xml:space="preserve">”</w:t>
      </w:r>
      <w:r>
        <w:t xml:space="preserve"> </w:t>
      </w:r>
      <w:r>
        <w:t xml:space="preserve">while noting the LPA cap is 24.99%; the 25% figure is the ERISA plan-assets look-through threshold (29 C.F.R. § 2510.3-101), which is distinct from the LPA’s self-imposed 24.99% cap. The two should not be conflated.</w:t>
      </w:r>
    </w:p>
    <w:p>
      <w:pPr>
        <w:pStyle w:val="FirstParagraph"/>
      </w:pPr>
      <w:r>
        <w:rPr>
          <w:b/>
          <w:bCs/>
        </w:rPr>
        <w:t xml:space="preserve">Recommendation.</w:t>
      </w:r>
      <w:r>
        <w:t xml:space="preserve"> </w:t>
      </w:r>
      <w:r>
        <w:t xml:space="preserve">Correct the date and section references in the Admin Checklist and clarify the distinction between the 25% ERISA look-through threshold and the 24.99% LPA cap.</w:t>
      </w:r>
    </w:p>
    <w:bookmarkEnd w:id="45"/>
    <w:bookmarkStart w:id="46" w:name="Xff44b0274ba76255c948bde86d801c4cafd5f32"/>
    <w:p>
      <w:pPr>
        <w:pStyle w:val="Heading3"/>
      </w:pPr>
      <w:r>
        <w:t xml:space="preserve">W. Subscription Agreement —</w:t>
      </w:r>
      <w:r>
        <w:t xml:space="preserve"> </w:t>
      </w:r>
      <w:r>
        <w:t xml:space="preserve">“</w:t>
      </w:r>
      <w:r>
        <w:t xml:space="preserve">Retroactive Admission</w:t>
      </w:r>
      <w:r>
        <w:t xml:space="preserve">”</w:t>
      </w:r>
      <w:r>
        <w:t xml:space="preserve"> </w:t>
      </w:r>
      <w:r>
        <w:t xml:space="preserve">Language Inconsistent with LPA Equalization Mechanics</w:t>
      </w:r>
    </w:p>
    <w:p>
      <w:pPr>
        <w:pStyle w:val="FirstParagraph"/>
      </w:pPr>
      <w:r>
        <w:rPr>
          <w:b/>
          <w:bCs/>
        </w:rPr>
        <w:t xml:space="preserve">Issue.</w:t>
      </w:r>
      <w:r>
        <w:t xml:space="preserve"> </w:t>
      </w:r>
      <w:r>
        <w:t xml:space="preserve">Section 3.4(b) of the Subscription Agreement states that the Subscriber</w:t>
      </w:r>
      <w:r>
        <w:t xml:space="preserve"> </w:t>
      </w:r>
      <w:r>
        <w:t xml:space="preserve">“</w:t>
      </w:r>
      <w:r>
        <w:t xml:space="preserve">will be treated, retroactively, as having been admitted as a Limited Partner from and after the date of the Initial Closing (September 15, 2024) for purposes of allocations of profits and losses and distributions.</w:t>
      </w:r>
      <w:r>
        <w:t xml:space="preserve">”</w:t>
      </w:r>
      <w:r>
        <w:t xml:space="preserve"> </w:t>
      </w:r>
      <w:r>
        <w:t xml:space="preserve">The LPA’s mechanism for Subsequent Closing Partners is not retroactive admission, but rather (i) equalization contributions and equalization interest under Section 3.2(c), and (ii) a book-up revaluation of Partnership assets with corresponding allocations under Section 4.1. The</w:t>
      </w:r>
      <w:r>
        <w:t xml:space="preserve"> </w:t>
      </w:r>
      <w:r>
        <w:t xml:space="preserve">“</w:t>
      </w:r>
      <w:r>
        <w:t xml:space="preserve">retroactive admission</w:t>
      </w:r>
      <w:r>
        <w:t xml:space="preserve">”</w:t>
      </w:r>
      <w:r>
        <w:t xml:space="preserve"> </w:t>
      </w:r>
      <w:r>
        <w:t xml:space="preserve">language is potentially inconsistent with the LPA’s equalization and allocation mechanics and could create ambiguity regarding the Subscriber’s Capital Account and allocations.</w:t>
      </w:r>
    </w:p>
    <w:p>
      <w:pPr>
        <w:pStyle w:val="BodyText"/>
      </w:pPr>
      <w:r>
        <w:rPr>
          <w:b/>
          <w:bCs/>
        </w:rPr>
        <w:t xml:space="preserve">Recommendation.</w:t>
      </w:r>
      <w:r>
        <w:t xml:space="preserve"> </w:t>
      </w:r>
      <w:r>
        <w:t xml:space="preserve">Consider conforming the Subscription Agreement language to track the LPA’s equalization/book-up mechanics (i.e., the Subscriber shares in pre-admission gains and losses through equalization and revaluation, not through retroactive admission). This is a drafting refinement; it does not prevent closing but should be addressed in the form for future use.</w:t>
      </w:r>
    </w:p>
    <w:bookmarkEnd w:id="46"/>
    <w:bookmarkStart w:id="47" w:name="Xe5158834b068d6b1f25065f3274b3ccb69fea71"/>
    <w:p>
      <w:pPr>
        <w:pStyle w:val="Heading3"/>
      </w:pPr>
      <w:r>
        <w:t xml:space="preserve">X. Subscription Agreement — Undefined</w:t>
      </w:r>
      <w:r>
        <w:t xml:space="preserve"> </w:t>
      </w:r>
      <w:r>
        <w:t xml:space="preserve">“</w:t>
      </w:r>
      <w:r>
        <w:t xml:space="preserve">Change of Control</w:t>
      </w:r>
      <w:r>
        <w:t xml:space="preserve">”</w:t>
      </w:r>
    </w:p>
    <w:p>
      <w:pPr>
        <w:pStyle w:val="FirstParagraph"/>
      </w:pPr>
      <w:r>
        <w:rPr>
          <w:b/>
          <w:bCs/>
        </w:rPr>
        <w:t xml:space="preserve">Issue.</w:t>
      </w:r>
      <w:r>
        <w:t xml:space="preserve"> </w:t>
      </w:r>
      <w:r>
        <w:t xml:space="preserve">Section 4.3(b) of the Subscription Agreement references a</w:t>
      </w:r>
      <w:r>
        <w:t xml:space="preserve"> </w:t>
      </w:r>
      <w:r>
        <w:t xml:space="preserve">“</w:t>
      </w:r>
      <w:r>
        <w:t xml:space="preserve">change of control (as defined in the LPA).</w:t>
      </w:r>
      <w:r>
        <w:t xml:space="preserve">”</w:t>
      </w:r>
      <w:r>
        <w:t xml:space="preserve"> </w:t>
      </w:r>
      <w:r>
        <w:t xml:space="preserve">The LPA does not define</w:t>
      </w:r>
      <w:r>
        <w:t xml:space="preserve"> </w:t>
      </w:r>
      <w:r>
        <w:t xml:space="preserve">“</w:t>
      </w:r>
      <w:r>
        <w:t xml:space="preserve">change of control.</w:t>
      </w:r>
      <w:r>
        <w:t xml:space="preserve">”</w:t>
      </w:r>
    </w:p>
    <w:p>
      <w:pPr>
        <w:pStyle w:val="BodyText"/>
      </w:pPr>
      <w:r>
        <w:rPr>
          <w:b/>
          <w:bCs/>
        </w:rPr>
        <w:t xml:space="preserve">Recommendation.</w:t>
      </w:r>
      <w:r>
        <w:t xml:space="preserve"> </w:t>
      </w:r>
      <w:r>
        <w:t xml:space="preserve">Add a definition of</w:t>
      </w:r>
      <w:r>
        <w:t xml:space="preserve"> </w:t>
      </w:r>
      <w:r>
        <w:t xml:space="preserve">“</w:t>
      </w:r>
      <w:r>
        <w:t xml:space="preserve">change of control</w:t>
      </w:r>
      <w:r>
        <w:t xml:space="preserve">”</w:t>
      </w:r>
      <w:r>
        <w:t xml:space="preserve"> </w:t>
      </w:r>
      <w:r>
        <w:t xml:space="preserve">to the LPA or remove the cross-reference in the Subscription Agreement.</w:t>
      </w:r>
    </w:p>
    <w:p>
      <w:r>
        <w:pict>
          <v:rect style="width:0;height:1.5pt" o:hralign="center" o:hrstd="t" o:hr="t"/>
        </w:pict>
      </w:r>
    </w:p>
    <w:bookmarkEnd w:id="47"/>
    <w:bookmarkEnd w:id="48"/>
    <w:bookmarkStart w:id="49" w:name="Xa02444c93b4e3d525f30c87e847ec50ac2346e4"/>
    <w:p>
      <w:pPr>
        <w:pStyle w:val="Heading2"/>
      </w:pPr>
      <w:r>
        <w:t xml:space="preserve">VI. Summary of Conditions Precedent Status</w:t>
      </w:r>
    </w:p>
    <w:p>
      <w:pPr>
        <w:pStyle w:val="FirstParagraph"/>
      </w:pPr>
      <w:r>
        <w:t xml:space="preserve">The following table summarizes the status of each condition precedent under Section 11.2 of the LPA based on our review of the Source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LPA § 11.2</w:t>
            </w:r>
          </w:p>
        </w:tc>
        <w:tc>
          <w:tcPr/>
          <w:p>
            <w:pPr>
              <w:pStyle w:val="Compact"/>
              <w:jc w:val="left"/>
            </w:pPr>
            <w:r>
              <w:t xml:space="preserve">Status</w:t>
            </w:r>
          </w:p>
        </w:tc>
        <w:tc>
          <w:tcPr/>
          <w:p>
            <w:pPr>
              <w:pStyle w:val="Compact"/>
              <w:jc w:val="left"/>
            </w:pPr>
            <w:r>
              <w:t xml:space="preserve">Issue Reference</w:t>
            </w:r>
          </w:p>
        </w:tc>
      </w:tr>
      <w:tr>
        <w:tc>
          <w:tcPr/>
          <w:p>
            <w:pPr>
              <w:pStyle w:val="Compact"/>
              <w:jc w:val="left"/>
            </w:pPr>
            <w:r>
              <w:t xml:space="preserve">1. Subscription Agreements &amp; LPA</w:t>
            </w:r>
          </w:p>
        </w:tc>
        <w:tc>
          <w:tcPr/>
          <w:p>
            <w:pPr>
              <w:pStyle w:val="Compact"/>
              <w:jc w:val="left"/>
            </w:pPr>
            <w:r>
              <w:t xml:space="preserve">11.2(1)</w:t>
            </w:r>
          </w:p>
        </w:tc>
        <w:tc>
          <w:tcPr/>
          <w:p>
            <w:pPr>
              <w:pStyle w:val="Compact"/>
              <w:jc w:val="left"/>
            </w:pPr>
            <w:r>
              <w:t xml:space="preserve">Satisfied</w:t>
            </w:r>
          </w:p>
        </w:tc>
        <w:tc>
          <w:tcPr/>
          <w:p>
            <w:pPr>
              <w:pStyle w:val="Compact"/>
              <w:jc w:val="left"/>
            </w:pPr>
            <w:r>
              <w:t xml:space="preserve">—</w:t>
            </w:r>
          </w:p>
        </w:tc>
      </w:tr>
      <w:tr>
        <w:tc>
          <w:tcPr/>
          <w:p>
            <w:pPr>
              <w:pStyle w:val="Compact"/>
              <w:jc w:val="left"/>
            </w:pPr>
            <w:r>
              <w:t xml:space="preserve">2. Capital Contributions</w:t>
            </w:r>
          </w:p>
        </w:tc>
        <w:tc>
          <w:tcPr/>
          <w:p>
            <w:pPr>
              <w:pStyle w:val="Compact"/>
              <w:jc w:val="left"/>
            </w:pPr>
            <w:r>
              <w:t xml:space="preserve">11.2(2)</w:t>
            </w:r>
          </w:p>
        </w:tc>
        <w:tc>
          <w:tcPr/>
          <w:p>
            <w:pPr>
              <w:pStyle w:val="Compact"/>
              <w:jc w:val="left"/>
            </w:pPr>
            <w:r>
              <w:t xml:space="preserve">Pending confirmation</w:t>
            </w:r>
          </w:p>
        </w:tc>
        <w:tc>
          <w:tcPr/>
          <w:p>
            <w:pPr>
              <w:pStyle w:val="Compact"/>
              <w:jc w:val="left"/>
            </w:pPr>
            <w:r>
              <w:t xml:space="preserve">§ III.D</w:t>
            </w:r>
          </w:p>
        </w:tc>
      </w:tr>
      <w:tr>
        <w:tc>
          <w:tcPr/>
          <w:p>
            <w:pPr>
              <w:pStyle w:val="Compact"/>
              <w:jc w:val="left"/>
            </w:pPr>
            <w:r>
              <w:t xml:space="preserve">3. AML/KYC Compliance (non-waivable)</w:t>
            </w:r>
          </w:p>
        </w:tc>
        <w:tc>
          <w:tcPr/>
          <w:p>
            <w:pPr>
              <w:pStyle w:val="Compact"/>
              <w:jc w:val="left"/>
            </w:pPr>
            <w:r>
              <w:t xml:space="preserve">11.2(3)</w:t>
            </w:r>
          </w:p>
        </w:tc>
        <w:tc>
          <w:tcPr/>
          <w:p>
            <w:pPr>
              <w:pStyle w:val="Compact"/>
              <w:jc w:val="left"/>
            </w:pPr>
            <w:r>
              <w:rPr>
                <w:b/>
                <w:bCs/>
              </w:rPr>
              <w:t xml:space="preserve">Incomplete — Cascade Re</w:t>
            </w:r>
          </w:p>
        </w:tc>
        <w:tc>
          <w:tcPr/>
          <w:p>
            <w:pPr>
              <w:pStyle w:val="Compact"/>
              <w:jc w:val="left"/>
            </w:pPr>
            <w:r>
              <w:t xml:space="preserve">§ II.A</w:t>
            </w:r>
          </w:p>
        </w:tc>
      </w:tr>
      <w:tr>
        <w:tc>
          <w:tcPr/>
          <w:p>
            <w:pPr>
              <w:pStyle w:val="Compact"/>
              <w:jc w:val="left"/>
            </w:pPr>
            <w:r>
              <w:t xml:space="preserve">4. Qualified Purchaser Status (non-waivable)</w:t>
            </w:r>
          </w:p>
        </w:tc>
        <w:tc>
          <w:tcPr/>
          <w:p>
            <w:pPr>
              <w:pStyle w:val="Compact"/>
              <w:jc w:val="left"/>
            </w:pPr>
            <w:r>
              <w:t xml:space="preserve">11.2(4)</w:t>
            </w:r>
          </w:p>
        </w:tc>
        <w:tc>
          <w:tcPr/>
          <w:p>
            <w:pPr>
              <w:pStyle w:val="Compact"/>
              <w:jc w:val="left"/>
            </w:pPr>
            <w:r>
              <w:t xml:space="preserve">Satisfied</w:t>
            </w:r>
          </w:p>
        </w:tc>
        <w:tc>
          <w:tcPr/>
          <w:p>
            <w:pPr>
              <w:pStyle w:val="Compact"/>
              <w:jc w:val="left"/>
            </w:pPr>
            <w:r>
              <w:t xml:space="preserve">—</w:t>
            </w:r>
          </w:p>
        </w:tc>
      </w:tr>
      <w:tr>
        <w:tc>
          <w:tcPr/>
          <w:p>
            <w:pPr>
              <w:pStyle w:val="Compact"/>
              <w:jc w:val="left"/>
            </w:pPr>
            <w:r>
              <w:t xml:space="preserve">5. ERISA Compliance (non-waivable)</w:t>
            </w:r>
          </w:p>
        </w:tc>
        <w:tc>
          <w:tcPr/>
          <w:p>
            <w:pPr>
              <w:pStyle w:val="Compact"/>
              <w:jc w:val="left"/>
            </w:pPr>
            <w:r>
              <w:t xml:space="preserve">11.2(5)</w:t>
            </w:r>
          </w:p>
        </w:tc>
        <w:tc>
          <w:tcPr/>
          <w:p>
            <w:pPr>
              <w:pStyle w:val="Compact"/>
              <w:jc w:val="left"/>
            </w:pPr>
            <w:r>
              <w:rPr>
                <w:b/>
                <w:bCs/>
              </w:rPr>
              <w:t xml:space="preserve">Requires reconciliation</w:t>
            </w:r>
          </w:p>
        </w:tc>
        <w:tc>
          <w:tcPr/>
          <w:p>
            <w:pPr>
              <w:pStyle w:val="Compact"/>
              <w:jc w:val="left"/>
            </w:pPr>
            <w:r>
              <w:t xml:space="preserve">§ II.B</w:t>
            </w:r>
          </w:p>
        </w:tc>
      </w:tr>
      <w:tr>
        <w:tc>
          <w:tcPr/>
          <w:p>
            <w:pPr>
              <w:pStyle w:val="Compact"/>
              <w:jc w:val="left"/>
            </w:pPr>
            <w:r>
              <w:t xml:space="preserve">6. No MAC; Key Persons</w:t>
            </w:r>
          </w:p>
        </w:tc>
        <w:tc>
          <w:tcPr/>
          <w:p>
            <w:pPr>
              <w:pStyle w:val="Compact"/>
              <w:jc w:val="left"/>
            </w:pPr>
            <w:r>
              <w:t xml:space="preserve">11.2(6)</w:t>
            </w:r>
          </w:p>
        </w:tc>
        <w:tc>
          <w:tcPr/>
          <w:p>
            <w:pPr>
              <w:pStyle w:val="Compact"/>
              <w:jc w:val="left"/>
            </w:pPr>
            <w:r>
              <w:rPr>
                <w:b/>
                <w:bCs/>
              </w:rPr>
              <w:t xml:space="preserve">Mehta unconfirmed</w:t>
            </w:r>
          </w:p>
        </w:tc>
        <w:tc>
          <w:tcPr/>
          <w:p>
            <w:pPr>
              <w:pStyle w:val="Compact"/>
              <w:jc w:val="left"/>
            </w:pPr>
            <w:r>
              <w:t xml:space="preserve">§ II.C</w:t>
            </w:r>
          </w:p>
        </w:tc>
      </w:tr>
      <w:tr>
        <w:tc>
          <w:tcPr/>
          <w:p>
            <w:pPr>
              <w:pStyle w:val="Compact"/>
              <w:jc w:val="left"/>
            </w:pPr>
            <w:r>
              <w:t xml:space="preserve">7. Legal Opinions</w:t>
            </w:r>
          </w:p>
        </w:tc>
        <w:tc>
          <w:tcPr/>
          <w:p>
            <w:pPr>
              <w:pStyle w:val="Compact"/>
              <w:jc w:val="left"/>
            </w:pPr>
            <w:r>
              <w:t xml:space="preserve">11.2(7)</w:t>
            </w:r>
          </w:p>
        </w:tc>
        <w:tc>
          <w:tcPr/>
          <w:p>
            <w:pPr>
              <w:pStyle w:val="Compact"/>
              <w:jc w:val="left"/>
            </w:pPr>
            <w:r>
              <w:t xml:space="preserve">Pending delivery</w:t>
            </w:r>
          </w:p>
        </w:tc>
        <w:tc>
          <w:tcPr/>
          <w:p>
            <w:pPr>
              <w:pStyle w:val="Compact"/>
              <w:jc w:val="left"/>
            </w:pPr>
            <w:r>
              <w:t xml:space="preserve">§ III.E</w:t>
            </w:r>
          </w:p>
        </w:tc>
      </w:tr>
      <w:tr>
        <w:tc>
          <w:tcPr/>
          <w:p>
            <w:pPr>
              <w:pStyle w:val="Compact"/>
              <w:jc w:val="left"/>
            </w:pPr>
            <w:r>
              <w:t xml:space="preserve">8. Updated Schedule A</w:t>
            </w:r>
          </w:p>
        </w:tc>
        <w:tc>
          <w:tcPr/>
          <w:p>
            <w:pPr>
              <w:pStyle w:val="Compact"/>
              <w:jc w:val="left"/>
            </w:pPr>
            <w:r>
              <w:t xml:space="preserve">11.2(8)</w:t>
            </w:r>
          </w:p>
        </w:tc>
        <w:tc>
          <w:tcPr/>
          <w:p>
            <w:pPr>
              <w:pStyle w:val="Compact"/>
              <w:jc w:val="left"/>
            </w:pPr>
            <w:r>
              <w:t xml:space="preserve">Substantially complete; finalize</w:t>
            </w:r>
          </w:p>
        </w:tc>
        <w:tc>
          <w:tcPr/>
          <w:p>
            <w:pPr>
              <w:pStyle w:val="Compact"/>
              <w:jc w:val="left"/>
            </w:pPr>
            <w:r>
              <w:t xml:space="preserve">§ III.F</w:t>
            </w:r>
          </w:p>
        </w:tc>
      </w:tr>
      <w:tr>
        <w:tc>
          <w:tcPr/>
          <w:p>
            <w:pPr>
              <w:pStyle w:val="Compact"/>
              <w:jc w:val="left"/>
            </w:pPr>
            <w:r>
              <w:t xml:space="preserve">9. Hard Cap Compliance</w:t>
            </w:r>
          </w:p>
        </w:tc>
        <w:tc>
          <w:tcPr/>
          <w:p>
            <w:pPr>
              <w:pStyle w:val="Compact"/>
              <w:jc w:val="left"/>
            </w:pPr>
            <w:r>
              <w:t xml:space="preserve">11.2(9)</w:t>
            </w:r>
          </w:p>
        </w:tc>
        <w:tc>
          <w:tcPr/>
          <w:p>
            <w:pPr>
              <w:pStyle w:val="Compact"/>
              <w:jc w:val="left"/>
            </w:pPr>
            <w:r>
              <w:t xml:space="preserve">Satisfied</w:t>
            </w:r>
          </w:p>
        </w:tc>
        <w:tc>
          <w:tcPr/>
          <w:p>
            <w:pPr>
              <w:pStyle w:val="Compact"/>
              <w:jc w:val="left"/>
            </w:pPr>
            <w:r>
              <w:t xml:space="preserve">—</w:t>
            </w:r>
          </w:p>
        </w:tc>
      </w:tr>
      <w:tr>
        <w:tc>
          <w:tcPr/>
          <w:p>
            <w:pPr>
              <w:pStyle w:val="Compact"/>
              <w:jc w:val="left"/>
            </w:pPr>
            <w:r>
              <w:t xml:space="preserve">10. GP Representations &amp; Warranties</w:t>
            </w:r>
          </w:p>
        </w:tc>
        <w:tc>
          <w:tcPr/>
          <w:p>
            <w:pPr>
              <w:pStyle w:val="Compact"/>
              <w:jc w:val="left"/>
            </w:pPr>
            <w:r>
              <w:t xml:space="preserve">11.2(10)</w:t>
            </w:r>
          </w:p>
        </w:tc>
        <w:tc>
          <w:tcPr/>
          <w:p>
            <w:pPr>
              <w:pStyle w:val="Compact"/>
              <w:jc w:val="left"/>
            </w:pPr>
            <w:r>
              <w:t xml:space="preserve">Satisfied (subject to cross-ref. note)</w:t>
            </w:r>
          </w:p>
        </w:tc>
        <w:tc>
          <w:tcPr/>
          <w:p>
            <w:pPr>
              <w:pStyle w:val="Compact"/>
              <w:jc w:val="left"/>
            </w:pPr>
            <w:r>
              <w:t xml:space="preserve">§ V.O</w:t>
            </w:r>
          </w:p>
        </w:tc>
      </w:tr>
      <w:tr>
        <w:tc>
          <w:tcPr/>
          <w:p>
            <w:pPr>
              <w:pStyle w:val="Compact"/>
              <w:jc w:val="left"/>
            </w:pPr>
            <w:r>
              <w:t xml:space="preserve">Key Person Certification</w:t>
            </w:r>
          </w:p>
        </w:tc>
        <w:tc>
          <w:tcPr/>
          <w:p>
            <w:pPr>
              <w:pStyle w:val="Compact"/>
              <w:jc w:val="left"/>
            </w:pPr>
            <w:r>
              <w:t xml:space="preserve">9.4(d)</w:t>
            </w:r>
          </w:p>
        </w:tc>
        <w:tc>
          <w:tcPr/>
          <w:p>
            <w:pPr>
              <w:pStyle w:val="Compact"/>
              <w:jc w:val="left"/>
            </w:pPr>
            <w:r>
              <w:rPr>
                <w:b/>
                <w:bCs/>
              </w:rPr>
              <w:t xml:space="preserve">Mehta unconfirmed</w:t>
            </w:r>
          </w:p>
        </w:tc>
        <w:tc>
          <w:tcPr/>
          <w:p>
            <w:pPr>
              <w:pStyle w:val="Compact"/>
              <w:jc w:val="left"/>
            </w:pPr>
            <w:r>
              <w:t xml:space="preserve">§ II.C</w:t>
            </w:r>
          </w:p>
        </w:tc>
      </w:tr>
    </w:tbl>
    <w:p>
      <w:r>
        <w:pict>
          <v:rect style="width:0;height:1.5pt" o:hralign="center" o:hrstd="t" o:hr="t"/>
        </w:pict>
      </w:r>
    </w:p>
    <w:bookmarkEnd w:id="49"/>
    <w:bookmarkStart w:id="50" w:name="vii.-recommendation"/>
    <w:p>
      <w:pPr>
        <w:pStyle w:val="Heading2"/>
      </w:pPr>
      <w:r>
        <w:t xml:space="preserve">VII. Recommendation</w:t>
      </w:r>
    </w:p>
    <w:p>
      <w:pPr>
        <w:pStyle w:val="FirstParagraph"/>
      </w:pPr>
      <w:r>
        <w:t xml:space="preserve">The Fund is substantially prepared to proceed with the Final Closing; however,</w:t>
      </w:r>
      <w:r>
        <w:t xml:space="preserve"> </w:t>
      </w:r>
      <w:r>
        <w:rPr>
          <w:b/>
          <w:bCs/>
        </w:rPr>
        <w:t xml:space="preserve">three Tier 1 items must be resolved before the Final Closing can be consummated and the Final Closing Certificate can be executed without qualification</w:t>
      </w:r>
      <w:r>
        <w:t xml:space="preserve">:</w:t>
      </w:r>
    </w:p>
    <w:p>
      <w:pPr>
        <w:pStyle w:val="Compact"/>
        <w:numPr>
          <w:ilvl w:val="0"/>
          <w:numId w:val="1009"/>
        </w:numPr>
      </w:pPr>
      <w:r>
        <w:rPr>
          <w:b/>
          <w:bCs/>
        </w:rPr>
        <w:t xml:space="preserve">AML/KYC for Cascade Re Insurance Ltd.</w:t>
      </w:r>
      <w:r>
        <w:t xml:space="preserve"> </w:t>
      </w:r>
      <w:r>
        <w:t xml:space="preserve">— obtain written confirmation from the Fund Administrator (Section II.A);</w:t>
      </w:r>
    </w:p>
    <w:p>
      <w:pPr>
        <w:pStyle w:val="Compact"/>
        <w:numPr>
          <w:ilvl w:val="0"/>
          <w:numId w:val="1009"/>
        </w:numPr>
      </w:pPr>
      <w:r>
        <w:rPr>
          <w:b/>
          <w:bCs/>
        </w:rPr>
        <w:t xml:space="preserve">ERISA / Benefit Plan Investor reconciliation</w:t>
      </w:r>
      <w:r>
        <w:t xml:space="preserve"> </w:t>
      </w:r>
      <w:r>
        <w:t xml:space="preserve">— reconcile the per-investor classifications with the aggregate determination and confirm the treatment of governmental plans, such that the Benefit Plan Investor percentage is confirmed to be below 24.99% (Section II.B); and</w:t>
      </w:r>
    </w:p>
    <w:p>
      <w:pPr>
        <w:pStyle w:val="Compact"/>
        <w:numPr>
          <w:ilvl w:val="0"/>
          <w:numId w:val="1009"/>
        </w:numPr>
      </w:pPr>
      <w:r>
        <w:rPr>
          <w:b/>
          <w:bCs/>
        </w:rPr>
        <w:t xml:space="preserve">Key Person status of Priya S. Mehta</w:t>
      </w:r>
      <w:r>
        <w:t xml:space="preserve"> </w:t>
      </w:r>
      <w:r>
        <w:t xml:space="preserve">— confirm and document (Section II.C).</w:t>
      </w:r>
    </w:p>
    <w:p>
      <w:pPr>
        <w:pStyle w:val="FirstParagraph"/>
      </w:pPr>
      <w:r>
        <w:t xml:space="preserve">In addition, the Tier 2 items (receipt of Capital Contributions, delivery of legal opinions, and finalization of Schedule A) must be completed at or prior to closing, and the Tier 3 post-closing obligations (Advisory Committee Target notification, Form D amendment, MFN notices, Advisory Committee vacancy, and blue sky filings) must be calendared and completed on the applicable timetables. The Tier 4 document discrepancies should be corrected in the relevant instruments where still feasible and conformed in the forms for future use.</w:t>
      </w:r>
    </w:p>
    <w:p>
      <w:pPr>
        <w:pStyle w:val="BodyText"/>
      </w:pPr>
      <w:r>
        <w:t xml:space="preserve">We are available to assist with the resolution of each of the foregoing items and to finalize the Final Closing Certificate upon their completion.</w:t>
      </w:r>
    </w:p>
    <w:p>
      <w:pPr>
        <w:pStyle w:val="BodyText"/>
      </w:pPr>
      <w:r>
        <w:rPr>
          <w:b/>
          <w:bCs/>
        </w:rPr>
        <w:t xml:space="preserve">Bridgeford Hollis LLP</w:t>
      </w:r>
      <w:r>
        <w:t xml:space="preserve"> </w:t>
      </w:r>
      <w:r>
        <w:rPr>
          <w:b/>
          <w:bCs/>
        </w:rPr>
        <w:t xml:space="preserve">Fund Counsel to Whitmore Capital Partners VII, LP and Whitmore Capital Management LLC</w:t>
      </w:r>
    </w:p>
    <w:p>
      <w:pPr>
        <w:pStyle w:val="BodyText"/>
      </w:pPr>
      <w:r>
        <w:t xml:space="preserve">By: _______________________________</w:t>
      </w:r>
    </w:p>
    <w:p>
      <w:pPr>
        <w:pStyle w:val="BodyText"/>
      </w:pPr>
      <w:r>
        <w:t xml:space="preserve">Name: David R. Kasten</w:t>
      </w:r>
    </w:p>
    <w:p>
      <w:pPr>
        <w:pStyle w:val="BodyText"/>
      </w:pPr>
      <w:r>
        <w:t xml:space="preserve">Title: Partner</w:t>
      </w:r>
    </w:p>
    <w:p>
      <w:pPr>
        <w:pStyle w:val="BodyText"/>
      </w:pPr>
      <w:r>
        <w:t xml:space="preserve">Date: January 31, 2025</w:t>
      </w:r>
    </w:p>
    <w:p>
      <w:r>
        <w:pict>
          <v:rect style="width:0;height:1.5pt" o:hralign="center" o:hrstd="t" o:hr="t"/>
        </w:pict>
      </w:r>
    </w:p>
    <w:p>
      <w:pPr>
        <w:pStyle w:val="FirstParagraph"/>
      </w:pPr>
      <w:r>
        <w:rPr>
          <w:i/>
          <w:iCs/>
        </w:rPr>
        <w:t xml:space="preserve">CONFIDENTIAL — ATTORNEY-CLIENT PRIVILEGED / ATTORNEY WORK PRODUCT. This memorandum is prepared by Fund Counsel for Whitmore Capital Management LLC in its capacity as General Partner of Whitmore Capital Partners VII, LP. It constitutes attorney-client privileged communication and attorney work product and is intended solely for the use of the addressees. It should not be distributed, reproduced, or disclosed to any Limited Partner, prospective investor, or third party without the prior written consent of Bridgeford Hollis LLP.</w:t>
      </w:r>
    </w:p>
    <w:p>
      <w:pPr>
        <w:pStyle w:val="BodyText"/>
      </w:pPr>
      <w:r>
        <w:rPr>
          <w:i/>
          <w:iCs/>
        </w:rPr>
        <w:t xml:space="preserve">[End of Memorandum]</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2026-06-26T23:40:54Z</dcterms:created>
  <dcterms:modified xsi:type="dcterms:W3CDTF">2026-06-26T23:40:54Z</dcterms:modified>
</cp:coreProperties>
</file>

<file path=docProps/custom.xml><?xml version="1.0" encoding="utf-8"?>
<Properties xmlns="http://schemas.openxmlformats.org/officeDocument/2006/custom-properties" xmlns:vt="http://schemas.openxmlformats.org/officeDocument/2006/docPropsVTypes"/>
</file>