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Marcus J. Whitmore, Managing Member and Chief Investment Officer; Sandra K. Liu, Chief Compliance Officer and General Counsel — Whitmore Capital Management LLC, as General Partner of Whitmore Capital Partners VII, LP</w:t>
      </w:r>
    </w:p>
    <w:p>
      <w:pPr>
        <w:pStyle w:val="BodyText"/>
      </w:pPr>
      <w:r>
        <w:rPr>
          <w:b/>
          <w:bCs/>
        </w:rPr>
        <w:t xml:space="preserve">FROM:</w:t>
      </w:r>
      <w:r>
        <w:t xml:space="preserve"> </w:t>
      </w:r>
      <w:r>
        <w:t xml:space="preserve">David R. Kasten and Emily T. Naraghi, Bridgeford Hollis LLP, Fund Counsel to Whitmore Capital Partners VII, LP</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Discrepancies and Unresolved Issues Identified in Connection with the Final Closing of Whitmore Capital Partners VII, LP (January 31, 2025)</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is delivered by Bridgeford Hollis LLP (</w:t>
      </w:r>
      <w:r>
        <w:t xml:space="preserve">“</w:t>
      </w:r>
      <w:r>
        <w:t xml:space="preserve">Fund Counsel</w:t>
      </w:r>
      <w:r>
        <w:t xml:space="preserve">”</w:t>
      </w:r>
      <w:r>
        <w:t xml:space="preserve">) in connection with the final closing (the</w:t>
      </w:r>
      <w:r>
        <w:t xml:space="preserve"> </w:t>
      </w:r>
      <w:r>
        <w:t xml:space="preserve">“</w:t>
      </w:r>
      <w:r>
        <w:t xml:space="preserve">Final Closing</w:t>
      </w:r>
      <w:r>
        <w:t xml:space="preserve">”</w:t>
      </w:r>
      <w:r>
        <w:t xml:space="preserve">) of Whitmore Capital Partners VII, LP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scheduled for January 31, 2025. In the course of preparing the Final Closing Certificate and reviewing the closing record, we have reviewed the following source documents (collectively, the</w:t>
      </w:r>
      <w:r>
        <w:t xml:space="preserve"> </w:t>
      </w:r>
      <w:r>
        <w:t xml:space="preserve">“</w:t>
      </w:r>
      <w:r>
        <w:t xml:space="preserve">Source Documents</w:t>
      </w:r>
      <w:r>
        <w:t xml:space="preserve">”</w:t>
      </w:r>
      <w:r>
        <w:t xml:space="preserve">):</w:t>
      </w:r>
    </w:p>
    <w:p>
      <w:pPr>
        <w:pStyle w:val="Compact"/>
        <w:numPr>
          <w:ilvl w:val="0"/>
          <w:numId w:val="1001"/>
        </w:numPr>
      </w:pPr>
      <w:r>
        <w:t xml:space="preserve">The Amended and Restated Agreement of Limited Partnership, dated as of September 15, 2024 (the</w:t>
      </w:r>
      <w:r>
        <w:t xml:space="preserve"> </w:t>
      </w:r>
      <w:r>
        <w:t xml:space="preserve">“</w:t>
      </w:r>
      <w:r>
        <w:t xml:space="preserve">LPA</w:t>
      </w:r>
      <w:r>
        <w:t xml:space="preserve">”</w:t>
      </w:r>
      <w:r>
        <w:t xml:space="preserve">);</w:t>
      </w:r>
    </w:p>
    <w:p>
      <w:pPr>
        <w:pStyle w:val="Compact"/>
        <w:numPr>
          <w:ilvl w:val="0"/>
          <w:numId w:val="1001"/>
        </w:numPr>
      </w:pPr>
      <w:r>
        <w:t xml:space="preserve">Amendment No. 1 to the LPA, dated as of November 30, 2024 (</w:t>
      </w:r>
      <w:r>
        <w:t xml:space="preserve">“</w:t>
      </w:r>
      <w:r>
        <w:t xml:space="preserve">Amendment No. 1</w:t>
      </w:r>
      <w:r>
        <w:t xml:space="preserve">”</w:t>
      </w:r>
      <w:r>
        <w:t xml:space="preserve">);</w:t>
      </w:r>
    </w:p>
    <w:p>
      <w:pPr>
        <w:pStyle w:val="Compact"/>
        <w:numPr>
          <w:ilvl w:val="0"/>
          <w:numId w:val="1001"/>
        </w:numPr>
      </w:pPr>
      <w:r>
        <w:t xml:space="preserve">The form of Subscription Agreement for use in the Final Closing (the</w:t>
      </w:r>
      <w:r>
        <w:t xml:space="preserve"> </w:t>
      </w:r>
      <w:r>
        <w:t xml:space="preserve">“</w:t>
      </w:r>
      <w:r>
        <w:t xml:space="preserve">Subscription Agreement</w:t>
      </w:r>
      <w:r>
        <w:t xml:space="preserve">”</w:t>
      </w:r>
      <w:r>
        <w:t xml:space="preserve">);</w:t>
      </w:r>
    </w:p>
    <w:p>
      <w:pPr>
        <w:pStyle w:val="Compact"/>
        <w:numPr>
          <w:ilvl w:val="0"/>
          <w:numId w:val="1001"/>
        </w:numPr>
      </w:pPr>
      <w:r>
        <w:t xml:space="preserve">Capital Call Notice No. 1, dated October 10, 2024 (</w:t>
      </w:r>
      <w:r>
        <w:t xml:space="preserve">“</w:t>
      </w:r>
      <w:r>
        <w:t xml:space="preserve">CC#1</w:t>
      </w:r>
      <w:r>
        <w:t xml:space="preserve">”</w:t>
      </w:r>
      <w:r>
        <w:t xml:space="preserve">);</w:t>
      </w:r>
    </w:p>
    <w:p>
      <w:pPr>
        <w:pStyle w:val="Compact"/>
        <w:numPr>
          <w:ilvl w:val="0"/>
          <w:numId w:val="1001"/>
        </w:numPr>
      </w:pPr>
      <w:r>
        <w:t xml:space="preserve">Capital Call Notice No. 2, dated December 15, 2024 (</w:t>
      </w:r>
      <w:r>
        <w:t xml:space="preserve">“</w:t>
      </w:r>
      <w:r>
        <w:t xml:space="preserve">CC#2</w:t>
      </w:r>
      <w:r>
        <w:t xml:space="preserve">”</w:t>
      </w:r>
      <w:r>
        <w:t xml:space="preserve">);</w:t>
      </w:r>
    </w:p>
    <w:p>
      <w:pPr>
        <w:pStyle w:val="Compact"/>
        <w:numPr>
          <w:ilvl w:val="0"/>
          <w:numId w:val="1001"/>
        </w:numPr>
      </w:pPr>
      <w:r>
        <w:t xml:space="preserve">The GP Internal Closing Memorandum of Sandra K. Liu, dated January 28, 2025 (the</w:t>
      </w:r>
      <w:r>
        <w:t xml:space="preserve"> </w:t>
      </w:r>
      <w:r>
        <w:t xml:space="preserve">“</w:t>
      </w:r>
      <w:r>
        <w:t xml:space="preserve">GP Memo</w:t>
      </w:r>
      <w:r>
        <w:t xml:space="preserve">”</w:t>
      </w:r>
      <w:r>
        <w:t xml:space="preserve">);</w:t>
      </w:r>
    </w:p>
    <w:p>
      <w:pPr>
        <w:pStyle w:val="Compact"/>
        <w:numPr>
          <w:ilvl w:val="0"/>
          <w:numId w:val="1001"/>
        </w:numPr>
      </w:pPr>
      <w:r>
        <w:t xml:space="preserve">The AML/KYC completion email from Jonathan C. Prewitt of Oakmere Fund Services LLC, dated January 24, 2025 (the</w:t>
      </w:r>
      <w:r>
        <w:t xml:space="preserve"> </w:t>
      </w:r>
      <w:r>
        <w:t xml:space="preserve">“</w:t>
      </w:r>
      <w:r>
        <w:t xml:space="preserve">AML/KYC Email</w:t>
      </w:r>
      <w:r>
        <w:t xml:space="preserve">”</w:t>
      </w:r>
      <w:r>
        <w:t xml:space="preserve">); and</w:t>
      </w:r>
    </w:p>
    <w:p>
      <w:pPr>
        <w:pStyle w:val="Compact"/>
        <w:numPr>
          <w:ilvl w:val="0"/>
          <w:numId w:val="1001"/>
        </w:numPr>
      </w:pPr>
      <w:r>
        <w:t xml:space="preserve">The administrative closing checklist and accompanying commitment schedule and equalization calculation tabs maintained by Oakmere Fund Services LLC (the</w:t>
      </w:r>
      <w:r>
        <w:t xml:space="preserve"> </w:t>
      </w:r>
      <w:r>
        <w:t xml:space="preserve">“</w:t>
      </w:r>
      <w:r>
        <w:t xml:space="preserve">Admin Checklist</w:t>
      </w:r>
      <w:r>
        <w:t xml:space="preserve">”</w:t>
      </w:r>
      <w:r>
        <w:t xml:space="preserve">).</w:t>
      </w:r>
    </w:p>
    <w:p>
      <w:pPr>
        <w:pStyle w:val="FirstParagraph"/>
      </w:pPr>
      <w:r>
        <w:t xml:space="preserve">This memorandum identifies discrepancies among, and unresolved issues arising from, the Source Documents. Each item is stated separately so that it can be tracked to resolution. This memorandum is privileged and confidential, is prepared for the internal use of the General Partner and Fund Counsel, and should not be disclosed to any Limited Partner or third party without the prior written consent of the General Partner and Fund Counsel.</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Fund is substantially ready to close, and the Final Closing Certificate has been prepared certifying each of the ten (10) conditions precedent under Section 11.2 of the LPA. However, our review of the Source Documents has identified a number of discrepancies and unresolved items that, in several cases, bear directly on the accuracy of the certifications to be made in the Final Closing Certificate. The most significant are:</w:t>
      </w:r>
    </w:p>
    <w:p>
      <w:pPr>
        <w:pStyle w:val="Compact"/>
        <w:numPr>
          <w:ilvl w:val="0"/>
          <w:numId w:val="1002"/>
        </w:numPr>
      </w:pPr>
      <w:r>
        <w:rPr>
          <w:b/>
          <w:bCs/>
        </w:rPr>
        <w:t xml:space="preserve">ERISA / Benefit Plan Investor calculation (Item 1).</w:t>
      </w:r>
      <w:r>
        <w:t xml:space="preserve"> </w:t>
      </w:r>
      <w:r>
        <w:t xml:space="preserve">The Source Documents contain three different Benefit Plan Investor (</w:t>
      </w:r>
      <w:r>
        <w:t xml:space="preserve">“</w:t>
      </w:r>
      <w:r>
        <w:t xml:space="preserve">BPI</w:t>
      </w:r>
      <w:r>
        <w:t xml:space="preserve">”</w:t>
      </w:r>
      <w:r>
        <w:t xml:space="preserve">) percentages (19.8%, 22.00%, and 28.80%), and the detailed commitment schedule implies a BPI percentage (28.80%) that would</w:t>
      </w:r>
      <w:r>
        <w:t xml:space="preserve"> </w:t>
      </w:r>
      <w:r>
        <w:rPr>
          <w:i/>
          <w:iCs/>
        </w:rPr>
        <w:t xml:space="preserve">exceed</w:t>
      </w:r>
      <w:r>
        <w:t xml:space="preserve"> </w:t>
      </w:r>
      <w:r>
        <w:t xml:space="preserve">the 24.99% cap in Section 6.8 of the LPA — a non-waivable condition. This must be reconciled before the certificate is executed.</w:t>
      </w:r>
    </w:p>
    <w:p>
      <w:pPr>
        <w:pStyle w:val="Compact"/>
        <w:numPr>
          <w:ilvl w:val="0"/>
          <w:numId w:val="1002"/>
        </w:numPr>
      </w:pPr>
      <w:r>
        <w:rPr>
          <w:b/>
          <w:bCs/>
        </w:rPr>
        <w:t xml:space="preserve">AML/KYC coverage (Item 2).</w:t>
      </w:r>
      <w:r>
        <w:t xml:space="preserve"> </w:t>
      </w:r>
      <w:r>
        <w:t xml:space="preserve">The AML/KYC Email — the support for the non-waivable AML/KYC condition — lists only five (5) of the six (6) Final Closing Limited Partners and omits Cascade Re Insurance Ltd., a Bermuda-domiciled reinsurer that warrants enhanced due diligence.</w:t>
      </w:r>
    </w:p>
    <w:p>
      <w:pPr>
        <w:pStyle w:val="Compact"/>
        <w:numPr>
          <w:ilvl w:val="0"/>
          <w:numId w:val="1002"/>
        </w:numPr>
      </w:pPr>
      <w:r>
        <w:rPr>
          <w:b/>
          <w:bCs/>
        </w:rPr>
        <w:t xml:space="preserve">Distribution waterfall (Item 3).</w:t>
      </w:r>
      <w:r>
        <w:t xml:space="preserve"> </w:t>
      </w:r>
      <w:r>
        <w:t xml:space="preserve">Amendment No. 1 purports to correct</w:t>
      </w:r>
      <w:r>
        <w:t xml:space="preserve"> </w:t>
      </w:r>
      <w:r>
        <w:t xml:space="preserve">“</w:t>
      </w:r>
      <w:r>
        <w:t xml:space="preserve">Section 8.3(b)</w:t>
      </w:r>
      <w:r>
        <w:t xml:space="preserve">”</w:t>
      </w:r>
      <w:r>
        <w:t xml:space="preserve"> </w:t>
      </w:r>
      <w:r>
        <w:t xml:space="preserve">of the LPA, but its description of that section does not match the actual text of Section 8.3(b), and the</w:t>
      </w:r>
      <w:r>
        <w:t xml:space="preserve"> </w:t>
      </w:r>
      <w:r>
        <w:t xml:space="preserve">“</w:t>
      </w:r>
      <w:r>
        <w:t xml:space="preserve">correction</w:t>
      </w:r>
      <w:r>
        <w:t xml:space="preserve">”</w:t>
      </w:r>
      <w:r>
        <w:t xml:space="preserve"> </w:t>
      </w:r>
      <w:r>
        <w:t xml:space="preserve">conflicts with the existing Section 8.3(c).</w:t>
      </w:r>
    </w:p>
    <w:p>
      <w:pPr>
        <w:pStyle w:val="Compact"/>
        <w:numPr>
          <w:ilvl w:val="0"/>
          <w:numId w:val="1002"/>
        </w:numPr>
      </w:pPr>
      <w:r>
        <w:rPr>
          <w:b/>
          <w:bCs/>
        </w:rPr>
        <w:t xml:space="preserve">Outstanding closing conditions (Items 4–6).</w:t>
      </w:r>
      <w:r>
        <w:t xml:space="preserve"> </w:t>
      </w:r>
      <w:r>
        <w:t xml:space="preserve">As of the most recent Admin Checklist update (January 30, 2025), escrow funding (Condition 2), legal opinions (Condition 7), and the updated Schedule A (Condition 8) were not yet finalized.</w:t>
      </w:r>
    </w:p>
    <w:p>
      <w:pPr>
        <w:pStyle w:val="Compact"/>
        <w:numPr>
          <w:ilvl w:val="0"/>
          <w:numId w:val="1002"/>
        </w:numPr>
      </w:pPr>
      <w:r>
        <w:rPr>
          <w:b/>
          <w:bCs/>
        </w:rPr>
        <w:t xml:space="preserve">Individual LP commitment discrepancies (Items 7–8).</w:t>
      </w:r>
      <w:r>
        <w:t xml:space="preserve"> </w:t>
      </w:r>
      <w:r>
        <w:t xml:space="preserve">The stated Capital Commitments of three Advisory Committee member LPs, and of Birchwood Insurance Co., differ across the Source Documents.</w:t>
      </w:r>
    </w:p>
    <w:p>
      <w:pPr>
        <w:pStyle w:val="Compact"/>
        <w:numPr>
          <w:ilvl w:val="0"/>
          <w:numId w:val="1002"/>
        </w:numPr>
      </w:pPr>
      <w:r>
        <w:rPr>
          <w:b/>
          <w:bCs/>
        </w:rPr>
        <w:t xml:space="preserve">Equalization interest (Items 9–11).</w:t>
      </w:r>
      <w:r>
        <w:t xml:space="preserve"> </w:t>
      </w:r>
      <w:r>
        <w:t xml:space="preserve">The total equalization interest and the day-count convention differ between the Subscription Agreement and the Admin Checklist.</w:t>
      </w:r>
    </w:p>
    <w:p>
      <w:pPr>
        <w:pStyle w:val="Compact"/>
        <w:numPr>
          <w:ilvl w:val="0"/>
          <w:numId w:val="1002"/>
        </w:numPr>
      </w:pPr>
      <w:r>
        <w:rPr>
          <w:b/>
          <w:bCs/>
        </w:rPr>
        <w:t xml:space="preserve">Key Person certification support (Item 34).</w:t>
      </w:r>
      <w:r>
        <w:t xml:space="preserve"> </w:t>
      </w:r>
      <w:r>
        <w:t xml:space="preserve">The GP Memo — the document supporting the Condition 6 (Key Persons) certification — addresses only Marcus J. Whitmore and is silent as to Priya S. Mehta, the second Key Person, whom the LPA (Section 9.4(d) and Section 11.2(6)) requires to be certified at each Closing.</w:t>
      </w:r>
    </w:p>
    <w:p>
      <w:pPr>
        <w:pStyle w:val="Compact"/>
        <w:numPr>
          <w:ilvl w:val="0"/>
          <w:numId w:val="1002"/>
        </w:numPr>
      </w:pPr>
      <w:r>
        <w:rPr>
          <w:b/>
          <w:bCs/>
        </w:rPr>
        <w:t xml:space="preserve">Side letter status (Item 35).</w:t>
      </w:r>
      <w:r>
        <w:t xml:space="preserve"> </w:t>
      </w:r>
      <w:r>
        <w:t xml:space="preserve">The Subscription Agreement indicates that side letters for three Final Closing LPs (Meridian, Northbridge, and Sentry) are</w:t>
      </w:r>
      <w:r>
        <w:t xml:space="preserve"> </w:t>
      </w:r>
      <w:r>
        <w:t xml:space="preserve">“</w:t>
      </w:r>
      <w:r>
        <w:t xml:space="preserve">Expected</w:t>
      </w:r>
      <w:r>
        <w:t xml:space="preserve">”</w:t>
      </w:r>
      <w:r>
        <w:t xml:space="preserve"> </w:t>
      </w:r>
      <w:r>
        <w:t xml:space="preserve">or</w:t>
      </w:r>
      <w:r>
        <w:t xml:space="preserve"> </w:t>
      </w:r>
      <w:r>
        <w:t xml:space="preserve">“</w:t>
      </w:r>
      <w:r>
        <w:t xml:space="preserve">To be determined,</w:t>
      </w:r>
      <w:r>
        <w:t xml:space="preserve">”</w:t>
      </w:r>
      <w:r>
        <w:t xml:space="preserve"> </w:t>
      </w:r>
      <w:r>
        <w:t xml:space="preserve">while the Admin Checklist flags Meridian and Northbridge as having executed side letters and Sentry as having none.</w:t>
      </w:r>
    </w:p>
    <w:p>
      <w:pPr>
        <w:pStyle w:val="FirstParagraph"/>
      </w:pPr>
      <w:r>
        <w:t xml:space="preserve">The remaining items (Items 12–33 and 36) address cross-reference errors, date and contact inconsistencies, and post-closing obligations. Each is set forth in detail below.</w:t>
      </w:r>
    </w:p>
    <w:p>
      <w:r>
        <w:pict>
          <v:rect style="width:0;height:1.5pt" o:hralign="center" o:hrstd="t" o:hr="t"/>
        </w:pict>
      </w:r>
    </w:p>
    <w:bookmarkEnd w:id="21"/>
    <w:bookmarkStart w:id="22" w:name="Xfb1633e0714ccb422e847b9d581a286e97d95f5"/>
    <w:p>
      <w:pPr>
        <w:pStyle w:val="Heading2"/>
      </w:pPr>
      <w:r>
        <w:t xml:space="preserve">III. Conditions Precedent — Outstanding or Unsupported Items</w:t>
      </w:r>
    </w:p>
    <w:p>
      <w:pPr>
        <w:pStyle w:val="FirstParagraph"/>
      </w:pPr>
      <w:r>
        <w:rPr>
          <w:b/>
          <w:bCs/>
        </w:rPr>
        <w:t xml:space="preserve">1. ERISA / Benefit Plan Investor percentage is inconsistent across the Source Documents and may exceed the 24.99% cap (Section 11.2(5); Section 6.8).</w:t>
      </w:r>
      <w:r>
        <w:t xml:space="preserve"> </w:t>
      </w:r>
      <w:r>
        <w:t xml:space="preserve">The ERISA compliance condition is non-waivable under Section 11.3. The Source Documents state three different BPI figures:</w:t>
      </w:r>
    </w:p>
    <w:p>
      <w:pPr>
        <w:pStyle w:val="Compact"/>
        <w:numPr>
          <w:ilvl w:val="0"/>
          <w:numId w:val="1003"/>
        </w:numPr>
      </w:pPr>
      <w:r>
        <w:rPr>
          <w:i/>
          <w:iCs/>
        </w:rPr>
        <w:t xml:space="preserve">GP Memo (Section V.C):</w:t>
      </w:r>
      <w:r>
        <w:t xml:space="preserve"> </w:t>
      </w:r>
      <w:r>
        <w:t xml:space="preserve">approximately $225,300,000 of BPI commitments divided by approximately $1,140,000,000 of total commitments = 19.8%.</w:t>
      </w:r>
    </w:p>
    <w:p>
      <w:pPr>
        <w:pStyle w:val="Compact"/>
        <w:numPr>
          <w:ilvl w:val="0"/>
          <w:numId w:val="1003"/>
        </w:numPr>
      </w:pPr>
      <w:r>
        <w:rPr>
          <w:i/>
          <w:iCs/>
        </w:rPr>
        <w:t xml:space="preserve">Subscription Agreement (Section 2.3 and Schedule I) and Admin Checklist (ERISA Analysis):</w:t>
      </w:r>
      <w:r>
        <w:t xml:space="preserve"> </w:t>
      </w:r>
      <w:r>
        <w:t xml:space="preserve">$355,300,000 of BPI commitments divided by $1,615,000,000 of total commitments = 22.00%.</w:t>
      </w:r>
    </w:p>
    <w:p>
      <w:pPr>
        <w:pStyle w:val="Compact"/>
        <w:numPr>
          <w:ilvl w:val="0"/>
          <w:numId w:val="1003"/>
        </w:numPr>
      </w:pPr>
      <w:r>
        <w:rPr>
          <w:i/>
          <w:iCs/>
        </w:rPr>
        <w:t xml:space="preserve">Admin Checklist (Commitment Schedule tab,</w:t>
      </w:r>
      <w:r>
        <w:rPr>
          <w:i/>
          <w:iCs/>
        </w:rPr>
        <w:t xml:space="preserve"> </w:t>
      </w:r>
      <w:r>
        <w:rPr>
          <w:i/>
          <w:iCs/>
        </w:rPr>
        <w:t xml:space="preserve">“</w:t>
      </w:r>
      <w:r>
        <w:rPr>
          <w:i/>
          <w:iCs/>
        </w:rPr>
        <w:t xml:space="preserve">ERISA Plan Investor</w:t>
      </w:r>
      <w:r>
        <w:rPr>
          <w:i/>
          <w:iCs/>
        </w:rPr>
        <w:t xml:space="preserve">”</w:t>
      </w:r>
      <w:r>
        <w:rPr>
          <w:i/>
          <w:iCs/>
        </w:rPr>
        <w:t xml:space="preserve"> </w:t>
      </w:r>
      <w:r>
        <w:rPr>
          <w:i/>
          <w:iCs/>
        </w:rPr>
        <w:t xml:space="preserve">column):</w:t>
      </w:r>
      <w:r>
        <w:t xml:space="preserve"> </w:t>
      </w:r>
      <w:r>
        <w:t xml:space="preserve">the LPs flagged</w:t>
      </w:r>
      <w:r>
        <w:t xml:space="preserve"> </w:t>
      </w:r>
      <w:r>
        <w:t xml:space="preserve">“</w:t>
      </w:r>
      <w:r>
        <w:t xml:space="preserve">Y</w:t>
      </w:r>
      <w:r>
        <w:t xml:space="preserve">”</w:t>
      </w:r>
      <w:r>
        <w:t xml:space="preserve"> </w:t>
      </w:r>
      <w:r>
        <w:t xml:space="preserve">total $465,300,000 ($335,300,000 from the Initial and Second Closings plus $130,000,000 from the Final Closing), which divided by $1,615,000,000 equals</w:t>
      </w:r>
      <w:r>
        <w:t xml:space="preserve"> </w:t>
      </w:r>
      <w:r>
        <w:rPr>
          <w:b/>
          <w:bCs/>
        </w:rPr>
        <w:t xml:space="preserve">28.80%</w:t>
      </w:r>
      <w:r>
        <w:t xml:space="preserve"> </w:t>
      </w:r>
      <w:r>
        <w:t xml:space="preserve">— a figure that</w:t>
      </w:r>
      <w:r>
        <w:t xml:space="preserve"> </w:t>
      </w:r>
      <w:r>
        <w:rPr>
          <w:i/>
          <w:iCs/>
        </w:rPr>
        <w:t xml:space="preserve">exceeds</w:t>
      </w:r>
      <w:r>
        <w:t xml:space="preserve"> </w:t>
      </w:r>
      <w:r>
        <w:t xml:space="preserve">the 24.99% cap.</w:t>
      </w:r>
    </w:p>
    <w:p>
      <w:pPr>
        <w:pStyle w:val="FirstParagraph"/>
      </w:pPr>
      <w:r>
        <w:t xml:space="preserve">The GP Memo’s figure is internally inconsistent: (a) its numerator ($225,300,000) excludes the $130,000,000 of Final Closing BPI commitments (Meridian State Teachers’ Retirement System ($100,000,000) and Sentry Municipal Employees’ Pension Trust ($30,000,000)); and (b) its denominator ($1,140,000,000) does not match the stated total commitments of $1,615,000,000 set forth in the GP Memo’s own Section III and in every other Source Document. The $1,140,000,000 figure does not reconcile to any stated total.</w:t>
      </w:r>
    </w:p>
    <w:p>
      <w:pPr>
        <w:pStyle w:val="BodyText"/>
      </w:pPr>
      <w:r>
        <w:t xml:space="preserve">More importantly, the Admin Checklist is internally inconsistent: its Commitment Schedule flags seven prior-closing LPs as</w:t>
      </w:r>
      <w:r>
        <w:t xml:space="preserve"> </w:t>
      </w:r>
      <w:r>
        <w:t xml:space="preserve">“</w:t>
      </w:r>
      <w:r>
        <w:t xml:space="preserve">ERISA Plan Investor = Y</w:t>
      </w:r>
      <w:r>
        <w:t xml:space="preserve">”</w:t>
      </w:r>
      <w:r>
        <w:t xml:space="preserve"> </w:t>
      </w:r>
      <w:r>
        <w:t xml:space="preserve">(Commonwealth Public Employees’ Retirement Fund ($85,000,000); Lakewood Municipal Pension Fund ($80,000,000); Westfield County Employees’ Retirement System ($40,000,000); Ashford Healthcare System Retirement Plan ($25,000,000); Pemberton Teachers’ Pension Trust ($35,000,000); Dalton Firefighters’ Pension Fund ($45,300,000); and Oakdale Police &amp; Fire Retirement Trust ($25,000,000)), totaling $335,300,000, but its ERISA Analysis section uses only $225,300,000 for prior closings — a $110,000,000 difference that is not explained.</w:t>
      </w:r>
    </w:p>
    <w:p>
      <w:pPr>
        <w:pStyle w:val="BodyText"/>
      </w:pPr>
      <w:r>
        <w:t xml:space="preserve">The treatment of governmental plans is itself inconsistent. The LPA’s Article I definition of</w:t>
      </w:r>
      <w:r>
        <w:t xml:space="preserve"> </w:t>
      </w:r>
      <w:r>
        <w:t xml:space="preserve">“</w:t>
      </w:r>
      <w:r>
        <w:t xml:space="preserve">Benefit Plan Investor</w:t>
      </w:r>
      <w:r>
        <w:t xml:space="preserve">”</w:t>
      </w:r>
      <w:r>
        <w:t xml:space="preserve"> </w:t>
      </w:r>
      <w:r>
        <w:t xml:space="preserve">requires a plan to be</w:t>
      </w:r>
      <w:r>
        <w:t xml:space="preserve"> </w:t>
      </w:r>
      <w:r>
        <w:t xml:space="preserve">“</w:t>
      </w:r>
      <w:r>
        <w:t xml:space="preserve">subject to the provisions of Title I of ERISA</w:t>
      </w:r>
      <w:r>
        <w:t xml:space="preserve">”</w:t>
      </w:r>
      <w:r>
        <w:t xml:space="preserve"> </w:t>
      </w:r>
      <w:r>
        <w:t xml:space="preserve">or</w:t>
      </w:r>
      <w:r>
        <w:t xml:space="preserve"> </w:t>
      </w:r>
      <w:r>
        <w:t xml:space="preserve">“</w:t>
      </w:r>
      <w:r>
        <w:t xml:space="preserve">subject to Section 4975 of the Code,</w:t>
      </w:r>
      <w:r>
        <w:t xml:space="preserve">”</w:t>
      </w:r>
      <w:r>
        <w:t xml:space="preserve"> </w:t>
      </w:r>
      <w:r>
        <w:t xml:space="preserve">which would</w:t>
      </w:r>
      <w:r>
        <w:t xml:space="preserve"> </w:t>
      </w:r>
      <w:r>
        <w:rPr>
          <w:i/>
          <w:iCs/>
        </w:rPr>
        <w:t xml:space="preserve">exclude</w:t>
      </w:r>
      <w:r>
        <w:t xml:space="preserve"> </w:t>
      </w:r>
      <w:r>
        <w:t xml:space="preserve">governmental plans (which are exempt from Title I and Section 4975). The Subscription Agreement’s Box C, however, states that governmental plans</w:t>
      </w:r>
      <w:r>
        <w:t xml:space="preserve"> </w:t>
      </w:r>
      <w:r>
        <w:rPr>
          <w:i/>
          <w:iCs/>
        </w:rPr>
        <w:t xml:space="preserve">are</w:t>
      </w:r>
      <w:r>
        <w:t xml:space="preserve"> </w:t>
      </w:r>
      <w:r>
        <w:t xml:space="preserve">“</w:t>
      </w:r>
      <w:r>
        <w:t xml:space="preserve">treated as benefit plan investors for purposes of the LPA Section 6.8 threshold calculation,</w:t>
      </w:r>
      <w:r>
        <w:t xml:space="preserve">”</w:t>
      </w:r>
      <w:r>
        <w:t xml:space="preserve"> </w:t>
      </w:r>
      <w:r>
        <w:t xml:space="preserve">and the Admin Checklist flags governmental plans as</w:t>
      </w:r>
      <w:r>
        <w:t xml:space="preserve"> </w:t>
      </w:r>
      <w:r>
        <w:t xml:space="preserve">“</w:t>
      </w:r>
      <w:r>
        <w:t xml:space="preserve">ERISA Plan Investor = Y.</w:t>
      </w:r>
      <w:r>
        <w:t xml:space="preserve">”</w:t>
      </w:r>
      <w:r>
        <w:t xml:space="preserve"> </w:t>
      </w:r>
      <w:r>
        <w:t xml:space="preserve">Under the Subscription Agreement’s own Box C framework (counting all governmental plans), the BPI total would be $465,300,000 (28.80%), exceeding the cap. The</w:t>
      </w:r>
      <w:r>
        <w:t xml:space="preserve"> </w:t>
      </w:r>
      <w:r>
        <w:t xml:space="preserve">“</w:t>
      </w:r>
      <w:r>
        <w:t xml:space="preserve">official</w:t>
      </w:r>
      <w:r>
        <w:t xml:space="preserve">”</w:t>
      </w:r>
      <w:r>
        <w:t xml:space="preserve"> </w:t>
      </w:r>
      <w:r>
        <w:t xml:space="preserve">22.00% figure is not reconcilable with either the LPA’s strict definition or the Subscription Agreement’s Box C framework.</w:t>
      </w:r>
      <w:r>
        <w:t xml:space="preserve"> </w:t>
      </w:r>
      <w:r>
        <w:rPr>
          <w:b/>
          <w:bCs/>
        </w:rPr>
        <w:t xml:space="preserve">Recommendation:</w:t>
      </w:r>
      <w:r>
        <w:t xml:space="preserve"> </w:t>
      </w:r>
      <w:r>
        <w:t xml:space="preserve">Reconcile the BPI determination, confirm which LPs are counted, and document the basis in writing before the certificate is executed. If the 28.80% figure is correct, the Final Closing cannot proceed without reducing BPI commitments (Section 6.8 authorizes the General Partner to reduce or decline a BPI’s commitment).</w:t>
      </w:r>
    </w:p>
    <w:p>
      <w:pPr>
        <w:pStyle w:val="BodyText"/>
      </w:pPr>
      <w:r>
        <w:rPr>
          <w:b/>
          <w:bCs/>
        </w:rPr>
        <w:t xml:space="preserve">2. The AML/KYC Email omits Cascade Re Insurance Ltd. (Section 11.2(3)).</w:t>
      </w:r>
      <w:r>
        <w:t xml:space="preserve"> </w:t>
      </w:r>
      <w:r>
        <w:t xml:space="preserve">The AML/KYC condition is non-waivable under Section 11.3. The AML/KYC Email, dated January 24, 2025, is the written confirmation supporting this condition. Its subject line states</w:t>
      </w:r>
      <w:r>
        <w:t xml:space="preserve"> </w:t>
      </w:r>
      <w:r>
        <w:t xml:space="preserve">“</w:t>
      </w:r>
      <w:r>
        <w:t xml:space="preserve">AML/KYC Verification Complete for All Final Closing Investors,</w:t>
      </w:r>
      <w:r>
        <w:t xml:space="preserve">”</w:t>
      </w:r>
      <w:r>
        <w:t xml:space="preserve"> </w:t>
      </w:r>
      <w:r>
        <w:t xml:space="preserve">but the body of the email lists only five (5) investors (Meridian, Haverfield, Northbridge, Sentry, and Kingsgate) and omits Cascade Re Insurance Ltd. (a Bermuda-domiciled Class 3B reinsurer with a $35,000,000 commitment). Cascade Re is the only non-U.S. Final Closing Limited Partner and would customarily require enhanced due diligence. The Admin Checklist (Item 18) marks AML/KYC</w:t>
      </w:r>
      <w:r>
        <w:t xml:space="preserve"> </w:t>
      </w:r>
      <w:r>
        <w:t xml:space="preserve">“</w:t>
      </w:r>
      <w:r>
        <w:t xml:space="preserve">Complete</w:t>
      </w:r>
      <w:r>
        <w:t xml:space="preserve">”</w:t>
      </w:r>
      <w:r>
        <w:t xml:space="preserve"> </w:t>
      </w:r>
      <w:r>
        <w:t xml:space="preserve">for</w:t>
      </w:r>
      <w:r>
        <w:t xml:space="preserve"> </w:t>
      </w:r>
      <w:r>
        <w:t xml:space="preserve">“</w:t>
      </w:r>
      <w:r>
        <w:t xml:space="preserve">all Final Closing limited partners</w:t>
      </w:r>
      <w:r>
        <w:t xml:space="preserve">”</w:t>
      </w:r>
      <w:r>
        <w:t xml:space="preserve"> </w:t>
      </w:r>
      <w:r>
        <w:t xml:space="preserve">based on this same email, but the email does not, in fact, address Cascade Re.</w:t>
      </w:r>
      <w:r>
        <w:t xml:space="preserve"> </w:t>
      </w:r>
      <w:r>
        <w:rPr>
          <w:b/>
          <w:bCs/>
        </w:rPr>
        <w:t xml:space="preserve">Recommendation:</w:t>
      </w:r>
      <w:r>
        <w:t xml:space="preserve"> </w:t>
      </w:r>
      <w:r>
        <w:t xml:space="preserve">Obtain a supplemental written confirmation from the Fund Administrator that AML/KYC verification (including OFAC/sanctions screening, beneficial ownership, and source-of-funds review) has been completed for Cascade Re before the certificate is executed. The Final Closing Certificate’s Condition 3 certification should not be relied upon until this gap is closed.</w:t>
      </w:r>
    </w:p>
    <w:p>
      <w:pPr>
        <w:pStyle w:val="BodyText"/>
      </w:pPr>
      <w:r>
        <w:rPr>
          <w:b/>
          <w:bCs/>
        </w:rPr>
        <w:t xml:space="preserve">3. Distribution waterfall — Amendment No. 1 does not match the LPA (Section 8.3).</w:t>
      </w:r>
      <w:r>
        <w:t xml:space="preserve"> </w:t>
      </w:r>
      <w:r>
        <w:t xml:space="preserve">Amendment No. 1, Section 1.2, purports to correct</w:t>
      </w:r>
      <w:r>
        <w:t xml:space="preserve"> </w:t>
      </w:r>
      <w:r>
        <w:t xml:space="preserve">“</w:t>
      </w:r>
      <w:r>
        <w:t xml:space="preserve">Section 8.3(b)</w:t>
      </w:r>
      <w:r>
        <w:t xml:space="preserve">”</w:t>
      </w:r>
      <w:r>
        <w:t xml:space="preserve"> </w:t>
      </w:r>
      <w:r>
        <w:t xml:space="preserve">of the LPA, which it describes as</w:t>
      </w:r>
      <w:r>
        <w:t xml:space="preserve"> </w:t>
      </w:r>
      <w:r>
        <w:t xml:space="preserve">“</w:t>
      </w:r>
      <w:r>
        <w:t xml:space="preserve">the second tier of the distribution waterfall (the General Partner’s</w:t>
      </w:r>
      <w:r>
        <w:t xml:space="preserve"> </w:t>
      </w:r>
      <w:r>
        <w:t xml:space="preserve">‘</w:t>
      </w:r>
      <w:r>
        <w:t xml:space="preserve">catch-up</w:t>
      </w:r>
      <w:r>
        <w:t xml:space="preserve">’</w:t>
      </w:r>
      <w:r>
        <w:t xml:space="preserve"> </w:t>
      </w:r>
      <w:r>
        <w:t xml:space="preserve">allocation)</w:t>
      </w:r>
      <w:r>
        <w:t xml:space="preserve">”</w:t>
      </w:r>
      <w:r>
        <w:t xml:space="preserve"> </w:t>
      </w:r>
      <w:r>
        <w:t xml:space="preserve">and states that the original Section 8.3(b) provided for</w:t>
      </w:r>
      <w:r>
        <w:t xml:space="preserve"> </w:t>
      </w:r>
      <w:r>
        <w:t xml:space="preserve">“</w:t>
      </w:r>
      <w:r>
        <w:t xml:space="preserve">20% of the aggregate amount distributed pursuant to Section 8.3(a) and this Section 8.3(b).</w:t>
      </w:r>
      <w:r>
        <w:t xml:space="preserve">”</w:t>
      </w:r>
      <w:r>
        <w:t xml:space="preserve"> </w:t>
      </w:r>
      <w:r>
        <w:t xml:space="preserve">This description does not match the actual LPA. In the LPA, Section 8.3(b) is the</w:t>
      </w:r>
      <w:r>
        <w:t xml:space="preserve"> </w:t>
      </w:r>
      <w:r>
        <w:rPr>
          <w:i/>
          <w:iCs/>
        </w:rPr>
        <w:t xml:space="preserve">Preferred Return</w:t>
      </w:r>
      <w:r>
        <w:t xml:space="preserve"> </w:t>
      </w:r>
      <w:r>
        <w:t xml:space="preserve">tier (100% to the Partners until an 8% IRR is achieved), and the General Partner’s catch-up is Section 8.3(c), which already provides that the General Partner receives 100%</w:t>
      </w:r>
      <w:r>
        <w:t xml:space="preserve"> </w:t>
      </w:r>
      <w:r>
        <w:t xml:space="preserve">“</w:t>
      </w:r>
      <w:r>
        <w:t xml:space="preserve">until the General Partner has received, in the aggregate under this Section 8.3(c) and Section 8.3(d), an amount equal to twenty percent (20%) of the sum of all amounts distributed under Sections 8.3(b) and 8.3(c).</w:t>
      </w:r>
      <w:r>
        <w:t xml:space="preserve">”</w:t>
      </w:r>
      <w:r>
        <w:t xml:space="preserve"> </w:t>
      </w:r>
      <w:r>
        <w:t xml:space="preserve">The</w:t>
      </w:r>
      <w:r>
        <w:t xml:space="preserve"> </w:t>
      </w:r>
      <w:r>
        <w:t xml:space="preserve">“</w:t>
      </w:r>
      <w:r>
        <w:t xml:space="preserve">correction</w:t>
      </w:r>
      <w:r>
        <w:t xml:space="preserve">”</w:t>
      </w:r>
      <w:r>
        <w:t xml:space="preserve"> </w:t>
      </w:r>
      <w:r>
        <w:t xml:space="preserve">inserted by Amendment No. 1 (a catch-up formulation) thus duplicates the existing Section 8.3(c) and, if applied literally to Section 8.3(b), would delete the Preferred Return tier. The Amendment’s recitals therefore mischaracterize the LPA’s waterfall structure, and the operative amendment is mis-numbered.</w:t>
      </w:r>
      <w:r>
        <w:t xml:space="preserve"> </w:t>
      </w:r>
      <w:r>
        <w:rPr>
          <w:b/>
          <w:bCs/>
        </w:rPr>
        <w:t xml:space="preserve">Recommendation:</w:t>
      </w:r>
      <w:r>
        <w:t xml:space="preserve"> </w:t>
      </w:r>
      <w:r>
        <w:t xml:space="preserve">Confirm the intended waterfall structure and, if necessary, correct Amendment No. 1 to reference Section 8.3(c) (or issue a conforming amendment). This is a core economic provision and the ambiguity should be resolved and documented.</w:t>
      </w:r>
    </w:p>
    <w:p>
      <w:pPr>
        <w:pStyle w:val="BodyText"/>
      </w:pPr>
      <w:r>
        <w:rPr>
          <w:b/>
          <w:bCs/>
        </w:rPr>
        <w:t xml:space="preserve">4. Escrow funding not yet confirmed (Section 11.2(2)).</w:t>
      </w:r>
      <w:r>
        <w:t xml:space="preserve"> </w:t>
      </w:r>
      <w:r>
        <w:t xml:space="preserve">The Admin Checklist (Item 21) shows escrow funding as</w:t>
      </w:r>
      <w:r>
        <w:t xml:space="preserve"> </w:t>
      </w:r>
      <w:r>
        <w:t xml:space="preserve">“</w:t>
      </w:r>
      <w:r>
        <w:t xml:space="preserve">Pending — Awaiting bank confirmation of wire receipts as of January 30, 2025.</w:t>
      </w:r>
      <w:r>
        <w:t xml:space="preserve">”</w:t>
      </w:r>
      <w:r>
        <w:t xml:space="preserve"> </w:t>
      </w:r>
      <w:r>
        <w:t xml:space="preserve">The GP Memo (Condition 2) likewise shows this item as</w:t>
      </w:r>
      <w:r>
        <w:t xml:space="preserve"> </w:t>
      </w:r>
      <w:r>
        <w:t xml:space="preserve">“</w:t>
      </w:r>
      <w:r>
        <w:t xml:space="preserve">Pending.</w:t>
      </w:r>
      <w:r>
        <w:t xml:space="preserve">”</w:t>
      </w:r>
      <w:r>
        <w:t xml:space="preserve"> </w:t>
      </w:r>
      <w:r>
        <w:t xml:space="preserve">The Final Closing Certificate certifies receipt of all Capital Contributions (including catch-up contributions and equalization interest) in immediately available funds.</w:t>
      </w:r>
      <w:r>
        <w:t xml:space="preserve"> </w:t>
      </w:r>
      <w:r>
        <w:rPr>
          <w:b/>
          <w:bCs/>
        </w:rPr>
        <w:t xml:space="preserve">Recommendation:</w:t>
      </w:r>
      <w:r>
        <w:t xml:space="preserve"> </w:t>
      </w:r>
      <w:r>
        <w:t xml:space="preserve">Obtain the Fund Administrator’s written confirmation of receipt of all Final Closing wires (catch-up capital of $42,750,000 plus equalization interest) before the certificate is executed.</w:t>
      </w:r>
    </w:p>
    <w:p>
      <w:pPr>
        <w:pStyle w:val="BodyText"/>
      </w:pPr>
      <w:r>
        <w:rPr>
          <w:b/>
          <w:bCs/>
        </w:rPr>
        <w:t xml:space="preserve">5. Legal opinions not yet executed (Section 11.2(7)).</w:t>
      </w:r>
      <w:r>
        <w:t xml:space="preserve"> </w:t>
      </w:r>
      <w:r>
        <w:t xml:space="preserve">The Admin Checklist (Item 23) shows the legal opinions as</w:t>
      </w:r>
      <w:r>
        <w:t xml:space="preserve"> </w:t>
      </w:r>
      <w:r>
        <w:t xml:space="preserve">“</w:t>
      </w:r>
      <w:r>
        <w:t xml:space="preserve">Draft circulated — awaiting execution,</w:t>
      </w:r>
      <w:r>
        <w:t xml:space="preserve">”</w:t>
      </w:r>
      <w:r>
        <w:t xml:space="preserve"> </w:t>
      </w:r>
      <w:r>
        <w:t xml:space="preserve">with the draft circulated January 28, 2025. The GP Memo (Condition 7) shows this item as</w:t>
      </w:r>
      <w:r>
        <w:t xml:space="preserve"> </w:t>
      </w:r>
      <w:r>
        <w:t xml:space="preserve">“</w:t>
      </w:r>
      <w:r>
        <w:t xml:space="preserve">In Process.</w:t>
      </w:r>
      <w:r>
        <w:t xml:space="preserve">”</w:t>
      </w:r>
      <w:r>
        <w:t xml:space="preserve"> </w:t>
      </w:r>
      <w:r>
        <w:t xml:space="preserve">The Final Closing Certificate certifies that Fund Counsel has delivered the required opinions.</w:t>
      </w:r>
      <w:r>
        <w:t xml:space="preserve"> </w:t>
      </w:r>
      <w:r>
        <w:rPr>
          <w:b/>
          <w:bCs/>
        </w:rPr>
        <w:t xml:space="preserve">Recommendation:</w:t>
      </w:r>
      <w:r>
        <w:t xml:space="preserve"> </w:t>
      </w:r>
      <w:r>
        <w:t xml:space="preserve">Ensure the final executed opinions (formation, enforceability, and limited liability of the Limited Partners, as required by Section 11.2(7)(iii)) are delivered as of the Final Closing Date. Note that the GP Memo’s description of the opinions lists a securities law/Regulation D opinion but does not expressly mention the limited liability opinion that Section 11.2(7)(iii) specifically requires; confirm the opinions address limited liability.</w:t>
      </w:r>
    </w:p>
    <w:p>
      <w:pPr>
        <w:pStyle w:val="BodyText"/>
      </w:pPr>
      <w:r>
        <w:rPr>
          <w:b/>
          <w:bCs/>
        </w:rPr>
        <w:t xml:space="preserve">6. Updated Schedule A not finalized and internally inconsistent (Section 11.2(8)).</w:t>
      </w:r>
      <w:r>
        <w:t xml:space="preserve"> </w:t>
      </w:r>
      <w:r>
        <w:t xml:space="preserve">The GP Memo (Condition 8) shows the updated Schedule A as</w:t>
      </w:r>
      <w:r>
        <w:t xml:space="preserve"> </w:t>
      </w:r>
      <w:r>
        <w:t xml:space="preserve">“</w:t>
      </w:r>
      <w:r>
        <w:t xml:space="preserve">In Process</w:t>
      </w:r>
      <w:r>
        <w:t xml:space="preserve">”</w:t>
      </w:r>
      <w:r>
        <w:t xml:space="preserve"> </w:t>
      </w:r>
      <w:r>
        <w:t xml:space="preserve">as of January 28, 2025. The Admin Checklist (Item 26) marks it</w:t>
      </w:r>
      <w:r>
        <w:t xml:space="preserve"> </w:t>
      </w:r>
      <w:r>
        <w:t xml:space="preserve">“</w:t>
      </w:r>
      <w:r>
        <w:t xml:space="preserve">Complete</w:t>
      </w:r>
      <w:r>
        <w:t xml:space="preserve">”</w:t>
      </w:r>
      <w:r>
        <w:t xml:space="preserve"> </w:t>
      </w:r>
      <w:r>
        <w:t xml:space="preserve">as of January 30, 2025, referencing the Commitment Schedule tab. However, that tab contains the ERISA Y-flag inconsistency described in Item 1 and the individual commitment discrepancies described in Items 7 and 8.</w:t>
      </w:r>
      <w:r>
        <w:t xml:space="preserve"> </w:t>
      </w:r>
      <w:r>
        <w:rPr>
          <w:b/>
          <w:bCs/>
        </w:rPr>
        <w:t xml:space="preserve">Recommendation:</w:t>
      </w:r>
      <w:r>
        <w:t xml:space="preserve"> </w:t>
      </w:r>
      <w:r>
        <w:t xml:space="preserve">Finalize the Schedule A only after the Items 1, 7, and 8 discrepancies are resolved.</w:t>
      </w:r>
    </w:p>
    <w:p>
      <w:r>
        <w:pict>
          <v:rect style="width:0;height:1.5pt" o:hralign="center" o:hrstd="t" o:hr="t"/>
        </w:pict>
      </w:r>
    </w:p>
    <w:bookmarkEnd w:id="22"/>
    <w:bookmarkStart w:id="23" w:name="X58e12bcf48bd38a853186af77b4fa447f8e3e7a"/>
    <w:p>
      <w:pPr>
        <w:pStyle w:val="Heading2"/>
      </w:pPr>
      <w:r>
        <w:t xml:space="preserve">IV. Material Discrepancies Among Source Documents</w:t>
      </w:r>
    </w:p>
    <w:p>
      <w:pPr>
        <w:pStyle w:val="FirstParagraph"/>
      </w:pPr>
      <w:r>
        <w:rPr>
          <w:b/>
          <w:bCs/>
        </w:rPr>
        <w:t xml:space="preserve">7. Capital Commitments of three Advisory Committee member LPs differ between CC#2 and the Admin Checklist.</w:t>
      </w:r>
      <w:r>
        <w:t xml:space="preserve"> </w:t>
      </w:r>
      <w:r>
        <w:t xml:space="preserve">CC#2 (Exhibit A) lists the following Initial Closing commitments: Silvermark Capital Advisors — $125,000,000; Commonwealth Public Employees’ Retirement Fund — $100,000,000; Graystone Foundation — $75,000,000. The Admin Checklist (Commitment Schedule) lists: Silvermark Capital Advisors — $75,000,000; Commonwealth Public Employees’ Retirement Fund — $85,000,000; Graystone Foundation — $50,000,000. These three LPs are the Initial Closing representatives on the Advisory Committee (Rachel M. Torres / Silvermark; Kenneth W. Park / Commonwealth; Diane L. Voss / Graystone). The differences ($50,000,000; $15,000,000; and $25,000,000, respectively) net to zero against the</w:t>
      </w:r>
      <w:r>
        <w:t xml:space="preserve"> </w:t>
      </w:r>
      <w:r>
        <w:t xml:space="preserve">“</w:t>
      </w:r>
      <w:r>
        <w:t xml:space="preserve">15 Additional</w:t>
      </w:r>
      <w:r>
        <w:t xml:space="preserve">”</w:t>
      </w:r>
      <w:r>
        <w:t xml:space="preserve"> </w:t>
      </w:r>
      <w:r>
        <w:t xml:space="preserve">subtotal, so both documents total $940,000,000, but the per-LP allocations conflict. Because CC#2 called 5% of each LP’s commitment, the per-LP call amounts in CC#2 (Silvermark $6,250,000; Commonwealth $5,000,000; Graystone $3,750,000) would be overstated by $2,500,000, $750,000, and $1,250,000, respectively, if the Admin Checklist figures are correct.</w:t>
      </w:r>
      <w:r>
        <w:t xml:space="preserve"> </w:t>
      </w:r>
      <w:r>
        <w:rPr>
          <w:b/>
          <w:bCs/>
        </w:rPr>
        <w:t xml:space="preserve">Recommendation:</w:t>
      </w:r>
      <w:r>
        <w:t xml:space="preserve"> </w:t>
      </w:r>
      <w:r>
        <w:t xml:space="preserve">Confirm the correct individual commitments and reconcile CC#2’s Exhibit A; verify whether any LP was over- or under-called.</w:t>
      </w:r>
    </w:p>
    <w:p>
      <w:pPr>
        <w:pStyle w:val="BodyText"/>
      </w:pPr>
      <w:r>
        <w:rPr>
          <w:b/>
          <w:bCs/>
        </w:rPr>
        <w:t xml:space="preserve">8. Birchwood Insurance Co. commitment differs between Amendment No. 1 and the other documents.</w:t>
      </w:r>
      <w:r>
        <w:t xml:space="preserve"> </w:t>
      </w:r>
      <w:r>
        <w:t xml:space="preserve">Amendment No. 1 (Section 1.3(a)) states that Birchwood Insurance Co. (a Second Closing Limited Partner whose representative, Thomas A. Riley, was appointed to the Advisory Committee) has a Capital Commitment of $75,000,000. CC#2 (Exhibit A) and the Admin Checklist (Commitment Schedule) both state Birchwood’s commitment as $60,000,000. The Second Closing LP subtotal of $375,000,000 is internally consistent in CC#2 and the Admin Checklist using the $60,000,000 figure, so the Amendment No. 1 figure of $75,000,000 appears to be the outlier.</w:t>
      </w:r>
      <w:r>
        <w:t xml:space="preserve"> </w:t>
      </w:r>
      <w:r>
        <w:rPr>
          <w:b/>
          <w:bCs/>
        </w:rPr>
        <w:t xml:space="preserve">Recommendation:</w:t>
      </w:r>
      <w:r>
        <w:t xml:space="preserve"> </w:t>
      </w:r>
      <w:r>
        <w:t xml:space="preserve">Correct Amendment No. 1 (or confirm the correct figure) and ensure the Advisory Committee records reflect the correct commitment.</w:t>
      </w:r>
    </w:p>
    <w:p>
      <w:pPr>
        <w:pStyle w:val="BodyText"/>
      </w:pPr>
      <w:r>
        <w:rPr>
          <w:b/>
          <w:bCs/>
        </w:rPr>
        <w:t xml:space="preserve">9. Total equalization interest differs between the Subscription Agreement and the Admin Checklist.</w:t>
      </w:r>
      <w:r>
        <w:t xml:space="preserve"> </w:t>
      </w:r>
      <w:r>
        <w:t xml:space="preserve">The Subscription Agreement (Schedule I) states total equalization interest of $852,657.53 (per-LP sum) and $852,661.64 (stated</w:t>
      </w:r>
      <w:r>
        <w:t xml:space="preserve"> </w:t>
      </w:r>
      <w:r>
        <w:t xml:space="preserve">“</w:t>
      </w:r>
      <w:r>
        <w:t xml:space="preserve">aggregate LPA methodology,</w:t>
      </w:r>
      <w:r>
        <w:t xml:space="preserve">”</w:t>
      </w:r>
      <w:r>
        <w:t xml:space="preserve"> </w:t>
      </w:r>
      <w:r>
        <w:t xml:space="preserve">designated the</w:t>
      </w:r>
      <w:r>
        <w:t xml:space="preserve"> </w:t>
      </w:r>
      <w:r>
        <w:t xml:space="preserve">“</w:t>
      </w:r>
      <w:r>
        <w:t xml:space="preserve">controlling</w:t>
      </w:r>
      <w:r>
        <w:t xml:space="preserve">”</w:t>
      </w:r>
      <w:r>
        <w:t xml:space="preserve"> </w:t>
      </w:r>
      <w:r>
        <w:t xml:space="preserve">amount), yielding a total amount due at closing of $43,602,661.64. The Admin Checklist (Equalization Calc tab) states total equalization interest of $849,534.24, yielding a total amount due of $43,599,534.24. The difference in total amount due is $3,127.40, comprising $3,123.29 attributable to the day-count discrepancy described in Item 10 and $4.11 attributable to the unreconciled</w:t>
      </w:r>
      <w:r>
        <w:t xml:space="preserve"> </w:t>
      </w:r>
      <w:r>
        <w:t xml:space="preserve">“</w:t>
      </w:r>
      <w:r>
        <w:t xml:space="preserve">controlling</w:t>
      </w:r>
      <w:r>
        <w:t xml:space="preserve">”</w:t>
      </w:r>
      <w:r>
        <w:t xml:space="preserve"> </w:t>
      </w:r>
      <w:r>
        <w:t xml:space="preserve">aggregate figure described in Item 11.</w:t>
      </w:r>
      <w:r>
        <w:t xml:space="preserve"> </w:t>
      </w:r>
      <w:r>
        <w:rPr>
          <w:b/>
          <w:bCs/>
        </w:rPr>
        <w:t xml:space="preserve">Recommendation:</w:t>
      </w:r>
      <w:r>
        <w:t xml:space="preserve"> </w:t>
      </w:r>
      <w:r>
        <w:t xml:space="preserve">Confirm the controlling equalization interest figure and ensure the closing statement and the certificate reference a single, reconciled amount.</w:t>
      </w:r>
    </w:p>
    <w:p>
      <w:pPr>
        <w:pStyle w:val="BodyText"/>
      </w:pPr>
      <w:r>
        <w:rPr>
          <w:b/>
          <w:bCs/>
        </w:rPr>
        <w:t xml:space="preserve">10. Day-count convention for Capital Call No. 2 differs between the Subscription Agreement and the Admin Checklist.</w:t>
      </w:r>
      <w:r>
        <w:t xml:space="preserve"> </w:t>
      </w:r>
      <w:r>
        <w:t xml:space="preserve">The Subscription Agreement (Schedule I) computes equalization interest for CC#2 using 47 days (December 15, 2024 through January 31, 2025). The Admin Checklist (Equalization Calc tab) uses 46 days for the same period. The LPA (Section 3.2(c)) computes equalization interest</w:t>
      </w:r>
      <w:r>
        <w:t xml:space="preserve"> </w:t>
      </w:r>
      <w:r>
        <w:t xml:space="preserve">“</w:t>
      </w:r>
      <w:r>
        <w:t xml:space="preserve">from the date of the applicable prior Capital Call through and including the date of the applicable Subsequent Closing,</w:t>
      </w:r>
      <w:r>
        <w:t xml:space="preserve">”</w:t>
      </w:r>
      <w:r>
        <w:t xml:space="preserve"> </w:t>
      </w:r>
      <w:r>
        <w:t xml:space="preserve">which, read to include both endpoints, would yield 48 days for CC#2 (and 114 days for CC#1, whereas both the Subscription Agreement and the Admin Checklist use 113 days for CC#1).</w:t>
      </w:r>
      <w:r>
        <w:t xml:space="preserve"> </w:t>
      </w:r>
      <w:r>
        <w:rPr>
          <w:b/>
          <w:bCs/>
        </w:rPr>
        <w:t xml:space="preserve">Recommendation:</w:t>
      </w:r>
      <w:r>
        <w:t xml:space="preserve"> </w:t>
      </w:r>
      <w:r>
        <w:t xml:space="preserve">Confirm the intended day-count convention (inclusive vs. exclusive of endpoints) and apply it consistently. The dollar impact of the CC#2 one-day difference is approximately $3,123.29; the CC#1 convention difference (113 vs. 114) would be approximately $6,246.58.</w:t>
      </w:r>
    </w:p>
    <w:p>
      <w:pPr>
        <w:pStyle w:val="BodyText"/>
      </w:pPr>
      <w:r>
        <w:rPr>
          <w:b/>
          <w:bCs/>
        </w:rPr>
        <w:t xml:space="preserve">11. The Subscription Agreement’s</w:t>
      </w:r>
      <w:r>
        <w:rPr>
          <w:b/>
          <w:bCs/>
        </w:rPr>
        <w:t xml:space="preserve"> </w:t>
      </w:r>
      <w:r>
        <w:rPr>
          <w:b/>
          <w:bCs/>
        </w:rPr>
        <w:t xml:space="preserve">“</w:t>
      </w:r>
      <w:r>
        <w:rPr>
          <w:b/>
          <w:bCs/>
        </w:rPr>
        <w:t xml:space="preserve">controlling</w:t>
      </w:r>
      <w:r>
        <w:rPr>
          <w:b/>
          <w:bCs/>
        </w:rPr>
        <w:t xml:space="preserve">”</w:t>
      </w:r>
      <w:r>
        <w:rPr>
          <w:b/>
          <w:bCs/>
        </w:rPr>
        <w:t xml:space="preserve"> </w:t>
      </w:r>
      <w:r>
        <w:rPr>
          <w:b/>
          <w:bCs/>
        </w:rPr>
        <w:t xml:space="preserve">aggregate equalization interest figure does not reconcile.</w:t>
      </w:r>
      <w:r>
        <w:t xml:space="preserve"> </w:t>
      </w:r>
      <w:r>
        <w:t xml:space="preserve">The Subscription Agreement (Schedule I) designates $852,661.64 as the</w:t>
      </w:r>
      <w:r>
        <w:t xml:space="preserve"> </w:t>
      </w:r>
      <w:r>
        <w:t xml:space="preserve">“</w:t>
      </w:r>
      <w:r>
        <w:t xml:space="preserve">controlling</w:t>
      </w:r>
      <w:r>
        <w:t xml:space="preserve">”</w:t>
      </w:r>
      <w:r>
        <w:t xml:space="preserve"> </w:t>
      </w:r>
      <w:r>
        <w:t xml:space="preserve">aggregate equalization interest and attributes a $4.11 difference from the per-LP sum ($852,657.53) to</w:t>
      </w:r>
      <w:r>
        <w:t xml:space="preserve"> </w:t>
      </w:r>
      <w:r>
        <w:t xml:space="preserve">“</w:t>
      </w:r>
      <w:r>
        <w:t xml:space="preserve">rounding in the individual per-LP calculations.</w:t>
      </w:r>
      <w:r>
        <w:t xml:space="preserve">”</w:t>
      </w:r>
      <w:r>
        <w:t xml:space="preserve"> </w:t>
      </w:r>
      <w:r>
        <w:t xml:space="preserve">However, the per-LP figures are exact and sum precisely to $852,657.53, which also equals an independent aggregate calculation ($28,500,000 × 8% × 113/365 + $14,250,000 × 8% × 47/365 = $852,657.53). The stated $852,661.64 figure does not reconcile to either the per-LP sum or a correct aggregate calculation, and the stated rounding explanation is incorrect. The</w:t>
      </w:r>
      <w:r>
        <w:t xml:space="preserve"> </w:t>
      </w:r>
      <w:r>
        <w:t xml:space="preserve">“</w:t>
      </w:r>
      <w:r>
        <w:t xml:space="preserve">Total Amount Due at Final Closing</w:t>
      </w:r>
      <w:r>
        <w:t xml:space="preserve">”</w:t>
      </w:r>
      <w:r>
        <w:t xml:space="preserve"> </w:t>
      </w:r>
      <w:r>
        <w:t xml:space="preserve">of $43,602,661.64 is correspondingly overstated by $4.11.</w:t>
      </w:r>
      <w:r>
        <w:t xml:space="preserve"> </w:t>
      </w:r>
      <w:r>
        <w:rPr>
          <w:b/>
          <w:bCs/>
        </w:rPr>
        <w:t xml:space="preserve">Recommendation:</w:t>
      </w:r>
      <w:r>
        <w:t xml:space="preserve"> </w:t>
      </w:r>
      <w:r>
        <w:t xml:space="preserve">Correct the aggregate figure and the explanation.</w:t>
      </w:r>
    </w:p>
    <w:p>
      <w:pPr>
        <w:pStyle w:val="BodyText"/>
      </w:pPr>
      <w:r>
        <w:rPr>
          <w:b/>
          <w:bCs/>
        </w:rPr>
        <w:t xml:space="preserve">12. Target Fund Size exceeded — Advisory Committee notification not addressed (Section 3.1(d)).</w:t>
      </w:r>
      <w:r>
        <w:t xml:space="preserve"> </w:t>
      </w:r>
      <w:r>
        <w:t xml:space="preserve">Total Fund Commitments after the Final Closing ($1,615,000,000) exceed the Target Fund Size ($1,500,000,000) by $115,000,000. Section 3.1(d) requires the General Partner to notify the Advisory Committee in writing of such excess, including the amount of the excess and the identities and commitments of the Partners admitted at the applicable Closing, not later than five (5) Business Days following the Closing at which the Target Fund Size is first exceeded. The Target Fund Size was not exceeded at the Initial Closing ($955,000,000) or the Second Closing ($1,330,000,000); it is first exceeded at the Final Closing. Neither the GP Memo (whose Section XII outstanding-items list does not include this notification) nor the Admin Checklist identifies this notification as a required deliverable.</w:t>
      </w:r>
      <w:r>
        <w:t xml:space="preserve"> </w:t>
      </w:r>
      <w:r>
        <w:rPr>
          <w:b/>
          <w:bCs/>
        </w:rPr>
        <w:t xml:space="preserve">Recommendation:</w:t>
      </w:r>
      <w:r>
        <w:t xml:space="preserve"> </w:t>
      </w:r>
      <w:r>
        <w:t xml:space="preserve">Prepare and deliver the Section 3.1(d) Advisory Committee notification within five Business Days after the Final Closing.</w:t>
      </w:r>
    </w:p>
    <w:p>
      <w:pPr>
        <w:pStyle w:val="BodyText"/>
      </w:pPr>
      <w:r>
        <w:rPr>
          <w:b/>
          <w:bCs/>
        </w:rPr>
        <w:t xml:space="preserve">13. The Subscription Agreement mischaracterizes the Section 3.1(d) notification as a</w:t>
      </w:r>
      <w:r>
        <w:rPr>
          <w:b/>
          <w:bCs/>
        </w:rPr>
        <w:t xml:space="preserve"> </w:t>
      </w:r>
      <w:r>
        <w:rPr>
          <w:b/>
          <w:bCs/>
        </w:rPr>
        <w:t xml:space="preserve">“</w:t>
      </w:r>
      <w:r>
        <w:rPr>
          <w:b/>
          <w:bCs/>
        </w:rPr>
        <w:t xml:space="preserve">condition to acceptance.</w:t>
      </w:r>
      <w:r>
        <w:rPr>
          <w:b/>
          <w:bCs/>
        </w:rPr>
        <w:t xml:space="preserve">”</w:t>
      </w:r>
      <w:r>
        <w:t xml:space="preserve"> </w:t>
      </w:r>
      <w:r>
        <w:t xml:space="preserve">The Subscription Agreement (preamble and Section 5.1) states that the Advisory Committee notification under Section 3.1(d)</w:t>
      </w:r>
      <w:r>
        <w:t xml:space="preserve"> </w:t>
      </w:r>
      <w:r>
        <w:t xml:space="preserve">“</w:t>
      </w:r>
      <w:r>
        <w:t xml:space="preserve">is a condition to the acceptance of commitments above the Fund Target.</w:t>
      </w:r>
      <w:r>
        <w:t xml:space="preserve">”</w:t>
      </w:r>
      <w:r>
        <w:t xml:space="preserve"> </w:t>
      </w:r>
      <w:r>
        <w:t xml:space="preserve">The LPA does not frame the notification as a condition precedent to closing; Section 11.2 does not include it among the conditions precedent, and Section 3.1(d) expressly provides that exceeding the Target Fund Size</w:t>
      </w:r>
      <w:r>
        <w:t xml:space="preserve"> </w:t>
      </w:r>
      <w:r>
        <w:t xml:space="preserve">“</w:t>
      </w:r>
      <w:r>
        <w:t xml:space="preserve">shall not require Advisory Committee consent.</w:t>
      </w:r>
      <w:r>
        <w:t xml:space="preserve">”</w:t>
      </w:r>
      <w:r>
        <w:t xml:space="preserve"> </w:t>
      </w:r>
      <w:r>
        <w:t xml:space="preserve">The notification is a post-closing obligation, not a closing condition.</w:t>
      </w:r>
      <w:r>
        <w:t xml:space="preserve"> </w:t>
      </w:r>
      <w:r>
        <w:rPr>
          <w:b/>
          <w:bCs/>
        </w:rPr>
        <w:t xml:space="preserve">Recommendation:</w:t>
      </w:r>
      <w:r>
        <w:t xml:space="preserve"> </w:t>
      </w:r>
      <w:r>
        <w:t xml:space="preserve">Correct the Subscription Agreement’s characterization in any future version or by side letter clarification.</w:t>
      </w:r>
    </w:p>
    <w:p>
      <w:pPr>
        <w:pStyle w:val="BodyText"/>
      </w:pPr>
      <w:r>
        <w:rPr>
          <w:b/>
          <w:bCs/>
        </w:rPr>
        <w:t xml:space="preserve">14. Cross-reference / section-citation errors.</w:t>
      </w:r>
      <w:r>
        <w:t xml:space="preserve"> </w:t>
      </w:r>
      <w:r>
        <w:t xml:space="preserve">Multiple Source Documents cite LPA sections that do not correspond to the actual LPA. The following have been identified:</w:t>
      </w:r>
    </w:p>
    <w:p>
      <w:pPr>
        <w:pStyle w:val="Compact"/>
        <w:numPr>
          <w:ilvl w:val="0"/>
          <w:numId w:val="1004"/>
        </w:numPr>
      </w:pPr>
    </w:p>
    <w:p>
      <w:pPr>
        <w:pStyle w:val="Compact"/>
        <w:numPr>
          <w:ilvl w:val="1"/>
          <w:numId w:val="1005"/>
        </w:numPr>
      </w:pPr>
      <w:r>
        <w:t xml:space="preserve">Amendment No. 1 (recitals) cites</w:t>
      </w:r>
      <w:r>
        <w:t xml:space="preserve"> </w:t>
      </w:r>
      <w:r>
        <w:t xml:space="preserve">“</w:t>
      </w:r>
      <w:r>
        <w:t xml:space="preserve">Section 11.1(b)</w:t>
      </w:r>
      <w:r>
        <w:t xml:space="preserve">”</w:t>
      </w:r>
      <w:r>
        <w:t xml:space="preserve"> </w:t>
      </w:r>
      <w:r>
        <w:t xml:space="preserve">for the General Partner’s authority to hold subsequent closings — the correct citation is Section 3.1(b) (Section 11.1 contains no such subsection).</w:t>
      </w:r>
    </w:p>
    <w:p>
      <w:pPr>
        <w:pStyle w:val="Compact"/>
        <w:numPr>
          <w:ilvl w:val="0"/>
          <w:numId w:val="1004"/>
        </w:numPr>
      </w:pPr>
    </w:p>
    <w:p>
      <w:pPr>
        <w:pStyle w:val="Compact"/>
        <w:numPr>
          <w:ilvl w:val="1"/>
          <w:numId w:val="1006"/>
        </w:numPr>
      </w:pPr>
      <w:r>
        <w:t xml:space="preserve">Amendment No. 1 (recitals and Section 1.2(c)) cites</w:t>
      </w:r>
      <w:r>
        <w:t xml:space="preserve"> </w:t>
      </w:r>
      <w:r>
        <w:t xml:space="preserve">“</w:t>
      </w:r>
      <w:r>
        <w:t xml:space="preserve">Section 14.3</w:t>
      </w:r>
      <w:r>
        <w:t xml:space="preserve">”</w:t>
      </w:r>
      <w:r>
        <w:t xml:space="preserve"> </w:t>
      </w:r>
      <w:r>
        <w:t xml:space="preserve">and</w:t>
      </w:r>
      <w:r>
        <w:t xml:space="preserve"> </w:t>
      </w:r>
      <w:r>
        <w:t xml:space="preserve">“</w:t>
      </w:r>
      <w:r>
        <w:t xml:space="preserve">Section 14.3(b)</w:t>
      </w:r>
      <w:r>
        <w:t xml:space="preserve">”</w:t>
      </w:r>
      <w:r>
        <w:t xml:space="preserve"> </w:t>
      </w:r>
      <w:r>
        <w:t xml:space="preserve">for the General Partner’s unilateral amendment authority — the correct citation is Section 14.1 (Section 14.3 is Governing Law).</w:t>
      </w:r>
    </w:p>
    <w:p>
      <w:pPr>
        <w:pStyle w:val="Compact"/>
        <w:numPr>
          <w:ilvl w:val="0"/>
          <w:numId w:val="1004"/>
        </w:numPr>
      </w:pPr>
    </w:p>
    <w:p>
      <w:pPr>
        <w:pStyle w:val="Compact"/>
        <w:numPr>
          <w:ilvl w:val="1"/>
          <w:numId w:val="1007"/>
        </w:numPr>
      </w:pPr>
      <w:r>
        <w:t xml:space="preserve">Amendment No. 1 (recitals) cites</w:t>
      </w:r>
      <w:r>
        <w:t xml:space="preserve"> </w:t>
      </w:r>
      <w:r>
        <w:t xml:space="preserve">“</w:t>
      </w:r>
      <w:r>
        <w:t xml:space="preserve">Section 3.1(a)</w:t>
      </w:r>
      <w:r>
        <w:t xml:space="preserve">”</w:t>
      </w:r>
      <w:r>
        <w:t xml:space="preserve"> </w:t>
      </w:r>
      <w:r>
        <w:t xml:space="preserve">for the Hard Cap and Target Fund Size — the correct citations are Section 3.1(c) (Hard Cap) and Section 3.1(d) (Target Fund Size); Section 3.1(a) is the Initial Closing.</w:t>
      </w:r>
    </w:p>
    <w:p>
      <w:pPr>
        <w:pStyle w:val="Compact"/>
        <w:numPr>
          <w:ilvl w:val="0"/>
          <w:numId w:val="1004"/>
        </w:numPr>
      </w:pPr>
    </w:p>
    <w:p>
      <w:pPr>
        <w:pStyle w:val="Compact"/>
        <w:numPr>
          <w:ilvl w:val="1"/>
          <w:numId w:val="1008"/>
        </w:numPr>
      </w:pPr>
      <w:r>
        <w:t xml:space="preserve">Amendment No. 1 (Section 2.2(a)) cites</w:t>
      </w:r>
      <w:r>
        <w:t xml:space="preserve"> </w:t>
      </w:r>
      <w:r>
        <w:t xml:space="preserve">“</w:t>
      </w:r>
      <w:r>
        <w:t xml:space="preserve">Article XII</w:t>
      </w:r>
      <w:r>
        <w:t xml:space="preserve">”</w:t>
      </w:r>
      <w:r>
        <w:t xml:space="preserve"> </w:t>
      </w:r>
      <w:r>
        <w:t xml:space="preserve">for the General Partner’s representations and warranties — the LPA contains no such article of GP representations; Article XII is</w:t>
      </w:r>
      <w:r>
        <w:t xml:space="preserve"> </w:t>
      </w:r>
      <w:r>
        <w:t xml:space="preserve">“</w:t>
      </w:r>
      <w:r>
        <w:t xml:space="preserve">Confidentiality; Side Letters; MFN.</w:t>
      </w:r>
      <w:r>
        <w:t xml:space="preserve">”</w:t>
      </w:r>
    </w:p>
    <w:p>
      <w:pPr>
        <w:pStyle w:val="Compact"/>
        <w:numPr>
          <w:ilvl w:val="0"/>
          <w:numId w:val="1004"/>
        </w:numPr>
      </w:pPr>
    </w:p>
    <w:p>
      <w:pPr>
        <w:pStyle w:val="Compact"/>
        <w:numPr>
          <w:ilvl w:val="1"/>
          <w:numId w:val="1009"/>
        </w:numPr>
      </w:pPr>
      <w:r>
        <w:t xml:space="preserve">The GP Memo (Condition 10) cites</w:t>
      </w:r>
      <w:r>
        <w:t xml:space="preserve"> </w:t>
      </w:r>
      <w:r>
        <w:t xml:space="preserve">“</w:t>
      </w:r>
      <w:r>
        <w:t xml:space="preserve">Article VII</w:t>
      </w:r>
      <w:r>
        <w:t xml:space="preserve">”</w:t>
      </w:r>
      <w:r>
        <w:t xml:space="preserve"> </w:t>
      </w:r>
      <w:r>
        <w:t xml:space="preserve">for the General Partner’s representations and warranties — Article VII is</w:t>
      </w:r>
      <w:r>
        <w:t xml:space="preserve"> </w:t>
      </w:r>
      <w:r>
        <w:t xml:space="preserve">“</w:t>
      </w:r>
      <w:r>
        <w:t xml:space="preserve">Management Fees and Expenses.</w:t>
      </w:r>
      <w:r>
        <w:t xml:space="preserve">”</w:t>
      </w:r>
      <w:r>
        <w:t xml:space="preserve"> </w:t>
      </w:r>
      <w:r>
        <w:t xml:space="preserve">This is inconsistent with the Amendment’s</w:t>
      </w:r>
      <w:r>
        <w:t xml:space="preserve"> </w:t>
      </w:r>
      <w:r>
        <w:t xml:space="preserve">“</w:t>
      </w:r>
      <w:r>
        <w:t xml:space="preserve">Article XII</w:t>
      </w:r>
      <w:r>
        <w:t xml:space="preserve">”</w:t>
      </w:r>
      <w:r>
        <w:t xml:space="preserve"> </w:t>
      </w:r>
      <w:r>
        <w:t xml:space="preserve">citation, and neither matches the LPA.</w:t>
      </w:r>
    </w:p>
    <w:p>
      <w:pPr>
        <w:pStyle w:val="Compact"/>
        <w:numPr>
          <w:ilvl w:val="0"/>
          <w:numId w:val="1004"/>
        </w:numPr>
      </w:pPr>
    </w:p>
    <w:p>
      <w:pPr>
        <w:pStyle w:val="Compact"/>
        <w:numPr>
          <w:ilvl w:val="1"/>
          <w:numId w:val="1010"/>
        </w:numPr>
      </w:pPr>
      <w:r>
        <w:t xml:space="preserve">The GP Memo (Section VIII) cites</w:t>
      </w:r>
      <w:r>
        <w:t xml:space="preserve"> </w:t>
      </w:r>
      <w:r>
        <w:t xml:space="preserve">“</w:t>
      </w:r>
      <w:r>
        <w:t xml:space="preserve">Section 8.1</w:t>
      </w:r>
      <w:r>
        <w:t xml:space="preserve">”</w:t>
      </w:r>
      <w:r>
        <w:t xml:space="preserve"> </w:t>
      </w:r>
      <w:r>
        <w:t xml:space="preserve">for termination of the Investment Period — the correct citation is Section 2.7 (Section 8.1 is</w:t>
      </w:r>
      <w:r>
        <w:t xml:space="preserve"> </w:t>
      </w:r>
      <w:r>
        <w:t xml:space="preserve">“</w:t>
      </w:r>
      <w:r>
        <w:t xml:space="preserve">Timing and Form of Distributions</w:t>
      </w:r>
      <w:r>
        <w:t xml:space="preserve">”</w:t>
      </w:r>
      <w:r>
        <w:t xml:space="preserve">).</w:t>
      </w:r>
    </w:p>
    <w:p>
      <w:pPr>
        <w:pStyle w:val="Compact"/>
        <w:numPr>
          <w:ilvl w:val="0"/>
          <w:numId w:val="1004"/>
        </w:numPr>
      </w:pPr>
    </w:p>
    <w:p>
      <w:pPr>
        <w:pStyle w:val="Compact"/>
        <w:numPr>
          <w:ilvl w:val="1"/>
          <w:numId w:val="1011"/>
        </w:numPr>
      </w:pPr>
      <w:r>
        <w:t xml:space="preserve">The Subscription Agreement (Section 1.2) cites</w:t>
      </w:r>
      <w:r>
        <w:t xml:space="preserve"> </w:t>
      </w:r>
      <w:r>
        <w:t xml:space="preserve">“</w:t>
      </w:r>
      <w:r>
        <w:t xml:space="preserve">Section 3.5</w:t>
      </w:r>
      <w:r>
        <w:t xml:space="preserve">”</w:t>
      </w:r>
      <w:r>
        <w:t xml:space="preserve"> </w:t>
      </w:r>
      <w:r>
        <w:t xml:space="preserve">for default remedies — the correct citation is Section 3.3 (no Section 3.5 exists in the LPA).</w:t>
      </w:r>
    </w:p>
    <w:p>
      <w:pPr>
        <w:pStyle w:val="Compact"/>
        <w:numPr>
          <w:ilvl w:val="0"/>
          <w:numId w:val="1004"/>
        </w:numPr>
      </w:pPr>
    </w:p>
    <w:p>
      <w:pPr>
        <w:pStyle w:val="Compact"/>
        <w:numPr>
          <w:ilvl w:val="1"/>
          <w:numId w:val="1012"/>
        </w:numPr>
      </w:pPr>
      <w:r>
        <w:t xml:space="preserve">The Subscription Agreement (Sections 3.1 and 8.8) cites</w:t>
      </w:r>
      <w:r>
        <w:t xml:space="preserve"> </w:t>
      </w:r>
      <w:r>
        <w:t xml:space="preserve">“</w:t>
      </w:r>
      <w:r>
        <w:t xml:space="preserve">Article X</w:t>
      </w:r>
      <w:r>
        <w:t xml:space="preserve">”</w:t>
      </w:r>
      <w:r>
        <w:t xml:space="preserve"> </w:t>
      </w:r>
      <w:r>
        <w:t xml:space="preserve">for transfer restrictions — the correct citation is Article XIII (Article X is</w:t>
      </w:r>
      <w:r>
        <w:t xml:space="preserve"> </w:t>
      </w:r>
      <w:r>
        <w:t xml:space="preserve">“</w:t>
      </w:r>
      <w:r>
        <w:t xml:space="preserve">Dissolution and Winding Up</w:t>
      </w:r>
      <w:r>
        <w:t xml:space="preserve">”</w:t>
      </w:r>
      <w:r>
        <w:t xml:space="preserve">).</w:t>
      </w:r>
    </w:p>
    <w:p>
      <w:pPr>
        <w:pStyle w:val="Compact"/>
        <w:numPr>
          <w:ilvl w:val="0"/>
          <w:numId w:val="1004"/>
        </w:numPr>
      </w:pPr>
    </w:p>
    <w:p>
      <w:pPr>
        <w:pStyle w:val="Compact"/>
        <w:numPr>
          <w:ilvl w:val="1"/>
          <w:numId w:val="1013"/>
        </w:numPr>
      </w:pPr>
      <w:r>
        <w:t xml:space="preserve">The Subscription Agreement (Section 8.2) cites</w:t>
      </w:r>
      <w:r>
        <w:t xml:space="preserve"> </w:t>
      </w:r>
      <w:r>
        <w:t xml:space="preserve">“</w:t>
      </w:r>
      <w:r>
        <w:t xml:space="preserve">Section 14.6</w:t>
      </w:r>
      <w:r>
        <w:t xml:space="preserve">”</w:t>
      </w:r>
      <w:r>
        <w:t xml:space="preserve"> </w:t>
      </w:r>
      <w:r>
        <w:t xml:space="preserve">for dispute resolution — the correct citation is Section 14.4 (Section 14.6 is Severability).</w:t>
      </w:r>
    </w:p>
    <w:p>
      <w:pPr>
        <w:pStyle w:val="Compact"/>
        <w:numPr>
          <w:ilvl w:val="0"/>
          <w:numId w:val="1004"/>
        </w:numPr>
      </w:pPr>
    </w:p>
    <w:p>
      <w:pPr>
        <w:pStyle w:val="Compact"/>
        <w:numPr>
          <w:ilvl w:val="1"/>
          <w:numId w:val="1014"/>
        </w:numPr>
      </w:pPr>
      <w:r>
        <w:t xml:space="preserve">The Subscription Agreement (Section 8.9) cites</w:t>
      </w:r>
      <w:r>
        <w:t xml:space="preserve"> </w:t>
      </w:r>
      <w:r>
        <w:t xml:space="preserve">“</w:t>
      </w:r>
      <w:r>
        <w:t xml:space="preserve">Section 14.2</w:t>
      </w:r>
      <w:r>
        <w:t xml:space="preserve">”</w:t>
      </w:r>
      <w:r>
        <w:t xml:space="preserve"> </w:t>
      </w:r>
      <w:r>
        <w:t xml:space="preserve">for the power of attorney — the correct citation is Section 14.9 (Section 14.2 is Notices).</w:t>
      </w:r>
    </w:p>
    <w:p>
      <w:pPr>
        <w:pStyle w:val="Compact"/>
        <w:numPr>
          <w:ilvl w:val="0"/>
          <w:numId w:val="1004"/>
        </w:numPr>
      </w:pPr>
    </w:p>
    <w:p>
      <w:pPr>
        <w:pStyle w:val="Compact"/>
        <w:numPr>
          <w:ilvl w:val="1"/>
          <w:numId w:val="1015"/>
        </w:numPr>
      </w:pPr>
      <w:r>
        <w:t xml:space="preserve">The Subscription Agreement (Section 1.3) cites</w:t>
      </w:r>
      <w:r>
        <w:t xml:space="preserve"> </w:t>
      </w:r>
      <w:r>
        <w:t xml:space="preserve">“</w:t>
      </w:r>
      <w:r>
        <w:t xml:space="preserve">Section 3.2(c)(iii)</w:t>
      </w:r>
      <w:r>
        <w:t xml:space="preserve">”</w:t>
      </w:r>
      <w:r>
        <w:t xml:space="preserve"> </w:t>
      </w:r>
      <w:r>
        <w:t xml:space="preserve">— Section 3.2(c) contains no subsection (iii).</w:t>
      </w:r>
    </w:p>
    <w:p>
      <w:pPr>
        <w:pStyle w:val="Compact"/>
        <w:numPr>
          <w:ilvl w:val="0"/>
          <w:numId w:val="1004"/>
        </w:numPr>
      </w:pPr>
    </w:p>
    <w:p>
      <w:pPr>
        <w:pStyle w:val="Compact"/>
        <w:numPr>
          <w:ilvl w:val="1"/>
          <w:numId w:val="1016"/>
        </w:numPr>
      </w:pPr>
      <w:r>
        <w:t xml:space="preserve">The Subscription Agreement (Section 2.8) cites</w:t>
      </w:r>
      <w:r>
        <w:t xml:space="preserve"> </w:t>
      </w:r>
      <w:r>
        <w:t xml:space="preserve">“</w:t>
      </w:r>
      <w:r>
        <w:t xml:space="preserve">Section 12.3</w:t>
      </w:r>
      <w:r>
        <w:t xml:space="preserve">”</w:t>
      </w:r>
      <w:r>
        <w:t xml:space="preserve"> </w:t>
      </w:r>
      <w:r>
        <w:t xml:space="preserve">for</w:t>
      </w:r>
      <w:r>
        <w:t xml:space="preserve"> </w:t>
      </w:r>
      <w:r>
        <w:t xml:space="preserve">“</w:t>
      </w:r>
      <w:r>
        <w:t xml:space="preserve">side letter provisions</w:t>
      </w:r>
      <w:r>
        <w:t xml:space="preserve">”</w:t>
      </w:r>
      <w:r>
        <w:t xml:space="preserve"> </w:t>
      </w:r>
      <w:r>
        <w:t xml:space="preserve">— side letters are governed by Section 12.2; Section 12.3 governs MFN elections.</w:t>
      </w:r>
    </w:p>
    <w:p>
      <w:pPr>
        <w:pStyle w:val="Compact"/>
        <w:numPr>
          <w:ilvl w:val="0"/>
          <w:numId w:val="1004"/>
        </w:numPr>
      </w:pPr>
    </w:p>
    <w:p>
      <w:pPr>
        <w:pStyle w:val="Compact"/>
        <w:numPr>
          <w:ilvl w:val="1"/>
          <w:numId w:val="1017"/>
        </w:numPr>
      </w:pPr>
      <w:r>
        <w:t xml:space="preserve">The Subscription Agreement (Section 3.4(b)) cites</w:t>
      </w:r>
      <w:r>
        <w:t xml:space="preserve"> </w:t>
      </w:r>
      <w:r>
        <w:t xml:space="preserve">“</w:t>
      </w:r>
      <w:r>
        <w:t xml:space="preserve">Articles IV and V</w:t>
      </w:r>
      <w:r>
        <w:t xml:space="preserve">”</w:t>
      </w:r>
      <w:r>
        <w:t xml:space="preserve"> </w:t>
      </w:r>
      <w:r>
        <w:t xml:space="preserve">for allocations and distributions — allocations are Article IV, but distributions are Article VIII (Article V is</w:t>
      </w:r>
      <w:r>
        <w:t xml:space="preserve"> </w:t>
      </w:r>
      <w:r>
        <w:t xml:space="preserve">“</w:t>
      </w:r>
      <w:r>
        <w:t xml:space="preserve">Partnership Investments</w:t>
      </w:r>
      <w:r>
        <w:t xml:space="preserve">”</w:t>
      </w:r>
      <w:r>
        <w:t xml:space="preserve">).</w:t>
      </w:r>
    </w:p>
    <w:p>
      <w:pPr>
        <w:pStyle w:val="Compact"/>
        <w:numPr>
          <w:ilvl w:val="0"/>
          <w:numId w:val="1004"/>
        </w:numPr>
      </w:pPr>
    </w:p>
    <w:p>
      <w:pPr>
        <w:pStyle w:val="Compact"/>
        <w:numPr>
          <w:ilvl w:val="1"/>
          <w:numId w:val="1018"/>
        </w:numPr>
      </w:pPr>
      <w:r>
        <w:t xml:space="preserve">CC#1 (Section V) cites</w:t>
      </w:r>
      <w:r>
        <w:t xml:space="preserve"> </w:t>
      </w:r>
      <w:r>
        <w:t xml:space="preserve">“</w:t>
      </w:r>
      <w:r>
        <w:t xml:space="preserve">Section 3.5</w:t>
      </w:r>
      <w:r>
        <w:t xml:space="preserve">”</w:t>
      </w:r>
      <w:r>
        <w:t xml:space="preserve"> </w:t>
      </w:r>
      <w:r>
        <w:t xml:space="preserve">for default remedies — the correct citation is Section 3.3.</w:t>
      </w:r>
    </w:p>
    <w:p>
      <w:pPr>
        <w:pStyle w:val="Compact"/>
        <w:numPr>
          <w:ilvl w:val="0"/>
          <w:numId w:val="1004"/>
        </w:numPr>
      </w:pPr>
    </w:p>
    <w:p>
      <w:pPr>
        <w:pStyle w:val="Compact"/>
        <w:numPr>
          <w:ilvl w:val="1"/>
          <w:numId w:val="1019"/>
        </w:numPr>
      </w:pPr>
      <w:r>
        <w:t xml:space="preserve">CC#1 (Section VII) cites</w:t>
      </w:r>
      <w:r>
        <w:t xml:space="preserve"> </w:t>
      </w:r>
      <w:r>
        <w:t xml:space="preserve">“</w:t>
      </w:r>
      <w:r>
        <w:t xml:space="preserve">Section 14.1 (Notices)</w:t>
      </w:r>
      <w:r>
        <w:t xml:space="preserve">”</w:t>
      </w:r>
      <w:r>
        <w:t xml:space="preserve"> </w:t>
      </w:r>
      <w:r>
        <w:t xml:space="preserve">— the correct citation is Section 14.2 (Section 14.1 is Amendments).</w:t>
      </w:r>
    </w:p>
    <w:p>
      <w:pPr>
        <w:pStyle w:val="Compact"/>
        <w:numPr>
          <w:ilvl w:val="0"/>
          <w:numId w:val="1004"/>
        </w:numPr>
      </w:pPr>
    </w:p>
    <w:p>
      <w:pPr>
        <w:pStyle w:val="Compact"/>
        <w:numPr>
          <w:ilvl w:val="1"/>
          <w:numId w:val="1020"/>
        </w:numPr>
      </w:pPr>
      <w:r>
        <w:t xml:space="preserve">CC#2 (Section V) cites</w:t>
      </w:r>
      <w:r>
        <w:t xml:space="preserve"> </w:t>
      </w:r>
      <w:r>
        <w:t xml:space="preserve">“</w:t>
      </w:r>
      <w:r>
        <w:t xml:space="preserve">Section 3.5</w:t>
      </w:r>
      <w:r>
        <w:t xml:space="preserve">”</w:t>
      </w:r>
      <w:r>
        <w:t xml:space="preserve"> </w:t>
      </w:r>
      <w:r>
        <w:t xml:space="preserve">for default remedies — the correct citation is Section 3.3.</w:t>
      </w:r>
    </w:p>
    <w:p>
      <w:pPr>
        <w:pStyle w:val="Compact"/>
        <w:numPr>
          <w:ilvl w:val="0"/>
          <w:numId w:val="1004"/>
        </w:numPr>
      </w:pPr>
    </w:p>
    <w:p>
      <w:pPr>
        <w:pStyle w:val="Compact"/>
        <w:numPr>
          <w:ilvl w:val="1"/>
          <w:numId w:val="1021"/>
        </w:numPr>
      </w:pPr>
      <w:r>
        <w:t xml:space="preserve">CC#2 (Section III(b)) cites</w:t>
      </w:r>
      <w:r>
        <w:t xml:space="preserve"> </w:t>
      </w:r>
      <w:r>
        <w:t xml:space="preserve">“</w:t>
      </w:r>
      <w:r>
        <w:t xml:space="preserve">Section 6.1</w:t>
      </w:r>
      <w:r>
        <w:t xml:space="preserve">”</w:t>
      </w:r>
      <w:r>
        <w:t xml:space="preserve"> </w:t>
      </w:r>
      <w:r>
        <w:t xml:space="preserve">for management fees — the correct citation is Section 7.1 (Section 6.1 is</w:t>
      </w:r>
      <w:r>
        <w:t xml:space="preserve"> </w:t>
      </w:r>
      <w:r>
        <w:t xml:space="preserve">“</w:t>
      </w:r>
      <w:r>
        <w:t xml:space="preserve">Representations of Limited Partners</w:t>
      </w:r>
      <w:r>
        <w:t xml:space="preserve">”</w:t>
      </w:r>
      <w:r>
        <w:t xml:space="preserve">).</w:t>
      </w:r>
    </w:p>
    <w:p>
      <w:pPr>
        <w:pStyle w:val="Compact"/>
        <w:numPr>
          <w:ilvl w:val="0"/>
          <w:numId w:val="1004"/>
        </w:numPr>
      </w:pPr>
    </w:p>
    <w:p>
      <w:pPr>
        <w:pStyle w:val="Compact"/>
        <w:numPr>
          <w:ilvl w:val="1"/>
          <w:numId w:val="1022"/>
        </w:numPr>
      </w:pPr>
      <w:r>
        <w:t xml:space="preserve">CC#2 (Section VIII) cites</w:t>
      </w:r>
      <w:r>
        <w:t xml:space="preserve"> </w:t>
      </w:r>
      <w:r>
        <w:t xml:space="preserve">“</w:t>
      </w:r>
      <w:r>
        <w:t xml:space="preserve">Section 13.1</w:t>
      </w:r>
      <w:r>
        <w:t xml:space="preserve">”</w:t>
      </w:r>
      <w:r>
        <w:t xml:space="preserve"> </w:t>
      </w:r>
      <w:r>
        <w:t xml:space="preserve">for notice provisions — the correct citation is Section 14.2 (Section 13.1 is</w:t>
      </w:r>
      <w:r>
        <w:t xml:space="preserve"> </w:t>
      </w:r>
      <w:r>
        <w:t xml:space="preserve">“</w:t>
      </w:r>
      <w:r>
        <w:t xml:space="preserve">Restrictions on Transfer</w:t>
      </w:r>
      <w:r>
        <w:t xml:space="preserve">”</w:t>
      </w:r>
      <w:r>
        <w:t xml:space="preserve">).</w:t>
      </w:r>
    </w:p>
    <w:p>
      <w:pPr>
        <w:pStyle w:val="FirstParagraph"/>
      </w:pPr>
      <w:r>
        <w:rPr>
          <w:b/>
          <w:bCs/>
        </w:rPr>
        <w:t xml:space="preserve">Recommendation:</w:t>
      </w:r>
      <w:r>
        <w:t xml:space="preserve"> </w:t>
      </w:r>
      <w:r>
        <w:t xml:space="preserve">Correct these cross-references in the next round of document updates. While several appear in notices/forms that state the LPA controls in case of conflict, the errors should be corrected for accuracy and to avoid confusion.</w:t>
      </w:r>
    </w:p>
    <w:p>
      <w:pPr>
        <w:pStyle w:val="BodyText"/>
      </w:pPr>
      <w:r>
        <w:rPr>
          <w:b/>
          <w:bCs/>
        </w:rPr>
        <w:t xml:space="preserve">15. PPM date is stated inconsistently.</w:t>
      </w:r>
      <w:r>
        <w:t xml:space="preserve"> </w:t>
      </w:r>
      <w:r>
        <w:t xml:space="preserve">The GP Memo (Section I) refers to the Confidential Private Placement Memorandum dated July 15, 2024. Amendment No. 1 (Section 1.2(c)) refers to the PPM</w:t>
      </w:r>
      <w:r>
        <w:t xml:space="preserve"> </w:t>
      </w:r>
      <w:r>
        <w:t xml:space="preserve">“</w:t>
      </w:r>
      <w:r>
        <w:t xml:space="preserve">dated July 2024.</w:t>
      </w:r>
      <w:r>
        <w:t xml:space="preserve">”</w:t>
      </w:r>
      <w:r>
        <w:t xml:space="preserve"> </w:t>
      </w:r>
      <w:r>
        <w:t xml:space="preserve">CC#2 (Section III(a)) refers to the PPM</w:t>
      </w:r>
      <w:r>
        <w:t xml:space="preserve"> </w:t>
      </w:r>
      <w:r>
        <w:t xml:space="preserve">“</w:t>
      </w:r>
      <w:r>
        <w:t xml:space="preserve">dated August 1, 2024.</w:t>
      </w:r>
      <w:r>
        <w:t xml:space="preserve">”</w:t>
      </w:r>
      <w:r>
        <w:t xml:space="preserve"> </w:t>
      </w:r>
      <w:r>
        <w:rPr>
          <w:b/>
          <w:bCs/>
        </w:rPr>
        <w:t xml:space="preserve">Recommendation:</w:t>
      </w:r>
      <w:r>
        <w:t xml:space="preserve"> </w:t>
      </w:r>
      <w:r>
        <w:t xml:space="preserve">Confirm the correct PPM date and conform the references.</w:t>
      </w:r>
    </w:p>
    <w:p>
      <w:pPr>
        <w:pStyle w:val="BodyText"/>
      </w:pPr>
      <w:r>
        <w:rPr>
          <w:b/>
          <w:bCs/>
        </w:rPr>
        <w:t xml:space="preserve">16. Capital Call No. 1 funding date is stated inconsistently.</w:t>
      </w:r>
      <w:r>
        <w:t xml:space="preserve"> </w:t>
      </w:r>
      <w:r>
        <w:t xml:space="preserve">CC#1 states the Drawdown Date as October 25, 2024. CC#2 (Section I) states that</w:t>
      </w:r>
      <w:r>
        <w:t xml:space="preserve"> </w:t>
      </w:r>
      <w:r>
        <w:t xml:space="preserve">“</w:t>
      </w:r>
      <w:r>
        <w:t xml:space="preserve">The Funding Date for Capital Call Notice No. 1 was October 24, 2024.</w:t>
      </w:r>
      <w:r>
        <w:t xml:space="preserve">”</w:t>
      </w:r>
      <w:r>
        <w:t xml:space="preserve"> </w:t>
      </w:r>
      <w:r>
        <w:t xml:space="preserve">These conflict by one day. (Separately, CC#1 describes October 25, 2024 as</w:t>
      </w:r>
      <w:r>
        <w:t xml:space="preserve"> </w:t>
      </w:r>
      <w:r>
        <w:t xml:space="preserve">“</w:t>
      </w:r>
      <w:r>
        <w:t xml:space="preserve">ten (10) business days from the date of this Notice,</w:t>
      </w:r>
      <w:r>
        <w:t xml:space="preserve">”</w:t>
      </w:r>
      <w:r>
        <w:t xml:space="preserve"> </w:t>
      </w:r>
      <w:r>
        <w:t xml:space="preserve">but October 25, 2024 is eleven business days after October 10, 2024; the date nonetheless satisfies the LPA’s</w:t>
      </w:r>
      <w:r>
        <w:t xml:space="preserve"> </w:t>
      </w:r>
      <w:r>
        <w:t xml:space="preserve">“</w:t>
      </w:r>
      <w:r>
        <w:t xml:space="preserve">not less than ten (10) Business Days</w:t>
      </w:r>
      <w:r>
        <w:t xml:space="preserve">”</w:t>
      </w:r>
      <w:r>
        <w:t xml:space="preserve"> </w:t>
      </w:r>
      <w:r>
        <w:t xml:space="preserve">requirement.)</w:t>
      </w:r>
      <w:r>
        <w:t xml:space="preserve"> </w:t>
      </w:r>
      <w:r>
        <w:rPr>
          <w:b/>
          <w:bCs/>
        </w:rPr>
        <w:t xml:space="preserve">Recommendation:</w:t>
      </w:r>
      <w:r>
        <w:t xml:space="preserve"> </w:t>
      </w:r>
      <w:r>
        <w:t xml:space="preserve">Confirm the actual funding date and reconcile the two notices.</w:t>
      </w:r>
    </w:p>
    <w:p>
      <w:pPr>
        <w:pStyle w:val="BodyText"/>
      </w:pPr>
      <w:r>
        <w:rPr>
          <w:b/>
          <w:bCs/>
        </w:rPr>
        <w:t xml:space="preserve">17. Default interest rate is stated inconsistently.</w:t>
      </w:r>
      <w:r>
        <w:t xml:space="preserve"> </w:t>
      </w:r>
      <w:r>
        <w:t xml:space="preserve">The LPA (Section 3.3(b)) provides for cure-period interest at twelve percent (12%) per annum. CC#1 and CC#2 each cite a 12% per annum default interest rate (although CC#2 describes it as</w:t>
      </w:r>
      <w:r>
        <w:t xml:space="preserve"> </w:t>
      </w:r>
      <w:r>
        <w:t xml:space="preserve">“</w:t>
      </w:r>
      <w:r>
        <w:t xml:space="preserve">compounding quarterly,</w:t>
      </w:r>
      <w:r>
        <w:t xml:space="preserve">”</w:t>
      </w:r>
      <w:r>
        <w:t xml:space="preserve"> </w:t>
      </w:r>
      <w:r>
        <w:t xml:space="preserve">a compounding convention not specified in the LPA). The Subscription Agreement (Section 1.2), however, refers to default interest at</w:t>
      </w:r>
      <w:r>
        <w:t xml:space="preserve"> </w:t>
      </w:r>
      <w:r>
        <w:t xml:space="preserve">“</w:t>
      </w:r>
      <w:r>
        <w:t xml:space="preserve">the lesser of 18% per annum and the maximum rate permitted by applicable law,</w:t>
      </w:r>
      <w:r>
        <w:t xml:space="preserve">”</w:t>
      </w:r>
      <w:r>
        <w:t xml:space="preserve"> </w:t>
      </w:r>
      <w:r>
        <w:t xml:space="preserve">which does not match the LPA’s 12% rate.</w:t>
      </w:r>
      <w:r>
        <w:t xml:space="preserve"> </w:t>
      </w:r>
      <w:r>
        <w:rPr>
          <w:b/>
          <w:bCs/>
        </w:rPr>
        <w:t xml:space="preserve">Recommendation:</w:t>
      </w:r>
      <w:r>
        <w:t xml:space="preserve"> </w:t>
      </w:r>
      <w:r>
        <w:t xml:space="preserve">Correct the Subscription Agreement’s default interest rate to conform to Section 3.3(b) of the LPA.</w:t>
      </w:r>
    </w:p>
    <w:p>
      <w:pPr>
        <w:pStyle w:val="BodyText"/>
      </w:pPr>
      <w:r>
        <w:rPr>
          <w:b/>
          <w:bCs/>
        </w:rPr>
        <w:t xml:space="preserve">18. CC#2’s description of default remedies does not match the LPA.</w:t>
      </w:r>
      <w:r>
        <w:t xml:space="preserve"> </w:t>
      </w:r>
      <w:r>
        <w:t xml:space="preserve">CC#2 (Section V) describes default remedies including</w:t>
      </w:r>
      <w:r>
        <w:t xml:space="preserve"> </w:t>
      </w:r>
      <w:r>
        <w:t xml:space="preserve">“</w:t>
      </w:r>
      <w:r>
        <w:t xml:space="preserve">forfeiture of up to fifty percent (50%) of such Defaulting Partner’s interest in the Partnership,</w:t>
      </w:r>
      <w:r>
        <w:t xml:space="preserve">”</w:t>
      </w:r>
      <w:r>
        <w:t xml:space="preserve"> </w:t>
      </w:r>
      <w:r>
        <w:t xml:space="preserve">“</w:t>
      </w:r>
      <w:r>
        <w:t xml:space="preserve">mandatory sale … at a discount to be determined by the General Partner in its reasonable discretion,</w:t>
      </w:r>
      <w:r>
        <w:t xml:space="preserve">”</w:t>
      </w:r>
      <w:r>
        <w:t xml:space="preserve"> </w:t>
      </w:r>
      <w:r>
        <w:t xml:space="preserve">and</w:t>
      </w:r>
      <w:r>
        <w:t xml:space="preserve"> </w:t>
      </w:r>
      <w:r>
        <w:t xml:space="preserve">“</w:t>
      </w:r>
      <w:r>
        <w:t xml:space="preserve">suspension or loss of voting rights and rights to participate in future investment allocations.</w:t>
      </w:r>
      <w:r>
        <w:t xml:space="preserve">”</w:t>
      </w:r>
      <w:r>
        <w:t xml:space="preserve"> </w:t>
      </w:r>
      <w:r>
        <w:t xml:space="preserve">The LPA (Section 3.3(c)) provides for forfeiture of up to 50% of the Defaulting Partner’s</w:t>
      </w:r>
      <w:r>
        <w:t xml:space="preserve"> </w:t>
      </w:r>
      <w:r>
        <w:rPr>
          <w:i/>
          <w:iCs/>
        </w:rPr>
        <w:t xml:space="preserve">Capital Account balance</w:t>
      </w:r>
      <w:r>
        <w:t xml:space="preserve"> </w:t>
      </w:r>
      <w:r>
        <w:t xml:space="preserve">(not its</w:t>
      </w:r>
      <w:r>
        <w:t xml:space="preserve"> </w:t>
      </w:r>
      <w:r>
        <w:t xml:space="preserve">“</w:t>
      </w:r>
      <w:r>
        <w:t xml:space="preserve">interest</w:t>
      </w:r>
      <w:r>
        <w:t xml:space="preserve">”</w:t>
      </w:r>
      <w:r>
        <w:t xml:space="preserve">), forced sale at 80% of fair market value (as determined by the General Partner in good faith), exclusion from distributions, and reduction of unfunded commitment to zero; it does not provide for loss of voting rights or investment allocation rights. CC#2 states the LPA controls in case of conflict, but the descriptions are inaccurate.</w:t>
      </w:r>
      <w:r>
        <w:t xml:space="preserve"> </w:t>
      </w:r>
      <w:r>
        <w:rPr>
          <w:b/>
          <w:bCs/>
        </w:rPr>
        <w:t xml:space="preserve">Recommendation:</w:t>
      </w:r>
      <w:r>
        <w:t xml:space="preserve"> </w:t>
      </w:r>
      <w:r>
        <w:t xml:space="preserve">Correct CC#2’s default-remedy description.</w:t>
      </w:r>
    </w:p>
    <w:p>
      <w:pPr>
        <w:pStyle w:val="BodyText"/>
      </w:pPr>
      <w:r>
        <w:rPr>
          <w:b/>
          <w:bCs/>
        </w:rPr>
        <w:t xml:space="preserve">19. Jurisdiction of two Final Closing LPs is stated inconsistently.</w:t>
      </w:r>
      <w:r>
        <w:t xml:space="preserve"> </w:t>
      </w:r>
      <w:r>
        <w:t xml:space="preserve">The Admin Checklist (Commitment Schedule) lists Meridian State Teachers’ Retirement System as a</w:t>
      </w:r>
      <w:r>
        <w:t xml:space="preserve"> </w:t>
      </w:r>
      <w:r>
        <w:t xml:space="preserve">“</w:t>
      </w:r>
      <w:r>
        <w:t xml:space="preserve">State pension fund — Indiana,</w:t>
      </w:r>
      <w:r>
        <w:t xml:space="preserve">”</w:t>
      </w:r>
      <w:r>
        <w:t xml:space="preserve"> </w:t>
      </w:r>
      <w:r>
        <w:t xml:space="preserve">while the Subscription Agreement (Schedule I) lists it as</w:t>
      </w:r>
      <w:r>
        <w:t xml:space="preserve"> </w:t>
      </w:r>
      <w:r>
        <w:t xml:space="preserve">“</w:t>
      </w:r>
      <w:r>
        <w:t xml:space="preserve">State of Illinois (U.S. governmental retirement system established pursuant to the Illinois Pension Code).</w:t>
      </w:r>
      <w:r>
        <w:t xml:space="preserve">”</w:t>
      </w:r>
      <w:r>
        <w:t xml:space="preserve"> </w:t>
      </w:r>
      <w:r>
        <w:t xml:space="preserve">The Admin Checklist lists Northbridge Endowment Fund as a</w:t>
      </w:r>
      <w:r>
        <w:t xml:space="preserve"> </w:t>
      </w:r>
      <w:r>
        <w:t xml:space="preserve">“</w:t>
      </w:r>
      <w:r>
        <w:t xml:space="preserve">Connecticut nonprofit corporation,</w:t>
      </w:r>
      <w:r>
        <w:t xml:space="preserve">”</w:t>
      </w:r>
      <w:r>
        <w:t xml:space="preserve"> </w:t>
      </w:r>
      <w:r>
        <w:t xml:space="preserve">while the Subscription Agreement (Schedule I) lists it as</w:t>
      </w:r>
      <w:r>
        <w:t xml:space="preserve"> </w:t>
      </w:r>
      <w:r>
        <w:t xml:space="preserve">“</w:t>
      </w:r>
      <w:r>
        <w:t xml:space="preserve">Commonwealth of Massachusetts (U.S. endowment / tax-exempt organization under Section 501(c)(3)).</w:t>
      </w:r>
      <w:r>
        <w:t xml:space="preserve">”</w:t>
      </w:r>
      <w:r>
        <w:t xml:space="preserve"> </w:t>
      </w:r>
      <w:r>
        <w:rPr>
          <w:b/>
          <w:bCs/>
        </w:rPr>
        <w:t xml:space="preserve">Recommendation:</w:t>
      </w:r>
      <w:r>
        <w:t xml:space="preserve"> </w:t>
      </w:r>
      <w:r>
        <w:t xml:space="preserve">Confirm the correct jurisdictions (which may affect blue sky filings and FOIA/side-letter accommodations) and conform the documents.</w:t>
      </w:r>
    </w:p>
    <w:p>
      <w:pPr>
        <w:pStyle w:val="BodyText"/>
      </w:pPr>
      <w:r>
        <w:rPr>
          <w:b/>
          <w:bCs/>
        </w:rPr>
        <w:t xml:space="preserve">20. Advisory Committee is not at full strength (Section 9.1).</w:t>
      </w:r>
      <w:r>
        <w:t xml:space="preserve"> </w:t>
      </w:r>
      <w:r>
        <w:t xml:space="preserve">The Advisory Committee has five (5) seats but only four (4) are filled as of the Final Closing (Rachel M. Torres / Silvermark; Kenneth W. Park / Commonwealth; Diane L. Voss / Graystone; and Thomas A. Riley / Birchwood). The fifth seat remains vacant. This is not a condition precedent under Section 11.2, but Section 9.1(b) requires the General Partner to use commercially reasonable efforts to appoint a representative of a Limited Partner admitted at the Final Closing to fill the vacancy within thirty (30) days of the Final Closing. The GP Memo recommends approaching Meridian State Teachers’ Retirement System.</w:t>
      </w:r>
      <w:r>
        <w:t xml:space="preserve"> </w:t>
      </w:r>
      <w:r>
        <w:rPr>
          <w:b/>
          <w:bCs/>
        </w:rPr>
        <w:t xml:space="preserve">Recommendation:</w:t>
      </w:r>
      <w:r>
        <w:t xml:space="preserve"> </w:t>
      </w:r>
      <w:r>
        <w:t xml:space="preserve">Initiate outreach to fill the fifth seat within 30 days; document the effort.</w:t>
      </w:r>
    </w:p>
    <w:p>
      <w:pPr>
        <w:pStyle w:val="BodyText"/>
      </w:pPr>
      <w:r>
        <w:rPr>
          <w:b/>
          <w:bCs/>
        </w:rPr>
        <w:t xml:space="preserve">21. GP Memo date referenced inconsistently in the Admin Checklist.</w:t>
      </w:r>
      <w:r>
        <w:t xml:space="preserve"> </w:t>
      </w:r>
      <w:r>
        <w:t xml:space="preserve">The GP Memo is dated January 28, 2025. The Admin Checklist (Item 24) references the</w:t>
      </w:r>
      <w:r>
        <w:t xml:space="preserve"> </w:t>
      </w:r>
      <w:r>
        <w:t xml:space="preserve">“</w:t>
      </w:r>
      <w:r>
        <w:t xml:space="preserve">GP Internal Closing Memorandum dated January 30, 2025.</w:t>
      </w:r>
      <w:r>
        <w:t xml:space="preserve">”</w:t>
      </w:r>
      <w:r>
        <w:t xml:space="preserve"> </w:t>
      </w:r>
      <w:r>
        <w:rPr>
          <w:b/>
          <w:bCs/>
        </w:rPr>
        <w:t xml:space="preserve">Recommendation:</w:t>
      </w:r>
      <w:r>
        <w:t xml:space="preserve"> </w:t>
      </w:r>
      <w:r>
        <w:t xml:space="preserve">Conform the reference.</w:t>
      </w:r>
    </w:p>
    <w:p>
      <w:pPr>
        <w:pStyle w:val="BodyText"/>
      </w:pPr>
      <w:r>
        <w:rPr>
          <w:b/>
          <w:bCs/>
        </w:rPr>
        <w:t xml:space="preserve">22. Contact information is stated inconsistently across the Source Documents.</w:t>
      </w:r>
      <w:r>
        <w:t xml:space="preserve"> </w:t>
      </w:r>
      <w:r>
        <w:t xml:space="preserve">The following inconsistencies in contact information have been identified:</w:t>
      </w:r>
    </w:p>
    <w:p>
      <w:pPr>
        <w:pStyle w:val="Compact"/>
        <w:numPr>
          <w:ilvl w:val="0"/>
          <w:numId w:val="1023"/>
        </w:numPr>
      </w:pPr>
    </w:p>
    <w:p>
      <w:pPr>
        <w:pStyle w:val="Compact"/>
        <w:numPr>
          <w:ilvl w:val="1"/>
          <w:numId w:val="1024"/>
        </w:numPr>
      </w:pPr>
      <w:r>
        <w:t xml:space="preserve">Sandra K. Liu telephone: the GP Memo lists (312) 555-4718; the Subscription Agreement lists (312) 555-0184; CC#2 lists (312) 555-7200. Three different numbers appear for the same individual.</w:t>
      </w:r>
    </w:p>
    <w:p>
      <w:pPr>
        <w:pStyle w:val="Compact"/>
        <w:numPr>
          <w:ilvl w:val="0"/>
          <w:numId w:val="1023"/>
        </w:numPr>
      </w:pPr>
    </w:p>
    <w:p>
      <w:pPr>
        <w:pStyle w:val="Compact"/>
        <w:numPr>
          <w:ilvl w:val="1"/>
          <w:numId w:val="1025"/>
        </w:numPr>
      </w:pPr>
      <w:r>
        <w:t xml:space="preserve">Sandra K. Liu email: the LPA (Section 14.2) lists s.liu@whitmorecapital.com, while the GP Memo, the Subscription Agreement, and CC#2 list sliu@whitmorecapital.com.</w:t>
      </w:r>
    </w:p>
    <w:p>
      <w:pPr>
        <w:pStyle w:val="Compact"/>
        <w:numPr>
          <w:ilvl w:val="0"/>
          <w:numId w:val="1023"/>
        </w:numPr>
      </w:pPr>
    </w:p>
    <w:p>
      <w:pPr>
        <w:pStyle w:val="Compact"/>
        <w:numPr>
          <w:ilvl w:val="1"/>
          <w:numId w:val="1026"/>
        </w:numPr>
      </w:pPr>
      <w:r>
        <w:t xml:space="preserve">Jonathan C. Prewitt (Oakmere) telephone: the LPA (Exhibit C) lists (203) 555-4100; the Subscription Agreement lists (203) 555-0163; CC#2 lists (203) 555-4180; the AML/KYC Email lists (203) 541-2280. Four different numbers appear for the same individual.</w:t>
      </w:r>
    </w:p>
    <w:p>
      <w:pPr>
        <w:pStyle w:val="Compact"/>
        <w:numPr>
          <w:ilvl w:val="0"/>
          <w:numId w:val="1023"/>
        </w:numPr>
      </w:pPr>
    </w:p>
    <w:p>
      <w:pPr>
        <w:pStyle w:val="Compact"/>
        <w:numPr>
          <w:ilvl w:val="1"/>
          <w:numId w:val="1027"/>
        </w:numPr>
      </w:pPr>
      <w:r>
        <w:t xml:space="preserve">Jonathan C. Prewitt email: the LPA (Section 14.2) lists j.prewitt@oakmerefundservices.com, while the other Source Documents list jprewitt@oakmerefundservices.com.</w:t>
      </w:r>
    </w:p>
    <w:p>
      <w:pPr>
        <w:pStyle w:val="FirstParagraph"/>
      </w:pPr>
      <w:r>
        <w:rPr>
          <w:b/>
          <w:bCs/>
        </w:rPr>
        <w:t xml:space="preserve">Recommendation:</w:t>
      </w:r>
      <w:r>
        <w:t xml:space="preserve"> </w:t>
      </w:r>
      <w:r>
        <w:t xml:space="preserve">Confirm the correct contact information and conform the LPA’s notice provisions and the other documents.</w:t>
      </w:r>
    </w:p>
    <w:p>
      <w:pPr>
        <w:pStyle w:val="BodyText"/>
      </w:pPr>
      <w:r>
        <w:rPr>
          <w:b/>
          <w:bCs/>
        </w:rPr>
        <w:t xml:space="preserve">23. Side letter count does not reconcile to the Commitment Schedule.</w:t>
      </w:r>
      <w:r>
        <w:t xml:space="preserve"> </w:t>
      </w:r>
      <w:r>
        <w:t xml:space="preserve">The GP Memo, the Subscription Agreement, and the Admin Checklist (Item 30) each state that fourteen (14) side letters have been executed across all closings. The Admin Checklist (Commitment Schedule) flags eleven (11) LPs with a side letter (</w:t>
      </w:r>
      <w:r>
        <w:t xml:space="preserve">“</w:t>
      </w:r>
      <w:r>
        <w:t xml:space="preserve">Y</w:t>
      </w:r>
      <w:r>
        <w:t xml:space="preserve">”</w:t>
      </w:r>
      <w:r>
        <w:t xml:space="preserve">). The difference may reflect multiple side letters with a single LP, but it is not explained in the Source Documents.</w:t>
      </w:r>
      <w:r>
        <w:t xml:space="preserve"> </w:t>
      </w:r>
      <w:r>
        <w:rPr>
          <w:b/>
          <w:bCs/>
        </w:rPr>
        <w:t xml:space="preserve">Recommendation:</w:t>
      </w:r>
      <w:r>
        <w:t xml:space="preserve"> </w:t>
      </w:r>
      <w:r>
        <w:t xml:space="preserve">Reconcile the side letter inventory.</w:t>
      </w:r>
    </w:p>
    <w:p>
      <w:pPr>
        <w:pStyle w:val="BodyText"/>
      </w:pPr>
      <w:r>
        <w:rPr>
          <w:b/>
          <w:bCs/>
        </w:rPr>
        <w:t xml:space="preserve">24. Minor arithmetic item — ERISA remaining capacity.</w:t>
      </w:r>
      <w:r>
        <w:t xml:space="preserve"> </w:t>
      </w:r>
      <w:r>
        <w:t xml:space="preserve">The Subscription Agreement (Schedule I) states the remaining BPI capacity as $48,287,500. The figure should be $48,288,500 (24.99% × $1,615,000,000 = $403,588,500, less $355,300,000 = $48,288,500), a $1,000 difference.</w:t>
      </w:r>
      <w:r>
        <w:t xml:space="preserve"> </w:t>
      </w:r>
      <w:r>
        <w:rPr>
          <w:b/>
          <w:bCs/>
        </w:rPr>
        <w:t xml:space="preserve">Recommendation:</w:t>
      </w:r>
      <w:r>
        <w:t xml:space="preserve"> </w:t>
      </w:r>
      <w:r>
        <w:t xml:space="preserve">Correct the figure.</w:t>
      </w:r>
    </w:p>
    <w:p>
      <w:pPr>
        <w:pStyle w:val="BodyText"/>
      </w:pPr>
      <w:r>
        <w:rPr>
          <w:b/>
          <w:bCs/>
        </w:rPr>
        <w:t xml:space="preserve">25. Amendment No. 1 references an</w:t>
      </w:r>
      <w:r>
        <w:rPr>
          <w:b/>
          <w:bCs/>
        </w:rPr>
        <w:t xml:space="preserve"> </w:t>
      </w:r>
      <w:r>
        <w:rPr>
          <w:b/>
          <w:bCs/>
        </w:rPr>
        <w:t xml:space="preserve">“</w:t>
      </w:r>
      <w:r>
        <w:rPr>
          <w:b/>
          <w:bCs/>
        </w:rPr>
        <w:t xml:space="preserve">Investment Manager</w:t>
      </w:r>
      <w:r>
        <w:rPr>
          <w:b/>
          <w:bCs/>
        </w:rPr>
        <w:t xml:space="preserve">”</w:t>
      </w:r>
      <w:r>
        <w:rPr>
          <w:b/>
          <w:bCs/>
        </w:rPr>
        <w:t xml:space="preserve"> </w:t>
      </w:r>
      <w:r>
        <w:rPr>
          <w:b/>
          <w:bCs/>
        </w:rPr>
        <w:t xml:space="preserve">not defined in the LPA.</w:t>
      </w:r>
      <w:r>
        <w:t xml:space="preserve"> </w:t>
      </w:r>
      <w:r>
        <w:t xml:space="preserve">Amendment No. 1 (Section 2.2(c)) refers to</w:t>
      </w:r>
      <w:r>
        <w:t xml:space="preserve"> </w:t>
      </w:r>
      <w:r>
        <w:t xml:space="preserve">“</w:t>
      </w:r>
      <w:r>
        <w:t xml:space="preserve">the General Partner, the Investment Manager, or their respective key persons.</w:t>
      </w:r>
      <w:r>
        <w:t xml:space="preserve">”</w:t>
      </w:r>
      <w:r>
        <w:t xml:space="preserve"> </w:t>
      </w:r>
      <w:r>
        <w:t xml:space="preserve">The LPA does not define</w:t>
      </w:r>
      <w:r>
        <w:t xml:space="preserve"> </w:t>
      </w:r>
      <w:r>
        <w:t xml:space="preserve">“</w:t>
      </w:r>
      <w:r>
        <w:t xml:space="preserve">Investment Manager</w:t>
      </w:r>
      <w:r>
        <w:t xml:space="preserve">”</w:t>
      </w:r>
      <w:r>
        <w:t xml:space="preserve"> </w:t>
      </w:r>
      <w:r>
        <w:t xml:space="preserve">as a separate entity; the General Partner (Whitmore Capital Management LLC) serves as the investment adviser.</w:t>
      </w:r>
      <w:r>
        <w:t xml:space="preserve"> </w:t>
      </w:r>
      <w:r>
        <w:rPr>
          <w:b/>
          <w:bCs/>
        </w:rPr>
        <w:t xml:space="preserve">Recommendation:</w:t>
      </w:r>
      <w:r>
        <w:t xml:space="preserve"> </w:t>
      </w:r>
      <w:r>
        <w:t xml:space="preserve">Confirm whether a separate</w:t>
      </w:r>
      <w:r>
        <w:t xml:space="preserve"> </w:t>
      </w:r>
      <w:r>
        <w:t xml:space="preserve">“</w:t>
      </w:r>
      <w:r>
        <w:t xml:space="preserve">Investment Manager</w:t>
      </w:r>
      <w:r>
        <w:t xml:space="preserve">”</w:t>
      </w:r>
      <w:r>
        <w:t xml:space="preserve"> </w:t>
      </w:r>
      <w:r>
        <w:t xml:space="preserve">is intended or conform the reference to the General Partner.</w:t>
      </w:r>
    </w:p>
    <w:p>
      <w:pPr>
        <w:pStyle w:val="BodyText"/>
      </w:pPr>
      <w:r>
        <w:rPr>
          <w:b/>
          <w:bCs/>
        </w:rPr>
        <w:t xml:space="preserve">34. Key Person certification support addresses only one of two Key Persons (Section 9.4(d); Section 11.2(6)).</w:t>
      </w:r>
      <w:r>
        <w:t xml:space="preserve"> </w:t>
      </w:r>
      <w:r>
        <w:t xml:space="preserve">The LPA designates both Marcus J. Whitmore and Priya S. Mehta as</w:t>
      </w:r>
      <w:r>
        <w:t xml:space="preserve"> </w:t>
      </w:r>
      <w:r>
        <w:t xml:space="preserve">“</w:t>
      </w:r>
      <w:r>
        <w:t xml:space="preserve">Key Persons</w:t>
      </w:r>
      <w:r>
        <w:t xml:space="preserve">”</w:t>
      </w:r>
      <w:r>
        <w:t xml:space="preserve"> </w:t>
      </w:r>
      <w:r>
        <w:t xml:space="preserve">(Section 9.4(a)), and Section 9.4(d) requires the General Partner to</w:t>
      </w:r>
      <w:r>
        <w:t xml:space="preserve"> </w:t>
      </w:r>
      <w:r>
        <w:t xml:space="preserve">“</w:t>
      </w:r>
      <w:r>
        <w:t xml:space="preserve">certify at each Closing that each Key Person continues to devote substantially all of his or her business time and efforts to the Partnership and that no Key Person Event has occurred or is reasonably expected to occur.</w:t>
      </w:r>
      <w:r>
        <w:t xml:space="preserve">”</w:t>
      </w:r>
      <w:r>
        <w:t xml:space="preserve"> </w:t>
      </w:r>
      <w:r>
        <w:t xml:space="preserve">Section 11.2(6) likewise requires that</w:t>
      </w:r>
      <w:r>
        <w:t xml:space="preserve"> </w:t>
      </w:r>
      <w:r>
        <w:t xml:space="preserve">“</w:t>
      </w:r>
      <w:r>
        <w:t xml:space="preserve">each Key Person … shall continue to devote substantially all of his or her business time and efforts to the Partnership, and no Key Person Event shall have occurred or be reasonably expected to occur.</w:t>
      </w:r>
      <w:r>
        <w:t xml:space="preserve">”</w:t>
      </w:r>
      <w:r>
        <w:t xml:space="preserve"> </w:t>
      </w:r>
      <w:r>
        <w:t xml:space="preserve">The GP Memo — which is the document identified in the Admin Checklist (Item 24) as the support for the Condition 6 certification — addresses only Marcus J. Whitmore (Section VII:</w:t>
      </w:r>
      <w:r>
        <w:t xml:space="preserve"> </w:t>
      </w:r>
      <w:r>
        <w:t xml:space="preserve">“</w:t>
      </w:r>
      <w:r>
        <w:t xml:space="preserve">Marcus J. Whitmore continues to devote substantially all of his business time to the affairs of Fund VII and the General Partner. No Key Person Event has been triggered</w:t>
      </w:r>
      <w:r>
        <w:t xml:space="preserve">”</w:t>
      </w:r>
      <w:r>
        <w:t xml:space="preserve">) and is silent as to Priya S. Mehta. By contrast, Amendment No. 1 (Section 2.2(b)), delivered at the Second Closing, expressly certified both Key Persons (</w:t>
      </w:r>
      <w:r>
        <w:t xml:space="preserve">“</w:t>
      </w:r>
      <w:r>
        <w:t xml:space="preserve">Both Marcus J. Whitmore and Priya S. Mehta … continue to devote substantially all of their business time and professional efforts</w:t>
      </w:r>
      <w:r>
        <w:t xml:space="preserve">”</w:t>
      </w:r>
      <w:r>
        <w:t xml:space="preserve">). The Final Closing support is therefore incomplete as to one of the two Key Persons.</w:t>
      </w:r>
      <w:r>
        <w:t xml:space="preserve"> </w:t>
      </w:r>
      <w:r>
        <w:rPr>
          <w:b/>
          <w:bCs/>
        </w:rPr>
        <w:t xml:space="preserve">Recommendation:</w:t>
      </w:r>
      <w:r>
        <w:t xml:space="preserve"> </w:t>
      </w:r>
      <w:r>
        <w:t xml:space="preserve">Obtain a written confirmation (or supplement the GP Memo) that Priya S. Mehta continues to devote substantially all of her business time to the Partnership and that no Key Person Event has occurred or is reasonably expected to occur as to her, before the certificate is executed. The Final Closing Certificate’s Key Person certification (which addresses both Key Persons) should rest on support that covers both.</w:t>
      </w:r>
    </w:p>
    <w:p>
      <w:pPr>
        <w:pStyle w:val="BodyText"/>
      </w:pPr>
      <w:r>
        <w:rPr>
          <w:b/>
          <w:bCs/>
        </w:rPr>
        <w:t xml:space="preserve">35. Side letter status for three Final Closing LPs is inconsistent between the Subscription Agreement and the Admin Checklist.</w:t>
      </w:r>
      <w:r>
        <w:t xml:space="preserve"> </w:t>
      </w:r>
      <w:r>
        <w:t xml:space="preserve">The Subscription Agreement (Schedule I) states the following side letter statuses for the Final Closing LPs: Meridian State Teachers’ Retirement System —</w:t>
      </w:r>
      <w:r>
        <w:t xml:space="preserve"> </w:t>
      </w:r>
      <w:r>
        <w:t xml:space="preserve">“</w:t>
      </w:r>
      <w:r>
        <w:t xml:space="preserve">Expected (public pension fund — FOIA carve-out and transparency provisions anticipated)</w:t>
      </w:r>
      <w:r>
        <w:t xml:space="preserve">”</w:t>
      </w:r>
      <w:r>
        <w:t xml:space="preserve">; Northbridge Endowment Fund —</w:t>
      </w:r>
      <w:r>
        <w:t xml:space="preserve"> </w:t>
      </w:r>
      <w:r>
        <w:t xml:space="preserve">“</w:t>
      </w:r>
      <w:r>
        <w:t xml:space="preserve">To be determined</w:t>
      </w:r>
      <w:r>
        <w:t xml:space="preserve">”</w:t>
      </w:r>
      <w:r>
        <w:t xml:space="preserve">; Sentry Municipal Employees’ Pension Trust —</w:t>
      </w:r>
      <w:r>
        <w:t xml:space="preserve"> </w:t>
      </w:r>
      <w:r>
        <w:t xml:space="preserve">“</w:t>
      </w:r>
      <w:r>
        <w:t xml:space="preserve">Expected (public pension — FOIA carve-out anticipated).</w:t>
      </w:r>
      <w:r>
        <w:t xml:space="preserve">”</w:t>
      </w:r>
      <w:r>
        <w:t xml:space="preserve"> </w:t>
      </w:r>
      <w:r>
        <w:t xml:space="preserve">The Admin Checklist (Commitment Schedule,</w:t>
      </w:r>
      <w:r>
        <w:t xml:space="preserve"> </w:t>
      </w:r>
      <w:r>
        <w:t xml:space="preserve">“</w:t>
      </w:r>
      <w:r>
        <w:t xml:space="preserve">Side Letter</w:t>
      </w:r>
      <w:r>
        <w:t xml:space="preserve">”</w:t>
      </w:r>
      <w:r>
        <w:t xml:space="preserve"> </w:t>
      </w:r>
      <w:r>
        <w:t xml:space="preserve">column) flags Meridian as</w:t>
      </w:r>
      <w:r>
        <w:t xml:space="preserve"> </w:t>
      </w:r>
      <w:r>
        <w:t xml:space="preserve">“</w:t>
      </w:r>
      <w:r>
        <w:t xml:space="preserve">Y</w:t>
      </w:r>
      <w:r>
        <w:t xml:space="preserve">”</w:t>
      </w:r>
      <w:r>
        <w:t xml:space="preserve"> </w:t>
      </w:r>
      <w:r>
        <w:t xml:space="preserve">(executed), Northbridge as</w:t>
      </w:r>
      <w:r>
        <w:t xml:space="preserve"> </w:t>
      </w:r>
      <w:r>
        <w:t xml:space="preserve">“</w:t>
      </w:r>
      <w:r>
        <w:t xml:space="preserve">Y</w:t>
      </w:r>
      <w:r>
        <w:t xml:space="preserve">”</w:t>
      </w:r>
      <w:r>
        <w:t xml:space="preserve"> </w:t>
      </w:r>
      <w:r>
        <w:t xml:space="preserve">(executed), and Sentry as</w:t>
      </w:r>
      <w:r>
        <w:t xml:space="preserve"> </w:t>
      </w:r>
      <w:r>
        <w:t xml:space="preserve">“</w:t>
      </w:r>
      <w:r>
        <w:t xml:space="preserve">N</w:t>
      </w:r>
      <w:r>
        <w:t xml:space="preserve">”</w:t>
      </w:r>
      <w:r>
        <w:t xml:space="preserve"> </w:t>
      </w:r>
      <w:r>
        <w:t xml:space="preserve">(no side letter). These are inconsistent: (a) Meridian’s side letter is</w:t>
      </w:r>
      <w:r>
        <w:t xml:space="preserve"> </w:t>
      </w:r>
      <w:r>
        <w:t xml:space="preserve">“</w:t>
      </w:r>
      <w:r>
        <w:t xml:space="preserve">Expected</w:t>
      </w:r>
      <w:r>
        <w:t xml:space="preserve">”</w:t>
      </w:r>
      <w:r>
        <w:t xml:space="preserve"> </w:t>
      </w:r>
      <w:r>
        <w:t xml:space="preserve">(not yet executed) in the Subscription Agreement but flagged as executed in the Admin Checklist; (b) Northbridge’s side letter is</w:t>
      </w:r>
      <w:r>
        <w:t xml:space="preserve"> </w:t>
      </w:r>
      <w:r>
        <w:t xml:space="preserve">“</w:t>
      </w:r>
      <w:r>
        <w:t xml:space="preserve">To be determined</w:t>
      </w:r>
      <w:r>
        <w:t xml:space="preserve">”</w:t>
      </w:r>
      <w:r>
        <w:t xml:space="preserve"> </w:t>
      </w:r>
      <w:r>
        <w:t xml:space="preserve">in the Subscription Agreement but flagged as executed in the Admin Checklist; and (c) Sentry’s side letter is</w:t>
      </w:r>
      <w:r>
        <w:t xml:space="preserve"> </w:t>
      </w:r>
      <w:r>
        <w:t xml:space="preserve">“</w:t>
      </w:r>
      <w:r>
        <w:t xml:space="preserve">Expected</w:t>
      </w:r>
      <w:r>
        <w:t xml:space="preserve">”</w:t>
      </w:r>
      <w:r>
        <w:t xml:space="preserve"> </w:t>
      </w:r>
      <w:r>
        <w:t xml:space="preserve">in the Subscription Agreement but flagged as</w:t>
      </w:r>
      <w:r>
        <w:t xml:space="preserve"> </w:t>
      </w:r>
      <w:r>
        <w:t xml:space="preserve">“</w:t>
      </w:r>
      <w:r>
        <w:t xml:space="preserve">N</w:t>
      </w:r>
      <w:r>
        <w:t xml:space="preserve">”</w:t>
      </w:r>
      <w:r>
        <w:t xml:space="preserve"> </w:t>
      </w:r>
      <w:r>
        <w:t xml:space="preserve">(none) in the Admin Checklist. The Admin Checklist (Item 30) marks</w:t>
      </w:r>
      <w:r>
        <w:t xml:space="preserve"> </w:t>
      </w:r>
      <w:r>
        <w:t xml:space="preserve">“</w:t>
      </w:r>
      <w:r>
        <w:t xml:space="preserve">Side letters for Final Closing LPs executed (as applicable)</w:t>
      </w:r>
      <w:r>
        <w:t xml:space="preserve">”</w:t>
      </w:r>
      <w:r>
        <w:t xml:space="preserve"> </w:t>
      </w:r>
      <w:r>
        <w:t xml:space="preserve">as</w:t>
      </w:r>
      <w:r>
        <w:t xml:space="preserve"> </w:t>
      </w:r>
      <w:r>
        <w:t xml:space="preserve">“</w:t>
      </w:r>
      <w:r>
        <w:t xml:space="preserve">Complete</w:t>
      </w:r>
      <w:r>
        <w:t xml:space="preserve">”</w:t>
      </w:r>
      <w:r>
        <w:t xml:space="preserve"> </w:t>
      </w:r>
      <w:r>
        <w:t xml:space="preserve">with</w:t>
      </w:r>
      <w:r>
        <w:t xml:space="preserve"> </w:t>
      </w:r>
      <w:r>
        <w:t xml:space="preserve">“</w:t>
      </w:r>
      <w:r>
        <w:t xml:space="preserve">14 total side letters across all closings,</w:t>
      </w:r>
      <w:r>
        <w:t xml:space="preserve">”</w:t>
      </w:r>
      <w:r>
        <w:t xml:space="preserve"> </w:t>
      </w:r>
      <w:r>
        <w:t xml:space="preserve">but the Subscription Agreement indicates that at least two Final Closing side letters (Meridian and Sentry) were not yet executed and one (Northbridge) was undecided as of the Subscription Agreement date.</w:t>
      </w:r>
      <w:r>
        <w:t xml:space="preserve"> </w:t>
      </w:r>
      <w:r>
        <w:rPr>
          <w:b/>
          <w:bCs/>
        </w:rPr>
        <w:t xml:space="preserve">Recommendation:</w:t>
      </w:r>
      <w:r>
        <w:t xml:space="preserve"> </w:t>
      </w:r>
      <w:r>
        <w:t xml:space="preserve">Confirm the actual execution status of each Final Closing side letter, reconcile the Admin Checklist flags, and confirm the total side letter count (see Item 23). If Meridian’s or Sentry’s side letter is not yet executed, determine whether it is required to be in place at closing (e.g., for FOIA accommodations) or can be completed post-closing.</w:t>
      </w:r>
    </w:p>
    <w:p>
      <w:pPr>
        <w:pStyle w:val="BodyText"/>
      </w:pPr>
      <w:r>
        <w:rPr>
          <w:b/>
          <w:bCs/>
        </w:rPr>
        <w:t xml:space="preserve">36. Admin Checklist Qualified Purchaser cross-reference</w:t>
      </w:r>
      <w:r>
        <w:rPr>
          <w:b/>
          <w:bCs/>
        </w:rPr>
        <w:t xml:space="preserve"> </w:t>
      </w:r>
      <w:r>
        <w:rPr>
          <w:b/>
          <w:bCs/>
        </w:rPr>
        <w:t xml:space="preserve">“</w:t>
      </w:r>
      <w:r>
        <w:rPr>
          <w:b/>
          <w:bCs/>
        </w:rPr>
        <w:t xml:space="preserve">Section 4(f)</w:t>
      </w:r>
      <w:r>
        <w:rPr>
          <w:b/>
          <w:bCs/>
        </w:rPr>
        <w:t xml:space="preserve">”</w:t>
      </w:r>
      <w:r>
        <w:rPr>
          <w:b/>
          <w:bCs/>
        </w:rPr>
        <w:t xml:space="preserve"> </w:t>
      </w:r>
      <w:r>
        <w:rPr>
          <w:b/>
          <w:bCs/>
        </w:rPr>
        <w:t xml:space="preserve">does not correspond to the Subscription Agreement.</w:t>
      </w:r>
      <w:r>
        <w:t xml:space="preserve"> </w:t>
      </w:r>
      <w:r>
        <w:t xml:space="preserve">The Admin Checklist (Items 12–17) records the Qualified Purchaser representation confirmations for all six Final Closing LPs with a supporting-document reference of</w:t>
      </w:r>
      <w:r>
        <w:t xml:space="preserve"> </w:t>
      </w:r>
      <w:r>
        <w:t xml:space="preserve">“</w:t>
      </w:r>
      <w:r>
        <w:t xml:space="preserve">Subscription Agreement, Section 4(f).</w:t>
      </w:r>
      <w:r>
        <w:t xml:space="preserve">”</w:t>
      </w:r>
      <w:r>
        <w:t xml:space="preserve"> </w:t>
      </w:r>
      <w:r>
        <w:t xml:space="preserve">The Subscription Agreement’s qualified purchaser representation is set forth in Section 2.2 (</w:t>
      </w:r>
      <w:r>
        <w:t xml:space="preserve">“</w:t>
      </w:r>
      <w:r>
        <w:t xml:space="preserve">Accredited Investor and Qualified Purchaser Status</w:t>
      </w:r>
      <w:r>
        <w:t xml:space="preserve">”</w:t>
      </w:r>
      <w:r>
        <w:t xml:space="preserve">). Section 4 of the Subscription Agreement is</w:t>
      </w:r>
      <w:r>
        <w:t xml:space="preserve"> </w:t>
      </w:r>
      <w:r>
        <w:t xml:space="preserve">“</w:t>
      </w:r>
      <w:r>
        <w:t xml:space="preserve">Covenants of the Subscriber</w:t>
      </w:r>
      <w:r>
        <w:t xml:space="preserve">”</w:t>
      </w:r>
      <w:r>
        <w:t xml:space="preserve"> </w:t>
      </w:r>
      <w:r>
        <w:t xml:space="preserve">(Sections 4.1–4.4) and contains no subsection (f). The cross-reference is therefore incorrect.</w:t>
      </w:r>
      <w:r>
        <w:t xml:space="preserve"> </w:t>
      </w:r>
      <w:r>
        <w:rPr>
          <w:b/>
          <w:bCs/>
        </w:rPr>
        <w:t xml:space="preserve">Recommendation:</w:t>
      </w:r>
      <w:r>
        <w:t xml:space="preserve"> </w:t>
      </w:r>
      <w:r>
        <w:t xml:space="preserve">Correct the supporting-document reference in the Admin Checklist to</w:t>
      </w:r>
      <w:r>
        <w:t xml:space="preserve"> </w:t>
      </w:r>
      <w:r>
        <w:t xml:space="preserve">“</w:t>
      </w:r>
      <w:r>
        <w:t xml:space="preserve">Subscription Agreement, Section 2.2.</w:t>
      </w:r>
      <w:r>
        <w:t xml:space="preserve">”</w:t>
      </w:r>
    </w:p>
    <w:p>
      <w:r>
        <w:pict>
          <v:rect style="width:0;height:1.5pt" o:hralign="center" o:hrstd="t" o:hr="t"/>
        </w:pict>
      </w:r>
    </w:p>
    <w:bookmarkEnd w:id="23"/>
    <w:bookmarkStart w:id="24" w:name="Xfd6add0580579df3f15a9d48898488223782848"/>
    <w:p>
      <w:pPr>
        <w:pStyle w:val="Heading2"/>
      </w:pPr>
      <w:r>
        <w:t xml:space="preserve">V. Post-Closing Action Items (Not Conditions Precedent)</w:t>
      </w:r>
    </w:p>
    <w:p>
      <w:pPr>
        <w:pStyle w:val="FirstParagraph"/>
      </w:pPr>
      <w:r>
        <w:t xml:space="preserve">The following items are not conditions precedent under Section 11.2 but are required post-closing obligations that should be tracked to completion:</w:t>
      </w:r>
    </w:p>
    <w:p>
      <w:pPr>
        <w:pStyle w:val="BodyText"/>
      </w:pPr>
      <w:r>
        <w:rPr>
          <w:b/>
          <w:bCs/>
        </w:rPr>
        <w:t xml:space="preserve">26. Form D amendment (SEC Rule 503).</w:t>
      </w:r>
      <w:r>
        <w:t xml:space="preserve"> </w:t>
      </w:r>
      <w:r>
        <w:t xml:space="preserve">An amended Form D must be filed with the SEC within fifteen (15) days following the Final Closing (i.e., by February 15, 2025) to reflect the six additional investors and the updated aggregate offering amount. The Admin Checklist (Item 28) and the GP Memo (Section XII, item 5) identify this item. Prior Form D filings: September 20, 2024 (initial) and December 5, 2024 (amended).</w:t>
      </w:r>
    </w:p>
    <w:p>
      <w:pPr>
        <w:pStyle w:val="BodyText"/>
      </w:pPr>
      <w:r>
        <w:rPr>
          <w:b/>
          <w:bCs/>
        </w:rPr>
        <w:t xml:space="preserve">27. MFN Notice (Section 12.3(b)).</w:t>
      </w:r>
      <w:r>
        <w:t xml:space="preserve"> </w:t>
      </w:r>
      <w:r>
        <w:t xml:space="preserve">Within thirty (30) days following the Final Closing, the General Partner must provide each MFN Eligible Partner (each Limited Partner with a Capital Commitment of $50,000,000 or more) with a written summary of side letter provisions eligible for MFN election. The Admin Checklist (Item 31) and the GP Memo (Section X) identify only the two Final Closing MFN-eligible LPs (Meridian ($100,000,000) and Northbridge ($60,000,000)). Based on the Commitment Schedule, there are additional MFN-eligible LPs from the Initial and Second Closings (e.g., Silvermark ($75,000,000), Thornhill ($120,000,000), Commonwealth ($85,000,000), Lakewood ($80,000,000), Evergreen ($65,000,000), Harborview ($55,000,000), Crossland ($70,000,000), Fieldstone ($75,000,000), and Birchwood ($60,000,000)).</w:t>
      </w:r>
      <w:r>
        <w:t xml:space="preserve"> </w:t>
      </w:r>
      <w:r>
        <w:rPr>
          <w:b/>
          <w:bCs/>
        </w:rPr>
        <w:t xml:space="preserve">Recommendation:</w:t>
      </w:r>
      <w:r>
        <w:t xml:space="preserve"> </w:t>
      </w:r>
      <w:r>
        <w:t xml:space="preserve">Confirm which MFN-eligible LPs have already received an MFN notice reflecting all side letters through the Final Closing, and provide an updated MFN notice to all eligible LPs who have not.</w:t>
      </w:r>
    </w:p>
    <w:p>
      <w:pPr>
        <w:pStyle w:val="BodyText"/>
      </w:pPr>
      <w:r>
        <w:rPr>
          <w:b/>
          <w:bCs/>
        </w:rPr>
        <w:t xml:space="preserve">28. Blue sky / state notice filings.</w:t>
      </w:r>
      <w:r>
        <w:t xml:space="preserve"> </w:t>
      </w:r>
      <w:r>
        <w:t xml:space="preserve">The GP Memo (Section XII, item 8) and the Admin Checklist note that state notice filings, if any, required in connection with the admission of the Final Closing LPs should be confirmed and completed. The jurisdiction discrepancies in Item 19 should be resolved before filings are made.</w:t>
      </w:r>
    </w:p>
    <w:p>
      <w:pPr>
        <w:pStyle w:val="BodyText"/>
      </w:pPr>
      <w:r>
        <w:rPr>
          <w:b/>
          <w:bCs/>
        </w:rPr>
        <w:t xml:space="preserve">29. Advisory Committee fifth seat.</w:t>
      </w:r>
      <w:r>
        <w:t xml:space="preserve"> </w:t>
      </w:r>
      <w:r>
        <w:t xml:space="preserve">See Item 20. Outreach to fill the vacant fifth seat should be initiated within 30 days of the Final Closing.</w:t>
      </w:r>
    </w:p>
    <w:p>
      <w:pPr>
        <w:pStyle w:val="BodyText"/>
      </w:pPr>
      <w:r>
        <w:rPr>
          <w:b/>
          <w:bCs/>
        </w:rPr>
        <w:t xml:space="preserve">30. Transfer of escrow funds to operating account.</w:t>
      </w:r>
      <w:r>
        <w:t xml:space="preserve"> </w:t>
      </w:r>
      <w:r>
        <w:t xml:space="preserve">The Admin Checklist (Item 22) shows the release of escrow funds to the Fund’s operating account at Pinnacle National Bank (Account ending in 8847) as pending, to be completed upon closing and escrow release.</w:t>
      </w:r>
    </w:p>
    <w:p>
      <w:pPr>
        <w:pStyle w:val="BodyText"/>
      </w:pPr>
      <w:r>
        <w:rPr>
          <w:b/>
          <w:bCs/>
        </w:rPr>
        <w:t xml:space="preserve">31. Updated Schedule A distribution.</w:t>
      </w:r>
      <w:r>
        <w:t xml:space="preserve"> </w:t>
      </w:r>
      <w:r>
        <w:t xml:space="preserve">Section 11.1 requires the General Partner to cause the Fund Administrator to deliver an updated Schedule A to all Partners within ten (10) Business Days following the Final Closing.</w:t>
      </w:r>
    </w:p>
    <w:p>
      <w:pPr>
        <w:pStyle w:val="BodyText"/>
      </w:pPr>
      <w:r>
        <w:rPr>
          <w:b/>
          <w:bCs/>
        </w:rPr>
        <w:t xml:space="preserve">32. Equalization interest distribution to existing LPs.</w:t>
      </w:r>
      <w:r>
        <w:t xml:space="preserve"> </w:t>
      </w:r>
      <w:r>
        <w:t xml:space="preserve">The equalization interest received from the Final Closing LPs is to be distributed to the Limited Partners admitted at the Initial and Second Closings, pro rata in accordance with their respective Capital Contributions to CC#1 and CC#2, as a preferential distribution (Section 3.2(c)). The Fund Administrator should process these distributions following the Final Closing, using the reconciled equalization interest figure (Items 9–11).</w:t>
      </w:r>
    </w:p>
    <w:p>
      <w:pPr>
        <w:pStyle w:val="BodyText"/>
      </w:pPr>
      <w:r>
        <w:rPr>
          <w:b/>
          <w:bCs/>
        </w:rPr>
        <w:t xml:space="preserve">33. Final Closing Certificate execution.</w:t>
      </w:r>
      <w:r>
        <w:t xml:space="preserve"> </w:t>
      </w:r>
      <w:r>
        <w:t xml:space="preserve">The Final Closing Certificate has been prepared and is to be executed by Marcus J. Whitmore on behalf of the General Partner at the Final Closing. The certificate should not be executed until the items in Section III (particularly Items 1, 2, 4, and 5) are resolved or appropriately supported.</w:t>
      </w:r>
    </w:p>
    <w:p>
      <w:r>
        <w:pict>
          <v:rect style="width:0;height:1.5pt" o:hralign="center" o:hrstd="t" o:hr="t"/>
        </w:pict>
      </w:r>
    </w:p>
    <w:bookmarkEnd w:id="24"/>
    <w:bookmarkStart w:id="25" w:name="vi.-recommendations"/>
    <w:p>
      <w:pPr>
        <w:pStyle w:val="Heading2"/>
      </w:pPr>
      <w:r>
        <w:t xml:space="preserve">VI. Recommendations</w:t>
      </w:r>
    </w:p>
    <w:p>
      <w:pPr>
        <w:pStyle w:val="Compact"/>
        <w:numPr>
          <w:ilvl w:val="0"/>
          <w:numId w:val="1028"/>
        </w:numPr>
      </w:pPr>
      <w:r>
        <w:rPr>
          <w:b/>
          <w:bCs/>
        </w:rPr>
        <w:t xml:space="preserve">Do not execute the Final Closing Certificate until Items 1, 2, 4, 5, and 34 are resolved.</w:t>
      </w:r>
      <w:r>
        <w:t xml:space="preserve"> </w:t>
      </w:r>
      <w:r>
        <w:t xml:space="preserve">Items 1 (ERISA) and 2 (AML/KYC) concern non-waivable conditions; Items 4 (escrow funding) and 5 (legal opinions) must be satisfied as of the closing date; Item 34 (Key Person support for Priya S. Mehta) must be supplemented so that the Section 9.4(d)/11.2(6) certification rests on support covering both Key Persons. The certificate’s certifications as to these conditions should rest on written confirmations obtained at or before the closing.</w:t>
      </w:r>
    </w:p>
    <w:p>
      <w:pPr>
        <w:pStyle w:val="Compact"/>
        <w:numPr>
          <w:ilvl w:val="0"/>
          <w:numId w:val="1028"/>
        </w:numPr>
      </w:pPr>
      <w:r>
        <w:rPr>
          <w:b/>
          <w:bCs/>
        </w:rPr>
        <w:t xml:space="preserve">Reconcile the ERISA / BPI determination (Item 1) as the highest priority.</w:t>
      </w:r>
      <w:r>
        <w:t xml:space="preserve"> </w:t>
      </w:r>
      <w:r>
        <w:t xml:space="preserve">If the detailed Commitment Schedule Y-flags are correct, the BPI percentage (28.80%) exceeds the 24.99% cap, and the General Partner would need to exercise its authority under Section 6.8 to reduce or decline BPI commitments before closing. The basis for the 22.00% figure (and the treatment of governmental plans) must be documented.</w:t>
      </w:r>
    </w:p>
    <w:p>
      <w:pPr>
        <w:pStyle w:val="Compact"/>
        <w:numPr>
          <w:ilvl w:val="0"/>
          <w:numId w:val="1028"/>
        </w:numPr>
      </w:pPr>
      <w:r>
        <w:rPr>
          <w:b/>
          <w:bCs/>
        </w:rPr>
        <w:t xml:space="preserve">Obtain a supplemental AML/KYC confirmation for Cascade Re (Item 2).</w:t>
      </w:r>
    </w:p>
    <w:p>
      <w:pPr>
        <w:pStyle w:val="Compact"/>
        <w:numPr>
          <w:ilvl w:val="0"/>
          <w:numId w:val="1028"/>
        </w:numPr>
      </w:pPr>
      <w:r>
        <w:rPr>
          <w:b/>
          <w:bCs/>
        </w:rPr>
        <w:t xml:space="preserve">Resolve the distribution-waterfall ambiguity in Amendment No. 1 (Item 3)</w:t>
      </w:r>
      <w:r>
        <w:t xml:space="preserve"> </w:t>
      </w:r>
      <w:r>
        <w:t xml:space="preserve">and document the intended waterfall.</w:t>
      </w:r>
    </w:p>
    <w:p>
      <w:pPr>
        <w:pStyle w:val="Compact"/>
        <w:numPr>
          <w:ilvl w:val="0"/>
          <w:numId w:val="1028"/>
        </w:numPr>
      </w:pPr>
      <w:r>
        <w:rPr>
          <w:b/>
          <w:bCs/>
        </w:rPr>
        <w:t xml:space="preserve">Reconcile the individual LP commitment figures (Items 7 and 8)</w:t>
      </w:r>
      <w:r>
        <w:t xml:space="preserve"> </w:t>
      </w:r>
      <w:r>
        <w:t xml:space="preserve">and confirm whether any LP was over- or under-called under CC#2.</w:t>
      </w:r>
    </w:p>
    <w:p>
      <w:pPr>
        <w:pStyle w:val="Compact"/>
        <w:numPr>
          <w:ilvl w:val="0"/>
          <w:numId w:val="1028"/>
        </w:numPr>
      </w:pPr>
      <w:r>
        <w:rPr>
          <w:b/>
          <w:bCs/>
        </w:rPr>
        <w:t xml:space="preserve">Confirm a single, reconciled equalization interest figure and day-count convention (Items 9–11).</w:t>
      </w:r>
    </w:p>
    <w:p>
      <w:pPr>
        <w:pStyle w:val="Compact"/>
        <w:numPr>
          <w:ilvl w:val="0"/>
          <w:numId w:val="1028"/>
        </w:numPr>
      </w:pPr>
      <w:r>
        <w:rPr>
          <w:b/>
          <w:bCs/>
        </w:rPr>
        <w:t xml:space="preserve">Deliver the Section 3.1(d) Advisory Committee notification within five Business Days after closing (Item 12).</w:t>
      </w:r>
    </w:p>
    <w:p>
      <w:pPr>
        <w:pStyle w:val="Compact"/>
        <w:numPr>
          <w:ilvl w:val="0"/>
          <w:numId w:val="1028"/>
        </w:numPr>
      </w:pPr>
      <w:r>
        <w:rPr>
          <w:b/>
          <w:bCs/>
        </w:rPr>
        <w:t xml:space="preserve">Reconcile the side letter execution status for the Final Closing LPs (Item 35)</w:t>
      </w:r>
      <w:r>
        <w:t xml:space="preserve"> </w:t>
      </w:r>
      <w:r>
        <w:t xml:space="preserve">and confirm the total side letter count (Item 23).</w:t>
      </w:r>
    </w:p>
    <w:p>
      <w:pPr>
        <w:pStyle w:val="Compact"/>
        <w:numPr>
          <w:ilvl w:val="0"/>
          <w:numId w:val="1028"/>
        </w:numPr>
      </w:pPr>
      <w:r>
        <w:rPr>
          <w:b/>
          <w:bCs/>
        </w:rPr>
        <w:t xml:space="preserve">Correct the cross-reference errors (Item 14), the Admin Checklist QP reference (Item 36), the PPM date (Item 15), the CC#1 funding date (Item 16), the default interest rate (Item 17), and the contact information (Item 22)</w:t>
      </w:r>
      <w:r>
        <w:t xml:space="preserve"> </w:t>
      </w:r>
      <w:r>
        <w:t xml:space="preserve">in the next document update cycle.</w:t>
      </w:r>
    </w:p>
    <w:p>
      <w:pPr>
        <w:pStyle w:val="Compact"/>
        <w:numPr>
          <w:ilvl w:val="0"/>
          <w:numId w:val="1028"/>
        </w:numPr>
      </w:pPr>
      <w:r>
        <w:rPr>
          <w:b/>
          <w:bCs/>
        </w:rPr>
        <w:t xml:space="preserve">Track the post-closing items in Section V</w:t>
      </w:r>
      <w:r>
        <w:t xml:space="preserve"> </w:t>
      </w:r>
      <w:r>
        <w:t xml:space="preserve">to completion, with assigned responsibility and deadlines.</w:t>
      </w:r>
    </w:p>
    <w:p>
      <w:r>
        <w:pict>
          <v:rect style="width:0;height:1.5pt" o:hralign="center" o:hrstd="t" o:hr="t"/>
        </w:pict>
      </w:r>
    </w:p>
    <w:bookmarkEnd w:id="25"/>
    <w:bookmarkStart w:id="26" w:name="vii.-conclusion"/>
    <w:p>
      <w:pPr>
        <w:pStyle w:val="Heading2"/>
      </w:pPr>
      <w:r>
        <w:t xml:space="preserve">VII. Conclusion</w:t>
      </w:r>
    </w:p>
    <w:p>
      <w:pPr>
        <w:pStyle w:val="FirstParagraph"/>
      </w:pPr>
      <w:r>
        <w:t xml:space="preserve">The Fund is substantially ready to proceed with the Final Closing, and the Final Closing Certificate has been prepared certifying each condition precedent under Section 11.2 of the LPA. However, the Source Documents contain a number of discrepancies and unresolved items, the most significant of which (the ERISA / BPI calculation, the AML/KYC coverage of Cascade Re, the distribution-waterfall amendment, the outstanding escrow/opinions/Schedule A items, and the incomplete Key Person support for Priya S. Mehta) should be resolved or appropriately supported before the certificate is executed. We are available to assist with each of the foregoing and will continue to coordinate with Oakmere Fund Services LLC and the General Partner through the closing.</w:t>
      </w:r>
    </w:p>
    <w:p>
      <w:pPr>
        <w:pStyle w:val="BodyText"/>
      </w:pPr>
      <w:r>
        <w:t xml:space="preserve">Please contact us with any questions.</w:t>
      </w:r>
    </w:p>
    <w:p>
      <w:pPr>
        <w:pStyle w:val="BodyText"/>
      </w:pPr>
      <w:r>
        <w:rPr>
          <w:b/>
          <w:bCs/>
        </w:rPr>
        <w:t xml:space="preserve">Bridgeford Hollis LLP</w:t>
      </w:r>
    </w:p>
    <w:p>
      <w:pPr>
        <w:pStyle w:val="BodyText"/>
      </w:pPr>
      <w:r>
        <w:t xml:space="preserve">David R. Kasten</w:t>
      </w:r>
    </w:p>
    <w:p>
      <w:pPr>
        <w:pStyle w:val="BodyText"/>
      </w:pPr>
      <w:r>
        <w:t xml:space="preserve">Emily T. Naraghi</w:t>
      </w:r>
    </w:p>
    <w:p>
      <w:pPr>
        <w:pStyle w:val="BodyText"/>
      </w:pPr>
      <w:r>
        <w:t xml:space="preserve">77 West Monroe Street, Suite 4400</w:t>
      </w:r>
    </w:p>
    <w:p>
      <w:pPr>
        <w:pStyle w:val="BodyText"/>
      </w:pPr>
      <w:r>
        <w:t xml:space="preserve">Chicago, IL 60603</w:t>
      </w:r>
    </w:p>
    <w:p>
      <w:r>
        <w:pict>
          <v:rect style="width:0;height:1.5pt" o:hralign="center" o:hrstd="t" o:hr="t"/>
        </w:pict>
      </w:r>
    </w:p>
    <w:p>
      <w:pPr>
        <w:pStyle w:val="FirstParagraph"/>
      </w:pPr>
      <w:r>
        <w:rPr>
          <w:i/>
          <w:iCs/>
        </w:rPr>
        <w:t xml:space="preserve">This memorandum constitutes attorney-client privileged communication and attorney work product prepared by Fund Counsel for the General Partner of Whitmore Capital Partners VII, LP. It is intended solely for the internal use of the addressees and should not be distributed, reproduced, or disclosed to any Limited Partner or third party without the prior written consent of the General Partner and Fund Counsel.</w:t>
      </w:r>
    </w:p>
    <w:p>
      <w:pPr>
        <w:pStyle w:val="BodyText"/>
      </w:pPr>
      <w:r>
        <w:t xml:space="preserve">[END OF MEMORANDUM]</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abstractNum w:abstractNumId="997312">
    <w:nsid w:val="0A997312"/>
    <w:multiLevelType w:val="multilevel"/>
    <w:lvl w:ilvl="0">
      <w:start w:val="12"/>
      <w:numFmt w:val="lowerLetter"/>
      <w:lvlText w:val="(%1)"/>
      <w:lvlJc w:val="left"/>
      <w:pPr>
        <w:ind w:left="720" w:hanging="480"/>
      </w:pPr>
    </w:lvl>
    <w:lvl w:ilvl="1">
      <w:start w:val="12"/>
      <w:numFmt w:val="lowerLetter"/>
      <w:lvlText w:val="(%2)"/>
      <w:lvlJc w:val="left"/>
      <w:pPr>
        <w:ind w:left="1440" w:hanging="480"/>
      </w:pPr>
    </w:lvl>
    <w:lvl w:ilvl="2">
      <w:start w:val="12"/>
      <w:numFmt w:val="lowerLetter"/>
      <w:lvlText w:val="(%3)"/>
      <w:lvlJc w:val="left"/>
      <w:pPr>
        <w:ind w:left="2160" w:hanging="480"/>
      </w:pPr>
    </w:lvl>
    <w:lvl w:ilvl="3">
      <w:start w:val="12"/>
      <w:numFmt w:val="lowerLetter"/>
      <w:lvlText w:val="(%4)"/>
      <w:lvlJc w:val="left"/>
      <w:pPr>
        <w:ind w:left="2880" w:hanging="480"/>
      </w:pPr>
    </w:lvl>
    <w:lvl w:ilvl="4">
      <w:start w:val="12"/>
      <w:numFmt w:val="lowerLetter"/>
      <w:lvlText w:val="(%5)"/>
      <w:lvlJc w:val="left"/>
      <w:pPr>
        <w:ind w:left="3600" w:hanging="480"/>
      </w:pPr>
    </w:lvl>
    <w:lvl w:ilvl="5">
      <w:start w:val="12"/>
      <w:numFmt w:val="lowerLetter"/>
      <w:lvlText w:val="(%6)"/>
      <w:lvlJc w:val="left"/>
      <w:pPr>
        <w:ind w:left="4320" w:hanging="480"/>
      </w:pPr>
    </w:lvl>
    <w:lvl w:ilvl="6">
      <w:start w:val="12"/>
      <w:numFmt w:val="lowerLetter"/>
      <w:lvlText w:val="(%7)"/>
      <w:lvlJc w:val="left"/>
      <w:pPr>
        <w:ind w:left="5040" w:hanging="480"/>
      </w:pPr>
    </w:lvl>
    <w:lvl w:ilvl="7">
      <w:start w:val="12"/>
      <w:numFmt w:val="lowerLetter"/>
      <w:lvlText w:val="(%8)"/>
      <w:lvlJc w:val="left"/>
      <w:pPr>
        <w:ind w:left="5760" w:hanging="480"/>
      </w:pPr>
    </w:lvl>
    <w:lvl w:ilvl="8">
      <w:start w:val="12"/>
      <w:numFmt w:val="lowerLetter"/>
      <w:lvlText w:val="(%9)"/>
      <w:lvlJc w:val="left"/>
      <w:pPr>
        <w:ind w:left="6480" w:hanging="480"/>
      </w:pPr>
    </w:lvl>
  </w:abstractNum>
  <w:abstractNum w:abstractNumId="997313">
    <w:nsid w:val="0A997313"/>
    <w:multiLevelType w:val="multilevel"/>
    <w:lvl w:ilvl="0">
      <w:start w:val="13"/>
      <w:numFmt w:val="lowerLetter"/>
      <w:lvlText w:val="(%1)"/>
      <w:lvlJc w:val="left"/>
      <w:pPr>
        <w:ind w:left="720" w:hanging="480"/>
      </w:pPr>
    </w:lvl>
    <w:lvl w:ilvl="1">
      <w:start w:val="13"/>
      <w:numFmt w:val="lowerLetter"/>
      <w:lvlText w:val="(%2)"/>
      <w:lvlJc w:val="left"/>
      <w:pPr>
        <w:ind w:left="1440" w:hanging="480"/>
      </w:pPr>
    </w:lvl>
    <w:lvl w:ilvl="2">
      <w:start w:val="13"/>
      <w:numFmt w:val="lowerLetter"/>
      <w:lvlText w:val="(%3)"/>
      <w:lvlJc w:val="left"/>
      <w:pPr>
        <w:ind w:left="2160" w:hanging="480"/>
      </w:pPr>
    </w:lvl>
    <w:lvl w:ilvl="3">
      <w:start w:val="13"/>
      <w:numFmt w:val="lowerLetter"/>
      <w:lvlText w:val="(%4)"/>
      <w:lvlJc w:val="left"/>
      <w:pPr>
        <w:ind w:left="2880" w:hanging="480"/>
      </w:pPr>
    </w:lvl>
    <w:lvl w:ilvl="4">
      <w:start w:val="13"/>
      <w:numFmt w:val="lowerLetter"/>
      <w:lvlText w:val="(%5)"/>
      <w:lvlJc w:val="left"/>
      <w:pPr>
        <w:ind w:left="3600" w:hanging="480"/>
      </w:pPr>
    </w:lvl>
    <w:lvl w:ilvl="5">
      <w:start w:val="13"/>
      <w:numFmt w:val="lowerLetter"/>
      <w:lvlText w:val="(%6)"/>
      <w:lvlJc w:val="left"/>
      <w:pPr>
        <w:ind w:left="4320" w:hanging="480"/>
      </w:pPr>
    </w:lvl>
    <w:lvl w:ilvl="6">
      <w:start w:val="13"/>
      <w:numFmt w:val="lowerLetter"/>
      <w:lvlText w:val="(%7)"/>
      <w:lvlJc w:val="left"/>
      <w:pPr>
        <w:ind w:left="5040" w:hanging="480"/>
      </w:pPr>
    </w:lvl>
    <w:lvl w:ilvl="7">
      <w:start w:val="13"/>
      <w:numFmt w:val="lowerLetter"/>
      <w:lvlText w:val="(%8)"/>
      <w:lvlJc w:val="left"/>
      <w:pPr>
        <w:ind w:left="5760" w:hanging="480"/>
      </w:pPr>
    </w:lvl>
    <w:lvl w:ilvl="8">
      <w:start w:val="13"/>
      <w:numFmt w:val="lowerLetter"/>
      <w:lvlText w:val="(%9)"/>
      <w:lvlJc w:val="left"/>
      <w:pPr>
        <w:ind w:left="6480" w:hanging="480"/>
      </w:pPr>
    </w:lvl>
  </w:abstractNum>
  <w:abstractNum w:abstractNumId="997314">
    <w:nsid w:val="0A997314"/>
    <w:multiLevelType w:val="multilevel"/>
    <w:lvl w:ilvl="0">
      <w:start w:val="14"/>
      <w:numFmt w:val="lowerLetter"/>
      <w:lvlText w:val="(%1)"/>
      <w:lvlJc w:val="left"/>
      <w:pPr>
        <w:ind w:left="720" w:hanging="480"/>
      </w:pPr>
    </w:lvl>
    <w:lvl w:ilvl="1">
      <w:start w:val="14"/>
      <w:numFmt w:val="lowerLetter"/>
      <w:lvlText w:val="(%2)"/>
      <w:lvlJc w:val="left"/>
      <w:pPr>
        <w:ind w:left="1440" w:hanging="480"/>
      </w:pPr>
    </w:lvl>
    <w:lvl w:ilvl="2">
      <w:start w:val="14"/>
      <w:numFmt w:val="lowerLetter"/>
      <w:lvlText w:val="(%3)"/>
      <w:lvlJc w:val="left"/>
      <w:pPr>
        <w:ind w:left="2160" w:hanging="480"/>
      </w:pPr>
    </w:lvl>
    <w:lvl w:ilvl="3">
      <w:start w:val="14"/>
      <w:numFmt w:val="lowerLetter"/>
      <w:lvlText w:val="(%4)"/>
      <w:lvlJc w:val="left"/>
      <w:pPr>
        <w:ind w:left="2880" w:hanging="480"/>
      </w:pPr>
    </w:lvl>
    <w:lvl w:ilvl="4">
      <w:start w:val="14"/>
      <w:numFmt w:val="lowerLetter"/>
      <w:lvlText w:val="(%5)"/>
      <w:lvlJc w:val="left"/>
      <w:pPr>
        <w:ind w:left="3600" w:hanging="480"/>
      </w:pPr>
    </w:lvl>
    <w:lvl w:ilvl="5">
      <w:start w:val="14"/>
      <w:numFmt w:val="lowerLetter"/>
      <w:lvlText w:val="(%6)"/>
      <w:lvlJc w:val="left"/>
      <w:pPr>
        <w:ind w:left="4320" w:hanging="480"/>
      </w:pPr>
    </w:lvl>
    <w:lvl w:ilvl="6">
      <w:start w:val="14"/>
      <w:numFmt w:val="lowerLetter"/>
      <w:lvlText w:val="(%7)"/>
      <w:lvlJc w:val="left"/>
      <w:pPr>
        <w:ind w:left="5040" w:hanging="480"/>
      </w:pPr>
    </w:lvl>
    <w:lvl w:ilvl="7">
      <w:start w:val="14"/>
      <w:numFmt w:val="lowerLetter"/>
      <w:lvlText w:val="(%8)"/>
      <w:lvlJc w:val="left"/>
      <w:pPr>
        <w:ind w:left="5760" w:hanging="480"/>
      </w:pPr>
    </w:lvl>
    <w:lvl w:ilvl="8">
      <w:start w:val="14"/>
      <w:numFmt w:val="lowerLetter"/>
      <w:lvlText w:val="(%9)"/>
      <w:lvlJc w:val="left"/>
      <w:pPr>
        <w:ind w:left="6480" w:hanging="480"/>
      </w:pPr>
    </w:lvl>
  </w:abstractNum>
  <w:abstractNum w:abstractNumId="997315">
    <w:nsid w:val="0A997315"/>
    <w:multiLevelType w:val="multilevel"/>
    <w:lvl w:ilvl="0">
      <w:start w:val="15"/>
      <w:numFmt w:val="lowerLetter"/>
      <w:lvlText w:val="(%1)"/>
      <w:lvlJc w:val="left"/>
      <w:pPr>
        <w:ind w:left="720" w:hanging="480"/>
      </w:pPr>
    </w:lvl>
    <w:lvl w:ilvl="1">
      <w:start w:val="15"/>
      <w:numFmt w:val="lowerLetter"/>
      <w:lvlText w:val="(%2)"/>
      <w:lvlJc w:val="left"/>
      <w:pPr>
        <w:ind w:left="1440" w:hanging="480"/>
      </w:pPr>
    </w:lvl>
    <w:lvl w:ilvl="2">
      <w:start w:val="15"/>
      <w:numFmt w:val="lowerLetter"/>
      <w:lvlText w:val="(%3)"/>
      <w:lvlJc w:val="left"/>
      <w:pPr>
        <w:ind w:left="2160" w:hanging="480"/>
      </w:pPr>
    </w:lvl>
    <w:lvl w:ilvl="3">
      <w:start w:val="15"/>
      <w:numFmt w:val="lowerLetter"/>
      <w:lvlText w:val="(%4)"/>
      <w:lvlJc w:val="left"/>
      <w:pPr>
        <w:ind w:left="2880" w:hanging="480"/>
      </w:pPr>
    </w:lvl>
    <w:lvl w:ilvl="4">
      <w:start w:val="15"/>
      <w:numFmt w:val="lowerLetter"/>
      <w:lvlText w:val="(%5)"/>
      <w:lvlJc w:val="left"/>
      <w:pPr>
        <w:ind w:left="3600" w:hanging="480"/>
      </w:pPr>
    </w:lvl>
    <w:lvl w:ilvl="5">
      <w:start w:val="15"/>
      <w:numFmt w:val="lowerLetter"/>
      <w:lvlText w:val="(%6)"/>
      <w:lvlJc w:val="left"/>
      <w:pPr>
        <w:ind w:left="4320" w:hanging="480"/>
      </w:pPr>
    </w:lvl>
    <w:lvl w:ilvl="6">
      <w:start w:val="15"/>
      <w:numFmt w:val="lowerLetter"/>
      <w:lvlText w:val="(%7)"/>
      <w:lvlJc w:val="left"/>
      <w:pPr>
        <w:ind w:left="5040" w:hanging="480"/>
      </w:pPr>
    </w:lvl>
    <w:lvl w:ilvl="7">
      <w:start w:val="15"/>
      <w:numFmt w:val="lowerLetter"/>
      <w:lvlText w:val="(%8)"/>
      <w:lvlJc w:val="left"/>
      <w:pPr>
        <w:ind w:left="5760" w:hanging="480"/>
      </w:pPr>
    </w:lvl>
    <w:lvl w:ilvl="8">
      <w:start w:val="15"/>
      <w:numFmt w:val="lowerLetter"/>
      <w:lvlText w:val="(%9)"/>
      <w:lvlJc w:val="left"/>
      <w:pPr>
        <w:ind w:left="6480" w:hanging="480"/>
      </w:pPr>
    </w:lvl>
  </w:abstractNum>
  <w:abstractNum w:abstractNumId="997316">
    <w:nsid w:val="0A997316"/>
    <w:multiLevelType w:val="multilevel"/>
    <w:lvl w:ilvl="0">
      <w:start w:val="16"/>
      <w:numFmt w:val="lowerLetter"/>
      <w:lvlText w:val="(%1)"/>
      <w:lvlJc w:val="left"/>
      <w:pPr>
        <w:ind w:left="720" w:hanging="480"/>
      </w:pPr>
    </w:lvl>
    <w:lvl w:ilvl="1">
      <w:start w:val="16"/>
      <w:numFmt w:val="lowerLetter"/>
      <w:lvlText w:val="(%2)"/>
      <w:lvlJc w:val="left"/>
      <w:pPr>
        <w:ind w:left="1440" w:hanging="480"/>
      </w:pPr>
    </w:lvl>
    <w:lvl w:ilvl="2">
      <w:start w:val="16"/>
      <w:numFmt w:val="lowerLetter"/>
      <w:lvlText w:val="(%3)"/>
      <w:lvlJc w:val="left"/>
      <w:pPr>
        <w:ind w:left="2160" w:hanging="480"/>
      </w:pPr>
    </w:lvl>
    <w:lvl w:ilvl="3">
      <w:start w:val="16"/>
      <w:numFmt w:val="lowerLetter"/>
      <w:lvlText w:val="(%4)"/>
      <w:lvlJc w:val="left"/>
      <w:pPr>
        <w:ind w:left="2880" w:hanging="480"/>
      </w:pPr>
    </w:lvl>
    <w:lvl w:ilvl="4">
      <w:start w:val="16"/>
      <w:numFmt w:val="lowerLetter"/>
      <w:lvlText w:val="(%5)"/>
      <w:lvlJc w:val="left"/>
      <w:pPr>
        <w:ind w:left="3600" w:hanging="480"/>
      </w:pPr>
    </w:lvl>
    <w:lvl w:ilvl="5">
      <w:start w:val="16"/>
      <w:numFmt w:val="lowerLetter"/>
      <w:lvlText w:val="(%6)"/>
      <w:lvlJc w:val="left"/>
      <w:pPr>
        <w:ind w:left="4320" w:hanging="480"/>
      </w:pPr>
    </w:lvl>
    <w:lvl w:ilvl="6">
      <w:start w:val="16"/>
      <w:numFmt w:val="lowerLetter"/>
      <w:lvlText w:val="(%7)"/>
      <w:lvlJc w:val="left"/>
      <w:pPr>
        <w:ind w:left="5040" w:hanging="480"/>
      </w:pPr>
    </w:lvl>
    <w:lvl w:ilvl="7">
      <w:start w:val="16"/>
      <w:numFmt w:val="lowerLetter"/>
      <w:lvlText w:val="(%8)"/>
      <w:lvlJc w:val="left"/>
      <w:pPr>
        <w:ind w:left="5760" w:hanging="480"/>
      </w:pPr>
    </w:lvl>
    <w:lvl w:ilvl="8">
      <w:start w:val="16"/>
      <w:numFmt w:val="lowerLetter"/>
      <w:lvlText w:val="(%9)"/>
      <w:lvlJc w:val="left"/>
      <w:pPr>
        <w:ind w:left="6480" w:hanging="480"/>
      </w:pPr>
    </w:lvl>
  </w:abstractNum>
  <w:abstractNum w:abstractNumId="997317">
    <w:nsid w:val="0A997317"/>
    <w:multiLevelType w:val="multilevel"/>
    <w:lvl w:ilvl="0">
      <w:start w:val="17"/>
      <w:numFmt w:val="lowerLetter"/>
      <w:lvlText w:val="(%1)"/>
      <w:lvlJc w:val="left"/>
      <w:pPr>
        <w:ind w:left="720" w:hanging="480"/>
      </w:pPr>
    </w:lvl>
    <w:lvl w:ilvl="1">
      <w:start w:val="17"/>
      <w:numFmt w:val="lowerLetter"/>
      <w:lvlText w:val="(%2)"/>
      <w:lvlJc w:val="left"/>
      <w:pPr>
        <w:ind w:left="1440" w:hanging="480"/>
      </w:pPr>
    </w:lvl>
    <w:lvl w:ilvl="2">
      <w:start w:val="17"/>
      <w:numFmt w:val="lowerLetter"/>
      <w:lvlText w:val="(%3)"/>
      <w:lvlJc w:val="left"/>
      <w:pPr>
        <w:ind w:left="2160" w:hanging="480"/>
      </w:pPr>
    </w:lvl>
    <w:lvl w:ilvl="3">
      <w:start w:val="17"/>
      <w:numFmt w:val="lowerLetter"/>
      <w:lvlText w:val="(%4)"/>
      <w:lvlJc w:val="left"/>
      <w:pPr>
        <w:ind w:left="2880" w:hanging="480"/>
      </w:pPr>
    </w:lvl>
    <w:lvl w:ilvl="4">
      <w:start w:val="17"/>
      <w:numFmt w:val="lowerLetter"/>
      <w:lvlText w:val="(%5)"/>
      <w:lvlJc w:val="left"/>
      <w:pPr>
        <w:ind w:left="3600" w:hanging="480"/>
      </w:pPr>
    </w:lvl>
    <w:lvl w:ilvl="5">
      <w:start w:val="17"/>
      <w:numFmt w:val="lowerLetter"/>
      <w:lvlText w:val="(%6)"/>
      <w:lvlJc w:val="left"/>
      <w:pPr>
        <w:ind w:left="4320" w:hanging="480"/>
      </w:pPr>
    </w:lvl>
    <w:lvl w:ilvl="6">
      <w:start w:val="17"/>
      <w:numFmt w:val="lowerLetter"/>
      <w:lvlText w:val="(%7)"/>
      <w:lvlJc w:val="left"/>
      <w:pPr>
        <w:ind w:left="5040" w:hanging="480"/>
      </w:pPr>
    </w:lvl>
    <w:lvl w:ilvl="7">
      <w:start w:val="17"/>
      <w:numFmt w:val="lowerLetter"/>
      <w:lvlText w:val="(%8)"/>
      <w:lvlJc w:val="left"/>
      <w:pPr>
        <w:ind w:left="5760" w:hanging="480"/>
      </w:pPr>
    </w:lvl>
    <w:lvl w:ilvl="8">
      <w:start w:val="17"/>
      <w:numFmt w:val="lowerLetter"/>
      <w:lvlText w:val="(%9)"/>
      <w:lvlJc w:val="left"/>
      <w:pPr>
        <w:ind w:left="6480" w:hanging="480"/>
      </w:pPr>
    </w:lvl>
  </w:abstractNum>
  <w:abstractNum w:abstractNumId="997318">
    <w:nsid w:val="0A997318"/>
    <w:multiLevelType w:val="multilevel"/>
    <w:lvl w:ilvl="0">
      <w:start w:val="18"/>
      <w:numFmt w:val="lowerLetter"/>
      <w:lvlText w:val="(%1)"/>
      <w:lvlJc w:val="left"/>
      <w:pPr>
        <w:ind w:left="720" w:hanging="480"/>
      </w:pPr>
    </w:lvl>
    <w:lvl w:ilvl="1">
      <w:start w:val="18"/>
      <w:numFmt w:val="lowerLetter"/>
      <w:lvlText w:val="(%2)"/>
      <w:lvlJc w:val="left"/>
      <w:pPr>
        <w:ind w:left="1440" w:hanging="480"/>
      </w:pPr>
    </w:lvl>
    <w:lvl w:ilvl="2">
      <w:start w:val="18"/>
      <w:numFmt w:val="lowerLetter"/>
      <w:lvlText w:val="(%3)"/>
      <w:lvlJc w:val="left"/>
      <w:pPr>
        <w:ind w:left="2160" w:hanging="480"/>
      </w:pPr>
    </w:lvl>
    <w:lvl w:ilvl="3">
      <w:start w:val="18"/>
      <w:numFmt w:val="lowerLetter"/>
      <w:lvlText w:val="(%4)"/>
      <w:lvlJc w:val="left"/>
      <w:pPr>
        <w:ind w:left="2880" w:hanging="480"/>
      </w:pPr>
    </w:lvl>
    <w:lvl w:ilvl="4">
      <w:start w:val="18"/>
      <w:numFmt w:val="lowerLetter"/>
      <w:lvlText w:val="(%5)"/>
      <w:lvlJc w:val="left"/>
      <w:pPr>
        <w:ind w:left="3600" w:hanging="480"/>
      </w:pPr>
    </w:lvl>
    <w:lvl w:ilvl="5">
      <w:start w:val="18"/>
      <w:numFmt w:val="lowerLetter"/>
      <w:lvlText w:val="(%6)"/>
      <w:lvlJc w:val="left"/>
      <w:pPr>
        <w:ind w:left="4320" w:hanging="480"/>
      </w:pPr>
    </w:lvl>
    <w:lvl w:ilvl="6">
      <w:start w:val="18"/>
      <w:numFmt w:val="lowerLetter"/>
      <w:lvlText w:val="(%7)"/>
      <w:lvlJc w:val="left"/>
      <w:pPr>
        <w:ind w:left="5040" w:hanging="480"/>
      </w:pPr>
    </w:lvl>
    <w:lvl w:ilvl="7">
      <w:start w:val="18"/>
      <w:numFmt w:val="lowerLetter"/>
      <w:lvlText w:val="(%8)"/>
      <w:lvlJc w:val="left"/>
      <w:pPr>
        <w:ind w:left="5760" w:hanging="480"/>
      </w:pPr>
    </w:lvl>
    <w:lvl w:ilvl="8">
      <w:start w:val="18"/>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8">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9">
    <w:abstractNumId w:val="997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0">
    <w:abstractNumId w:val="997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1">
    <w:abstractNumId w:val="997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2">
    <w:abstractNumId w:val="997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2026-06-27T01:45:58Z</dcterms:created>
  <dcterms:modified xsi:type="dcterms:W3CDTF">2026-06-27T01:45:58Z</dcterms:modified>
</cp:coreProperties>
</file>

<file path=docProps/custom.xml><?xml version="1.0" encoding="utf-8"?>
<Properties xmlns="http://schemas.openxmlformats.org/officeDocument/2006/custom-properties" xmlns:vt="http://schemas.openxmlformats.org/officeDocument/2006/docPropsVTypes"/>
</file>