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b00a8ce9f01252ee933d31ffed2c10f1672bce1"/>
    <w:p>
      <w:pPr>
        <w:pStyle w:val="Heading1"/>
      </w:pPr>
      <w:r>
        <w:t xml:space="preserve">PRIVILEGED &amp; CONFIDENTIAL — ATTORNEY-CLIENT COMMUNICATION / ATTORNEY WORK PRODUCT</w:t>
      </w:r>
    </w:p>
    <w:p>
      <w:pPr>
        <w:pStyle w:val="FirstParagraph"/>
      </w:pPr>
      <w:r>
        <w:rPr>
          <w:b/>
          <w:bCs/>
        </w:rPr>
        <w:t xml:space="preserve">HARGROVE, TEMPLETON &amp; BLISS LLP</w:t>
      </w:r>
      <w:r>
        <w:t xml:space="preserve"> </w:t>
      </w:r>
      <w:r>
        <w:t xml:space="preserve">1750 K Street NW, Suite 900, Washington, DC 20006</w:t>
      </w:r>
    </w:p>
    <w:p>
      <w:r>
        <w:pict>
          <v:rect style="width:0;height:1.5pt" o:hralign="center" o:hrstd="t" o:hr="t"/>
        </w:pict>
      </w:r>
    </w:p>
    <w:bookmarkStart w:id="20" w:name="internal-issue-memorandum"/>
    <w:p>
      <w:pPr>
        <w:pStyle w:val="Heading2"/>
      </w:pPr>
      <w:r>
        <w:t xml:space="preserve">INTERNAL ISSUE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Linda Fessenden, VP Regulatory Affairs, Clearfield Medical Devices, Inc.; Dr. Evelyn Marsh, RAC, Ridgepoint Consulting Group</w:t>
            </w:r>
          </w:p>
        </w:tc>
      </w:tr>
      <w:tr>
        <w:tc>
          <w:tcPr/>
          <w:p>
            <w:pPr>
              <w:pStyle w:val="Compact"/>
              <w:jc w:val="left"/>
            </w:pPr>
            <w:r>
              <w:rPr>
                <w:b/>
                <w:bCs/>
              </w:rPr>
              <w:t xml:space="preserve">FROM:</w:t>
            </w:r>
          </w:p>
        </w:tc>
        <w:tc>
          <w:tcPr/>
          <w:p>
            <w:pPr>
              <w:pStyle w:val="Compact"/>
              <w:jc w:val="left"/>
            </w:pPr>
            <w:r>
              <w:t xml:space="preserve">Daniel J. Yoo, Senior Associate, Hargrove, Templeton &amp; Bliss LLP</w:t>
            </w:r>
          </w:p>
        </w:tc>
      </w:tr>
      <w:tr>
        <w:tc>
          <w:tcPr/>
          <w:p>
            <w:pPr>
              <w:pStyle w:val="Compact"/>
              <w:jc w:val="left"/>
            </w:pPr>
            <w:r>
              <w:rPr>
                <w:b/>
                <w:bCs/>
              </w:rPr>
              <w:t xml:space="preserve">CC:</w:t>
            </w:r>
          </w:p>
        </w:tc>
        <w:tc>
          <w:tcPr/>
          <w:p>
            <w:pPr>
              <w:pStyle w:val="Compact"/>
              <w:jc w:val="left"/>
            </w:pPr>
            <w:r>
              <w:t xml:space="preserve">Katherine</w:t>
            </w:r>
            <w:r>
              <w:t xml:space="preserve"> </w:t>
            </w:r>
            <w:r>
              <w:t xml:space="preserve">“</w:t>
            </w:r>
            <w:r>
              <w:t xml:space="preserve">Kate</w:t>
            </w:r>
            <w:r>
              <w:t xml:space="preserve">”</w:t>
            </w:r>
            <w:r>
              <w:t xml:space="preserve"> </w:t>
            </w:r>
            <w:r>
              <w:t xml:space="preserve">Pressman, Partner, Hargrove, Templeton &amp; Bliss LLP</w:t>
            </w:r>
          </w:p>
        </w:tc>
      </w:tr>
      <w:tr>
        <w:tc>
          <w:tcPr/>
          <w:p>
            <w:pPr>
              <w:pStyle w:val="Compact"/>
              <w:jc w:val="left"/>
            </w:pPr>
            <w:r>
              <w:rPr>
                <w:b/>
                <w:bCs/>
              </w:rPr>
              <w:t xml:space="preserve">DATE:</w:t>
            </w:r>
          </w:p>
        </w:tc>
        <w:tc>
          <w:tcPr/>
          <w:p>
            <w:pPr>
              <w:pStyle w:val="Compact"/>
              <w:jc w:val="left"/>
            </w:pPr>
            <w:r>
              <w:t xml:space="preserve">May 16, 2025</w:t>
            </w:r>
          </w:p>
        </w:tc>
      </w:tr>
      <w:tr>
        <w:tc>
          <w:tcPr/>
          <w:p>
            <w:pPr>
              <w:pStyle w:val="Compact"/>
              <w:jc w:val="left"/>
            </w:pPr>
            <w:r>
              <w:rPr>
                <w:b/>
                <w:bCs/>
              </w:rPr>
              <w:t xml:space="preserve">RE:</w:t>
            </w:r>
          </w:p>
        </w:tc>
        <w:tc>
          <w:tcPr/>
          <w:p>
            <w:pPr>
              <w:pStyle w:val="Compact"/>
              <w:jc w:val="left"/>
            </w:pPr>
            <w:r>
              <w:t xml:space="preserve">Prioritized Issue Review — Draft Pre-Submission (Q-Sub) Package, VascuClear 3000 Thrombectomy System (Traditional 510(k); Product Code GXD; 21 CFR 870.1250)</w:t>
            </w:r>
          </w:p>
        </w:tc>
      </w:tr>
      <w:tr>
        <w:tc>
          <w:tcPr/>
          <w:p>
            <w:pPr>
              <w:pStyle w:val="Compact"/>
              <w:jc w:val="left"/>
            </w:pPr>
            <w:r>
              <w:rPr>
                <w:b/>
                <w:bCs/>
              </w:rPr>
              <w:t xml:space="preserve">PRIVILEGE:</w:t>
            </w:r>
          </w:p>
        </w:tc>
        <w:tc>
          <w:tcPr/>
          <w:p>
            <w:pPr>
              <w:pStyle w:val="Compact"/>
              <w:jc w:val="left"/>
            </w:pPr>
            <w:r>
              <w:t xml:space="preserve">Prepared at the request of counsel in anticipation of the May 19, 2025 internal review deadline and the June 15, 2025 Q-Sub filing target. Contains attorney work product and attorney-client privileged communications.</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At Kate Pressman’s request, I have completed a comprehensive review of the five enclosures that constitute Clearfield Medical Devices, Inc.’s (</w:t>
      </w:r>
      <w:r>
        <w:t xml:space="preserve">“</w:t>
      </w:r>
      <w:r>
        <w:t xml:space="preserve">Clearfield</w:t>
      </w:r>
      <w:r>
        <w:t xml:space="preserve">”</w:t>
      </w:r>
      <w:r>
        <w:t xml:space="preserve">) draft Pre-Submission (</w:t>
      </w:r>
      <w:r>
        <w:t xml:space="preserve">“</w:t>
      </w:r>
      <w:r>
        <w:t xml:space="preserve">Q-Sub</w:t>
      </w:r>
      <w:r>
        <w:t xml:space="preserve">”</w:t>
      </w:r>
      <w:r>
        <w:t xml:space="preserve">) package for the VascuClear 3000 Thrombectomy System (the</w:t>
      </w:r>
      <w:r>
        <w:t xml:space="preserve"> </w:t>
      </w:r>
      <w:r>
        <w:t xml:space="preserve">“</w:t>
      </w:r>
      <w:r>
        <w:t xml:space="preserve">Device</w:t>
      </w:r>
      <w:r>
        <w:t xml:space="preserve">”</w:t>
      </w:r>
      <w:r>
        <w:t xml:space="preserve">), together with the internal strategy email chain dated April 22 – May 12, 2025. The documents reviewed are listed in Section VIII below.</w:t>
      </w:r>
    </w:p>
    <w:p>
      <w:pPr>
        <w:pStyle w:val="BodyText"/>
      </w:pPr>
      <w:r>
        <w:t xml:space="preserve">The package is well-organized and reflects genuine effort by Ridgepoint Consulting Group. However, my review identifies</w:t>
      </w:r>
      <w:r>
        <w:t xml:space="preserve"> </w:t>
      </w:r>
      <w:r>
        <w:rPr>
          <w:b/>
          <w:bCs/>
        </w:rPr>
        <w:t xml:space="preserve">twenty-four (24) discrete issues</w:t>
      </w:r>
      <w:r>
        <w:t xml:space="preserve">, several of which are serious enough to jeopardize the proposed regulatory pathway, the submission timeline, or both if not resolved before the June 15 filing. The most consequential findings are summarized here and developed in Sections III – VI.</w:t>
      </w:r>
    </w:p>
    <w:p>
      <w:pPr>
        <w:pStyle w:val="BodyText"/>
      </w:pPr>
      <w:r>
        <w:rPr>
          <w:b/>
          <w:bCs/>
        </w:rPr>
        <w:t xml:space="preserve">The four Tier 1 (Critical) issues must be resolved before the package is filed:</w:t>
      </w:r>
    </w:p>
    <w:p>
      <w:pPr>
        <w:numPr>
          <w:ilvl w:val="0"/>
          <w:numId w:val="1001"/>
        </w:numPr>
      </w:pPr>
      <w:r>
        <w:rPr>
          <w:b/>
          <w:bCs/>
        </w:rPr>
        <w:t xml:space="preserve">Combination product classification risk.</w:t>
      </w:r>
      <w:r>
        <w:t xml:space="preserve"> </w:t>
      </w:r>
      <w:r>
        <w:t xml:space="preserve">The Device incorporates a lumen purpose-built for drug delivery, and the proposed indication expressly claims</w:t>
      </w:r>
      <w:r>
        <w:t xml:space="preserve"> </w:t>
      </w:r>
      <w:r>
        <w:t xml:space="preserve">“</w:t>
      </w:r>
      <w:r>
        <w:t xml:space="preserve">simultaneous local delivery of physician-specified thrombolytic agents</w:t>
      </w:r>
      <w:r>
        <w:t xml:space="preserve">”</w:t>
      </w:r>
      <w:r>
        <w:t xml:space="preserve"> </w:t>
      </w:r>
      <w:r>
        <w:t xml:space="preserve">as a therapeutic function. Notwithstanding Dr. Marsh’s position, the infusion-pump analogy is not on all fours, and there is no predicate precedent for a pharmacomechanical thrombectomy device in the GXD family. The package as drafted does</w:t>
      </w:r>
      <w:r>
        <w:t xml:space="preserve"> </w:t>
      </w:r>
      <w:r>
        <w:rPr>
          <w:b/>
          <w:bCs/>
        </w:rPr>
        <w:t xml:space="preserve">not</w:t>
      </w:r>
      <w:r>
        <w:t xml:space="preserve"> </w:t>
      </w:r>
      <w:r>
        <w:t xml:space="preserve">ask FDA whether the Device is a combination product under 21 CFR Part 3. Kate has already recommended adding this question; I concur and explain why in Section III.A.</w:t>
      </w:r>
    </w:p>
    <w:p>
      <w:pPr>
        <w:numPr>
          <w:ilvl w:val="0"/>
          <w:numId w:val="1001"/>
        </w:numPr>
      </w:pPr>
      <w:r>
        <w:rPr>
          <w:b/>
          <w:bCs/>
        </w:rPr>
        <w:t xml:space="preserve">IDE requirement /</w:t>
      </w:r>
      <w:r>
        <w:rPr>
          <w:b/>
          <w:bCs/>
        </w:rPr>
        <w:t xml:space="preserve"> </w:t>
      </w:r>
      <w:r>
        <w:rPr>
          <w:b/>
          <w:bCs/>
        </w:rPr>
        <w:t xml:space="preserve">“</w:t>
      </w:r>
      <w:r>
        <w:rPr>
          <w:b/>
          <w:bCs/>
        </w:rPr>
        <w:t xml:space="preserve">post-clearance</w:t>
      </w:r>
      <w:r>
        <w:rPr>
          <w:b/>
          <w:bCs/>
        </w:rPr>
        <w:t xml:space="preserve">”</w:t>
      </w:r>
      <w:r>
        <w:rPr>
          <w:b/>
          <w:bCs/>
        </w:rPr>
        <w:t xml:space="preserve"> </w:t>
      </w:r>
      <w:r>
        <w:rPr>
          <w:b/>
          <w:bCs/>
        </w:rPr>
        <w:t xml:space="preserve">study contradiction.</w:t>
      </w:r>
      <w:r>
        <w:t xml:space="preserve"> </w:t>
      </w:r>
      <w:r>
        <w:t xml:space="preserve">The Clinical Study Synopsis characterizes the study as</w:t>
      </w:r>
      <w:r>
        <w:t xml:space="preserve"> </w:t>
      </w:r>
      <w:r>
        <w:t xml:space="preserve">“</w:t>
      </w:r>
      <w:r>
        <w:t xml:space="preserve">post-clearance</w:t>
      </w:r>
      <w:r>
        <w:t xml:space="preserve">”</w:t>
      </w:r>
      <w:r>
        <w:t xml:space="preserve"> </w:t>
      </w:r>
      <w:r>
        <w:t xml:space="preserve">and states no IDE is anticipated, but the same synopsis states the data is</w:t>
      </w:r>
      <w:r>
        <w:t xml:space="preserve"> </w:t>
      </w:r>
      <w:r>
        <w:t xml:space="preserve">“</w:t>
      </w:r>
      <w:r>
        <w:t xml:space="preserve">intended to support the 510(k) submission,</w:t>
      </w:r>
      <w:r>
        <w:t xml:space="preserve">”</w:t>
      </w:r>
      <w:r>
        <w:t xml:space="preserve"> </w:t>
      </w:r>
      <w:r>
        <w:t xml:space="preserve">and the timeline shows first patient enrollment in Q4 2025 — before the 510(k) is submitted, let alone cleared. A study of an uncleared device conducted to support that device’s clearance is a clinical investigation of an investigational device under 21 CFR 812.3(m). The</w:t>
      </w:r>
      <w:r>
        <w:t xml:space="preserve"> </w:t>
      </w:r>
      <w:r>
        <w:t xml:space="preserve">“</w:t>
      </w:r>
      <w:r>
        <w:t xml:space="preserve">no IDE</w:t>
      </w:r>
      <w:r>
        <w:t xml:space="preserve">”</w:t>
      </w:r>
      <w:r>
        <w:t xml:space="preserve"> </w:t>
      </w:r>
      <w:r>
        <w:t xml:space="preserve">position is, as currently presented, internally inconsistent and legally untenable.</w:t>
      </w:r>
    </w:p>
    <w:p>
      <w:pPr>
        <w:numPr>
          <w:ilvl w:val="0"/>
          <w:numId w:val="1001"/>
        </w:numPr>
      </w:pPr>
      <w:r>
        <w:rPr>
          <w:b/>
          <w:bCs/>
        </w:rPr>
        <w:t xml:space="preserve">Substantial equivalence — likely</w:t>
      </w:r>
      <w:r>
        <w:rPr>
          <w:b/>
          <w:bCs/>
        </w:rPr>
        <w:t xml:space="preserve"> </w:t>
      </w:r>
      <w:r>
        <w:rPr>
          <w:b/>
          <w:bCs/>
        </w:rPr>
        <w:t xml:space="preserve">“</w:t>
      </w:r>
      <w:r>
        <w:rPr>
          <w:b/>
          <w:bCs/>
        </w:rPr>
        <w:t xml:space="preserve">new questions of safety and effectiveness.</w:t>
      </w:r>
      <w:r>
        <w:rPr>
          <w:b/>
          <w:bCs/>
        </w:rPr>
        <w:t xml:space="preserve">”</w:t>
      </w:r>
      <w:r>
        <w:t xml:space="preserve"> </w:t>
      </w:r>
      <w:r>
        <w:t xml:space="preserve">The sole proposed predicate (ThrombEx 200, K192847) is a purely mechanical, Bernoulli-aspiration device with</w:t>
      </w:r>
      <w:r>
        <w:t xml:space="preserve"> </w:t>
      </w:r>
      <w:r>
        <w:rPr>
          <w:b/>
          <w:bCs/>
        </w:rPr>
        <w:t xml:space="preserve">no rotating components and no drug delivery capability</w:t>
      </w:r>
      <w:r>
        <w:t xml:space="preserve">, cleared for broad</w:t>
      </w:r>
      <w:r>
        <w:t xml:space="preserve"> </w:t>
      </w:r>
      <w:r>
        <w:t xml:space="preserve">“</w:t>
      </w:r>
      <w:r>
        <w:t xml:space="preserve">peripheral vasculature</w:t>
      </w:r>
      <w:r>
        <w:t xml:space="preserve">”</w:t>
      </w:r>
      <w:r>
        <w:t xml:space="preserve"> </w:t>
      </w:r>
      <w:r>
        <w:t xml:space="preserve">use. The Device differs from the predicate in (a) mechanism of action (rotating helical impeller vs. hydrodynamic aspiration), (b) a wholly new drug-delivery lumen with no predicate precedent, (c) catheter dimensions, and (d) a 72-hour indwell profile the predicate does not have. The package asserts these differences raise no new questions of safety and effectiveness, but the argument is thin and the Device Description itself (Question 4) asks FDA whether additional predicates are needed — while the Cover Letter calls ThrombEx 200 the</w:t>
      </w:r>
      <w:r>
        <w:t xml:space="preserve"> </w:t>
      </w:r>
      <w:r>
        <w:t xml:space="preserve">“</w:t>
      </w:r>
      <w:r>
        <w:t xml:space="preserve">sole</w:t>
      </w:r>
      <w:r>
        <w:t xml:space="preserve">”</w:t>
      </w:r>
      <w:r>
        <w:t xml:space="preserve"> </w:t>
      </w:r>
      <w:r>
        <w:t xml:space="preserve">predicate. A de novo fallback is not addressed.</w:t>
      </w:r>
    </w:p>
    <w:p>
      <w:pPr>
        <w:numPr>
          <w:ilvl w:val="0"/>
          <w:numId w:val="1001"/>
        </w:numPr>
      </w:pPr>
      <w:r>
        <w:rPr>
          <w:b/>
          <w:bCs/>
        </w:rPr>
        <w:t xml:space="preserve">Indications for Use — drug-delivery claim exceeds the predicate.</w:t>
      </w:r>
      <w:r>
        <w:t xml:space="preserve"> </w:t>
      </w:r>
      <w:r>
        <w:t xml:space="preserve">The drug-delivery language is the common thread running through Issues 1 and 3. It both triggers the combination-product question and extends the intended use beyond anything the predicate was cleared to do.</w:t>
      </w:r>
    </w:p>
    <w:p>
      <w:pPr>
        <w:pStyle w:val="FirstParagraph"/>
      </w:pPr>
      <w:r>
        <w:t xml:space="preserve">The Tier 2 (High) issues are scientific and testing-plan deficiencies that FDA is likely to flag at the Q-Sub meeting and that, if not addressed, will require rework after FDA feedback — consuming the very schedule cushion the package is trying to preserve. The most important of these are: a</w:t>
      </w:r>
      <w:r>
        <w:t xml:space="preserve"> </w:t>
      </w:r>
      <w:r>
        <w:rPr>
          <w:b/>
          <w:bCs/>
        </w:rPr>
        <w:t xml:space="preserve">direct contradiction in biocompatibility contact-duration classification</w:t>
      </w:r>
      <w:r>
        <w:t xml:space="preserve"> </w:t>
      </w:r>
      <w:r>
        <w:t xml:space="preserve">(the IFU permits a 72-hour indwell, but the testing plan classifies contact as</w:t>
      </w:r>
      <w:r>
        <w:t xml:space="preserve"> </w:t>
      </w:r>
      <w:r>
        <w:t xml:space="preserve">“</w:t>
      </w:r>
      <w:r>
        <w:t xml:space="preserve">limited, &lt;24 hours</w:t>
      </w:r>
      <w:r>
        <w:t xml:space="preserve">”</w:t>
      </w:r>
      <w:r>
        <w:t xml:space="preserve"> </w:t>
      </w:r>
      <w:r>
        <w:t xml:space="preserve">and excludes subchronic toxicity, implantation, and genotoxicity on that basis); an</w:t>
      </w:r>
      <w:r>
        <w:t xml:space="preserve"> </w:t>
      </w:r>
      <w:r>
        <w:rPr>
          <w:b/>
          <w:bCs/>
        </w:rPr>
        <w:t xml:space="preserve">impeller fatigue test that, as written, equates to 2.5 seconds of operation</w:t>
      </w:r>
      <w:r>
        <w:t xml:space="preserve">; a</w:t>
      </w:r>
      <w:r>
        <w:t xml:space="preserve"> </w:t>
      </w:r>
      <w:r>
        <w:rPr>
          <w:b/>
          <w:bCs/>
        </w:rPr>
        <w:t xml:space="preserve">software</w:t>
      </w:r>
      <w:r>
        <w:rPr>
          <w:b/>
          <w:bCs/>
        </w:rPr>
        <w:t xml:space="preserve"> </w:t>
      </w:r>
      <w:r>
        <w:rPr>
          <w:b/>
          <w:bCs/>
        </w:rPr>
        <w:t xml:space="preserve">“</w:t>
      </w:r>
      <w:r>
        <w:rPr>
          <w:b/>
          <w:bCs/>
        </w:rPr>
        <w:t xml:space="preserve">Minor</w:t>
      </w:r>
      <w:r>
        <w:rPr>
          <w:b/>
          <w:bCs/>
        </w:rPr>
        <w:t xml:space="preserve">”</w:t>
      </w:r>
      <w:r>
        <w:rPr>
          <w:b/>
          <w:bCs/>
        </w:rPr>
        <w:t xml:space="preserve"> </w:t>
      </w:r>
      <w:r>
        <w:rPr>
          <w:b/>
          <w:bCs/>
        </w:rPr>
        <w:t xml:space="preserve">level of concern that is lower than the predicate’s</w:t>
      </w:r>
      <w:r>
        <w:rPr>
          <w:b/>
          <w:bCs/>
        </w:rPr>
        <w:t xml:space="preserve"> </w:t>
      </w:r>
      <w:r>
        <w:rPr>
          <w:b/>
          <w:bCs/>
        </w:rPr>
        <w:t xml:space="preserve">“</w:t>
      </w:r>
      <w:r>
        <w:rPr>
          <w:b/>
          <w:bCs/>
        </w:rPr>
        <w:t xml:space="preserve">Moderate</w:t>
      </w:r>
      <w:r>
        <w:rPr>
          <w:b/>
          <w:bCs/>
        </w:rPr>
        <w:t xml:space="preserve">”</w:t>
      </w:r>
      <w:r>
        <w:rPr>
          <w:b/>
          <w:bCs/>
        </w:rPr>
        <w:t xml:space="preserve"> </w:t>
      </w:r>
      <w:r>
        <w:rPr>
          <w:b/>
          <w:bCs/>
        </w:rPr>
        <w:t xml:space="preserve">for a simpler device</w:t>
      </w:r>
      <w:r>
        <w:t xml:space="preserve">; and the</w:t>
      </w:r>
      <w:r>
        <w:t xml:space="preserve"> </w:t>
      </w:r>
      <w:r>
        <w:rPr>
          <w:b/>
          <w:bCs/>
        </w:rPr>
        <w:t xml:space="preserve">complete omission of EMC testing (IEC 60601-1-2)</w:t>
      </w:r>
      <w:r>
        <w:t xml:space="preserve">, pharmacomechanical bench testing, MRI safety testing, and shelf-life validation.</w:t>
      </w:r>
    </w:p>
    <w:p>
      <w:pPr>
        <w:pStyle w:val="BodyText"/>
      </w:pPr>
      <w:r>
        <w:t xml:space="preserve">A prioritized summary table appears in Section II. Detailed discussion and recommendations follow.</w:t>
      </w:r>
    </w:p>
    <w:p>
      <w:r>
        <w:pict>
          <v:rect style="width:0;height:1.5pt" o:hralign="center" o:hrstd="t" o:hr="t"/>
        </w:pict>
      </w:r>
    </w:p>
    <w:bookmarkEnd w:id="21"/>
    <w:bookmarkStart w:id="22" w:name="ii.-prioritized-issue-summary"/>
    <w:p>
      <w:pPr>
        <w:pStyle w:val="Heading2"/>
      </w:pPr>
      <w:r>
        <w:t xml:space="preserve">II. Prioritized Issue Summary</w:t>
      </w:r>
    </w:p>
    <w:p>
      <w:pPr>
        <w:pStyle w:val="FirstParagraph"/>
      </w:pPr>
      <w:r>
        <w:rPr>
          <w:b/>
          <w:bCs/>
        </w:rPr>
        <w:t xml:space="preserve">Priority key:</w:t>
      </w:r>
      <w:r>
        <w:t xml:space="preserve"> </w:t>
      </w:r>
      <w:r>
        <w:rPr>
          <w:b/>
          <w:bCs/>
        </w:rPr>
        <w:t xml:space="preserve">T1</w:t>
      </w:r>
      <w:r>
        <w:t xml:space="preserve"> </w:t>
      </w:r>
      <w:r>
        <w:t xml:space="preserve">= Critical (pathway-/strategy-altering; resolve before filing).</w:t>
      </w:r>
      <w:r>
        <w:t xml:space="preserve"> </w:t>
      </w:r>
      <w:r>
        <w:rPr>
          <w:b/>
          <w:bCs/>
        </w:rPr>
        <w:t xml:space="preserve">T2</w:t>
      </w:r>
      <w:r>
        <w:t xml:space="preserve"> </w:t>
      </w:r>
      <w:r>
        <w:t xml:space="preserve">= High (FDA will likely flag; material rework if not pre-empted).</w:t>
      </w:r>
      <w:r>
        <w:t xml:space="preserve"> </w:t>
      </w:r>
      <w:r>
        <w:rPr>
          <w:b/>
          <w:bCs/>
        </w:rPr>
        <w:t xml:space="preserve">T3</w:t>
      </w:r>
      <w:r>
        <w:t xml:space="preserve"> </w:t>
      </w:r>
      <w:r>
        <w:t xml:space="preserve">= Medium (consistency, completeness, or supporting-evidence gaps).</w:t>
      </w:r>
      <w:r>
        <w:t xml:space="preserve"> </w:t>
      </w:r>
      <w:r>
        <w:rPr>
          <w:b/>
          <w:bCs/>
        </w:rPr>
        <w:t xml:space="preserve">T4</w:t>
      </w:r>
      <w:r>
        <w:t xml:space="preserve"> </w:t>
      </w:r>
      <w:r>
        <w:t xml:space="preserve">= Lower (editorial / housekeeping / strategic note).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Pri</w:t>
            </w:r>
          </w:p>
        </w:tc>
        <w:tc>
          <w:tcPr/>
          <w:p>
            <w:pPr>
              <w:pStyle w:val="Compact"/>
              <w:jc w:val="left"/>
            </w:pPr>
            <w:r>
              <w:t xml:space="preserve">Issue</w:t>
            </w:r>
          </w:p>
        </w:tc>
        <w:tc>
          <w:tcPr/>
          <w:p>
            <w:pPr>
              <w:pStyle w:val="Compact"/>
              <w:jc w:val="left"/>
            </w:pPr>
            <w:r>
              <w:t xml:space="preserve">Primary document(s)</w:t>
            </w:r>
          </w:p>
        </w:tc>
      </w:tr>
      <w:tr>
        <w:tc>
          <w:tcPr/>
          <w:p>
            <w:pPr>
              <w:pStyle w:val="Compact"/>
              <w:jc w:val="left"/>
            </w:pPr>
            <w:r>
              <w:t xml:space="preserve">1</w:t>
            </w:r>
          </w:p>
        </w:tc>
        <w:tc>
          <w:tcPr/>
          <w:p>
            <w:pPr>
              <w:pStyle w:val="Compact"/>
              <w:jc w:val="left"/>
            </w:pPr>
            <w:r>
              <w:t xml:space="preserve">T1</w:t>
            </w:r>
          </w:p>
        </w:tc>
        <w:tc>
          <w:tcPr/>
          <w:p>
            <w:pPr>
              <w:pStyle w:val="Compact"/>
              <w:jc w:val="left"/>
            </w:pPr>
            <w:r>
              <w:t xml:space="preserve">Combination product classification risk; no FDA question included</w:t>
            </w:r>
          </w:p>
        </w:tc>
        <w:tc>
          <w:tcPr/>
          <w:p>
            <w:pPr>
              <w:pStyle w:val="Compact"/>
              <w:jc w:val="left"/>
            </w:pPr>
            <w:r>
              <w:t xml:space="preserve">Cover Ltr §IV, §VII; Device Desc §2.1, §2.4; IFU §2, §9; email chain</w:t>
            </w:r>
          </w:p>
        </w:tc>
      </w:tr>
      <w:tr>
        <w:tc>
          <w:tcPr/>
          <w:p>
            <w:pPr>
              <w:pStyle w:val="Compact"/>
              <w:jc w:val="left"/>
            </w:pPr>
            <w:r>
              <w:t xml:space="preserve">2</w:t>
            </w:r>
          </w:p>
        </w:tc>
        <w:tc>
          <w:tcPr/>
          <w:p>
            <w:pPr>
              <w:pStyle w:val="Compact"/>
              <w:jc w:val="left"/>
            </w:pPr>
            <w:r>
              <w:t xml:space="preserve">T1</w:t>
            </w:r>
          </w:p>
        </w:tc>
        <w:tc>
          <w:tcPr/>
          <w:p>
            <w:pPr>
              <w:pStyle w:val="Compact"/>
              <w:jc w:val="left"/>
            </w:pPr>
            <w:r>
              <w:t xml:space="preserve">IDE requirement /</w:t>
            </w:r>
            <w:r>
              <w:t xml:space="preserve"> </w:t>
            </w:r>
            <w:r>
              <w:t xml:space="preserve">“</w:t>
            </w:r>
            <w:r>
              <w:t xml:space="preserve">post-clearance</w:t>
            </w:r>
            <w:r>
              <w:t xml:space="preserve">”</w:t>
            </w:r>
            <w:r>
              <w:t xml:space="preserve"> </w:t>
            </w:r>
            <w:r>
              <w:t xml:space="preserve">contradiction; timeline conflict</w:t>
            </w:r>
          </w:p>
        </w:tc>
        <w:tc>
          <w:tcPr/>
          <w:p>
            <w:pPr>
              <w:pStyle w:val="Compact"/>
              <w:jc w:val="left"/>
            </w:pPr>
            <w:r>
              <w:t xml:space="preserve">Clinical Synopsis §3, §5, §6, §15; Testing Plan §9.2; email chain</w:t>
            </w:r>
          </w:p>
        </w:tc>
      </w:tr>
      <w:tr>
        <w:tc>
          <w:tcPr/>
          <w:p>
            <w:pPr>
              <w:pStyle w:val="Compact"/>
              <w:jc w:val="left"/>
            </w:pPr>
            <w:r>
              <w:t xml:space="preserve">3</w:t>
            </w:r>
          </w:p>
        </w:tc>
        <w:tc>
          <w:tcPr/>
          <w:p>
            <w:pPr>
              <w:pStyle w:val="Compact"/>
              <w:jc w:val="left"/>
            </w:pPr>
            <w:r>
              <w:t xml:space="preserve">T1</w:t>
            </w:r>
          </w:p>
        </w:tc>
        <w:tc>
          <w:tcPr/>
          <w:p>
            <w:pPr>
              <w:pStyle w:val="Compact"/>
              <w:jc w:val="left"/>
            </w:pPr>
            <w:r>
              <w:t xml:space="preserve">Substantial equivalence — new questions of safety &amp; effectiveness; no de novo fallback</w:t>
            </w:r>
          </w:p>
        </w:tc>
        <w:tc>
          <w:tcPr/>
          <w:p>
            <w:pPr>
              <w:pStyle w:val="Compact"/>
              <w:jc w:val="left"/>
            </w:pPr>
            <w:r>
              <w:t xml:space="preserve">Device Desc §4.3, §5; 510(k) Summary §2–§4; Cover Ltr §III</w:t>
            </w:r>
          </w:p>
        </w:tc>
      </w:tr>
      <w:tr>
        <w:tc>
          <w:tcPr/>
          <w:p>
            <w:pPr>
              <w:pStyle w:val="Compact"/>
              <w:jc w:val="left"/>
            </w:pPr>
            <w:r>
              <w:t xml:space="preserve">4</w:t>
            </w:r>
          </w:p>
        </w:tc>
        <w:tc>
          <w:tcPr/>
          <w:p>
            <w:pPr>
              <w:pStyle w:val="Compact"/>
              <w:jc w:val="left"/>
            </w:pPr>
            <w:r>
              <w:t xml:space="preserve">T1</w:t>
            </w:r>
          </w:p>
        </w:tc>
        <w:tc>
          <w:tcPr/>
          <w:p>
            <w:pPr>
              <w:pStyle w:val="Compact"/>
              <w:jc w:val="left"/>
            </w:pPr>
            <w:r>
              <w:t xml:space="preserve">Indication for Use drug-delivery claim exceeds predicate</w:t>
            </w:r>
          </w:p>
        </w:tc>
        <w:tc>
          <w:tcPr/>
          <w:p>
            <w:pPr>
              <w:pStyle w:val="Compact"/>
              <w:jc w:val="left"/>
            </w:pPr>
            <w:r>
              <w:t xml:space="preserve">Cover Ltr §IV; Device Desc §2.4; IFU §2; 510(k) Summary §2</w:t>
            </w:r>
          </w:p>
        </w:tc>
      </w:tr>
      <w:tr>
        <w:tc>
          <w:tcPr/>
          <w:p>
            <w:pPr>
              <w:pStyle w:val="Compact"/>
              <w:jc w:val="left"/>
            </w:pPr>
            <w:r>
              <w:t xml:space="preserve">5</w:t>
            </w:r>
          </w:p>
        </w:tc>
        <w:tc>
          <w:tcPr/>
          <w:p>
            <w:pPr>
              <w:pStyle w:val="Compact"/>
              <w:jc w:val="left"/>
            </w:pPr>
            <w:r>
              <w:t xml:space="preserve">T2</w:t>
            </w:r>
          </w:p>
        </w:tc>
        <w:tc>
          <w:tcPr/>
          <w:p>
            <w:pPr>
              <w:pStyle w:val="Compact"/>
              <w:jc w:val="left"/>
            </w:pPr>
            <w:r>
              <w:t xml:space="preserve">Biocompatibility contact-duration contradiction (72-h indwell vs. </w:t>
            </w:r>
            <w:r>
              <w:t xml:space="preserve">“</w:t>
            </w:r>
            <w:r>
              <w:t xml:space="preserve">limited &lt;24h</w:t>
            </w:r>
            <w:r>
              <w:t xml:space="preserve">”</w:t>
            </w:r>
            <w:r>
              <w:t xml:space="preserve">)</w:t>
            </w:r>
          </w:p>
        </w:tc>
        <w:tc>
          <w:tcPr/>
          <w:p>
            <w:pPr>
              <w:pStyle w:val="Compact"/>
              <w:jc w:val="left"/>
            </w:pPr>
            <w:r>
              <w:t xml:space="preserve">Testing Plan §2.1; IFU §1, §8.4; Device Desc §2.2, §4.2</w:t>
            </w:r>
          </w:p>
        </w:tc>
      </w:tr>
      <w:tr>
        <w:tc>
          <w:tcPr/>
          <w:p>
            <w:pPr>
              <w:pStyle w:val="Compact"/>
              <w:jc w:val="left"/>
            </w:pPr>
            <w:r>
              <w:t xml:space="preserve">6</w:t>
            </w:r>
          </w:p>
        </w:tc>
        <w:tc>
          <w:tcPr/>
          <w:p>
            <w:pPr>
              <w:pStyle w:val="Compact"/>
              <w:jc w:val="left"/>
            </w:pPr>
            <w:r>
              <w:t xml:space="preserve">T2</w:t>
            </w:r>
          </w:p>
        </w:tc>
        <w:tc>
          <w:tcPr/>
          <w:p>
            <w:pPr>
              <w:pStyle w:val="Compact"/>
              <w:jc w:val="left"/>
            </w:pPr>
            <w:r>
              <w:t xml:space="preserve">Impeller fatigue test grossly inadequate (500 rev = 2.5 s at 12,000 RPM)</w:t>
            </w:r>
          </w:p>
        </w:tc>
        <w:tc>
          <w:tcPr/>
          <w:p>
            <w:pPr>
              <w:pStyle w:val="Compact"/>
              <w:jc w:val="left"/>
            </w:pPr>
            <w:r>
              <w:t xml:space="preserve">Testing Plan §3.3; Device Desc §2.2</w:t>
            </w:r>
          </w:p>
        </w:tc>
      </w:tr>
      <w:tr>
        <w:tc>
          <w:tcPr/>
          <w:p>
            <w:pPr>
              <w:pStyle w:val="Compact"/>
              <w:jc w:val="left"/>
            </w:pPr>
            <w:r>
              <w:t xml:space="preserve">7</w:t>
            </w:r>
          </w:p>
        </w:tc>
        <w:tc>
          <w:tcPr/>
          <w:p>
            <w:pPr>
              <w:pStyle w:val="Compact"/>
              <w:jc w:val="left"/>
            </w:pPr>
            <w:r>
              <w:t xml:space="preserve">T2</w:t>
            </w:r>
          </w:p>
        </w:tc>
        <w:tc>
          <w:tcPr/>
          <w:p>
            <w:pPr>
              <w:pStyle w:val="Compact"/>
              <w:jc w:val="left"/>
            </w:pPr>
            <w:r>
              <w:t xml:space="preserve">Software level of concern</w:t>
            </w:r>
            <w:r>
              <w:t xml:space="preserve"> </w:t>
            </w:r>
            <w:r>
              <w:t xml:space="preserve">“</w:t>
            </w:r>
            <w:r>
              <w:t xml:space="preserve">Minor</w:t>
            </w:r>
            <w:r>
              <w:t xml:space="preserve">”</w:t>
            </w:r>
            <w:r>
              <w:t xml:space="preserve"> </w:t>
            </w:r>
            <w:r>
              <w:t xml:space="preserve">under-justified; outdated 2005 guidance; IEC 62304 omitted</w:t>
            </w:r>
          </w:p>
        </w:tc>
        <w:tc>
          <w:tcPr/>
          <w:p>
            <w:pPr>
              <w:pStyle w:val="Compact"/>
              <w:jc w:val="left"/>
            </w:pPr>
            <w:r>
              <w:t xml:space="preserve">Device Desc §2.3; Testing Plan §5; 510(k) Summary §5.6</w:t>
            </w:r>
          </w:p>
        </w:tc>
      </w:tr>
      <w:tr>
        <w:tc>
          <w:tcPr/>
          <w:p>
            <w:pPr>
              <w:pStyle w:val="Compact"/>
              <w:jc w:val="left"/>
            </w:pPr>
            <w:r>
              <w:t xml:space="preserve">8</w:t>
            </w:r>
          </w:p>
        </w:tc>
        <w:tc>
          <w:tcPr/>
          <w:p>
            <w:pPr>
              <w:pStyle w:val="Compact"/>
              <w:jc w:val="left"/>
            </w:pPr>
            <w:r>
              <w:t xml:space="preserve">T2</w:t>
            </w:r>
          </w:p>
        </w:tc>
        <w:tc>
          <w:tcPr/>
          <w:p>
            <w:pPr>
              <w:pStyle w:val="Compact"/>
              <w:jc w:val="left"/>
            </w:pPr>
            <w:r>
              <w:t xml:space="preserve">EMC testing (IEC 60601-1-2) omitted</w:t>
            </w:r>
          </w:p>
        </w:tc>
        <w:tc>
          <w:tcPr/>
          <w:p>
            <w:pPr>
              <w:pStyle w:val="Compact"/>
              <w:jc w:val="left"/>
            </w:pPr>
            <w:r>
              <w:t xml:space="preserve">Testing Plan §4; 510(k) Summary §5.3</w:t>
            </w:r>
          </w:p>
        </w:tc>
      </w:tr>
      <w:tr>
        <w:tc>
          <w:tcPr/>
          <w:p>
            <w:pPr>
              <w:pStyle w:val="Compact"/>
              <w:jc w:val="left"/>
            </w:pPr>
            <w:r>
              <w:t xml:space="preserve">9</w:t>
            </w:r>
          </w:p>
        </w:tc>
        <w:tc>
          <w:tcPr/>
          <w:p>
            <w:pPr>
              <w:pStyle w:val="Compact"/>
              <w:jc w:val="left"/>
            </w:pPr>
            <w:r>
              <w:t xml:space="preserve">T2</w:t>
            </w:r>
          </w:p>
        </w:tc>
        <w:tc>
          <w:tcPr/>
          <w:p>
            <w:pPr>
              <w:pStyle w:val="Compact"/>
              <w:jc w:val="left"/>
            </w:pPr>
            <w:r>
              <w:t xml:space="preserve">No pharmacomechanical bench testing (combined function untested)</w:t>
            </w:r>
          </w:p>
        </w:tc>
        <w:tc>
          <w:tcPr/>
          <w:p>
            <w:pPr>
              <w:pStyle w:val="Compact"/>
              <w:jc w:val="left"/>
            </w:pPr>
            <w:r>
              <w:t xml:space="preserve">Testing Plan §7, §8</w:t>
            </w:r>
          </w:p>
        </w:tc>
      </w:tr>
      <w:tr>
        <w:tc>
          <w:tcPr/>
          <w:p>
            <w:pPr>
              <w:pStyle w:val="Compact"/>
              <w:jc w:val="left"/>
            </w:pPr>
            <w:r>
              <w:t xml:space="preserve">10</w:t>
            </w:r>
          </w:p>
        </w:tc>
        <w:tc>
          <w:tcPr/>
          <w:p>
            <w:pPr>
              <w:pStyle w:val="Compact"/>
              <w:jc w:val="left"/>
            </w:pPr>
            <w:r>
              <w:t xml:space="preserve">T2</w:t>
            </w:r>
          </w:p>
        </w:tc>
        <w:tc>
          <w:tcPr/>
          <w:p>
            <w:pPr>
              <w:pStyle w:val="Compact"/>
              <w:jc w:val="left"/>
            </w:pPr>
            <w:r>
              <w:t xml:space="preserve">MRI safety testing omitted; IFU contains [TBD] placeholders</w:t>
            </w:r>
          </w:p>
        </w:tc>
        <w:tc>
          <w:tcPr/>
          <w:p>
            <w:pPr>
              <w:pStyle w:val="Compact"/>
              <w:jc w:val="left"/>
            </w:pPr>
            <w:r>
              <w:t xml:space="preserve">IFU §6; Device Desc §4.2; Testing Plan (none)</w:t>
            </w:r>
          </w:p>
        </w:tc>
      </w:tr>
      <w:tr>
        <w:tc>
          <w:tcPr/>
          <w:p>
            <w:pPr>
              <w:pStyle w:val="Compact"/>
              <w:jc w:val="left"/>
            </w:pPr>
            <w:r>
              <w:t xml:space="preserve">11</w:t>
            </w:r>
          </w:p>
        </w:tc>
        <w:tc>
          <w:tcPr/>
          <w:p>
            <w:pPr>
              <w:pStyle w:val="Compact"/>
              <w:jc w:val="left"/>
            </w:pPr>
            <w:r>
              <w:t xml:space="preserve">T2</w:t>
            </w:r>
          </w:p>
        </w:tc>
        <w:tc>
          <w:tcPr/>
          <w:p>
            <w:pPr>
              <w:pStyle w:val="Compact"/>
              <w:jc w:val="left"/>
            </w:pPr>
            <w:r>
              <w:t xml:space="preserve">Shelf-life / sterile-barrier validation omitted</w:t>
            </w:r>
          </w:p>
        </w:tc>
        <w:tc>
          <w:tcPr/>
          <w:p>
            <w:pPr>
              <w:pStyle w:val="Compact"/>
              <w:jc w:val="left"/>
            </w:pPr>
            <w:r>
              <w:t xml:space="preserve">Testing Plan §6; 510(k) Summary §5.4</w:t>
            </w:r>
          </w:p>
        </w:tc>
      </w:tr>
      <w:tr>
        <w:tc>
          <w:tcPr/>
          <w:p>
            <w:pPr>
              <w:pStyle w:val="Compact"/>
              <w:jc w:val="left"/>
            </w:pPr>
            <w:r>
              <w:t xml:space="preserve">12</w:t>
            </w:r>
          </w:p>
        </w:tc>
        <w:tc>
          <w:tcPr/>
          <w:p>
            <w:pPr>
              <w:pStyle w:val="Compact"/>
              <w:jc w:val="left"/>
            </w:pPr>
            <w:r>
              <w:t xml:space="preserve">T2</w:t>
            </w:r>
          </w:p>
        </w:tc>
        <w:tc>
          <w:tcPr/>
          <w:p>
            <w:pPr>
              <w:pStyle w:val="Compact"/>
              <w:jc w:val="left"/>
            </w:pPr>
            <w:r>
              <w:t xml:space="preserve">Drug-material compatibility unverified (saline-only; IFU concedes no testing)</w:t>
            </w:r>
          </w:p>
        </w:tc>
        <w:tc>
          <w:tcPr/>
          <w:p>
            <w:pPr>
              <w:pStyle w:val="Compact"/>
              <w:jc w:val="left"/>
            </w:pPr>
            <w:r>
              <w:t xml:space="preserve">IFU §9; Testing Plan §8, §10 Q6</w:t>
            </w:r>
          </w:p>
        </w:tc>
      </w:tr>
      <w:tr>
        <w:tc>
          <w:tcPr/>
          <w:p>
            <w:pPr>
              <w:pStyle w:val="Compact"/>
              <w:jc w:val="left"/>
            </w:pPr>
            <w:r>
              <w:t xml:space="preserve">13</w:t>
            </w:r>
          </w:p>
        </w:tc>
        <w:tc>
          <w:tcPr/>
          <w:p>
            <w:pPr>
              <w:pStyle w:val="Compact"/>
              <w:jc w:val="left"/>
            </w:pPr>
            <w:r>
              <w:t xml:space="preserve">T3</w:t>
            </w:r>
          </w:p>
        </w:tc>
        <w:tc>
          <w:tcPr/>
          <w:p>
            <w:pPr>
              <w:pStyle w:val="Compact"/>
              <w:jc w:val="left"/>
            </w:pPr>
            <w:r>
              <w:t xml:space="preserve">Cross-document inconsistencies (console size/weight, display, contacts, impeller material, predicate indication)</w:t>
            </w:r>
          </w:p>
        </w:tc>
        <w:tc>
          <w:tcPr/>
          <w:p>
            <w:pPr>
              <w:pStyle w:val="Compact"/>
              <w:jc w:val="left"/>
            </w:pPr>
            <w:r>
              <w:t xml:space="preserve">Device Desc §2.3; IFU §13; Testing Plan App. A; Cover Ltr §IX</w:t>
            </w:r>
          </w:p>
        </w:tc>
      </w:tr>
      <w:tr>
        <w:tc>
          <w:tcPr/>
          <w:p>
            <w:pPr>
              <w:pStyle w:val="Compact"/>
              <w:jc w:val="left"/>
            </w:pPr>
            <w:r>
              <w:t xml:space="preserve">14</w:t>
            </w:r>
          </w:p>
        </w:tc>
        <w:tc>
          <w:tcPr/>
          <w:p>
            <w:pPr>
              <w:pStyle w:val="Compact"/>
              <w:jc w:val="left"/>
            </w:pPr>
            <w:r>
              <w:t xml:space="preserve">T3</w:t>
            </w:r>
          </w:p>
        </w:tc>
        <w:tc>
          <w:tcPr/>
          <w:p>
            <w:pPr>
              <w:pStyle w:val="Compact"/>
              <w:jc w:val="left"/>
            </w:pPr>
            <w:r>
              <w:t xml:space="preserve">Clinical study design weaknesses (unjustified performance goal; 30-day FU; no DSMB; scoring method undefined)</w:t>
            </w:r>
          </w:p>
        </w:tc>
        <w:tc>
          <w:tcPr/>
          <w:p>
            <w:pPr>
              <w:pStyle w:val="Compact"/>
              <w:jc w:val="left"/>
            </w:pPr>
            <w:r>
              <w:t xml:space="preserve">Clinical Synopsis §9, §10, §11, §12, §18</w:t>
            </w:r>
          </w:p>
        </w:tc>
      </w:tr>
      <w:tr>
        <w:tc>
          <w:tcPr/>
          <w:p>
            <w:pPr>
              <w:pStyle w:val="Compact"/>
              <w:jc w:val="left"/>
            </w:pPr>
            <w:r>
              <w:t xml:space="preserve">15</w:t>
            </w:r>
          </w:p>
        </w:tc>
        <w:tc>
          <w:tcPr/>
          <w:p>
            <w:pPr>
              <w:pStyle w:val="Compact"/>
              <w:jc w:val="left"/>
            </w:pPr>
            <w:r>
              <w:t xml:space="preserve">T3</w:t>
            </w:r>
          </w:p>
        </w:tc>
        <w:tc>
          <w:tcPr/>
          <w:p>
            <w:pPr>
              <w:pStyle w:val="Compact"/>
              <w:jc w:val="left"/>
            </w:pPr>
            <w:r>
              <w:t xml:space="preserve">Reprocessing validation for reusable console omitted</w:t>
            </w:r>
          </w:p>
        </w:tc>
        <w:tc>
          <w:tcPr/>
          <w:p>
            <w:pPr>
              <w:pStyle w:val="Compact"/>
              <w:jc w:val="left"/>
            </w:pPr>
            <w:r>
              <w:t xml:space="preserve">Testing Plan §6.1; IFU §11</w:t>
            </w:r>
          </w:p>
        </w:tc>
      </w:tr>
      <w:tr>
        <w:tc>
          <w:tcPr/>
          <w:p>
            <w:pPr>
              <w:pStyle w:val="Compact"/>
              <w:jc w:val="left"/>
            </w:pPr>
            <w:r>
              <w:t xml:space="preserve">16</w:t>
            </w:r>
          </w:p>
        </w:tc>
        <w:tc>
          <w:tcPr/>
          <w:p>
            <w:pPr>
              <w:pStyle w:val="Compact"/>
              <w:jc w:val="left"/>
            </w:pPr>
            <w:r>
              <w:t xml:space="preserve">T3</w:t>
            </w:r>
          </w:p>
        </w:tc>
        <w:tc>
          <w:tcPr/>
          <w:p>
            <w:pPr>
              <w:pStyle w:val="Compact"/>
              <w:jc w:val="left"/>
            </w:pPr>
            <w:r>
              <w:t xml:space="preserve">Human factors / usability (IEC 62366) not addressed</w:t>
            </w:r>
          </w:p>
        </w:tc>
        <w:tc>
          <w:tcPr/>
          <w:p>
            <w:pPr>
              <w:pStyle w:val="Compact"/>
              <w:jc w:val="left"/>
            </w:pPr>
            <w:r>
              <w:t xml:space="preserve">Device Desc §2.3; Testing Plan (none)</w:t>
            </w:r>
          </w:p>
        </w:tc>
      </w:tr>
      <w:tr>
        <w:tc>
          <w:tcPr/>
          <w:p>
            <w:pPr>
              <w:pStyle w:val="Compact"/>
              <w:jc w:val="left"/>
            </w:pPr>
            <w:r>
              <w:t xml:space="preserve">17</w:t>
            </w:r>
          </w:p>
        </w:tc>
        <w:tc>
          <w:tcPr/>
          <w:p>
            <w:pPr>
              <w:pStyle w:val="Compact"/>
              <w:jc w:val="left"/>
            </w:pPr>
            <w:r>
              <w:t xml:space="preserve">T3</w:t>
            </w:r>
          </w:p>
        </w:tc>
        <w:tc>
          <w:tcPr/>
          <w:p>
            <w:pPr>
              <w:pStyle w:val="Compact"/>
              <w:jc w:val="left"/>
            </w:pPr>
            <w:r>
              <w:t xml:space="preserve">Bench-model / thrombus-analog limitations; 80% threshold vs. predicate 78.4% mean</w:t>
            </w:r>
          </w:p>
        </w:tc>
        <w:tc>
          <w:tcPr/>
          <w:p>
            <w:pPr>
              <w:pStyle w:val="Compact"/>
              <w:jc w:val="left"/>
            </w:pPr>
            <w:r>
              <w:t xml:space="preserve">Testing Plan §7; 510(k) Summary §5.5</w:t>
            </w:r>
          </w:p>
        </w:tc>
      </w:tr>
      <w:tr>
        <w:tc>
          <w:tcPr/>
          <w:p>
            <w:pPr>
              <w:pStyle w:val="Compact"/>
              <w:jc w:val="left"/>
            </w:pPr>
            <w:r>
              <w:t xml:space="preserve">18</w:t>
            </w:r>
          </w:p>
        </w:tc>
        <w:tc>
          <w:tcPr/>
          <w:p>
            <w:pPr>
              <w:pStyle w:val="Compact"/>
              <w:jc w:val="left"/>
            </w:pPr>
            <w:r>
              <w:t xml:space="preserve">T3</w:t>
            </w:r>
          </w:p>
        </w:tc>
        <w:tc>
          <w:tcPr/>
          <w:p>
            <w:pPr>
              <w:pStyle w:val="Compact"/>
              <w:jc w:val="left"/>
            </w:pPr>
            <w:r>
              <w:t xml:space="preserve">Impeller-driven hemolysis not evaluated under simulated use</w:t>
            </w:r>
          </w:p>
        </w:tc>
        <w:tc>
          <w:tcPr/>
          <w:p>
            <w:pPr>
              <w:pStyle w:val="Compact"/>
              <w:jc w:val="left"/>
            </w:pPr>
            <w:r>
              <w:t xml:space="preserve">Testing Plan §2.2, §7</w:t>
            </w:r>
          </w:p>
        </w:tc>
      </w:tr>
      <w:tr>
        <w:tc>
          <w:tcPr/>
          <w:p>
            <w:pPr>
              <w:pStyle w:val="Compact"/>
              <w:jc w:val="left"/>
            </w:pPr>
            <w:r>
              <w:t xml:space="preserve">19</w:t>
            </w:r>
          </w:p>
        </w:tc>
        <w:tc>
          <w:tcPr/>
          <w:p>
            <w:pPr>
              <w:pStyle w:val="Compact"/>
              <w:jc w:val="left"/>
            </w:pPr>
            <w:r>
              <w:t xml:space="preserve">T4</w:t>
            </w:r>
          </w:p>
        </w:tc>
        <w:tc>
          <w:tcPr/>
          <w:p>
            <w:pPr>
              <w:pStyle w:val="Compact"/>
              <w:jc w:val="left"/>
            </w:pPr>
            <w:r>
              <w:t xml:space="preserve">Figures not inserted (placeholders)</w:t>
            </w:r>
          </w:p>
        </w:tc>
        <w:tc>
          <w:tcPr/>
          <w:p>
            <w:pPr>
              <w:pStyle w:val="Compact"/>
              <w:jc w:val="left"/>
            </w:pPr>
            <w:r>
              <w:t xml:space="preserve">Device Desc App. A</w:t>
            </w:r>
          </w:p>
        </w:tc>
      </w:tr>
      <w:tr>
        <w:tc>
          <w:tcPr/>
          <w:p>
            <w:pPr>
              <w:pStyle w:val="Compact"/>
              <w:jc w:val="left"/>
            </w:pPr>
            <w:r>
              <w:t xml:space="preserve">20</w:t>
            </w:r>
          </w:p>
        </w:tc>
        <w:tc>
          <w:tcPr/>
          <w:p>
            <w:pPr>
              <w:pStyle w:val="Compact"/>
              <w:jc w:val="left"/>
            </w:pPr>
            <w:r>
              <w:t xml:space="preserve">T4</w:t>
            </w:r>
          </w:p>
        </w:tc>
        <w:tc>
          <w:tcPr/>
          <w:p>
            <w:pPr>
              <w:pStyle w:val="Compact"/>
              <w:jc w:val="left"/>
            </w:pPr>
            <w:r>
              <w:t xml:space="preserve">Clinical appendices</w:t>
            </w:r>
            <w:r>
              <w:t xml:space="preserve"> </w:t>
            </w:r>
            <w:r>
              <w:t xml:space="preserve">“</w:t>
            </w:r>
            <w:r>
              <w:t xml:space="preserve">in development</w:t>
            </w:r>
            <w:r>
              <w:t xml:space="preserve">”</w:t>
            </w:r>
            <w:r>
              <w:t xml:space="preserve"> </w:t>
            </w:r>
            <w:r>
              <w:t xml:space="preserve">(venographic scoring critical)</w:t>
            </w:r>
          </w:p>
        </w:tc>
        <w:tc>
          <w:tcPr/>
          <w:p>
            <w:pPr>
              <w:pStyle w:val="Compact"/>
              <w:jc w:val="left"/>
            </w:pPr>
            <w:r>
              <w:t xml:space="preserve">Clinical Synopsis §18</w:t>
            </w:r>
          </w:p>
        </w:tc>
      </w:tr>
      <w:tr>
        <w:tc>
          <w:tcPr/>
          <w:p>
            <w:pPr>
              <w:pStyle w:val="Compact"/>
              <w:jc w:val="left"/>
            </w:pPr>
            <w:r>
              <w:t xml:space="preserve">21</w:t>
            </w:r>
          </w:p>
        </w:tc>
        <w:tc>
          <w:tcPr/>
          <w:p>
            <w:pPr>
              <w:pStyle w:val="Compact"/>
              <w:jc w:val="left"/>
            </w:pPr>
            <w:r>
              <w:t xml:space="preserve">T4</w:t>
            </w:r>
          </w:p>
        </w:tc>
        <w:tc>
          <w:tcPr/>
          <w:p>
            <w:pPr>
              <w:pStyle w:val="Compact"/>
              <w:jc w:val="left"/>
            </w:pPr>
            <w:r>
              <w:t xml:space="preserve">Materials lists inconsistent; nickel/nitinol allergy not addressed</w:t>
            </w:r>
          </w:p>
        </w:tc>
        <w:tc>
          <w:tcPr/>
          <w:p>
            <w:pPr>
              <w:pStyle w:val="Compact"/>
              <w:jc w:val="left"/>
            </w:pPr>
            <w:r>
              <w:t xml:space="preserve">Clinical Synopsis §7.3; IFU §3; Device Desc §2.2; Testing Plan §2.3</w:t>
            </w:r>
          </w:p>
        </w:tc>
      </w:tr>
      <w:tr>
        <w:tc>
          <w:tcPr/>
          <w:p>
            <w:pPr>
              <w:pStyle w:val="Compact"/>
              <w:jc w:val="left"/>
            </w:pPr>
            <w:r>
              <w:t xml:space="preserve">22</w:t>
            </w:r>
          </w:p>
        </w:tc>
        <w:tc>
          <w:tcPr/>
          <w:p>
            <w:pPr>
              <w:pStyle w:val="Compact"/>
              <w:jc w:val="left"/>
            </w:pPr>
            <w:r>
              <w:t xml:space="preserve">T4</w:t>
            </w:r>
          </w:p>
        </w:tc>
        <w:tc>
          <w:tcPr/>
          <w:p>
            <w:pPr>
              <w:pStyle w:val="Compact"/>
              <w:jc w:val="left"/>
            </w:pPr>
            <w:r>
              <w:t xml:space="preserve">Dec. 31, 2025 clearance milestone appears unrealistic; corporate implications</w:t>
            </w:r>
          </w:p>
        </w:tc>
        <w:tc>
          <w:tcPr/>
          <w:p>
            <w:pPr>
              <w:pStyle w:val="Compact"/>
              <w:jc w:val="left"/>
            </w:pPr>
            <w:r>
              <w:t xml:space="preserve">Testing Plan §9.2; email chain</w:t>
            </w:r>
          </w:p>
        </w:tc>
      </w:tr>
      <w:tr>
        <w:tc>
          <w:tcPr/>
          <w:p>
            <w:pPr>
              <w:pStyle w:val="Compact"/>
              <w:jc w:val="left"/>
            </w:pPr>
            <w:r>
              <w:t xml:space="preserve">23</w:t>
            </w:r>
          </w:p>
        </w:tc>
        <w:tc>
          <w:tcPr/>
          <w:p>
            <w:pPr>
              <w:pStyle w:val="Compact"/>
              <w:jc w:val="left"/>
            </w:pPr>
            <w:r>
              <w:t xml:space="preserve">T4</w:t>
            </w:r>
          </w:p>
        </w:tc>
        <w:tc>
          <w:tcPr/>
          <w:p>
            <w:pPr>
              <w:pStyle w:val="Compact"/>
              <w:jc w:val="left"/>
            </w:pPr>
            <w:r>
              <w:t xml:space="preserve">Alarm-systems collateral standard (IEC 60601-1-8) not addressed</w:t>
            </w:r>
          </w:p>
        </w:tc>
        <w:tc>
          <w:tcPr/>
          <w:p>
            <w:pPr>
              <w:pStyle w:val="Compact"/>
              <w:jc w:val="left"/>
            </w:pPr>
            <w:r>
              <w:t xml:space="preserve">Testing Plan §4; Device Desc §2.3</w:t>
            </w:r>
          </w:p>
        </w:tc>
      </w:tr>
      <w:tr>
        <w:tc>
          <w:tcPr/>
          <w:p>
            <w:pPr>
              <w:pStyle w:val="Compact"/>
              <w:jc w:val="left"/>
            </w:pPr>
            <w:r>
              <w:t xml:space="preserve">24</w:t>
            </w:r>
          </w:p>
        </w:tc>
        <w:tc>
          <w:tcPr/>
          <w:p>
            <w:pPr>
              <w:pStyle w:val="Compact"/>
              <w:jc w:val="left"/>
            </w:pPr>
            <w:r>
              <w:t xml:space="preserve">T4</w:t>
            </w:r>
          </w:p>
        </w:tc>
        <w:tc>
          <w:tcPr/>
          <w:p>
            <w:pPr>
              <w:pStyle w:val="Compact"/>
              <w:jc w:val="left"/>
            </w:pPr>
            <w:r>
              <w:t xml:space="preserve">Cybersecurity posture not addressed (if any data connectivity)</w:t>
            </w:r>
          </w:p>
        </w:tc>
        <w:tc>
          <w:tcPr/>
          <w:p>
            <w:pPr>
              <w:pStyle w:val="Compact"/>
              <w:jc w:val="left"/>
            </w:pPr>
            <w:r>
              <w:t xml:space="preserve">Device Desc §2.3; Testing Plan §5</w:t>
            </w:r>
          </w:p>
        </w:tc>
      </w:tr>
    </w:tbl>
    <w:p>
      <w:r>
        <w:pict>
          <v:rect style="width:0;height:1.5pt" o:hralign="center" o:hrstd="t" o:hr="t"/>
        </w:pict>
      </w:r>
    </w:p>
    <w:bookmarkEnd w:id="22"/>
    <w:bookmarkStart w:id="27" w:name="iii.-tier-1-critical-issues"/>
    <w:p>
      <w:pPr>
        <w:pStyle w:val="Heading2"/>
      </w:pPr>
      <w:r>
        <w:t xml:space="preserve">III. Tier 1 — Critical Issues</w:t>
      </w:r>
    </w:p>
    <w:bookmarkStart w:id="23" w:name="X00d601d265362e578b230ec50f4abc0f99b43cc"/>
    <w:p>
      <w:pPr>
        <w:pStyle w:val="Heading3"/>
      </w:pPr>
      <w:r>
        <w:t xml:space="preserve">A. Issue 1 — Combination Product Classification Risk</w:t>
      </w:r>
    </w:p>
    <w:p>
      <w:pPr>
        <w:pStyle w:val="FirstParagraph"/>
      </w:pPr>
      <w:r>
        <w:rPr>
          <w:b/>
          <w:bCs/>
        </w:rPr>
        <w:t xml:space="preserve">Documents affected:</w:t>
      </w:r>
      <w:r>
        <w:t xml:space="preserve"> </w:t>
      </w:r>
      <w:r>
        <w:t xml:space="preserve">Cover Letter §§IV, VII; Device Description §§2.1, 2.4, 5.1; IFU §§2, 9; Clinical Synopsis §§2, 8.2; email chain (Fessenden 4/22; Marsh 4/28, 5/9; Pressman 5/5, 5/12).</w:t>
      </w:r>
    </w:p>
    <w:p>
      <w:pPr>
        <w:pStyle w:val="BodyText"/>
      </w:pPr>
      <w:r>
        <w:rPr>
          <w:b/>
          <w:bCs/>
        </w:rPr>
        <w:t xml:space="preserve">Discussion.</w:t>
      </w:r>
      <w:r>
        <w:t xml:space="preserve"> </w:t>
      </w:r>
      <w:r>
        <w:t xml:space="preserve">The Device is physically designed around an integrated thrombolytic infusion lumen, and the proposed indication claims</w:t>
      </w:r>
      <w:r>
        <w:t xml:space="preserve"> </w:t>
      </w:r>
      <w:r>
        <w:t xml:space="preserve">“</w:t>
      </w:r>
      <w:r>
        <w:t xml:space="preserve">simultaneous local delivery of physician-specified thrombolytic agents</w:t>
      </w:r>
      <w:r>
        <w:t xml:space="preserve">”</w:t>
      </w:r>
      <w:r>
        <w:t xml:space="preserve"> </w:t>
      </w:r>
      <w:r>
        <w:t xml:space="preserve">as a co-primary therapeutic function. Dr. Marsh’s position is that the Device is not a combination product because the drug (tPA/alteplase) is physician-supplied and not co-packaged, analogizing to general-purpose infusion pumps. Kate has correctly flagged that the analogy is imperfect: a general-purpose infusion pump is indicated for fluid delivery without reference to any specific drug or therapeutic effect, whereas the VascuClear 3000 is purpose-built to deliver a specific class of drug (thrombolytics) to achieve a specific therapeutic effect (pharmacomechanical thrombolysis), and the indication says so expressly.</w:t>
      </w:r>
    </w:p>
    <w:p>
      <w:pPr>
        <w:pStyle w:val="BodyText"/>
      </w:pPr>
      <w:r>
        <w:t xml:space="preserve">Two additional facts sharpen the risk:</w:t>
      </w:r>
    </w:p>
    <w:p>
      <w:pPr>
        <w:pStyle w:val="Compact"/>
        <w:numPr>
          <w:ilvl w:val="0"/>
          <w:numId w:val="1002"/>
        </w:numPr>
      </w:pPr>
      <w:r>
        <w:rPr>
          <w:b/>
          <w:bCs/>
        </w:rPr>
        <w:t xml:space="preserve">No predicate precedent.</w:t>
      </w:r>
      <w:r>
        <w:t xml:space="preserve"> </w:t>
      </w:r>
      <w:r>
        <w:t xml:space="preserve">The ThrombEx 200 (K192847) is purely mechanical with</w:t>
      </w:r>
      <w:r>
        <w:t xml:space="preserve"> </w:t>
      </w:r>
      <w:r>
        <w:t xml:space="preserve">“</w:t>
      </w:r>
      <w:r>
        <w:t xml:space="preserve">no drug delivery function, pharmaceutical infusion functionality, or any indication for use in conjunction with thrombolytic agents</w:t>
      </w:r>
      <w:r>
        <w:t xml:space="preserve">”</w:t>
      </w:r>
      <w:r>
        <w:t xml:space="preserve"> </w:t>
      </w:r>
      <w:r>
        <w:t xml:space="preserve">(510(k) Summary §§2, 6). Dr. Marsh states she</w:t>
      </w:r>
      <w:r>
        <w:t xml:space="preserve"> </w:t>
      </w:r>
      <w:r>
        <w:t xml:space="preserve">“</w:t>
      </w:r>
      <w:r>
        <w:t xml:space="preserve">ha[s] not identified any pharmacomechanical thrombectomy devices that were reviewed as combination products</w:t>
      </w:r>
      <w:r>
        <w:t xml:space="preserve">”</w:t>
      </w:r>
      <w:r>
        <w:t xml:space="preserve"> </w:t>
      </w:r>
      <w:r>
        <w:t xml:space="preserve">but also concedes she has not searched the Office of Combination Products (OCP) database. The absence of a located precedent is not the same as the existence of a favorable precedent.</w:t>
      </w:r>
    </w:p>
    <w:p>
      <w:pPr>
        <w:pStyle w:val="Compact"/>
        <w:numPr>
          <w:ilvl w:val="0"/>
          <w:numId w:val="1002"/>
        </w:numPr>
      </w:pPr>
      <w:r>
        <w:rPr>
          <w:b/>
          <w:bCs/>
        </w:rPr>
        <w:t xml:space="preserve">The clinical study administers tPA through the lumen at specified doses</w:t>
      </w:r>
      <w:r>
        <w:t xml:space="preserve"> </w:t>
      </w:r>
      <w:r>
        <w:t xml:space="preserve">(0.5–1.0 mg/hr alteplase), which is the kind of integrated drug-device use that can implicate both device and drug regulatory requirements (Pressman, 5/5 email).</w:t>
      </w:r>
    </w:p>
    <w:p>
      <w:pPr>
        <w:pStyle w:val="FirstParagraph"/>
      </w:pPr>
      <w:r>
        <w:t xml:space="preserve">If FDA concludes the Device is a combination product — or, relatedly, that the drug-delivery function raises new questions of safety and effectiveness that take the Device out of the 510(k) pathway — the consequences are material: a possible Request for Designation to OCP, a different lead review center or review division, and a timeline that will not accommodate the Braddock Ventures milestone of 510(k) clearance by December 31, 2025.</w:t>
      </w:r>
    </w:p>
    <w:p>
      <w:pPr>
        <w:pStyle w:val="BodyText"/>
      </w:pPr>
      <w:r>
        <w:rPr>
          <w:b/>
          <w:bCs/>
        </w:rPr>
        <w:t xml:space="preserve">The package as drafted does not ask FDA about combination-product status.</w:t>
      </w:r>
      <w:r>
        <w:t xml:space="preserve"> </w:t>
      </w:r>
      <w:r>
        <w:t xml:space="preserve">The Cover Letter’s six questions (§VI) and the Device Description’s four questions (§6) are silent on it. Kate recommended adding a direct question; Dr. Marsh recommended finalizing as drafted. I side with Kate on the procedural point regardless of the substantive merits: asking FDA’s view before committing to the pathway is, as Kate put it,</w:t>
      </w:r>
      <w:r>
        <w:t xml:space="preserve"> </w:t>
      </w:r>
      <w:r>
        <w:t xml:space="preserve">“</w:t>
      </w:r>
      <w:r>
        <w:t xml:space="preserve">cheap insurance,</w:t>
      </w:r>
      <w:r>
        <w:t xml:space="preserve">”</w:t>
      </w:r>
      <w:r>
        <w:t xml:space="preserve"> </w:t>
      </w:r>
      <w:r>
        <w:t xml:space="preserve">and is precisely the kind of feedback a Q-Sub is designed to elicit.</w:t>
      </w:r>
    </w:p>
    <w:p>
      <w:pPr>
        <w:pStyle w:val="BodyText"/>
      </w:pPr>
      <w:r>
        <w:rPr>
          <w:b/>
          <w:bCs/>
        </w:rPr>
        <w:t xml:space="preserve">Recommendation.</w:t>
      </w:r>
    </w:p>
    <w:p>
      <w:pPr>
        <w:pStyle w:val="Compact"/>
        <w:numPr>
          <w:ilvl w:val="0"/>
          <w:numId w:val="1003"/>
        </w:numPr>
      </w:pPr>
      <w:r>
        <w:t xml:space="preserve">Add a Q-Sub question asking FDA directly whether the VascuClear 3000, as designed and as labeled, should be classified or regulated as a combination product under 21 CFR Part 3, and whether a Request for Designation to OCP is warranted. State Clearfield’s position (not a combination product) and the rationale, but invite FDA’s contrary view.</w:t>
      </w:r>
    </w:p>
    <w:p>
      <w:pPr>
        <w:pStyle w:val="Compact"/>
        <w:numPr>
          <w:ilvl w:val="0"/>
          <w:numId w:val="1003"/>
        </w:numPr>
      </w:pPr>
      <w:r>
        <w:t xml:space="preserve">In parallel, have Dr. Marsh (or counsel) conduct an actual search of the OCP designation database and the 510(k) database for pharmacomechanical/catheter-directed thrombolysis devices to determine whether any were reviewed as combination products or under a different product code. Document the search.</w:t>
      </w:r>
    </w:p>
    <w:p>
      <w:pPr>
        <w:pStyle w:val="Compact"/>
        <w:numPr>
          <w:ilvl w:val="0"/>
          <w:numId w:val="1003"/>
        </w:numPr>
      </w:pPr>
      <w:r>
        <w:t xml:space="preserve">Consider the labeling hedge Dr. Marsh proposed (primary indication = mechanical thrombectomy; drug delivery described as a feature in the device description)</w:t>
      </w:r>
      <w:r>
        <w:t xml:space="preserve"> </w:t>
      </w:r>
      <w:r>
        <w:rPr>
          <w:b/>
          <w:bCs/>
        </w:rPr>
        <w:t xml:space="preserve">only as a fallback</w:t>
      </w:r>
      <w:r>
        <w:t xml:space="preserve">, and recognize that it does not cure the combination-product question if FDA focuses on the physical design and the clinical use, as Kate notes.</w:t>
      </w:r>
    </w:p>
    <w:p>
      <w:pPr>
        <w:pStyle w:val="Compact"/>
        <w:numPr>
          <w:ilvl w:val="0"/>
          <w:numId w:val="1003"/>
        </w:numPr>
      </w:pPr>
      <w:r>
        <w:t xml:space="preserve">If there is any real possibility the pathway changes, loop in Kendrick &amp; Hale now, per Kate’s 5/12 email, given the Braddock Ventures milestone implications.</w:t>
      </w:r>
    </w:p>
    <w:bookmarkEnd w:id="23"/>
    <w:bookmarkStart w:id="24" w:name="Xbf10c698af221993c27db4467bd8d25f65d447e"/>
    <w:p>
      <w:pPr>
        <w:pStyle w:val="Heading3"/>
      </w:pPr>
      <w:r>
        <w:t xml:space="preserve">B. Issue 2 — IDE Requirement and the</w:t>
      </w:r>
      <w:r>
        <w:t xml:space="preserve"> </w:t>
      </w:r>
      <w:r>
        <w:t xml:space="preserve">“</w:t>
      </w:r>
      <w:r>
        <w:t xml:space="preserve">Post-Clearance</w:t>
      </w:r>
      <w:r>
        <w:t xml:space="preserve">”</w:t>
      </w:r>
      <w:r>
        <w:t xml:space="preserve"> </w:t>
      </w:r>
      <w:r>
        <w:t xml:space="preserve">Contradiction</w:t>
      </w:r>
    </w:p>
    <w:p>
      <w:pPr>
        <w:pStyle w:val="FirstParagraph"/>
      </w:pPr>
      <w:r>
        <w:rPr>
          <w:b/>
          <w:bCs/>
        </w:rPr>
        <w:t xml:space="preserve">Documents affected:</w:t>
      </w:r>
      <w:r>
        <w:t xml:space="preserve"> </w:t>
      </w:r>
      <w:r>
        <w:t xml:space="preserve">Clinical Synopsis §§3, 5, 6, 8.2, 15; Testing Plan §9.2; email chain (Fessenden 4/22; Marsh 4/28, 5/9; Pressman 5/5, 5/12).</w:t>
      </w:r>
    </w:p>
    <w:p>
      <w:pPr>
        <w:pStyle w:val="BodyText"/>
      </w:pPr>
      <w:r>
        <w:rPr>
          <w:b/>
          <w:bCs/>
        </w:rPr>
        <w:t xml:space="preserve">Discussion.</w:t>
      </w:r>
      <w:r>
        <w:t xml:space="preserve"> </w:t>
      </w:r>
      <w:r>
        <w:t xml:space="preserve">The Clinical Study Synopsis contains an internal contradiction that, if not corrected, will draw immediate FDA scrutiny:</w:t>
      </w:r>
    </w:p>
    <w:p>
      <w:pPr>
        <w:pStyle w:val="Compact"/>
        <w:numPr>
          <w:ilvl w:val="0"/>
          <w:numId w:val="1004"/>
        </w:numPr>
      </w:pPr>
      <w:r>
        <w:rPr>
          <w:b/>
          <w:bCs/>
        </w:rPr>
        <w:t xml:space="preserve">Section 6</w:t>
      </w:r>
      <w:r>
        <w:t xml:space="preserve"> </w:t>
      </w:r>
      <w:r>
        <w:t xml:space="preserve">states:</w:t>
      </w:r>
      <w:r>
        <w:t xml:space="preserve"> </w:t>
      </w:r>
      <w:r>
        <w:t xml:space="preserve">“</w:t>
      </w:r>
      <w:r>
        <w:t xml:space="preserve">An Investigational Device Exemption (IDE) is not anticipated… the VascuClear 3000 is expected to have received 510(k) clearance prior to study initiation,</w:t>
      </w:r>
      <w:r>
        <w:t xml:space="preserve">”</w:t>
      </w:r>
      <w:r>
        <w:t xml:space="preserve"> </w:t>
      </w:r>
      <w:r>
        <w:t xml:space="preserve">and characterizes the study as</w:t>
      </w:r>
      <w:r>
        <w:t xml:space="preserve"> </w:t>
      </w:r>
      <w:r>
        <w:t xml:space="preserve">“</w:t>
      </w:r>
      <w:r>
        <w:t xml:space="preserve">post-clearance data collection.</w:t>
      </w:r>
      <w:r>
        <w:t xml:space="preserve">”</w:t>
      </w:r>
    </w:p>
    <w:p>
      <w:pPr>
        <w:pStyle w:val="Compact"/>
        <w:numPr>
          <w:ilvl w:val="0"/>
          <w:numId w:val="1004"/>
        </w:numPr>
      </w:pPr>
      <w:r>
        <w:rPr>
          <w:b/>
          <w:bCs/>
        </w:rPr>
        <w:t xml:space="preserve">Section 3</w:t>
      </w:r>
      <w:r>
        <w:t xml:space="preserve"> </w:t>
      </w:r>
      <w:r>
        <w:t xml:space="preserve">states the opposite:</w:t>
      </w:r>
      <w:r>
        <w:t xml:space="preserve"> </w:t>
      </w:r>
      <w:r>
        <w:t xml:space="preserve">“</w:t>
      </w:r>
      <w:r>
        <w:t xml:space="preserve">Clinical data generated in the proposed study is intended to support the 510(k) submission.</w:t>
      </w:r>
      <w:r>
        <w:t xml:space="preserve">”</w:t>
      </w:r>
    </w:p>
    <w:p>
      <w:pPr>
        <w:pStyle w:val="Compact"/>
        <w:numPr>
          <w:ilvl w:val="0"/>
          <w:numId w:val="1004"/>
        </w:numPr>
      </w:pPr>
      <w:r>
        <w:rPr>
          <w:b/>
          <w:bCs/>
        </w:rPr>
        <w:t xml:space="preserve">Section 15</w:t>
      </w:r>
      <w:r>
        <w:t xml:space="preserve"> </w:t>
      </w:r>
      <w:r>
        <w:t xml:space="preserve">schedules first patient enrollment in</w:t>
      </w:r>
      <w:r>
        <w:t xml:space="preserve"> </w:t>
      </w:r>
      <w:r>
        <w:rPr>
          <w:b/>
          <w:bCs/>
        </w:rPr>
        <w:t xml:space="preserve">Q4 2025</w:t>
      </w:r>
      <w:r>
        <w:t xml:space="preserve">.</w:t>
      </w:r>
    </w:p>
    <w:p>
      <w:pPr>
        <w:pStyle w:val="FirstParagraph"/>
      </w:pPr>
      <w:r>
        <w:t xml:space="preserve">These three statements cannot all be true. The Testing Plan (§9.2) shows non-clinical testing completing in</w:t>
      </w:r>
      <w:r>
        <w:t xml:space="preserve"> </w:t>
      </w:r>
      <w:r>
        <w:rPr>
          <w:b/>
          <w:bCs/>
        </w:rPr>
        <w:t xml:space="preserve">November–December 2025</w:t>
      </w:r>
      <w:r>
        <w:t xml:space="preserve">, with the 510(k) to be submitted</w:t>
      </w:r>
      <w:r>
        <w:t xml:space="preserve"> </w:t>
      </w:r>
      <w:r>
        <w:t xml:space="preserve">“</w:t>
      </w:r>
      <w:r>
        <w:t xml:space="preserve">as early as practical</w:t>
      </w:r>
      <w:r>
        <w:t xml:space="preserve">”</w:t>
      </w:r>
      <w:r>
        <w:t xml:space="preserve"> </w:t>
      </w:r>
      <w:r>
        <w:t xml:space="preserve">thereafter and clearance targeted by</w:t>
      </w:r>
      <w:r>
        <w:t xml:space="preserve"> </w:t>
      </w:r>
      <w:r>
        <w:rPr>
          <w:b/>
          <w:bCs/>
        </w:rPr>
        <w:t xml:space="preserve">December 31, 2025</w:t>
      </w:r>
      <w:r>
        <w:t xml:space="preserve">. FDA’s 510(k) review is on the order of 90 days. Even on the most optimistic reading, the 510(k) could not be both</w:t>
      </w:r>
      <w:r>
        <w:t xml:space="preserve"> </w:t>
      </w:r>
      <w:r>
        <w:rPr>
          <w:i/>
          <w:iCs/>
        </w:rPr>
        <w:t xml:space="preserve">submitted</w:t>
      </w:r>
      <w:r>
        <w:t xml:space="preserve"> </w:t>
      </w:r>
      <w:r>
        <w:t xml:space="preserve">and</w:t>
      </w:r>
      <w:r>
        <w:t xml:space="preserve"> </w:t>
      </w:r>
      <w:r>
        <w:rPr>
          <w:i/>
          <w:iCs/>
        </w:rPr>
        <w:t xml:space="preserve">cleared</w:t>
      </w:r>
      <w:r>
        <w:t xml:space="preserve"> </w:t>
      </w:r>
      <w:r>
        <w:t xml:space="preserve">before Q4 2025 enrollment begins. On a realistic reading, the study would begin before the 510(k) is even submitted.</w:t>
      </w:r>
    </w:p>
    <w:p>
      <w:pPr>
        <w:pStyle w:val="BodyText"/>
      </w:pPr>
      <w:r>
        <w:t xml:space="preserve">The legal consequence is straightforward. Under 21 CFR 812.3(m), an</w:t>
      </w:r>
      <w:r>
        <w:t xml:space="preserve"> </w:t>
      </w:r>
      <w:r>
        <w:t xml:space="preserve">“</w:t>
      </w:r>
      <w:r>
        <w:t xml:space="preserve">investigational device</w:t>
      </w:r>
      <w:r>
        <w:t xml:space="preserve">”</w:t>
      </w:r>
      <w:r>
        <w:t xml:space="preserve"> </w:t>
      </w:r>
      <w:r>
        <w:t xml:space="preserve">is a device that is the object of a clinical investigation. A device that has not received 510(k) clearance is investigational when used in a clinical study. If the study is conducted to generate data that supports the 510(k) (Synopsis §3), it is a clinical investigation, not a post-market registry, and the IDE regulations apply. The</w:t>
      </w:r>
      <w:r>
        <w:t xml:space="preserve"> </w:t>
      </w:r>
      <w:r>
        <w:t xml:space="preserve">“</w:t>
      </w:r>
      <w:r>
        <w:t xml:space="preserve">post-clearance</w:t>
      </w:r>
      <w:r>
        <w:t xml:space="preserve">”</w:t>
      </w:r>
      <w:r>
        <w:t xml:space="preserve"> </w:t>
      </w:r>
      <w:r>
        <w:t xml:space="preserve">label is a characterization, not a legal conclusion, and it is contradicted by the package’s own timeline.</w:t>
      </w:r>
    </w:p>
    <w:p>
      <w:pPr>
        <w:pStyle w:val="BodyText"/>
      </w:pPr>
      <w:r>
        <w:t xml:space="preserve">The significant-risk (SR) vs. non-significant-risk (NSR) determination also warrants a harder look than the Synopsis gives it. Dr. Marsh’s rationale — that</w:t>
      </w:r>
      <w:r>
        <w:t xml:space="preserve"> </w:t>
      </w:r>
      <w:r>
        <w:t xml:space="preserve">“</w:t>
      </w:r>
      <w:r>
        <w:t xml:space="preserve">thrombectomy with tPA is standard of care</w:t>
      </w:r>
      <w:r>
        <w:t xml:space="preserve">”</w:t>
      </w:r>
      <w:r>
        <w:t xml:space="preserve"> </w:t>
      </w:r>
      <w:r>
        <w:t xml:space="preserve">— addresses the</w:t>
      </w:r>
      <w:r>
        <w:t xml:space="preserve"> </w:t>
      </w:r>
      <w:r>
        <w:rPr>
          <w:i/>
          <w:iCs/>
        </w:rPr>
        <w:t xml:space="preserve">procedure</w:t>
      </w:r>
      <w:r>
        <w:t xml:space="preserve">, not the</w:t>
      </w:r>
      <w:r>
        <w:t xml:space="preserve"> </w:t>
      </w:r>
      <w:r>
        <w:rPr>
          <w:i/>
          <w:iCs/>
        </w:rPr>
        <w:t xml:space="preserve">device</w:t>
      </w:r>
      <w:r>
        <w:t xml:space="preserve">. The VascuClear 3000 is a novel, uncleared device with a 12,000-RPM rotating impeller in contact with the vessel wall, −650 mmHg aspiration, and concurrent tPA infusion. The SR/NSR determination turns on the device and the study design, not on whether the underlying procedure is standard of care. An SR determination would require a full IDE approved by FDA before enrollment (21 CFR 812.2(a), 812.20); even an NSR study requires IRB approval and compliance with the abbreviated IDE controls (21 CFR 812.2(b)). Either way,</w:t>
      </w:r>
      <w:r>
        <w:t xml:space="preserve"> </w:t>
      </w:r>
      <w:r>
        <w:t xml:space="preserve">“</w:t>
      </w:r>
      <w:r>
        <w:t xml:space="preserve">no IDE</w:t>
      </w:r>
      <w:r>
        <w:t xml:space="preserve">”</w:t>
      </w:r>
      <w:r>
        <w:t xml:space="preserve"> </w:t>
      </w:r>
      <w:r>
        <w:t xml:space="preserve">is not the right framing.</w:t>
      </w:r>
    </w:p>
    <w:p>
      <w:pPr>
        <w:pStyle w:val="BodyText"/>
      </w:pPr>
      <w:r>
        <w:rPr>
          <w:b/>
          <w:bCs/>
        </w:rPr>
        <w:t xml:space="preserve">Recommendation.</w:t>
      </w:r>
    </w:p>
    <w:p>
      <w:pPr>
        <w:pStyle w:val="Compact"/>
        <w:numPr>
          <w:ilvl w:val="0"/>
          <w:numId w:val="1005"/>
        </w:numPr>
      </w:pPr>
      <w:r>
        <w:rPr>
          <w:b/>
          <w:bCs/>
        </w:rPr>
        <w:t xml:space="preserve">Decide which it is.</w:t>
      </w:r>
      <w:r>
        <w:t xml:space="preserve"> </w:t>
      </w:r>
      <w:r>
        <w:t xml:space="preserve">Either (a) the clinical data supports the 510(k), in which case the study is pre-clearance, an IDE analysis is required, and the timeline must reflect IDE preparation and FDA/IRB approval before enrollment; or (b) the study is genuinely post-clearance, in which case it cannot</w:t>
      </w:r>
      <w:r>
        <w:t xml:space="preserve"> </w:t>
      </w:r>
      <w:r>
        <w:t xml:space="preserve">“</w:t>
      </w:r>
      <w:r>
        <w:t xml:space="preserve">support the 510(k) submission</w:t>
      </w:r>
      <w:r>
        <w:t xml:space="preserve">”</w:t>
      </w:r>
      <w:r>
        <w:t xml:space="preserve"> </w:t>
      </w:r>
      <w:r>
        <w:t xml:space="preserve">(Synopsis §3 must be revised) and enrollment cannot begin until after clearance (Synopsis §15 must move to 2026). The package cannot have it both ways.</w:t>
      </w:r>
    </w:p>
    <w:p>
      <w:pPr>
        <w:pStyle w:val="Compact"/>
        <w:numPr>
          <w:ilvl w:val="0"/>
          <w:numId w:val="1005"/>
        </w:numPr>
      </w:pPr>
      <w:r>
        <w:t xml:space="preserve">Add a Q-Sub question asking FDA whether an IDE is required for the proposed study design, and, if so, whether FDA concurs with an SR or NSR designation. (Kate has already recommended this; I concur.)</w:t>
      </w:r>
    </w:p>
    <w:p>
      <w:pPr>
        <w:pStyle w:val="Compact"/>
        <w:numPr>
          <w:ilvl w:val="0"/>
          <w:numId w:val="1005"/>
        </w:numPr>
      </w:pPr>
      <w:r>
        <w:t xml:space="preserve">If option (a) is selected, engage Stonebridge CRO immediately on IDE/IRB strategy and re-baseline the enrollment timeline; the December 31, 2025 clearance milestone is likely not achievable if a pre-clearance IDE study is on the critical path.</w:t>
      </w:r>
    </w:p>
    <w:p>
      <w:pPr>
        <w:pStyle w:val="Compact"/>
        <w:numPr>
          <w:ilvl w:val="0"/>
          <w:numId w:val="1005"/>
        </w:numPr>
      </w:pPr>
      <w:r>
        <w:t xml:space="preserve">Revise Synopsis §§3, 5, and 6 to eliminate the contradiction, whatever direction is chosen.</w:t>
      </w:r>
    </w:p>
    <w:bookmarkEnd w:id="24"/>
    <w:bookmarkStart w:id="25" w:name="X2814a55181d1a56dca3a965a7ef5882f161adfe"/>
    <w:p>
      <w:pPr>
        <w:pStyle w:val="Heading3"/>
      </w:pPr>
      <w:r>
        <w:t xml:space="preserve">C. Issue 3 — Substantial Equivalence: Likely</w:t>
      </w:r>
      <w:r>
        <w:t xml:space="preserve"> </w:t>
      </w:r>
      <w:r>
        <w:t xml:space="preserve">“</w:t>
      </w:r>
      <w:r>
        <w:t xml:space="preserve">New Questions of Safety and Effectiveness</w:t>
      </w:r>
      <w:r>
        <w:t xml:space="preserve">”</w:t>
      </w:r>
    </w:p>
    <w:p>
      <w:pPr>
        <w:pStyle w:val="FirstParagraph"/>
      </w:pPr>
      <w:r>
        <w:rPr>
          <w:b/>
          <w:bCs/>
        </w:rPr>
        <w:t xml:space="preserve">Documents affected:</w:t>
      </w:r>
      <w:r>
        <w:t xml:space="preserve"> </w:t>
      </w:r>
      <w:r>
        <w:t xml:space="preserve">Device Description §§3, 4.2, 4.3, 5; Cover Letter §III; 510(k) Summary §§2, 3, 4, 6; Testing Plan App. A.</w:t>
      </w:r>
    </w:p>
    <w:p>
      <w:pPr>
        <w:pStyle w:val="BodyText"/>
      </w:pPr>
      <w:r>
        <w:rPr>
          <w:b/>
          <w:bCs/>
        </w:rPr>
        <w:t xml:space="preserve">Discussion.</w:t>
      </w:r>
      <w:r>
        <w:t xml:space="preserve"> </w:t>
      </w:r>
      <w:r>
        <w:t xml:space="preserve">The substantial-equivalence (</w:t>
      </w:r>
      <w:r>
        <w:t xml:space="preserve">“</w:t>
      </w:r>
      <w:r>
        <w:t xml:space="preserve">SE</w:t>
      </w:r>
      <w:r>
        <w:t xml:space="preserve">”</w:t>
      </w:r>
      <w:r>
        <w:t xml:space="preserve">) argument is the load-bearing wall of the submission, and it is the area where the package is most exposed. The predicate, ThrombEx 200 (K192847), is described in its own 510(k) Summary as follows:</w:t>
      </w:r>
    </w:p>
    <w:p>
      <w:pPr>
        <w:pStyle w:val="Compact"/>
        <w:numPr>
          <w:ilvl w:val="0"/>
          <w:numId w:val="1006"/>
        </w:numPr>
      </w:pPr>
      <w:r>
        <w:t xml:space="preserve">“</w:t>
      </w:r>
      <w:r>
        <w:t xml:space="preserve">Purely mechanical aspiration</w:t>
      </w:r>
      <w:r>
        <w:t xml:space="preserve">”</w:t>
      </w:r>
      <w:r>
        <w:t xml:space="preserve">;</w:t>
      </w:r>
      <w:r>
        <w:t xml:space="preserve"> </w:t>
      </w:r>
      <w:r>
        <w:t xml:space="preserve">“</w:t>
      </w:r>
      <w:r>
        <w:t xml:space="preserve">no rotating impeller, no mechanical maceration component, no helical element</w:t>
      </w:r>
      <w:r>
        <w:t xml:space="preserve">”</w:t>
      </w:r>
      <w:r>
        <w:t xml:space="preserve"> </w:t>
      </w:r>
      <w:r>
        <w:t xml:space="preserve">(§3.3);</w:t>
      </w:r>
    </w:p>
    <w:p>
      <w:pPr>
        <w:pStyle w:val="Compact"/>
        <w:numPr>
          <w:ilvl w:val="0"/>
          <w:numId w:val="1006"/>
        </w:numPr>
      </w:pPr>
      <w:r>
        <w:t xml:space="preserve">“</w:t>
      </w:r>
      <w:r>
        <w:t xml:space="preserve">No drug delivery function, pharmaceutical infusion functionality, or any indication for use in conjunction with thrombolytic agents</w:t>
      </w:r>
      <w:r>
        <w:t xml:space="preserve">”</w:t>
      </w:r>
      <w:r>
        <w:t xml:space="preserve"> </w:t>
      </w:r>
      <w:r>
        <w:t xml:space="preserve">(§§2, 6);</w:t>
      </w:r>
    </w:p>
    <w:p>
      <w:pPr>
        <w:pStyle w:val="Compact"/>
        <w:numPr>
          <w:ilvl w:val="0"/>
          <w:numId w:val="1006"/>
        </w:numPr>
      </w:pPr>
      <w:r>
        <w:t xml:space="preserve">Indicated for</w:t>
      </w:r>
      <w:r>
        <w:t xml:space="preserve"> </w:t>
      </w:r>
      <w:r>
        <w:t xml:space="preserve">“</w:t>
      </w:r>
      <w:r>
        <w:t xml:space="preserve">percutaneous removal of thrombus from the peripheral vasculature,</w:t>
      </w:r>
      <w:r>
        <w:t xml:space="preserve">”</w:t>
      </w:r>
      <w:r>
        <w:t xml:space="preserve"> </w:t>
      </w:r>
      <w:r>
        <w:t xml:space="preserve">encompassing</w:t>
      </w:r>
      <w:r>
        <w:t xml:space="preserve"> </w:t>
      </w:r>
      <w:r>
        <w:t xml:space="preserve">“</w:t>
      </w:r>
      <w:r>
        <w:t xml:space="preserve">both the arterial and venous peripheral vascular systems… not limited to any specific vascular segment</w:t>
      </w:r>
      <w:r>
        <w:t xml:space="preserve">”</w:t>
      </w:r>
      <w:r>
        <w:t xml:space="preserve"> </w:t>
      </w:r>
      <w:r>
        <w:t xml:space="preserve">(§2);</w:t>
      </w:r>
    </w:p>
    <w:p>
      <w:pPr>
        <w:pStyle w:val="Compact"/>
        <w:numPr>
          <w:ilvl w:val="0"/>
          <w:numId w:val="1006"/>
        </w:numPr>
      </w:pPr>
      <w:r>
        <w:t xml:space="preserve">8 Fr, 55 cm, single lumen, ≤24-hour procedural contact (§§3.1, 5.1).</w:t>
      </w:r>
    </w:p>
    <w:p>
      <w:pPr>
        <w:pStyle w:val="FirstParagraph"/>
      </w:pPr>
      <w:r>
        <w:t xml:space="preserve">Against that predicate, the VascuClear 3000 presents at least four differences, any one of which is non-trivial and which in combination are formidable:</w:t>
      </w:r>
    </w:p>
    <w:p>
      <w:pPr>
        <w:pStyle w:val="Compact"/>
        <w:numPr>
          <w:ilvl w:val="0"/>
          <w:numId w:val="1007"/>
        </w:numPr>
      </w:pPr>
      <w:r>
        <w:rPr>
          <w:b/>
          <w:bCs/>
        </w:rPr>
        <w:t xml:space="preserve">Mechanism of action.</w:t>
      </w:r>
      <w:r>
        <w:t xml:space="preserve"> </w:t>
      </w:r>
      <w:r>
        <w:t xml:space="preserve">Rotating helical impeller (mechanical maceration) vs. Bernoulli-effect hydrodynamic aspiration. The predicate has no rotating parts at all. The Device Description (§4.3) argues rotational thrombectomy is</w:t>
      </w:r>
      <w:r>
        <w:t xml:space="preserve"> </w:t>
      </w:r>
      <w:r>
        <w:t xml:space="preserve">“</w:t>
      </w:r>
      <w:r>
        <w:t xml:space="preserve">well-established</w:t>
      </w:r>
      <w:r>
        <w:t xml:space="preserve">”</w:t>
      </w:r>
      <w:r>
        <w:t xml:space="preserve"> </w:t>
      </w:r>
      <w:r>
        <w:t xml:space="preserve">in the GXD family, but it does not identify a single cleared rotating-impeller predicate it is relying on, and the ThrombEx 200’s own predicate chain (AspirVac, K171034, and back) is entirely aspiration-based.</w:t>
      </w:r>
    </w:p>
    <w:p>
      <w:pPr>
        <w:pStyle w:val="Compact"/>
        <w:numPr>
          <w:ilvl w:val="0"/>
          <w:numId w:val="1007"/>
        </w:numPr>
      </w:pPr>
      <w:r>
        <w:rPr>
          <w:b/>
          <w:bCs/>
        </w:rPr>
        <w:t xml:space="preserve">Drug-delivery lumen.</w:t>
      </w:r>
      <w:r>
        <w:t xml:space="preserve"> </w:t>
      </w:r>
      <w:r>
        <w:t xml:space="preserve">A wholly new technological characteristic with</w:t>
      </w:r>
      <w:r>
        <w:t xml:space="preserve"> </w:t>
      </w:r>
      <w:r>
        <w:rPr>
          <w:b/>
          <w:bCs/>
        </w:rPr>
        <w:t xml:space="preserve">no predicate precedent</w:t>
      </w:r>
      <w:r>
        <w:t xml:space="preserve"> </w:t>
      </w:r>
      <w:r>
        <w:t xml:space="preserve">in the proposed predicate or its chain. This is not a</w:t>
      </w:r>
      <w:r>
        <w:t xml:space="preserve"> </w:t>
      </w:r>
      <w:r>
        <w:t xml:space="preserve">“</w:t>
      </w:r>
      <w:r>
        <w:t xml:space="preserve">different characteristic that does not raise new questions</w:t>
      </w:r>
      <w:r>
        <w:t xml:space="preserve">”</w:t>
      </w:r>
      <w:r>
        <w:t xml:space="preserve">; it is a new capability that the predicate affirmatively disclaims.</w:t>
      </w:r>
    </w:p>
    <w:p>
      <w:pPr>
        <w:pStyle w:val="Compact"/>
        <w:numPr>
          <w:ilvl w:val="0"/>
          <w:numId w:val="1007"/>
        </w:numPr>
      </w:pPr>
      <w:r>
        <w:rPr>
          <w:b/>
          <w:bCs/>
        </w:rPr>
        <w:t xml:space="preserve">Indication.</w:t>
      </w:r>
      <w:r>
        <w:t xml:space="preserve"> </w:t>
      </w:r>
      <w:r>
        <w:t xml:space="preserve">The Device claims drug delivery and is limited to the iliofemoral venous segment in acute DVT; the predicate claims mechanical removal only, broadly across the peripheral vasculature (arterial and venous). The Device Description (§5.1) frames the narrower anatomy as a</w:t>
      </w:r>
      <w:r>
        <w:t xml:space="preserve"> </w:t>
      </w:r>
      <w:r>
        <w:t xml:space="preserve">“</w:t>
      </w:r>
      <w:r>
        <w:t xml:space="preserve">narrowing</w:t>
      </w:r>
      <w:r>
        <w:t xml:space="preserve">”</w:t>
      </w:r>
      <w:r>
        <w:t xml:space="preserve"> </w:t>
      </w:r>
      <w:r>
        <w:t xml:space="preserve">consistent with SE, but the</w:t>
      </w:r>
      <w:r>
        <w:t xml:space="preserve"> </w:t>
      </w:r>
      <w:r>
        <w:rPr>
          <w:i/>
          <w:iCs/>
        </w:rPr>
        <w:t xml:space="preserve">addition</w:t>
      </w:r>
      <w:r>
        <w:t xml:space="preserve"> </w:t>
      </w:r>
      <w:r>
        <w:t xml:space="preserve">of a drug-delivery claim is an extension, not a narrowing.</w:t>
      </w:r>
    </w:p>
    <w:p>
      <w:pPr>
        <w:pStyle w:val="Compact"/>
        <w:numPr>
          <w:ilvl w:val="0"/>
          <w:numId w:val="1007"/>
        </w:numPr>
      </w:pPr>
      <w:r>
        <w:rPr>
          <w:b/>
          <w:bCs/>
        </w:rPr>
        <w:t xml:space="preserve">Contact-duration profile.</w:t>
      </w:r>
      <w:r>
        <w:t xml:space="preserve"> </w:t>
      </w:r>
      <w:r>
        <w:t xml:space="preserve">A 72-hour indwell capability (IFU §§1, 8.4) that the predicate does not have and that drives the biocompatibility problem in Issue 5.</w:t>
      </w:r>
    </w:p>
    <w:p>
      <w:pPr>
        <w:pStyle w:val="FirstParagraph"/>
      </w:pPr>
      <w:r>
        <w:t xml:space="preserve">Under FDA’s SE framework (</w:t>
      </w:r>
      <w:r>
        <w:t xml:space="preserve">“</w:t>
      </w:r>
      <w:r>
        <w:t xml:space="preserve">The 510(k) Program</w:t>
      </w:r>
      <w:r>
        <w:t xml:space="preserve">”</w:t>
      </w:r>
      <w:r>
        <w:t xml:space="preserve"> </w:t>
      </w:r>
      <w:r>
        <w:t xml:space="preserve">guidance, 2014), if the differences raise new questions of safety or effectiveness, the device is</w:t>
      </w:r>
      <w:r>
        <w:t xml:space="preserve"> </w:t>
      </w:r>
      <w:r>
        <w:rPr>
          <w:i/>
          <w:iCs/>
        </w:rPr>
        <w:t xml:space="preserve">not</w:t>
      </w:r>
      <w:r>
        <w:t xml:space="preserve"> </w:t>
      </w:r>
      <w:r>
        <w:t xml:space="preserve">substantially equivalent and the 510(k) pathway is unavailable. The package asserts no new questions are raised (Device Desc §5.2) but the assertion is conclusory. Notably, the Device Description’s own Question 4 asks FDA</w:t>
      </w:r>
      <w:r>
        <w:t xml:space="preserve"> </w:t>
      </w:r>
      <w:r>
        <w:t xml:space="preserve">“</w:t>
      </w:r>
      <w:r>
        <w:t xml:space="preserve">whether additional predicate or reference devices</w:t>
      </w:r>
      <w:r>
        <w:t xml:space="preserve">”</w:t>
      </w:r>
      <w:r>
        <w:t xml:space="preserve"> </w:t>
      </w:r>
      <w:r>
        <w:t xml:space="preserve">should be considered — an implicit concession that the single predicate may be insufficient — while the Cover Letter (§III) calls ThrombEx 200 the</w:t>
      </w:r>
      <w:r>
        <w:t xml:space="preserve"> </w:t>
      </w:r>
      <w:r>
        <w:t xml:space="preserve">“</w:t>
      </w:r>
      <w:r>
        <w:t xml:space="preserve">sole proposed predicate.</w:t>
      </w:r>
      <w:r>
        <w:t xml:space="preserve">”</w:t>
      </w:r>
      <w:r>
        <w:t xml:space="preserve"> </w:t>
      </w:r>
      <w:r>
        <w:t xml:space="preserve">That internal tension should be resolved deliberately, not left for FDA to surface.</w:t>
      </w:r>
    </w:p>
    <w:p>
      <w:pPr>
        <w:pStyle w:val="BodyText"/>
      </w:pPr>
      <w:r>
        <w:rPr>
          <w:b/>
          <w:bCs/>
        </w:rPr>
        <w:t xml:space="preserve">Recommendation.</w:t>
      </w:r>
    </w:p>
    <w:p>
      <w:pPr>
        <w:pStyle w:val="Compact"/>
        <w:numPr>
          <w:ilvl w:val="0"/>
          <w:numId w:val="1008"/>
        </w:numPr>
      </w:pPr>
      <w:r>
        <w:rPr>
          <w:b/>
          <w:bCs/>
        </w:rPr>
        <w:t xml:space="preserve">Identify and add at least one additional predicate or reference device</w:t>
      </w:r>
      <w:r>
        <w:t xml:space="preserve"> </w:t>
      </w:r>
      <w:r>
        <w:t xml:space="preserve">that shares the rotating-impeller mechanism and/or a drug-delivery lumen, if one exists. If a true predicate with a drug-delivery lumen does not exist in GXD, that fact itself is evidence of a new question of safety/effectiveness and should drive a candid reassessment of the pathway.</w:t>
      </w:r>
    </w:p>
    <w:p>
      <w:pPr>
        <w:pStyle w:val="Compact"/>
        <w:numPr>
          <w:ilvl w:val="0"/>
          <w:numId w:val="1008"/>
        </w:numPr>
      </w:pPr>
      <w:r>
        <w:rPr>
          <w:b/>
          <w:bCs/>
        </w:rPr>
        <w:t xml:space="preserve">Develop a de novo fallback.</w:t>
      </w:r>
      <w:r>
        <w:t xml:space="preserve"> </w:t>
      </w:r>
      <w:r>
        <w:t xml:space="preserve">If FDA signals new questions of safety/effectiveness at the Q-Sub, the De Novo pathway (Class II, novel device of low-moderate risk) should be teed up as the alternative. The package currently does not mention it. A De Novo would also change the timeline and may require the clinical data to be more central.</w:t>
      </w:r>
    </w:p>
    <w:p>
      <w:pPr>
        <w:pStyle w:val="Compact"/>
        <w:numPr>
          <w:ilvl w:val="0"/>
          <w:numId w:val="1008"/>
        </w:numPr>
      </w:pPr>
      <w:r>
        <w:rPr>
          <w:b/>
          <w:bCs/>
        </w:rPr>
        <w:t xml:space="preserve">Reconcile the</w:t>
      </w:r>
      <w:r>
        <w:rPr>
          <w:b/>
          <w:bCs/>
        </w:rPr>
        <w:t xml:space="preserve"> </w:t>
      </w:r>
      <w:r>
        <w:rPr>
          <w:b/>
          <w:bCs/>
        </w:rPr>
        <w:t xml:space="preserve">“</w:t>
      </w:r>
      <w:r>
        <w:rPr>
          <w:b/>
          <w:bCs/>
        </w:rPr>
        <w:t xml:space="preserve">sole predicate</w:t>
      </w:r>
      <w:r>
        <w:rPr>
          <w:b/>
          <w:bCs/>
        </w:rPr>
        <w:t xml:space="preserve">”</w:t>
      </w:r>
      <w:r>
        <w:rPr>
          <w:b/>
          <w:bCs/>
        </w:rPr>
        <w:t xml:space="preserve"> </w:t>
      </w:r>
      <w:r>
        <w:rPr>
          <w:b/>
          <w:bCs/>
        </w:rPr>
        <w:t xml:space="preserve">language</w:t>
      </w:r>
      <w:r>
        <w:t xml:space="preserve"> </w:t>
      </w:r>
      <w:r>
        <w:t xml:space="preserve">in the Cover Letter with the</w:t>
      </w:r>
      <w:r>
        <w:t xml:space="preserve"> </w:t>
      </w:r>
      <w:r>
        <w:t xml:space="preserve">“</w:t>
      </w:r>
      <w:r>
        <w:t xml:space="preserve">additional predicates?</w:t>
      </w:r>
      <w:r>
        <w:t xml:space="preserve">”</w:t>
      </w:r>
      <w:r>
        <w:t xml:space="preserve"> </w:t>
      </w:r>
      <w:r>
        <w:t xml:space="preserve">question in the Device Description. Either commit to a single predicate and drop the open question, or present a primary predicate plus reference devices and adjust the SE analysis accordingly.</w:t>
      </w:r>
    </w:p>
    <w:p>
      <w:pPr>
        <w:pStyle w:val="Compact"/>
        <w:numPr>
          <w:ilvl w:val="0"/>
          <w:numId w:val="1008"/>
        </w:numPr>
      </w:pPr>
      <w:r>
        <w:rPr>
          <w:b/>
          <w:bCs/>
        </w:rPr>
        <w:t xml:space="preserve">Strengthen the SE narrative</w:t>
      </w:r>
      <w:r>
        <w:t xml:space="preserve"> </w:t>
      </w:r>
      <w:r>
        <w:t xml:space="preserve">with specific, named cleared devices that employ rotating-impeller thrombectomy, and explain precisely how the drug-delivery lumen is addressed (it cannot be addressed by comparison to the ThrombEx 200, which has none).</w:t>
      </w:r>
    </w:p>
    <w:bookmarkEnd w:id="25"/>
    <w:bookmarkStart w:id="26" w:name="X69ecc266478e271259f9b5e7515c8538645b637"/>
    <w:p>
      <w:pPr>
        <w:pStyle w:val="Heading3"/>
      </w:pPr>
      <w:r>
        <w:t xml:space="preserve">D. Issue 4 — Indications for Use: Drug-Delivery Claim Exceeds the Predicate</w:t>
      </w:r>
    </w:p>
    <w:p>
      <w:pPr>
        <w:pStyle w:val="FirstParagraph"/>
      </w:pPr>
      <w:r>
        <w:rPr>
          <w:b/>
          <w:bCs/>
        </w:rPr>
        <w:t xml:space="preserve">Documents affected:</w:t>
      </w:r>
      <w:r>
        <w:t xml:space="preserve"> </w:t>
      </w:r>
      <w:r>
        <w:t xml:space="preserve">Cover Letter §IV; Device Description §2.4; IFU §2; Clinical Synopsis §4.1; 510(k) Summary §2.</w:t>
      </w:r>
    </w:p>
    <w:p>
      <w:pPr>
        <w:pStyle w:val="BodyText"/>
      </w:pPr>
      <w:r>
        <w:rPr>
          <w:b/>
          <w:bCs/>
        </w:rPr>
        <w:t xml:space="preserve">Discussion.</w:t>
      </w:r>
      <w:r>
        <w:t xml:space="preserve"> </w:t>
      </w:r>
      <w:r>
        <w:t xml:space="preserve">The proposed indication —</w:t>
      </w:r>
      <w:r>
        <w:t xml:space="preserve"> </w:t>
      </w:r>
      <w:r>
        <w:t xml:space="preserve">“</w:t>
      </w:r>
      <w:r>
        <w:t xml:space="preserve">percutaneous removal of thrombus</w:t>
      </w:r>
      <w:r>
        <w:t xml:space="preserve"> </w:t>
      </w:r>
      <w:r>
        <w:rPr>
          <w:b/>
          <w:bCs/>
        </w:rPr>
        <w:t xml:space="preserve">and simultaneous local delivery of physician-specified thrombolytic agents</w:t>
      </w:r>
      <w:r>
        <w:t xml:space="preserve"> </w:t>
      </w:r>
      <w:r>
        <w:t xml:space="preserve">in adult patients with acute DVT (≤14 days) of the iliofemoral venous segment</w:t>
      </w:r>
      <w:r>
        <w:t xml:space="preserve">”</w:t>
      </w:r>
      <w:r>
        <w:t xml:space="preserve"> </w:t>
      </w:r>
      <w:r>
        <w:t xml:space="preserve">— is the single sentence that ties Issues 1 and 3 together. The predicate’s cleared indication is</w:t>
      </w:r>
      <w:r>
        <w:t xml:space="preserve"> </w:t>
      </w:r>
      <w:r>
        <w:t xml:space="preserve">“</w:t>
      </w:r>
      <w:r>
        <w:t xml:space="preserve">percutaneous removal of thrombus from the peripheral vasculature</w:t>
      </w:r>
      <w:r>
        <w:t xml:space="preserve">”</w:t>
      </w:r>
      <w:r>
        <w:t xml:space="preserve"> </w:t>
      </w:r>
      <w:r>
        <w:t xml:space="preserve">— mechanical only, no drug, no anatomical or temporal limitation. The Device’s indication therefore (i) adds a therapeutic function the predicate lacks (drug delivery), and (ii) narrows the anatomy/temporality. The narrowing is SE-favorable; the addition is not.</w:t>
      </w:r>
    </w:p>
    <w:p>
      <w:pPr>
        <w:pStyle w:val="BodyText"/>
      </w:pPr>
      <w:r>
        <w:t xml:space="preserve">The IFU (§2) and Clinical Synopsis (§4.1) repeat the drug-delivery claim as a co-primary function. The IFU (§9) further lists compatible thrombolytic agents by name (alteplase, reteplase, tenecteplase) and describes the lumen as</w:t>
      </w:r>
      <w:r>
        <w:t xml:space="preserve"> </w:t>
      </w:r>
      <w:r>
        <w:t xml:space="preserve">“</w:t>
      </w:r>
      <w:r>
        <w:t xml:space="preserve">a core functional feature.</w:t>
      </w:r>
      <w:r>
        <w:t xml:space="preserve">”</w:t>
      </w:r>
      <w:r>
        <w:t xml:space="preserve"> </w:t>
      </w:r>
      <w:r>
        <w:t xml:space="preserve">This labeling posture maximizes the combination-product risk (Issue 1) and the SE risk (Issue 3) simultaneously.</w:t>
      </w:r>
    </w:p>
    <w:p>
      <w:pPr>
        <w:pStyle w:val="BodyText"/>
      </w:pPr>
      <w:r>
        <w:rPr>
          <w:b/>
          <w:bCs/>
        </w:rPr>
        <w:t xml:space="preserve">Recommendation.</w:t>
      </w:r>
    </w:p>
    <w:p>
      <w:pPr>
        <w:pStyle w:val="Compact"/>
        <w:numPr>
          <w:ilvl w:val="0"/>
          <w:numId w:val="1009"/>
        </w:numPr>
      </w:pPr>
      <w:r>
        <w:t xml:space="preserve">Decide, as a strategic matter, whether drug delivery is a</w:t>
      </w:r>
      <w:r>
        <w:t xml:space="preserve"> </w:t>
      </w:r>
      <w:r>
        <w:rPr>
          <w:b/>
          <w:bCs/>
        </w:rPr>
        <w:t xml:space="preserve">claimed indication</w:t>
      </w:r>
      <w:r>
        <w:t xml:space="preserve"> </w:t>
      </w:r>
      <w:r>
        <w:t xml:space="preserve">or a</w:t>
      </w:r>
      <w:r>
        <w:t xml:space="preserve"> </w:t>
      </w:r>
      <w:r>
        <w:rPr>
          <w:b/>
          <w:bCs/>
        </w:rPr>
        <w:t xml:space="preserve">described feature</w:t>
      </w:r>
      <w:r>
        <w:t xml:space="preserve">. These have very different regulatory consequences. If Clearfield wants the drug-delivery claim in the indication, it must be prepared to defend both the combination-product and SE positions head-on, and likely needs a predicate or reference device with drug-delivery capability.</w:t>
      </w:r>
    </w:p>
    <w:p>
      <w:pPr>
        <w:pStyle w:val="Compact"/>
        <w:numPr>
          <w:ilvl w:val="0"/>
          <w:numId w:val="1009"/>
        </w:numPr>
      </w:pPr>
      <w:r>
        <w:t xml:space="preserve">If Clearfield adopts Dr. Marsh’s hedge (mechanical thrombectomy as the primary indication; drug delivery as a described feature), the indication, the IFU §2, and the Clinical Synopsis §4.1 must be revised consistently, and the Clinical Synopsis procedure (§8.2, step 5) — which makes tPA infusion integral to every case — should be reconciled with a</w:t>
      </w:r>
      <w:r>
        <w:t xml:space="preserve"> </w:t>
      </w:r>
      <w:r>
        <w:t xml:space="preserve">“</w:t>
      </w:r>
      <w:r>
        <w:t xml:space="preserve">feature, not indication</w:t>
      </w:r>
      <w:r>
        <w:t xml:space="preserve">”</w:t>
      </w:r>
      <w:r>
        <w:t xml:space="preserve"> </w:t>
      </w:r>
      <w:r>
        <w:t xml:space="preserve">posture.</w:t>
      </w:r>
    </w:p>
    <w:p>
      <w:pPr>
        <w:pStyle w:val="Compact"/>
        <w:numPr>
          <w:ilvl w:val="0"/>
          <w:numId w:val="1009"/>
        </w:numPr>
      </w:pPr>
      <w:r>
        <w:t xml:space="preserve">Whatever the decision, the indication language across the Cover Letter, Device Description, IFU, and Clinical Synopsis must be</w:t>
      </w:r>
      <w:r>
        <w:t xml:space="preserve"> </w:t>
      </w:r>
      <w:r>
        <w:rPr>
          <w:b/>
          <w:bCs/>
        </w:rPr>
        <w:t xml:space="preserve">verbatim identical</w:t>
      </w:r>
      <w:r>
        <w:t xml:space="preserve">. It currently is consistent, but any revision must be propagated to all four documents.</w:t>
      </w:r>
    </w:p>
    <w:p>
      <w:r>
        <w:pict>
          <v:rect style="width:0;height:1.5pt" o:hralign="center" o:hrstd="t" o:hr="t"/>
        </w:pict>
      </w:r>
    </w:p>
    <w:bookmarkEnd w:id="26"/>
    <w:bookmarkEnd w:id="27"/>
    <w:bookmarkStart w:id="36" w:name="iv.-tier-2-high-priority-issues"/>
    <w:p>
      <w:pPr>
        <w:pStyle w:val="Heading2"/>
      </w:pPr>
      <w:r>
        <w:t xml:space="preserve">IV. Tier 2 — High-Priority Issues</w:t>
      </w:r>
    </w:p>
    <w:bookmarkStart w:id="28" w:name="Xaccfe6b90ed78e62dbf63816bf96dd05b648a1b"/>
    <w:p>
      <w:pPr>
        <w:pStyle w:val="Heading3"/>
      </w:pPr>
      <w:r>
        <w:t xml:space="preserve">E. Issue 5 — Biocompatibility Contact-Duration Contradiction (72-Hour Indwell vs. </w:t>
      </w:r>
      <w:r>
        <w:t xml:space="preserve">“</w:t>
      </w:r>
      <w:r>
        <w:t xml:space="preserve">Limited &lt;24h</w:t>
      </w:r>
      <w:r>
        <w:t xml:space="preserve">”</w:t>
      </w:r>
      <w:r>
        <w:t xml:space="preserve">)</w:t>
      </w:r>
    </w:p>
    <w:p>
      <w:pPr>
        <w:pStyle w:val="FirstParagraph"/>
      </w:pPr>
      <w:r>
        <w:rPr>
          <w:b/>
          <w:bCs/>
        </w:rPr>
        <w:t xml:space="preserve">Documents affected:</w:t>
      </w:r>
      <w:r>
        <w:t xml:space="preserve"> </w:t>
      </w:r>
      <w:r>
        <w:t xml:space="preserve">Testing Plan §2.1, §2.2; IFU §§1, 8.4; Device Description §§2.2, 4.2 (comparison table); Clinical Synopsis §8.2 (step 8).</w:t>
      </w:r>
    </w:p>
    <w:p>
      <w:pPr>
        <w:pStyle w:val="BodyText"/>
      </w:pPr>
      <w:r>
        <w:rPr>
          <w:b/>
          <w:bCs/>
        </w:rPr>
        <w:t xml:space="preserve">Discussion.</w:t>
      </w:r>
      <w:r>
        <w:t xml:space="preserve"> </w:t>
      </w:r>
      <w:r>
        <w:t xml:space="preserve">This is a direct, documentable contradiction that FDA will catch immediately. The IFU (§1, §8.4) and Device Description (§2.2) expressly permit the catheter to</w:t>
      </w:r>
      <w:r>
        <w:t xml:space="preserve"> </w:t>
      </w:r>
      <w:r>
        <w:t xml:space="preserve">“</w:t>
      </w:r>
      <w:r>
        <w:t xml:space="preserve">remain in situ for up to 72 hours</w:t>
      </w:r>
      <w:r>
        <w:t xml:space="preserve">”</w:t>
      </w:r>
      <w:r>
        <w:t xml:space="preserve"> </w:t>
      </w:r>
      <w:r>
        <w:t xml:space="preserve">for extended thrombolytic infusion. The Clinical Synopsis (§8.2, step 8) operationalizes the 72-hour indwell. Seventy-two hours is</w:t>
      </w:r>
      <w:r>
        <w:t xml:space="preserve"> </w:t>
      </w:r>
      <w:r>
        <w:rPr>
          <w:b/>
          <w:bCs/>
        </w:rPr>
        <w:t xml:space="preserve">prolonged contact</w:t>
      </w:r>
      <w:r>
        <w:t xml:space="preserve"> </w:t>
      </w:r>
      <w:r>
        <w:t xml:space="preserve">under ISO 10993-1:2018, Table A.1 (&gt;24 hours to 30 days), not</w:t>
      </w:r>
      <w:r>
        <w:t xml:space="preserve"> </w:t>
      </w:r>
      <w:r>
        <w:t xml:space="preserve">“</w:t>
      </w:r>
      <w:r>
        <w:t xml:space="preserve">limited</w:t>
      </w:r>
      <w:r>
        <w:t xml:space="preserve">”</w:t>
      </w:r>
      <w:r>
        <w:t xml:space="preserve"> </w:t>
      </w:r>
      <w:r>
        <w:t xml:space="preserve">(≤24 hours).</w:t>
      </w:r>
    </w:p>
    <w:p>
      <w:pPr>
        <w:pStyle w:val="BodyText"/>
      </w:pPr>
      <w:r>
        <w:t xml:space="preserve">Yet the Testing Plan (§2.1) classifies the catheter as a blood-contacting device with</w:t>
      </w:r>
      <w:r>
        <w:t xml:space="preserve"> </w:t>
      </w:r>
      <w:r>
        <w:rPr>
          <w:b/>
          <w:bCs/>
        </w:rPr>
        <w:t xml:space="preserve">“</w:t>
      </w:r>
      <w:r>
        <w:rPr>
          <w:b/>
          <w:bCs/>
        </w:rPr>
        <w:t xml:space="preserve">limited contact duration (less than 24 hours)</w:t>
      </w:r>
      <w:r>
        <w:rPr>
          <w:b/>
          <w:bCs/>
        </w:rPr>
        <w:t xml:space="preserve">”</w:t>
      </w:r>
      <w:r>
        <w:t xml:space="preserve"> </w:t>
      </w:r>
      <w:r>
        <w:t xml:space="preserve">and, on that basis,</w:t>
      </w:r>
      <w:r>
        <w:t xml:space="preserve"> </w:t>
      </w:r>
      <w:r>
        <w:rPr>
          <w:b/>
          <w:bCs/>
        </w:rPr>
        <w:t xml:space="preserve">excludes</w:t>
      </w:r>
      <w:r>
        <w:t xml:space="preserve"> </w:t>
      </w:r>
      <w:r>
        <w:t xml:space="preserve">subchronic systemic toxicity (ISO 10993-11), implantation testing (ISO 10993-6), and genotoxicity (ISO 10993-3). The Device Description comparison table (§4.2) even states both facts side by side —</w:t>
      </w:r>
      <w:r>
        <w:t xml:space="preserve"> </w:t>
      </w:r>
      <w:r>
        <w:t xml:space="preserve">“</w:t>
      </w:r>
      <w:r>
        <w:t xml:space="preserve">Device Contact Duration: Up to 72 hours</w:t>
      </w:r>
      <w:r>
        <w:t xml:space="preserve">”</w:t>
      </w:r>
      <w:r>
        <w:t xml:space="preserve"> </w:t>
      </w:r>
      <w:r>
        <w:t xml:space="preserve">and</w:t>
      </w:r>
      <w:r>
        <w:t xml:space="preserve"> </w:t>
      </w:r>
      <w:r>
        <w:t xml:space="preserve">“</w:t>
      </w:r>
      <w:r>
        <w:t xml:space="preserve">Biocompatibility… contact duration classified as</w:t>
      </w:r>
      <w:r>
        <w:t xml:space="preserve"> </w:t>
      </w:r>
      <w:r>
        <w:t xml:space="preserve">‘</w:t>
      </w:r>
      <w:r>
        <w:t xml:space="preserve">limited</w:t>
      </w:r>
      <w:r>
        <w:t xml:space="preserve">’</w:t>
      </w:r>
      <w:r>
        <w:t xml:space="preserve"> </w:t>
      </w:r>
      <w:r>
        <w:t xml:space="preserve">(&lt;24 hours)</w:t>
      </w:r>
      <w:r>
        <w:t xml:space="preserve">”</w:t>
      </w:r>
      <w:r>
        <w:t xml:space="preserve"> </w:t>
      </w:r>
      <w:r>
        <w:t xml:space="preserve">— without acknowledging the conflict.</w:t>
      </w:r>
    </w:p>
    <w:p>
      <w:pPr>
        <w:pStyle w:val="BodyText"/>
      </w:pPr>
      <w:r>
        <w:t xml:space="preserve">The consequence is that the biocompatibility battery is</w:t>
      </w:r>
      <w:r>
        <w:t xml:space="preserve"> </w:t>
      </w:r>
      <w:r>
        <w:rPr>
          <w:b/>
          <w:bCs/>
        </w:rPr>
        <w:t xml:space="preserve">under-scoped</w:t>
      </w:r>
      <w:r>
        <w:t xml:space="preserve"> </w:t>
      </w:r>
      <w:r>
        <w:t xml:space="preserve">relative to the labeled intended use. For prolonged blood contact, ISO 10993-1:2018 Table A.1 indicates additional endpoints (including subchronic toxicity, and genotoxicity/implantation as determined by the risk assessment). The exclusions are justified on a contact-duration classification that the IFU contradicts. This is also an SE-relevant difference: the predicate was limited-contact, acute/procedural only (510(k) Summary §5.1); the Device’s 72-hour indwell is a new use profile.</w:t>
      </w:r>
    </w:p>
    <w:p>
      <w:pPr>
        <w:pStyle w:val="BodyText"/>
      </w:pPr>
      <w:r>
        <w:rPr>
          <w:b/>
          <w:bCs/>
        </w:rPr>
        <w:t xml:space="preserve">Recommendation.</w:t>
      </w:r>
    </w:p>
    <w:p>
      <w:pPr>
        <w:pStyle w:val="Compact"/>
        <w:numPr>
          <w:ilvl w:val="0"/>
          <w:numId w:val="1010"/>
        </w:numPr>
      </w:pPr>
      <w:r>
        <w:t xml:space="preserve">Re-classify the contact duration as</w:t>
      </w:r>
      <w:r>
        <w:t xml:space="preserve"> </w:t>
      </w:r>
      <w:r>
        <w:rPr>
          <w:b/>
          <w:bCs/>
        </w:rPr>
        <w:t xml:space="preserve">prolonged</w:t>
      </w:r>
      <w:r>
        <w:t xml:space="preserve"> </w:t>
      </w:r>
      <w:r>
        <w:t xml:space="preserve">(the IFU controls, and the maximum labeled indwell governs the classification, not the typical procedure time).</w:t>
      </w:r>
    </w:p>
    <w:p>
      <w:pPr>
        <w:pStyle w:val="Compact"/>
        <w:numPr>
          <w:ilvl w:val="0"/>
          <w:numId w:val="1010"/>
        </w:numPr>
      </w:pPr>
      <w:r>
        <w:t xml:space="preserve">Re-evaluate the excluded endpoints against ISO 10993-1:2018 Table A.1 for prolonged blood contact, and add subchronic systemic toxicity and genotoxicity (and implantation, if indicated by the risk assessment) to the battery. Expect Whitecrest to need additional time and budget.</w:t>
      </w:r>
    </w:p>
    <w:p>
      <w:pPr>
        <w:pStyle w:val="Compact"/>
        <w:numPr>
          <w:ilvl w:val="0"/>
          <w:numId w:val="1010"/>
        </w:numPr>
      </w:pPr>
      <w:r>
        <w:t xml:space="preserve">Reconcile the Device Description comparison table so the contact-duration and biocompatibility rows are consistent.</w:t>
      </w:r>
    </w:p>
    <w:p>
      <w:pPr>
        <w:pStyle w:val="Compact"/>
        <w:numPr>
          <w:ilvl w:val="0"/>
          <w:numId w:val="1010"/>
        </w:numPr>
      </w:pPr>
      <w:r>
        <w:t xml:space="preserve">If Clearfield does not want to incur prolonged-contact testing, the alternative is to</w:t>
      </w:r>
      <w:r>
        <w:t xml:space="preserve"> </w:t>
      </w:r>
      <w:r>
        <w:rPr>
          <w:b/>
          <w:bCs/>
        </w:rPr>
        <w:t xml:space="preserve">remove the 72-hour indwell from the IFU and indication</w:t>
      </w:r>
      <w:r>
        <w:t xml:space="preserve"> </w:t>
      </w:r>
      <w:r>
        <w:t xml:space="preserve">and limit use to a single procedural session — but that also changes the clinical concept and the Clinical Synopsis.</w:t>
      </w:r>
    </w:p>
    <w:bookmarkEnd w:id="28"/>
    <w:bookmarkStart w:id="29" w:name="X97d60c3dbacc70df36b9808208a61f61193cf94"/>
    <w:p>
      <w:pPr>
        <w:pStyle w:val="Heading3"/>
      </w:pPr>
      <w:r>
        <w:t xml:space="preserve">F. Issue 6 — Impeller Fatigue Test Is Grossly Inadequate as Specified</w:t>
      </w:r>
    </w:p>
    <w:p>
      <w:pPr>
        <w:pStyle w:val="FirstParagraph"/>
      </w:pPr>
      <w:r>
        <w:rPr>
          <w:b/>
          <w:bCs/>
        </w:rPr>
        <w:t xml:space="preserve">Documents affected:</w:t>
      </w:r>
      <w:r>
        <w:t xml:space="preserve"> </w:t>
      </w:r>
      <w:r>
        <w:t xml:space="preserve">Testing Plan §3.3; Device Description §2.2.</w:t>
      </w:r>
    </w:p>
    <w:p>
      <w:pPr>
        <w:pStyle w:val="BodyText"/>
      </w:pPr>
      <w:r>
        <w:rPr>
          <w:b/>
          <w:bCs/>
        </w:rPr>
        <w:t xml:space="preserve">Discussion.</w:t>
      </w:r>
      <w:r>
        <w:t xml:space="preserve"> </w:t>
      </w:r>
      <w:r>
        <w:t xml:space="preserve">The Testing Plan (§3.3) specifies impeller fatigue testing for</w:t>
      </w:r>
      <w:r>
        <w:t xml:space="preserve"> </w:t>
      </w:r>
      <w:r>
        <w:t xml:space="preserve">“</w:t>
      </w:r>
      <w:r>
        <w:t xml:space="preserve">a minimum of 500 rotational cycles at maximum rated speed (12,000 RPM),</w:t>
      </w:r>
      <w:r>
        <w:t xml:space="preserve">”</w:t>
      </w:r>
      <w:r>
        <w:t xml:space="preserve"> </w:t>
      </w:r>
      <w:r>
        <w:t xml:space="preserve">and defines</w:t>
      </w:r>
      <w:r>
        <w:t xml:space="preserve"> </w:t>
      </w:r>
      <w:r>
        <w:t xml:space="preserve">“</w:t>
      </w:r>
      <w:r>
        <w:t xml:space="preserve">one rotational cycle</w:t>
      </w:r>
      <w:r>
        <w:t xml:space="preserve">”</w:t>
      </w:r>
      <w:r>
        <w:t xml:space="preserve"> </w:t>
      </w:r>
      <w:r>
        <w:t xml:space="preserve">as</w:t>
      </w:r>
      <w:r>
        <w:t xml:space="preserve"> </w:t>
      </w:r>
      <w:r>
        <w:t xml:space="preserve">“</w:t>
      </w:r>
      <w:r>
        <w:t xml:space="preserve">one complete revolution (360°) of the impeller.</w:t>
      </w:r>
      <w:r>
        <w:t xml:space="preserve">”</w:t>
      </w:r>
      <w:r>
        <w:t xml:space="preserve"> </w:t>
      </w:r>
      <w:r>
        <w:t xml:space="preserve">At 12,000 RPM (200 revolutions per second),</w:t>
      </w:r>
      <w:r>
        <w:t xml:space="preserve"> </w:t>
      </w:r>
      <w:r>
        <w:rPr>
          <w:b/>
          <w:bCs/>
        </w:rPr>
        <w:t xml:space="preserve">500 revolutions = 2.5 seconds</w:t>
      </w:r>
      <w:r>
        <w:t xml:space="preserve"> </w:t>
      </w:r>
      <w:r>
        <w:t xml:space="preserve">of operation. The Device Description (§2.2) refers to</w:t>
      </w:r>
      <w:r>
        <w:t xml:space="preserve"> </w:t>
      </w:r>
      <w:r>
        <w:t xml:space="preserve">“</w:t>
      </w:r>
      <w:r>
        <w:t xml:space="preserve">500 complete activation cycles,</w:t>
      </w:r>
      <w:r>
        <w:t xml:space="preserve">”</w:t>
      </w:r>
      <w:r>
        <w:t xml:space="preserve"> </w:t>
      </w:r>
      <w:r>
        <w:t xml:space="preserve">which may reflect a different intent (e.g., 500 procedure-equivalent activations), but the Testing Plan’s express definition controls the protocol and renders the test scientifically meaningless: a single clinical procedure could involve many minutes of continuous impeller operation, and the predicate’s own aspiration test simulated a 15-minute continuous cycle (510(k) Summary §5.2).</w:t>
      </w:r>
    </w:p>
    <w:p>
      <w:pPr>
        <w:pStyle w:val="BodyText"/>
      </w:pPr>
      <w:r>
        <w:t xml:space="preserve">Either the specification is misstated (the unit should be procedure-equivalent cycles or operating minutes/revolutions, not single revolutions), or it is grossly under-dosed. In either case, as written it will not withstand FDA review and does not meaningfully characterize fatigue of a high-speed rotating element in blood.</w:t>
      </w:r>
    </w:p>
    <w:p>
      <w:pPr>
        <w:pStyle w:val="BodyText"/>
      </w:pPr>
      <w:r>
        <w:rPr>
          <w:b/>
          <w:bCs/>
        </w:rPr>
        <w:t xml:space="preserve">Recommendation.</w:t>
      </w:r>
    </w:p>
    <w:p>
      <w:pPr>
        <w:pStyle w:val="Compact"/>
        <w:numPr>
          <w:ilvl w:val="0"/>
          <w:numId w:val="1011"/>
        </w:numPr>
      </w:pPr>
      <w:r>
        <w:t xml:space="preserve">Re-define the fatigue test in clinically meaningful units. A defensible protocol would demonstrate integrity over a cumulative operating time equivalent to a multiple of the worst-case procedure (e.g., ≥10–20 procedures’ worth of continuous operation, or hundreds of thousands of revolutions), plus a safety margin.</w:t>
      </w:r>
    </w:p>
    <w:p>
      <w:pPr>
        <w:pStyle w:val="Compact"/>
        <w:numPr>
          <w:ilvl w:val="0"/>
          <w:numId w:val="1011"/>
        </w:numPr>
      </w:pPr>
      <w:r>
        <w:t xml:space="preserve">Reconcile the</w:t>
      </w:r>
      <w:r>
        <w:t xml:space="preserve"> </w:t>
      </w:r>
      <w:r>
        <w:t xml:space="preserve">“</w:t>
      </w:r>
      <w:r>
        <w:t xml:space="preserve">500 activation cycles</w:t>
      </w:r>
      <w:r>
        <w:t xml:space="preserve">”</w:t>
      </w:r>
      <w:r>
        <w:t xml:space="preserve"> </w:t>
      </w:r>
      <w:r>
        <w:t xml:space="preserve">language in the Device Description with the Testing Plan definition so both say the same thing.</w:t>
      </w:r>
    </w:p>
    <w:p>
      <w:pPr>
        <w:pStyle w:val="Compact"/>
        <w:numPr>
          <w:ilvl w:val="0"/>
          <w:numId w:val="1011"/>
        </w:numPr>
      </w:pPr>
      <w:r>
        <w:t xml:space="preserve">Confirm the post-test inspection regime (SEM, particulate filtration) is applied at the correct, longer endpoint.</w:t>
      </w:r>
    </w:p>
    <w:bookmarkEnd w:id="29"/>
    <w:bookmarkStart w:id="30" w:name="Xff831426d096d8f4eaeca60ab8cfbd466257aa7"/>
    <w:p>
      <w:pPr>
        <w:pStyle w:val="Heading3"/>
      </w:pPr>
      <w:r>
        <w:t xml:space="preserve">G. Issue 7 — Software Level of Concern</w:t>
      </w:r>
      <w:r>
        <w:t xml:space="preserve"> </w:t>
      </w:r>
      <w:r>
        <w:t xml:space="preserve">“</w:t>
      </w:r>
      <w:r>
        <w:t xml:space="preserve">Minor</w:t>
      </w:r>
      <w:r>
        <w:t xml:space="preserve">”</w:t>
      </w:r>
      <w:r>
        <w:t xml:space="preserve"> </w:t>
      </w:r>
      <w:r>
        <w:t xml:space="preserve">Is Under-Justified; Guidance Is Outdated; IEC 62304 Omitted</w:t>
      </w:r>
    </w:p>
    <w:p>
      <w:pPr>
        <w:pStyle w:val="FirstParagraph"/>
      </w:pPr>
      <w:r>
        <w:rPr>
          <w:b/>
          <w:bCs/>
        </w:rPr>
        <w:t xml:space="preserve">Documents affected:</w:t>
      </w:r>
      <w:r>
        <w:t xml:space="preserve"> </w:t>
      </w:r>
      <w:r>
        <w:t xml:space="preserve">Device Description §2.3; Testing Plan §5; 510(k) Summary §5.6.</w:t>
      </w:r>
    </w:p>
    <w:p>
      <w:pPr>
        <w:pStyle w:val="BodyText"/>
      </w:pPr>
      <w:r>
        <w:rPr>
          <w:b/>
          <w:bCs/>
        </w:rPr>
        <w:t xml:space="preserve">Discussion.</w:t>
      </w:r>
      <w:r>
        <w:t xml:space="preserve"> </w:t>
      </w:r>
      <w:r>
        <w:t xml:space="preserve">Three related problems:</w:t>
      </w:r>
    </w:p>
    <w:p>
      <w:pPr>
        <w:pStyle w:val="Compact"/>
        <w:numPr>
          <w:ilvl w:val="0"/>
          <w:numId w:val="1012"/>
        </w:numPr>
      </w:pPr>
      <w:r>
        <w:rPr>
          <w:b/>
          <w:bCs/>
        </w:rPr>
        <w:t xml:space="preserve">“</w:t>
      </w:r>
      <w:r>
        <w:rPr>
          <w:b/>
          <w:bCs/>
        </w:rPr>
        <w:t xml:space="preserve">Minor</w:t>
      </w:r>
      <w:r>
        <w:rPr>
          <w:b/>
          <w:bCs/>
        </w:rPr>
        <w:t xml:space="preserve">”</w:t>
      </w:r>
      <w:r>
        <w:rPr>
          <w:b/>
          <w:bCs/>
        </w:rPr>
        <w:t xml:space="preserve"> </w:t>
      </w:r>
      <w:r>
        <w:rPr>
          <w:b/>
          <w:bCs/>
        </w:rPr>
        <w:t xml:space="preserve">vs. the predicate’s</w:t>
      </w:r>
      <w:r>
        <w:rPr>
          <w:b/>
          <w:bCs/>
        </w:rPr>
        <w:t xml:space="preserve"> </w:t>
      </w:r>
      <w:r>
        <w:rPr>
          <w:b/>
          <w:bCs/>
        </w:rPr>
        <w:t xml:space="preserve">“</w:t>
      </w:r>
      <w:r>
        <w:rPr>
          <w:b/>
          <w:bCs/>
        </w:rPr>
        <w:t xml:space="preserve">Moderate.</w:t>
      </w:r>
      <w:r>
        <w:rPr>
          <w:b/>
          <w:bCs/>
        </w:rPr>
        <w:t xml:space="preserve">”</w:t>
      </w:r>
      <w:r>
        <w:t xml:space="preserve"> </w:t>
      </w:r>
      <w:r>
        <w:t xml:space="preserve">The console firmware controls a 12,000-RPM rotating impeller in contact with the vessel wall, −650 mmHg aspiration, and safety-monitoring functions (overspeed, over-pressure, obstruction detection). The ThrombEx 200 — a</w:t>
      </w:r>
      <w:r>
        <w:t xml:space="preserve"> </w:t>
      </w:r>
      <w:r>
        <w:rPr>
          <w:i/>
          <w:iCs/>
        </w:rPr>
        <w:t xml:space="preserve">simpler</w:t>
      </w:r>
      <w:r>
        <w:t xml:space="preserve"> </w:t>
      </w:r>
      <w:r>
        <w:t xml:space="preserve">device with no rotating element, whose software only manages an aspiration pump and saline flow — was classified</w:t>
      </w:r>
      <w:r>
        <w:t xml:space="preserve"> </w:t>
      </w:r>
      <w:r>
        <w:rPr>
          <w:b/>
          <w:bCs/>
        </w:rPr>
        <w:t xml:space="preserve">Moderate</w:t>
      </w:r>
      <w:r>
        <w:t xml:space="preserve"> </w:t>
      </w:r>
      <w:r>
        <w:t xml:space="preserve">(510(k) Summary §5.6), because a software malfunction could cause non-serious injury. It is difficult to justify a</w:t>
      </w:r>
      <w:r>
        <w:t xml:space="preserve"> </w:t>
      </w:r>
      <w:r>
        <w:rPr>
          <w:i/>
          <w:iCs/>
        </w:rPr>
        <w:t xml:space="preserve">lower</w:t>
      </w:r>
      <w:r>
        <w:t xml:space="preserve"> </w:t>
      </w:r>
      <w:r>
        <w:t xml:space="preserve">classification for a</w:t>
      </w:r>
      <w:r>
        <w:t xml:space="preserve"> </w:t>
      </w:r>
      <w:r>
        <w:rPr>
          <w:i/>
          <w:iCs/>
        </w:rPr>
        <w:t xml:space="preserve">more</w:t>
      </w:r>
      <w:r>
        <w:t xml:space="preserve"> </w:t>
      </w:r>
      <w:r>
        <w:t xml:space="preserve">hazardous device. The</w:t>
      </w:r>
      <w:r>
        <w:t xml:space="preserve"> </w:t>
      </w:r>
      <w:r>
        <w:t xml:space="preserve">“</w:t>
      </w:r>
      <w:r>
        <w:t xml:space="preserve">Minor</w:t>
      </w:r>
      <w:r>
        <w:t xml:space="preserve">”</w:t>
      </w:r>
      <w:r>
        <w:t xml:space="preserve"> </w:t>
      </w:r>
      <w:r>
        <w:t xml:space="preserve">rationale (Testing Plan §5.2) leans entirely on asserted independent hardware backups (a mechanical over-speed governor and a hardware pressure-relief valve). Those backups are stated but not demonstrated, and even if they exist, software-driven overspeed or uncommanded aspiration of a rotating element in a vein presents a more serious hazard profile than the predicate’s aspiration pump.</w:t>
      </w:r>
    </w:p>
    <w:p>
      <w:pPr>
        <w:pStyle w:val="Compact"/>
        <w:numPr>
          <w:ilvl w:val="0"/>
          <w:numId w:val="1012"/>
        </w:numPr>
      </w:pPr>
      <w:r>
        <w:rPr>
          <w:b/>
          <w:bCs/>
        </w:rPr>
        <w:t xml:space="preserve">Outdated guidance.</w:t>
      </w:r>
      <w:r>
        <w:t xml:space="preserve"> </w:t>
      </w:r>
      <w:r>
        <w:t xml:space="preserve">The package cites FDA’s 2005</w:t>
      </w:r>
      <w:r>
        <w:t xml:space="preserve"> </w:t>
      </w:r>
      <w:r>
        <w:t xml:space="preserve">“</w:t>
      </w:r>
      <w:r>
        <w:t xml:space="preserve">Guidance for the Content of Premarket Submissions for Software Contained in Medical Devices</w:t>
      </w:r>
      <w:r>
        <w:t xml:space="preserve">”</w:t>
      </w:r>
      <w:r>
        <w:t xml:space="preserve"> </w:t>
      </w:r>
      <w:r>
        <w:t xml:space="preserve">and uses its</w:t>
      </w:r>
      <w:r>
        <w:t xml:space="preserve"> </w:t>
      </w:r>
      <w:r>
        <w:t xml:space="preserve">“</w:t>
      </w:r>
      <w:r>
        <w:t xml:space="preserve">level of concern</w:t>
      </w:r>
      <w:r>
        <w:t xml:space="preserve">”</w:t>
      </w:r>
      <w:r>
        <w:t xml:space="preserve"> </w:t>
      </w:r>
      <w:r>
        <w:t xml:space="preserve">framework. FDA replaced that framework with the 2023 guidance</w:t>
      </w:r>
      <w:r>
        <w:t xml:space="preserve"> </w:t>
      </w:r>
      <w:r>
        <w:t xml:space="preserve">“</w:t>
      </w:r>
      <w:r>
        <w:t xml:space="preserve">Content of Premarket Submissions for Device Software Functions,</w:t>
      </w:r>
      <w:r>
        <w:t xml:space="preserve">”</w:t>
      </w:r>
      <w:r>
        <w:t xml:space="preserve"> </w:t>
      </w:r>
      <w:r>
        <w:t xml:space="preserve">which uses a</w:t>
      </w:r>
      <w:r>
        <w:t xml:space="preserve"> </w:t>
      </w:r>
      <w:r>
        <w:t xml:space="preserve">“</w:t>
      </w:r>
      <w:r>
        <w:t xml:space="preserve">Documentation Level</w:t>
      </w:r>
      <w:r>
        <w:t xml:space="preserve">”</w:t>
      </w:r>
      <w:r>
        <w:t xml:space="preserve"> </w:t>
      </w:r>
      <w:r>
        <w:t xml:space="preserve">(Basic/Enhanced) approach. The submission should be aligned to the current guidance.</w:t>
      </w:r>
    </w:p>
    <w:p>
      <w:pPr>
        <w:pStyle w:val="Compact"/>
        <w:numPr>
          <w:ilvl w:val="0"/>
          <w:numId w:val="1012"/>
        </w:numPr>
      </w:pPr>
      <w:r>
        <w:rPr>
          <w:b/>
          <w:bCs/>
        </w:rPr>
        <w:t xml:space="preserve">IEC 62304 omitted.</w:t>
      </w:r>
      <w:r>
        <w:t xml:space="preserve"> </w:t>
      </w:r>
      <w:r>
        <w:t xml:space="preserve">The predicate’s software V&amp;V was conducted under both the FDA guidance</w:t>
      </w:r>
      <w:r>
        <w:t xml:space="preserve"> </w:t>
      </w:r>
      <w:r>
        <w:rPr>
          <w:i/>
          <w:iCs/>
        </w:rPr>
        <w:t xml:space="preserve">and</w:t>
      </w:r>
      <w:r>
        <w:t xml:space="preserve"> </w:t>
      </w:r>
      <w:r>
        <w:t xml:space="preserve">IEC 62304 (510(k) Summary §5.6). The VascuClear Testing Plan references only the FDA guidance and does not mention IEC 62304, which FDA recognizes and which is the standard for medical-device software life-cycle processes.</w:t>
      </w:r>
    </w:p>
    <w:p>
      <w:pPr>
        <w:pStyle w:val="FirstParagraph"/>
      </w:pPr>
      <w:r>
        <w:rPr>
          <w:b/>
          <w:bCs/>
        </w:rPr>
        <w:t xml:space="preserve">Recommendation.</w:t>
      </w:r>
    </w:p>
    <w:p>
      <w:pPr>
        <w:pStyle w:val="Compact"/>
        <w:numPr>
          <w:ilvl w:val="0"/>
          <w:numId w:val="1013"/>
        </w:numPr>
      </w:pPr>
      <w:r>
        <w:t xml:space="preserve">Re-assess the software documentation level. I recommend planning for</w:t>
      </w:r>
      <w:r>
        <w:t xml:space="preserve"> </w:t>
      </w:r>
      <w:r>
        <w:rPr>
          <w:b/>
          <w:bCs/>
        </w:rPr>
        <w:t xml:space="preserve">Enhanced</w:t>
      </w:r>
      <w:r>
        <w:t xml:space="preserve"> </w:t>
      </w:r>
      <w:r>
        <w:t xml:space="preserve">(≈ former</w:t>
      </w:r>
      <w:r>
        <w:t xml:space="preserve"> </w:t>
      </w:r>
      <w:r>
        <w:t xml:space="preserve">“</w:t>
      </w:r>
      <w:r>
        <w:t xml:space="preserve">Moderate</w:t>
      </w:r>
      <w:r>
        <w:t xml:space="preserve">”</w:t>
      </w:r>
      <w:r>
        <w:t xml:space="preserve">) documentation at minimum, and be prepared to defend the hardware-backup claim with evidence. Do not rely on</w:t>
      </w:r>
      <w:r>
        <w:t xml:space="preserve"> </w:t>
      </w:r>
      <w:r>
        <w:t xml:space="preserve">“</w:t>
      </w:r>
      <w:r>
        <w:t xml:space="preserve">Minor</w:t>
      </w:r>
      <w:r>
        <w:t xml:space="preserve">”</w:t>
      </w:r>
      <w:r>
        <w:t xml:space="preserve">/Basic.</w:t>
      </w:r>
    </w:p>
    <w:p>
      <w:pPr>
        <w:pStyle w:val="Compact"/>
        <w:numPr>
          <w:ilvl w:val="0"/>
          <w:numId w:val="1013"/>
        </w:numPr>
      </w:pPr>
      <w:r>
        <w:t xml:space="preserve">Update all software references to the 2023 FDA guidance and add IEC 62304 (current edition) to the V&amp;V plan.</w:t>
      </w:r>
    </w:p>
    <w:p>
      <w:pPr>
        <w:pStyle w:val="Compact"/>
        <w:numPr>
          <w:ilvl w:val="0"/>
          <w:numId w:val="1013"/>
        </w:numPr>
      </w:pPr>
      <w:r>
        <w:t xml:space="preserve">Document the hardware safety backups (governor, relief valve) with design evidence and verify they are truly independent of software.</w:t>
      </w:r>
    </w:p>
    <w:bookmarkEnd w:id="30"/>
    <w:bookmarkStart w:id="31" w:name="X5e943e20c7b31331626afd96c890b0f96ebf6ba"/>
    <w:p>
      <w:pPr>
        <w:pStyle w:val="Heading3"/>
      </w:pPr>
      <w:r>
        <w:t xml:space="preserve">H. Issue 8 — EMC Testing (IEC 60601-1-2) Omitted</w:t>
      </w:r>
    </w:p>
    <w:p>
      <w:pPr>
        <w:pStyle w:val="FirstParagraph"/>
      </w:pPr>
      <w:r>
        <w:rPr>
          <w:b/>
          <w:bCs/>
        </w:rPr>
        <w:t xml:space="preserve">Documents affected:</w:t>
      </w:r>
      <w:r>
        <w:t xml:space="preserve"> </w:t>
      </w:r>
      <w:r>
        <w:t xml:space="preserve">Testing Plan §4; 510(k) Summary §5.3.</w:t>
      </w:r>
    </w:p>
    <w:p>
      <w:pPr>
        <w:pStyle w:val="BodyText"/>
      </w:pPr>
      <w:r>
        <w:rPr>
          <w:b/>
          <w:bCs/>
        </w:rPr>
        <w:t xml:space="preserve">Discussion.</w:t>
      </w:r>
      <w:r>
        <w:t xml:space="preserve"> </w:t>
      </w:r>
      <w:r>
        <w:t xml:space="preserve">The electrical-safety plan (Testing Plan §4) addresses IEC 60601-1:2012 only. It does not mention IEC 60601-1-2 (electromagnetic compatibility), the collateral standard FDA expects for medical electrical equipment. The predicate performed a full EMC battery — CISPR 11 emissions and the IEC 61000-4-x immunity suite (510(k) Summary §5.3). The VascuClear Console contains a variable-frequency motor drive and a touchscreen; it both emits and is susceptible to EMI and will operate in a cath lab alongside other sensitive equipment. Omitting EMC is a clear gap.</w:t>
      </w:r>
    </w:p>
    <w:p>
      <w:pPr>
        <w:pStyle w:val="BodyText"/>
      </w:pPr>
      <w:r>
        <w:rPr>
          <w:b/>
          <w:bCs/>
        </w:rPr>
        <w:t xml:space="preserve">Recommendation.</w:t>
      </w:r>
      <w:r>
        <w:t xml:space="preserve"> </w:t>
      </w:r>
      <w:r>
        <w:t xml:space="preserve">Add IEC 60601-1-2:2014 (Ed. 4) EMC testing — emissions and immunity — to the electrical-safety plan, to be performed by Pinnacle (or another NRTL). Build the schedule impact into the timeline.</w:t>
      </w:r>
    </w:p>
    <w:bookmarkEnd w:id="31"/>
    <w:bookmarkStart w:id="32" w:name="Xb22307468415f683da2a3af404c2bb61495e269"/>
    <w:p>
      <w:pPr>
        <w:pStyle w:val="Heading3"/>
      </w:pPr>
      <w:r>
        <w:t xml:space="preserve">I. Issue 9 — No Pharmacomechanical Bench Testing (Combined Function Untested)</w:t>
      </w:r>
    </w:p>
    <w:p>
      <w:pPr>
        <w:pStyle w:val="FirstParagraph"/>
      </w:pPr>
      <w:r>
        <w:rPr>
          <w:b/>
          <w:bCs/>
        </w:rPr>
        <w:t xml:space="preserve">Documents affected:</w:t>
      </w:r>
      <w:r>
        <w:t xml:space="preserve"> </w:t>
      </w:r>
      <w:r>
        <w:t xml:space="preserve">Testing Plan §§7, 8.</w:t>
      </w:r>
    </w:p>
    <w:p>
      <w:pPr>
        <w:pStyle w:val="BodyText"/>
      </w:pPr>
      <w:r>
        <w:rPr>
          <w:b/>
          <w:bCs/>
        </w:rPr>
        <w:t xml:space="preserve">Discussion.</w:t>
      </w:r>
      <w:r>
        <w:t xml:space="preserve"> </w:t>
      </w:r>
      <w:r>
        <w:t xml:space="preserve">The Device’s defining feature — and the basis of its indication — is</w:t>
      </w:r>
      <w:r>
        <w:t xml:space="preserve"> </w:t>
      </w:r>
      <w:r>
        <w:rPr>
          <w:i/>
          <w:iCs/>
        </w:rPr>
        <w:t xml:space="preserve">combined</w:t>
      </w:r>
      <w:r>
        <w:t xml:space="preserve"> </w:t>
      </w:r>
      <w:r>
        <w:t xml:space="preserve">pharmacomechanical thrombectomy. Yet the Testing Plan expressly states (§7) that</w:t>
      </w:r>
      <w:r>
        <w:t xml:space="preserve"> </w:t>
      </w:r>
      <w:r>
        <w:t xml:space="preserve">“</w:t>
      </w:r>
      <w:r>
        <w:t xml:space="preserve">the simulated-use bench testing protocol evaluates mechanical thrombectomy only. The thrombolytic infusion lumen is not activated… Combined pharmacomechanical testing… is not included.</w:t>
      </w:r>
      <w:r>
        <w:t xml:space="preserve">”</w:t>
      </w:r>
      <w:r>
        <w:t xml:space="preserve"> </w:t>
      </w:r>
      <w:r>
        <w:t xml:space="preserve">Drug-delivery characterization (§8) is performed separately with saline and does not evaluate thrombus removal. The net result is that the</w:t>
      </w:r>
      <w:r>
        <w:t xml:space="preserve"> </w:t>
      </w:r>
      <w:r>
        <w:rPr>
          <w:i/>
          <w:iCs/>
        </w:rPr>
        <w:t xml:space="preserve">combined</w:t>
      </w:r>
      <w:r>
        <w:t xml:space="preserve"> </w:t>
      </w:r>
      <w:r>
        <w:t xml:space="preserve">function that distinguishes the Device from the predicate and that is claimed in the indication is never tested as an integrated system on the bench.</w:t>
      </w:r>
    </w:p>
    <w:p>
      <w:pPr>
        <w:pStyle w:val="BodyText"/>
      </w:pPr>
      <w:r>
        <w:rPr>
          <w:b/>
          <w:bCs/>
        </w:rPr>
        <w:t xml:space="preserve">Recommendation.</w:t>
      </w:r>
      <w:r>
        <w:t xml:space="preserve"> </w:t>
      </w:r>
      <w:r>
        <w:t xml:space="preserve">Add a pharmacomechanical bench test that runs the impeller/aspiration concurrently with infusion-lumen delivery (using a thrombolytic-appropriate surrogate or the actual agent, per Issue 12) and measures combined thrombus removal, lumen performance under simultaneous aspiration, and any interaction effects. At minimum, pose this explicitly as a Q-Sub question (Testing Plan Q6 gestures at it but only as to fluid choice, not combined-function testing).</w:t>
      </w:r>
    </w:p>
    <w:bookmarkEnd w:id="32"/>
    <w:bookmarkStart w:id="33" w:name="X62cfed3413a49ee65d9f14da0049a9665cf1f8c"/>
    <w:p>
      <w:pPr>
        <w:pStyle w:val="Heading3"/>
      </w:pPr>
      <w:r>
        <w:t xml:space="preserve">J. Issue 10 — MRI Safety Testing Omitted; IFU Contains [TBD] Placeholders</w:t>
      </w:r>
    </w:p>
    <w:p>
      <w:pPr>
        <w:pStyle w:val="FirstParagraph"/>
      </w:pPr>
      <w:r>
        <w:rPr>
          <w:b/>
          <w:bCs/>
        </w:rPr>
        <w:t xml:space="preserve">Documents affected:</w:t>
      </w:r>
      <w:r>
        <w:t xml:space="preserve"> </w:t>
      </w:r>
      <w:r>
        <w:t xml:space="preserve">IFU §6; Device Description §4.2 (comparison table); Testing Plan (no MRI testing).</w:t>
      </w:r>
    </w:p>
    <w:p>
      <w:pPr>
        <w:pStyle w:val="BodyText"/>
      </w:pPr>
      <w:r>
        <w:rPr>
          <w:b/>
          <w:bCs/>
        </w:rPr>
        <w:t xml:space="preserve">Discussion.</w:t>
      </w:r>
      <w:r>
        <w:t xml:space="preserve"> </w:t>
      </w:r>
      <w:r>
        <w:t xml:space="preserve">The IFU (§6) claims the catheter is</w:t>
      </w:r>
      <w:r>
        <w:t xml:space="preserve"> </w:t>
      </w:r>
      <w:r>
        <w:t xml:space="preserve">“</w:t>
      </w:r>
      <w:r>
        <w:t xml:space="preserve">MR Conditional</w:t>
      </w:r>
      <w:r>
        <w:t xml:space="preserve">”</w:t>
      </w:r>
      <w:r>
        <w:t xml:space="preserve"> </w:t>
      </w:r>
      <w:r>
        <w:t xml:space="preserve">but leaves the temperature rise and field strength as</w:t>
      </w:r>
      <w:r>
        <w:t xml:space="preserve"> </w:t>
      </w:r>
      <w:r>
        <w:t xml:space="preserve">“</w:t>
      </w:r>
      <w:r>
        <w:t xml:space="preserve">[TBD].</w:t>
      </w:r>
      <w:r>
        <w:t xml:space="preserve">”</w:t>
      </w:r>
      <w:r>
        <w:t xml:space="preserve"> </w:t>
      </w:r>
      <w:r>
        <w:t xml:space="preserve">The Device Description comparison table lists</w:t>
      </w:r>
      <w:r>
        <w:t xml:space="preserve"> </w:t>
      </w:r>
      <w:r>
        <w:t xml:space="preserve">“</w:t>
      </w:r>
      <w:r>
        <w:t xml:space="preserve">MRI Status: MRI Conditional.</w:t>
      </w:r>
      <w:r>
        <w:t xml:space="preserve">”</w:t>
      </w:r>
      <w:r>
        <w:t xml:space="preserve"> </w:t>
      </w:r>
      <w:r>
        <w:t xml:space="preserve">The Testing Plan contains</w:t>
      </w:r>
      <w:r>
        <w:t xml:space="preserve"> </w:t>
      </w:r>
      <w:r>
        <w:rPr>
          <w:b/>
          <w:bCs/>
        </w:rPr>
        <w:t xml:space="preserve">no MRI safety testing</w:t>
      </w:r>
      <w:r>
        <w:t xml:space="preserve"> </w:t>
      </w:r>
      <w:r>
        <w:t xml:space="preserve">at all. An MR Conditional claim requires testing per ASTM F2182 (RF heating), F2052 (magnetically induced force), F2213 (torque), and artifact characterization, with complete values reported in the labeling. A</w:t>
      </w:r>
      <w:r>
        <w:t xml:space="preserve"> </w:t>
      </w:r>
      <w:r>
        <w:t xml:space="preserve">“</w:t>
      </w:r>
      <w:r>
        <w:t xml:space="preserve">[TBD]</w:t>
      </w:r>
      <w:r>
        <w:t xml:space="preserve">”</w:t>
      </w:r>
      <w:r>
        <w:t xml:space="preserve"> </w:t>
      </w:r>
      <w:r>
        <w:t xml:space="preserve">in a draft IFU is acceptable for an internal draft but cannot go to FDA in this state, and the testing must be added to the plan.</w:t>
      </w:r>
    </w:p>
    <w:p>
      <w:pPr>
        <w:pStyle w:val="BodyText"/>
      </w:pPr>
      <w:r>
        <w:rPr>
          <w:b/>
          <w:bCs/>
        </w:rPr>
        <w:t xml:space="preserve">Recommendation.</w:t>
      </w:r>
      <w:r>
        <w:t xml:space="preserve"> </w:t>
      </w:r>
      <w:r>
        <w:t xml:space="preserve">Either (a) add MRI safety testing (ASTM F2182, F2052, F2213, artifact) to the Testing Plan and populate the IFU with the results, or (b) remove the MR Conditional claim from the IFU and Device Description and label the catheter MR safety</w:t>
      </w:r>
      <w:r>
        <w:t xml:space="preserve"> </w:t>
      </w:r>
      <w:r>
        <w:t xml:space="preserve">“</w:t>
      </w:r>
      <w:r>
        <w:t xml:space="preserve">not evaluated</w:t>
      </w:r>
      <w:r>
        <w:t xml:space="preserve">”</w:t>
      </w:r>
      <w:r>
        <w:t xml:space="preserve"> </w:t>
      </w:r>
      <w:r>
        <w:t xml:space="preserve">until testing is done. Do not file with</w:t>
      </w:r>
      <w:r>
        <w:t xml:space="preserve"> </w:t>
      </w:r>
      <w:r>
        <w:t xml:space="preserve">“</w:t>
      </w:r>
      <w:r>
        <w:t xml:space="preserve">[TBD].</w:t>
      </w:r>
      <w:r>
        <w:t xml:space="preserve">”</w:t>
      </w:r>
    </w:p>
    <w:bookmarkEnd w:id="33"/>
    <w:bookmarkStart w:id="34" w:name="Xf87929b435516abf66d21bf29686ed320a9e0c0"/>
    <w:p>
      <w:pPr>
        <w:pStyle w:val="Heading3"/>
      </w:pPr>
      <w:r>
        <w:t xml:space="preserve">K. Issue 11 — Shelf-Life / Sterile-Barrier Validation Omitted</w:t>
      </w:r>
    </w:p>
    <w:p>
      <w:pPr>
        <w:pStyle w:val="FirstParagraph"/>
      </w:pPr>
      <w:r>
        <w:rPr>
          <w:b/>
          <w:bCs/>
        </w:rPr>
        <w:t xml:space="preserve">Documents affected:</w:t>
      </w:r>
      <w:r>
        <w:t xml:space="preserve"> </w:t>
      </w:r>
      <w:r>
        <w:t xml:space="preserve">Testing Plan §6; 510(k) Summary §5.4.</w:t>
      </w:r>
    </w:p>
    <w:p>
      <w:pPr>
        <w:pStyle w:val="BodyText"/>
      </w:pPr>
      <w:r>
        <w:rPr>
          <w:b/>
          <w:bCs/>
        </w:rPr>
        <w:t xml:space="preserve">Discussion.</w:t>
      </w:r>
      <w:r>
        <w:t xml:space="preserve"> </w:t>
      </w:r>
      <w:r>
        <w:t xml:space="preserve">The sterilization plan (Testing Plan §6) covers EtO process validation (ISO 11135), bioburden, sterility, and residuals (ISO 10993-7), but does</w:t>
      </w:r>
      <w:r>
        <w:t xml:space="preserve"> </w:t>
      </w:r>
      <w:r>
        <w:rPr>
          <w:b/>
          <w:bCs/>
        </w:rPr>
        <w:t xml:space="preserve">not</w:t>
      </w:r>
      <w:r>
        <w:t xml:space="preserve"> </w:t>
      </w:r>
      <w:r>
        <w:t xml:space="preserve">address shelf-life or sterile-barrier-system validation. The predicate performed accelerated aging (ASTM F1980), distribution simulation (ASTM D4169), and seal-strength testing (ASTM F2095) to support a 2-year shelf life (510(k) Summary §5.4). Shelf-life/sterile-barrier validation is a standard 510(k) expectation for a terminally sterilized single-use device and is presently absent.</w:t>
      </w:r>
    </w:p>
    <w:p>
      <w:pPr>
        <w:pStyle w:val="BodyText"/>
      </w:pPr>
      <w:r>
        <w:rPr>
          <w:b/>
          <w:bCs/>
        </w:rPr>
        <w:t xml:space="preserve">Recommendation.</w:t>
      </w:r>
      <w:r>
        <w:t xml:space="preserve"> </w:t>
      </w:r>
      <w:r>
        <w:t xml:space="preserve">Add shelf-life validation (ASTM F1980 accelerated aging to the claimed shelf life, plus ASTM D4169 distribution simulation and ASTM F2095/F88 seal-strength/peel testing) to the sterilization section, with a defined shelf-life claim. Coordinate with Whitecrest.</w:t>
      </w:r>
    </w:p>
    <w:bookmarkEnd w:id="34"/>
    <w:bookmarkStart w:id="35" w:name="X7e1782097b6a8213fcf56d3699aaf56ffe54e3d"/>
    <w:p>
      <w:pPr>
        <w:pStyle w:val="Heading3"/>
      </w:pPr>
      <w:r>
        <w:t xml:space="preserve">L. Issue 12 — Drug-Material Compatibility Unverified (Saline-Only Testing)</w:t>
      </w:r>
    </w:p>
    <w:p>
      <w:pPr>
        <w:pStyle w:val="FirstParagraph"/>
      </w:pPr>
      <w:r>
        <w:rPr>
          <w:b/>
          <w:bCs/>
        </w:rPr>
        <w:t xml:space="preserve">Documents affected:</w:t>
      </w:r>
      <w:r>
        <w:t xml:space="preserve"> </w:t>
      </w:r>
      <w:r>
        <w:t xml:space="preserve">IFU §9; Testing Plan §§8, 10 (Q6).</w:t>
      </w:r>
    </w:p>
    <w:p>
      <w:pPr>
        <w:pStyle w:val="BodyText"/>
      </w:pPr>
      <w:r>
        <w:rPr>
          <w:b/>
          <w:bCs/>
        </w:rPr>
        <w:t xml:space="preserve">Discussion.</w:t>
      </w:r>
      <w:r>
        <w:t xml:space="preserve"> </w:t>
      </w:r>
      <w:r>
        <w:t xml:space="preserve">The IFU (§9) candidly states that</w:t>
      </w:r>
      <w:r>
        <w:t xml:space="preserve"> </w:t>
      </w:r>
      <w:r>
        <w:t xml:space="preserve">“</w:t>
      </w:r>
      <w:r>
        <w:t xml:space="preserve">drug compatibility with catheter lumen materials has not been independently verified</w:t>
      </w:r>
      <w:r>
        <w:t xml:space="preserve">”</w:t>
      </w:r>
      <w:r>
        <w:t xml:space="preserve"> </w:t>
      </w:r>
      <w:r>
        <w:t xml:space="preserve">and that</w:t>
      </w:r>
      <w:r>
        <w:t xml:space="preserve"> </w:t>
      </w:r>
      <w:r>
        <w:t xml:space="preserve">“</w:t>
      </w:r>
      <w:r>
        <w:t xml:space="preserve">specific compatibility testing with individual thrombolytic agents, diluents, or drug formulations has not been performed.</w:t>
      </w:r>
      <w:r>
        <w:t xml:space="preserve">”</w:t>
      </w:r>
      <w:r>
        <w:t xml:space="preserve"> </w:t>
      </w:r>
      <w:r>
        <w:t xml:space="preserve">The Testing Plan (§8) characterizes the infusion lumen using</w:t>
      </w:r>
      <w:r>
        <w:t xml:space="preserve"> </w:t>
      </w:r>
      <w:r>
        <w:rPr>
          <w:b/>
          <w:bCs/>
        </w:rPr>
        <w:t xml:space="preserve">saline only</w:t>
      </w:r>
      <w:r>
        <w:t xml:space="preserve">. For a device whose central feature is delivering thrombolytics — potentially over a 72-hour indwell (Issue 5) — saline-only characterization does not address (a) whether thrombolytic agents or their diluents interact with the catheter materials (polyurethane, PTFE, nitinol/stainless steel, adhesives, hydrophilic coating), or (b) whether contact with those materials affects the drug (adsorption, inactivation, leachables/extractables into the infusate). This is both a performance gap and a safety gap, and it intersects with the combination-product question (Issue 1).</w:t>
      </w:r>
    </w:p>
    <w:p>
      <w:pPr>
        <w:pStyle w:val="BodyText"/>
      </w:pPr>
      <w:r>
        <w:rPr>
          <w:b/>
          <w:bCs/>
        </w:rPr>
        <w:t xml:space="preserve">Recommendation.</w:t>
      </w:r>
    </w:p>
    <w:p>
      <w:pPr>
        <w:pStyle w:val="Compact"/>
        <w:numPr>
          <w:ilvl w:val="0"/>
          <w:numId w:val="1014"/>
        </w:numPr>
      </w:pPr>
      <w:r>
        <w:t xml:space="preserve">Add drug-compatibility / material-interaction testing using representative thrombolytic agents (at minimum alteplase) and their diluents, including drug-recovery/adsorption and extractables/leachables into the infusate, especially given the prolonged-contact profile.</w:t>
      </w:r>
    </w:p>
    <w:p>
      <w:pPr>
        <w:pStyle w:val="Compact"/>
        <w:numPr>
          <w:ilvl w:val="0"/>
          <w:numId w:val="1014"/>
        </w:numPr>
      </w:pPr>
      <w:r>
        <w:t xml:space="preserve">Pose this explicitly to FDA in the Q-Sub (Testing Plan Q6 asks only whether saline is</w:t>
      </w:r>
      <w:r>
        <w:t xml:space="preserve"> </w:t>
      </w:r>
      <w:r>
        <w:t xml:space="preserve">“</w:t>
      </w:r>
      <w:r>
        <w:t xml:space="preserve">sufficient</w:t>
      </w:r>
      <w:r>
        <w:t xml:space="preserve">”</w:t>
      </w:r>
      <w:r>
        <w:t xml:space="preserve">; sharpen it to ask whether agent-specific compatibility and drug-integrity testing are expected).</w:t>
      </w:r>
    </w:p>
    <w:p>
      <w:r>
        <w:pict>
          <v:rect style="width:0;height:1.5pt" o:hralign="center" o:hrstd="t" o:hr="t"/>
        </w:pict>
      </w:r>
    </w:p>
    <w:bookmarkEnd w:id="35"/>
    <w:bookmarkEnd w:id="36"/>
    <w:bookmarkStart w:id="43" w:name="v.-tier-3-medium-priority-issues"/>
    <w:p>
      <w:pPr>
        <w:pStyle w:val="Heading2"/>
      </w:pPr>
      <w:r>
        <w:t xml:space="preserve">V. Tier 3 — Medium-Priority Issues</w:t>
      </w:r>
    </w:p>
    <w:bookmarkStart w:id="37" w:name="X5df002cfefe9b6c8619013f1a306a01acf00bae"/>
    <w:p>
      <w:pPr>
        <w:pStyle w:val="Heading3"/>
      </w:pPr>
      <w:r>
        <w:t xml:space="preserve">M. Issue 13 — Cross-Document Inconsistencies</w:t>
      </w:r>
    </w:p>
    <w:p>
      <w:pPr>
        <w:pStyle w:val="FirstParagraph"/>
      </w:pPr>
      <w:r>
        <w:rPr>
          <w:b/>
          <w:bCs/>
        </w:rPr>
        <w:t xml:space="preserve">Documents affected:</w:t>
      </w:r>
      <w:r>
        <w:t xml:space="preserve"> </w:t>
      </w:r>
      <w:r>
        <w:t xml:space="preserve">multiple.</w:t>
      </w:r>
    </w:p>
    <w:p>
      <w:pPr>
        <w:pStyle w:val="BodyText"/>
      </w:pPr>
      <w:r>
        <w:t xml:space="preserve">A formal FDA submission must be internally consistent. The following inconsistencies should be reconciled before filing:</w:t>
      </w:r>
    </w:p>
    <w:p>
      <w:pPr>
        <w:pStyle w:val="Compact"/>
        <w:numPr>
          <w:ilvl w:val="0"/>
          <w:numId w:val="1015"/>
        </w:numPr>
      </w:pPr>
      <w:r>
        <w:rPr>
          <w:b/>
          <w:bCs/>
        </w:rPr>
        <w:t xml:space="preserve">Console dimensions and weight.</w:t>
      </w:r>
      <w:r>
        <w:t xml:space="preserve"> </w:t>
      </w:r>
      <w:r>
        <w:t xml:space="preserve">Device Description §2.3:</w:t>
      </w:r>
      <w:r>
        <w:t xml:space="preserve"> </w:t>
      </w:r>
      <w:r>
        <w:t xml:space="preserve">“</w:t>
      </w:r>
      <w:r>
        <w:t xml:space="preserve">approximately 40 cm (W) × 35 cm (D) × 20 cm (H)… approximately 15 kilograms.</w:t>
      </w:r>
      <w:r>
        <w:t xml:space="preserve">”</w:t>
      </w:r>
      <w:r>
        <w:t xml:space="preserve"> </w:t>
      </w:r>
      <w:r>
        <w:t xml:space="preserve">IFU §13:</w:t>
      </w:r>
      <w:r>
        <w:t xml:space="preserve"> </w:t>
      </w:r>
      <w:r>
        <w:t xml:space="preserve">“</w:t>
      </w:r>
      <w:r>
        <w:t xml:space="preserve">30 cm × 25 cm × 15 cm</w:t>
      </w:r>
      <w:r>
        <w:t xml:space="preserve">”</w:t>
      </w:r>
      <w:r>
        <w:t xml:space="preserve"> </w:t>
      </w:r>
      <w:r>
        <w:t xml:space="preserve">and</w:t>
      </w:r>
      <w:r>
        <w:t xml:space="preserve"> </w:t>
      </w:r>
      <w:r>
        <w:t xml:space="preserve">“</w:t>
      </w:r>
      <w:r>
        <w:t xml:space="preserve">4.5 kg.</w:t>
      </w:r>
      <w:r>
        <w:t xml:space="preserve">”</w:t>
      </w:r>
      <w:r>
        <w:t xml:space="preserve"> </w:t>
      </w:r>
      <w:r>
        <w:t xml:space="preserve">These differ by a factor of ~2.5 in volume and ~3.3 in weight. One is wrong.</w:t>
      </w:r>
    </w:p>
    <w:p>
      <w:pPr>
        <w:pStyle w:val="Compact"/>
        <w:numPr>
          <w:ilvl w:val="0"/>
          <w:numId w:val="1015"/>
        </w:numPr>
      </w:pPr>
      <w:r>
        <w:rPr>
          <w:b/>
          <w:bCs/>
        </w:rPr>
        <w:t xml:space="preserve">Display.</w:t>
      </w:r>
      <w:r>
        <w:t xml:space="preserve"> </w:t>
      </w:r>
      <w:r>
        <w:t xml:space="preserve">Device Description §2.3:</w:t>
      </w:r>
      <w:r>
        <w:t xml:space="preserve"> </w:t>
      </w:r>
      <w:r>
        <w:t xml:space="preserve">“</w:t>
      </w:r>
      <w:r>
        <w:t xml:space="preserve">7-inch color touchscreen.</w:t>
      </w:r>
      <w:r>
        <w:t xml:space="preserve">”</w:t>
      </w:r>
      <w:r>
        <w:t xml:space="preserve"> </w:t>
      </w:r>
      <w:r>
        <w:t xml:space="preserve">IFU §§1, 13:</w:t>
      </w:r>
      <w:r>
        <w:t xml:space="preserve"> </w:t>
      </w:r>
      <w:r>
        <w:t xml:space="preserve">“</w:t>
      </w:r>
      <w:r>
        <w:t xml:space="preserve">LCD display</w:t>
      </w:r>
      <w:r>
        <w:t xml:space="preserve">”</w:t>
      </w:r>
      <w:r>
        <w:t xml:space="preserve"> </w:t>
      </w:r>
      <w:r>
        <w:t xml:space="preserve">/</w:t>
      </w:r>
      <w:r>
        <w:t xml:space="preserve"> </w:t>
      </w:r>
      <w:r>
        <w:t xml:space="preserve">“</w:t>
      </w:r>
      <w:r>
        <w:t xml:space="preserve">LCD with real-time… indicators.</w:t>
      </w:r>
      <w:r>
        <w:t xml:space="preserve">”</w:t>
      </w:r>
      <w:r>
        <w:t xml:space="preserve"> </w:t>
      </w:r>
      <w:r>
        <w:t xml:space="preserve">A touchscreen and a non-touch LCD are different user interfaces with different human-factors implications (see Issue 16). Reconcile.</w:t>
      </w:r>
    </w:p>
    <w:p>
      <w:pPr>
        <w:pStyle w:val="Compact"/>
        <w:numPr>
          <w:ilvl w:val="0"/>
          <w:numId w:val="1015"/>
        </w:numPr>
      </w:pPr>
      <w:r>
        <w:rPr>
          <w:b/>
          <w:bCs/>
        </w:rPr>
        <w:t xml:space="preserve">Impeller material.</w:t>
      </w:r>
      <w:r>
        <w:t xml:space="preserve"> </w:t>
      </w:r>
      <w:r>
        <w:t xml:space="preserve">Device Description §2.2: impeller =</w:t>
      </w:r>
      <w:r>
        <w:t xml:space="preserve"> </w:t>
      </w:r>
      <w:r>
        <w:t xml:space="preserve">“</w:t>
      </w:r>
      <w:r>
        <w:t xml:space="preserve">medical-grade stainless steel (316L),</w:t>
      </w:r>
      <w:r>
        <w:t xml:space="preserve">”</w:t>
      </w:r>
      <w:r>
        <w:t xml:space="preserve"> </w:t>
      </w:r>
      <w:r>
        <w:t xml:space="preserve">with nitinol in</w:t>
      </w:r>
      <w:r>
        <w:t xml:space="preserve"> </w:t>
      </w:r>
      <w:r>
        <w:t xml:space="preserve">“</w:t>
      </w:r>
      <w:r>
        <w:t xml:space="preserve">certain structural components within the distal tip housing.</w:t>
      </w:r>
      <w:r>
        <w:t xml:space="preserve">”</w:t>
      </w:r>
      <w:r>
        <w:t xml:space="preserve"> </w:t>
      </w:r>
      <w:r>
        <w:t xml:space="preserve">Testing Plan §2.3:</w:t>
      </w:r>
      <w:r>
        <w:t xml:space="preserve"> </w:t>
      </w:r>
      <w:r>
        <w:t xml:space="preserve">“</w:t>
      </w:r>
      <w:r>
        <w:t xml:space="preserve">Helical Impeller — Nitinol,</w:t>
      </w:r>
      <w:r>
        <w:t xml:space="preserve">”</w:t>
      </w:r>
      <w:r>
        <w:t xml:space="preserve"> </w:t>
      </w:r>
      <w:r>
        <w:t xml:space="preserve">“</w:t>
      </w:r>
      <w:r>
        <w:t xml:space="preserve">Impeller Housing — Stainless steel 316L.</w:t>
      </w:r>
      <w:r>
        <w:t xml:space="preserve">”</w:t>
      </w:r>
      <w:r>
        <w:t xml:space="preserve"> </w:t>
      </w:r>
      <w:r>
        <w:t xml:space="preserve">The two documents disagree about whether the blood-contacting rotating element is 316L or nitinol. This matters for biocompatibility (nickel release from nitinol) and for the SE materials comparison. Resolve to a single, verified bill of materials.</w:t>
      </w:r>
    </w:p>
    <w:p>
      <w:pPr>
        <w:pStyle w:val="Compact"/>
        <w:numPr>
          <w:ilvl w:val="0"/>
          <w:numId w:val="1015"/>
        </w:numPr>
      </w:pPr>
      <w:r>
        <w:rPr>
          <w:b/>
          <w:bCs/>
        </w:rPr>
        <w:t xml:space="preserve">Predicate indication misstated in Testing Plan Appendix A.</w:t>
      </w:r>
      <w:r>
        <w:t xml:space="preserve"> </w:t>
      </w:r>
      <w:r>
        <w:t xml:space="preserve">Testing Plan Table A-1 lists the ThrombEx 200</w:t>
      </w:r>
      <w:r>
        <w:t xml:space="preserve"> </w:t>
      </w:r>
      <w:r>
        <w:t xml:space="preserve">“</w:t>
      </w:r>
      <w:r>
        <w:t xml:space="preserve">Intended Use Population</w:t>
      </w:r>
      <w:r>
        <w:t xml:space="preserve">”</w:t>
      </w:r>
      <w:r>
        <w:t xml:space="preserve"> </w:t>
      </w:r>
      <w:r>
        <w:t xml:space="preserve">as</w:t>
      </w:r>
      <w:r>
        <w:t xml:space="preserve"> </w:t>
      </w:r>
      <w:r>
        <w:t xml:space="preserve">“</w:t>
      </w:r>
      <w:r>
        <w:t xml:space="preserve">Adults with acute DVT, iliofemoral venous segment.</w:t>
      </w:r>
      <w:r>
        <w:t xml:space="preserve">”</w:t>
      </w:r>
      <w:r>
        <w:t xml:space="preserve"> </w:t>
      </w:r>
      <w:r>
        <w:t xml:space="preserve">The 510(k) Summary (§2) states the predicate is indicated for</w:t>
      </w:r>
      <w:r>
        <w:t xml:space="preserve"> </w:t>
      </w:r>
      <w:r>
        <w:t xml:space="preserve">“</w:t>
      </w:r>
      <w:r>
        <w:t xml:space="preserve">percutaneous removal of thrombus from the peripheral vasculature,</w:t>
      </w:r>
      <w:r>
        <w:t xml:space="preserve">”</w:t>
      </w:r>
      <w:r>
        <w:t xml:space="preserve"> </w:t>
      </w:r>
      <w:r>
        <w:t xml:space="preserve">encompassing</w:t>
      </w:r>
      <w:r>
        <w:t xml:space="preserve"> </w:t>
      </w:r>
      <w:r>
        <w:t xml:space="preserve">“</w:t>
      </w:r>
      <w:r>
        <w:t xml:space="preserve">both the arterial and venous peripheral vascular systems… not limited to any specific vascular segment,</w:t>
      </w:r>
      <w:r>
        <w:t xml:space="preserve">”</w:t>
      </w:r>
      <w:r>
        <w:t xml:space="preserve"> </w:t>
      </w:r>
      <w:r>
        <w:t xml:space="preserve">with no DVT or iliofemoral limitation. The Device Description (§4.2) states this correctly. The Testing Plan Appendix A is wrong and, if uncorrected, misrepresents the predicate’s cleared indication — which undermines the SE comparison and the package’s credibility.</w:t>
      </w:r>
    </w:p>
    <w:p>
      <w:pPr>
        <w:pStyle w:val="Compact"/>
        <w:numPr>
          <w:ilvl w:val="0"/>
          <w:numId w:val="1015"/>
        </w:numPr>
      </w:pPr>
      <w:r>
        <w:rPr>
          <w:b/>
          <w:bCs/>
        </w:rPr>
        <w:t xml:space="preserve">Contact information.</w:t>
      </w:r>
      <w:r>
        <w:t xml:space="preserve"> </w:t>
      </w:r>
      <w:r>
        <w:t xml:space="preserve">Cover Letter §IX: Linda Fessenden, (952) 555-0142, l.fessenden@clearfieldmedical.com. Device Description: (952) 555-0174, lfessenden@clearfieldmedical.com. IFU §15: 1-800-555-0142, regulatory@clearfieldmedical.com. Email chain: lfessenden@clearfieldmed.com (different domain). Standardize on one set of contact details and one email domain across all documents.</w:t>
      </w:r>
    </w:p>
    <w:p>
      <w:pPr>
        <w:pStyle w:val="FirstParagraph"/>
      </w:pPr>
      <w:r>
        <w:rPr>
          <w:b/>
          <w:bCs/>
        </w:rPr>
        <w:t xml:space="preserve">Recommendation.</w:t>
      </w:r>
      <w:r>
        <w:t xml:space="preserve"> </w:t>
      </w:r>
      <w:r>
        <w:t xml:space="preserve">Produce a single controlled</w:t>
      </w:r>
      <w:r>
        <w:t xml:space="preserve"> </w:t>
      </w:r>
      <w:r>
        <w:t xml:space="preserve">“</w:t>
      </w:r>
      <w:r>
        <w:t xml:space="preserve">facts sheet</w:t>
      </w:r>
      <w:r>
        <w:t xml:space="preserve">”</w:t>
      </w:r>
      <w:r>
        <w:t xml:space="preserve"> </w:t>
      </w:r>
      <w:r>
        <w:t xml:space="preserve">(dimensions, weights, materials bill, contact details, predicate indication) and reconcile every document to it before filing. The predicate-indication error (item 4) and the impeller-material discrepancy (item 3) are the most important to fix.</w:t>
      </w:r>
    </w:p>
    <w:bookmarkEnd w:id="37"/>
    <w:bookmarkStart w:id="38" w:name="X0b740f5db53adbc7b68b25acde67abd201c13e3"/>
    <w:p>
      <w:pPr>
        <w:pStyle w:val="Heading3"/>
      </w:pPr>
      <w:r>
        <w:t xml:space="preserve">N. Issue 14 — Clinical Study Design Weaknesses</w:t>
      </w:r>
    </w:p>
    <w:p>
      <w:pPr>
        <w:pStyle w:val="FirstParagraph"/>
      </w:pPr>
      <w:r>
        <w:rPr>
          <w:b/>
          <w:bCs/>
        </w:rPr>
        <w:t xml:space="preserve">Documents affected:</w:t>
      </w:r>
      <w:r>
        <w:t xml:space="preserve"> </w:t>
      </w:r>
      <w:r>
        <w:t xml:space="preserve">Clinical Synopsis §§9, 10, 11, 12, 18.</w:t>
      </w:r>
    </w:p>
    <w:p>
      <w:pPr>
        <w:pStyle w:val="BodyText"/>
      </w:pPr>
      <w:r>
        <w:rPr>
          <w:b/>
          <w:bCs/>
        </w:rPr>
        <w:t xml:space="preserve">Discussion.</w:t>
      </w:r>
      <w:r>
        <w:t xml:space="preserve"> </w:t>
      </w:r>
      <w:r>
        <w:t xml:space="preserve">Several features of the proposed study will draw FDA comment:</w:t>
      </w:r>
    </w:p>
    <w:p>
      <w:pPr>
        <w:pStyle w:val="Compact"/>
        <w:numPr>
          <w:ilvl w:val="0"/>
          <w:numId w:val="1016"/>
        </w:numPr>
      </w:pPr>
      <w:r>
        <w:rPr>
          <w:b/>
          <w:bCs/>
        </w:rPr>
        <w:t xml:space="preserve">Unjustified performance goal.</w:t>
      </w:r>
      <w:r>
        <w:t xml:space="preserve"> </w:t>
      </w:r>
      <w:r>
        <w:t xml:space="preserve">The primary endpoint is ≥50% thrombus removal at 24 hours, with a performance goal that the lower bound of the 95% CI exceed 70% (Synopsis §9.1, §11.1). Neither the 50% threshold nor the 70% performance goal is benchmarked to literature, registry data, or an objective performance criterion. FDA generally expects performance goals to be justified with historical/control data. The ATTRACT, CaVenT, and ATTRACT-related literature cited in §17 should be mined to support (or replace) these numbers.</w:t>
      </w:r>
    </w:p>
    <w:p>
      <w:pPr>
        <w:pStyle w:val="Compact"/>
        <w:numPr>
          <w:ilvl w:val="0"/>
          <w:numId w:val="1016"/>
        </w:numPr>
      </w:pPr>
      <w:r>
        <w:rPr>
          <w:b/>
          <w:bCs/>
        </w:rPr>
        <w:t xml:space="preserve">Short follow-up.</w:t>
      </w:r>
      <w:r>
        <w:t xml:space="preserve"> </w:t>
      </w:r>
      <w:r>
        <w:t xml:space="preserve">Thirty-day follow-up (§10) captures acute safety and early patency but not post-thrombotic syndrome (PTS), the clinically central long-term outcome for iliofemoral DVT, which develops over months (CaVenT used 24 months; ATTRACT used 24 months). For 510(k)</w:t>
      </w:r>
      <w:r>
        <w:t xml:space="preserve"> </w:t>
      </w:r>
      <w:r>
        <w:rPr>
          <w:i/>
          <w:iCs/>
        </w:rPr>
        <w:t xml:space="preserve">supportive</w:t>
      </w:r>
      <w:r>
        <w:t xml:space="preserve"> </w:t>
      </w:r>
      <w:r>
        <w:t xml:space="preserve">data this may be defensible, but FDA may ask for longer safety follow-up, particularly given the tPA exposure.</w:t>
      </w:r>
    </w:p>
    <w:p>
      <w:pPr>
        <w:pStyle w:val="Compact"/>
        <w:numPr>
          <w:ilvl w:val="0"/>
          <w:numId w:val="1016"/>
        </w:numPr>
      </w:pPr>
      <w:r>
        <w:rPr>
          <w:b/>
          <w:bCs/>
        </w:rPr>
        <w:t xml:space="preserve">No independent DSMB.</w:t>
      </w:r>
      <w:r>
        <w:t xml:space="preserve"> </w:t>
      </w:r>
      <w:r>
        <w:t xml:space="preserve">Safety monitoring is by the sponsor and CRO only (§12). For a novel-device-plus-tPA study, an independent Data Safety Monitoring Board is advisable and may be expected.</w:t>
      </w:r>
    </w:p>
    <w:p>
      <w:pPr>
        <w:pStyle w:val="Compact"/>
        <w:numPr>
          <w:ilvl w:val="0"/>
          <w:numId w:val="1016"/>
        </w:numPr>
      </w:pPr>
      <w:r>
        <w:rPr>
          <w:b/>
          <w:bCs/>
        </w:rPr>
        <w:t xml:space="preserve">Venographic scoring methodology undefined.</w:t>
      </w:r>
      <w:r>
        <w:t xml:space="preserve"> </w:t>
      </w:r>
      <w:r>
        <w:t xml:space="preserve">The primary endpoint depends on a</w:t>
      </w:r>
      <w:r>
        <w:t xml:space="preserve"> </w:t>
      </w:r>
      <w:r>
        <w:t xml:space="preserve">“</w:t>
      </w:r>
      <w:r>
        <w:t xml:space="preserve">modified Marder scoring methodology (or an equivalent validated scoring system)</w:t>
      </w:r>
      <w:r>
        <w:t xml:space="preserve">”</w:t>
      </w:r>
      <w:r>
        <w:t xml:space="preserve"> </w:t>
      </w:r>
      <w:r>
        <w:t xml:space="preserve">(§9.1), but Appendix C (venographic scoring methodology) is</w:t>
      </w:r>
      <w:r>
        <w:t xml:space="preserve"> </w:t>
      </w:r>
      <w:r>
        <w:t xml:space="preserve">“</w:t>
      </w:r>
      <w:r>
        <w:t xml:space="preserve">in development</w:t>
      </w:r>
      <w:r>
        <w:t xml:space="preserve">”</w:t>
      </w:r>
      <w:r>
        <w:t xml:space="preserve"> </w:t>
      </w:r>
      <w:r>
        <w:t xml:space="preserve">(§18). The scoring method is integral to the primary endpoint and should be defined before the Q-Sub so FDA can comment on it.</w:t>
      </w:r>
    </w:p>
    <w:p>
      <w:pPr>
        <w:pStyle w:val="FirstParagraph"/>
      </w:pPr>
      <w:r>
        <w:rPr>
          <w:b/>
          <w:bCs/>
        </w:rPr>
        <w:t xml:space="preserve">Recommendation.</w:t>
      </w:r>
      <w:r>
        <w:t xml:space="preserve"> </w:t>
      </w:r>
      <w:r>
        <w:t xml:space="preserve">Justify the performance goal and threshold with literature; consider extending safety follow-up to at least 6 months (or justify 30 days); add an independent DSMB; and finalize the venographic scoring methodology for the Q-Sub.</w:t>
      </w:r>
    </w:p>
    <w:bookmarkEnd w:id="38"/>
    <w:bookmarkStart w:id="39" w:name="Xb049ebcf1921c3ddd21338842dc397c35fd8b9e"/>
    <w:p>
      <w:pPr>
        <w:pStyle w:val="Heading3"/>
      </w:pPr>
      <w:r>
        <w:t xml:space="preserve">O. Issue 15 — Reprocessing Validation for the Reusable Console Omitted</w:t>
      </w:r>
    </w:p>
    <w:p>
      <w:pPr>
        <w:pStyle w:val="FirstParagraph"/>
      </w:pPr>
      <w:r>
        <w:rPr>
          <w:b/>
          <w:bCs/>
        </w:rPr>
        <w:t xml:space="preserve">Documents affected:</w:t>
      </w:r>
      <w:r>
        <w:t xml:space="preserve"> </w:t>
      </w:r>
      <w:r>
        <w:t xml:space="preserve">Testing Plan §6.1; IFU §11.</w:t>
      </w:r>
    </w:p>
    <w:p>
      <w:pPr>
        <w:pStyle w:val="BodyText"/>
      </w:pPr>
      <w:r>
        <w:rPr>
          <w:b/>
          <w:bCs/>
        </w:rPr>
        <w:t xml:space="preserve">Discussion.</w:t>
      </w:r>
      <w:r>
        <w:t xml:space="preserve"> </w:t>
      </w:r>
      <w:r>
        <w:t xml:space="preserve">The console is reusable. The Testing Plan (§6.1) says cleaning/disinfection will be</w:t>
      </w:r>
      <w:r>
        <w:t xml:space="preserve"> </w:t>
      </w:r>
      <w:r>
        <w:t xml:space="preserve">“</w:t>
      </w:r>
      <w:r>
        <w:t xml:space="preserve">validated separately under Clearfield’s reusable device reprocessing validation protocol,</w:t>
      </w:r>
      <w:r>
        <w:t xml:space="preserve">”</w:t>
      </w:r>
      <w:r>
        <w:t xml:space="preserve"> </w:t>
      </w:r>
      <w:r>
        <w:t xml:space="preserve">but no such validation appears in the plan. The IFU (§11) gives instructions (disinfectant wipe, no immersion) but references no validated protocol. FDA’s 2015 guidance</w:t>
      </w:r>
      <w:r>
        <w:t xml:space="preserve"> </w:t>
      </w:r>
      <w:r>
        <w:t xml:space="preserve">“</w:t>
      </w:r>
      <w:r>
        <w:t xml:space="preserve">Reprocessing Medical Devices in Health Care Settings</w:t>
      </w:r>
      <w:r>
        <w:t xml:space="preserve">”</w:t>
      </w:r>
      <w:r>
        <w:t xml:space="preserve"> </w:t>
      </w:r>
      <w:r>
        <w:t xml:space="preserve">expects validated reprocessing instructions for reusable devices.</w:t>
      </w:r>
    </w:p>
    <w:p>
      <w:pPr>
        <w:pStyle w:val="BodyText"/>
      </w:pPr>
      <w:r>
        <w:rPr>
          <w:b/>
          <w:bCs/>
        </w:rPr>
        <w:t xml:space="preserve">Recommendation.</w:t>
      </w:r>
      <w:r>
        <w:t xml:space="preserve"> </w:t>
      </w:r>
      <w:r>
        <w:t xml:space="preserve">Add a reprocessing validation section (soiling, cleaning, disinfection, and validation of the labeled instructions) to the Testing Plan, and cite the validated method in the IFU.</w:t>
      </w:r>
    </w:p>
    <w:bookmarkEnd w:id="39"/>
    <w:bookmarkStart w:id="40" w:name="X2f68174bf22deec41c48532e156a0f056d94344"/>
    <w:p>
      <w:pPr>
        <w:pStyle w:val="Heading3"/>
      </w:pPr>
      <w:r>
        <w:t xml:space="preserve">P. Issue 16 — Human Factors / Usability Not Addressed</w:t>
      </w:r>
    </w:p>
    <w:p>
      <w:pPr>
        <w:pStyle w:val="FirstParagraph"/>
      </w:pPr>
      <w:r>
        <w:rPr>
          <w:b/>
          <w:bCs/>
        </w:rPr>
        <w:t xml:space="preserve">Documents affected:</w:t>
      </w:r>
      <w:r>
        <w:t xml:space="preserve"> </w:t>
      </w:r>
      <w:r>
        <w:t xml:space="preserve">Device Description §2.3; Testing Plan (none).</w:t>
      </w:r>
    </w:p>
    <w:p>
      <w:pPr>
        <w:pStyle w:val="BodyText"/>
      </w:pPr>
      <w:r>
        <w:rPr>
          <w:b/>
          <w:bCs/>
        </w:rPr>
        <w:t xml:space="preserve">Discussion.</w:t>
      </w:r>
      <w:r>
        <w:t xml:space="preserve"> </w:t>
      </w:r>
      <w:r>
        <w:t xml:space="preserve">The console uses a touchscreen interface to control safety-critical functions (impeller speed to 12,000 RPM, aspiration to −650 mmHg). Neither IEC 62366-1 nor FDA’s 2016 human-factors guidance is referenced, and no usability testing is planned. Use errors (e.g., wrong speed, wrong aspiration level, failure to recognize an alarm) could cause serious harm. FDA increasingly expects human-factors engineering for devices with safety-critical user interfaces.</w:t>
      </w:r>
    </w:p>
    <w:p>
      <w:pPr>
        <w:pStyle w:val="BodyText"/>
      </w:pPr>
      <w:r>
        <w:rPr>
          <w:b/>
          <w:bCs/>
        </w:rPr>
        <w:t xml:space="preserve">Recommendation.</w:t>
      </w:r>
      <w:r>
        <w:t xml:space="preserve"> </w:t>
      </w:r>
      <w:r>
        <w:t xml:space="preserve">Add a human-factors/usability engineering plan (per IEC 62366-1 and FDA’s 2016 guidance), including use-error analysis and summative usability testing, to the Testing Plan. This also depends on resolving the touchscreen-vs-LCD inconsistency (Issue 13, item 2).</w:t>
      </w:r>
    </w:p>
    <w:bookmarkEnd w:id="40"/>
    <w:bookmarkStart w:id="41" w:name="X66e5996c1263daf5107747fedc4efc3cdca9591"/>
    <w:p>
      <w:pPr>
        <w:pStyle w:val="Heading3"/>
      </w:pPr>
      <w:r>
        <w:t xml:space="preserve">Q. Issue 17 — Bench-Model and Thrombus-Analog Limitations; Threshold vs. Predicate Performance</w:t>
      </w:r>
    </w:p>
    <w:p>
      <w:pPr>
        <w:pStyle w:val="FirstParagraph"/>
      </w:pPr>
      <w:r>
        <w:rPr>
          <w:b/>
          <w:bCs/>
        </w:rPr>
        <w:t xml:space="preserve">Documents affected:</w:t>
      </w:r>
      <w:r>
        <w:t xml:space="preserve"> </w:t>
      </w:r>
      <w:r>
        <w:t xml:space="preserve">Testing Plan §7; 510(k) Summary §5.5.</w:t>
      </w:r>
    </w:p>
    <w:p>
      <w:pPr>
        <w:pStyle w:val="BodyText"/>
      </w:pPr>
      <w:r>
        <w:rPr>
          <w:b/>
          <w:bCs/>
        </w:rPr>
        <w:t xml:space="preserve">Discussion.</w:t>
      </w:r>
      <w:r>
        <w:t xml:space="preserve"> </w:t>
      </w:r>
      <w:r>
        <w:t xml:space="preserve">Two points. First, the thrombus analog is aged 24–48 hours (Testing Plan §7.1), representing only acute clot; the predicate used clots aged 1–7 days to span a range of maturity (510(k) Summary §5.5). Because the indication covers symptom onset ≤14 days (and thrombus may be older than symptoms suggest), testing only young, soft clot may bias thrombus-removal results favorably. Second, the acceptance criterion is ≥80% removal in ≥90% of runs; the predicate achieved a</w:t>
      </w:r>
      <w:r>
        <w:t xml:space="preserve"> </w:t>
      </w:r>
      <w:r>
        <w:rPr>
          <w:i/>
          <w:iCs/>
        </w:rPr>
        <w:t xml:space="preserve">mean</w:t>
      </w:r>
      <w:r>
        <w:t xml:space="preserve"> </w:t>
      </w:r>
      <w:r>
        <w:t xml:space="preserve">of 78.4% (range 65.2–91.7%). Setting the bar above the predicate’s mean performance, on easier (younger) clot, is aggressive and should be justified.</w:t>
      </w:r>
    </w:p>
    <w:p>
      <w:pPr>
        <w:pStyle w:val="BodyText"/>
      </w:pPr>
      <w:r>
        <w:rPr>
          <w:b/>
          <w:bCs/>
        </w:rPr>
        <w:t xml:space="preserve">Recommendation.</w:t>
      </w:r>
      <w:r>
        <w:t xml:space="preserve"> </w:t>
      </w:r>
      <w:r>
        <w:t xml:space="preserve">Broaden the thrombus-analog aging range to reflect the indicated population; justify the 80%/90% acceptance criteria against predicate and literature data; and consider reporting a distribution rather than a binary pass/fail.</w:t>
      </w:r>
    </w:p>
    <w:bookmarkEnd w:id="41"/>
    <w:bookmarkStart w:id="42" w:name="Xf0ee067ab7f92102ae9ed32f53475a6fcb604ff"/>
    <w:p>
      <w:pPr>
        <w:pStyle w:val="Heading3"/>
      </w:pPr>
      <w:r>
        <w:t xml:space="preserve">R. Issue 18 — Impeller-Driven Hemolysis Not Evaluated Under Simulated Use</w:t>
      </w:r>
    </w:p>
    <w:p>
      <w:pPr>
        <w:pStyle w:val="FirstParagraph"/>
      </w:pPr>
      <w:r>
        <w:rPr>
          <w:b/>
          <w:bCs/>
        </w:rPr>
        <w:t xml:space="preserve">Documents affected:</w:t>
      </w:r>
      <w:r>
        <w:t xml:space="preserve"> </w:t>
      </w:r>
      <w:r>
        <w:t xml:space="preserve">Testing Plan §§2.2, 7.</w:t>
      </w:r>
    </w:p>
    <w:p>
      <w:pPr>
        <w:pStyle w:val="BodyText"/>
      </w:pPr>
      <w:r>
        <w:rPr>
          <w:b/>
          <w:bCs/>
        </w:rPr>
        <w:t xml:space="preserve">Discussion.</w:t>
      </w:r>
      <w:r>
        <w:t xml:space="preserve"> </w:t>
      </w:r>
      <w:r>
        <w:t xml:space="preserve">The biocompatibility battery includes hemocompatibility/hemolysis under ISO 10993-4 (Testing Plan §2.2), but that is a static/material-contact assessment. A 12,000-RPM rotating impeller macerating thrombus in flowing blood creates a mechanical-hemolysis hazard that static ISO 10993-4 testing does not capture, and the simulated-use protocol (§7) does not measure free hemoglobin or plasma hemoglobin. The predicate had no rotating element and thus no analogous risk. Mechanical hemolysis is a recognized concern for rotational thrombectomy devices.</w:t>
      </w:r>
    </w:p>
    <w:p>
      <w:pPr>
        <w:pStyle w:val="BodyText"/>
      </w:pPr>
      <w:r>
        <w:rPr>
          <w:b/>
          <w:bCs/>
        </w:rPr>
        <w:t xml:space="preserve">Recommendation.</w:t>
      </w:r>
      <w:r>
        <w:t xml:space="preserve"> </w:t>
      </w:r>
      <w:r>
        <w:t xml:space="preserve">Add a dynamic hemolysis endpoint (free hemoglobin / plasma Hb, and indices such as LDH) to the simulated-use bench test, with an acceptance criterion. This is especially important given the −650 mmHg aspiration (which itself can contribute to hemolysis) and the predicate’s much lower aspiration pressure.</w:t>
      </w:r>
    </w:p>
    <w:p>
      <w:r>
        <w:pict>
          <v:rect style="width:0;height:1.5pt" o:hralign="center" o:hrstd="t" o:hr="t"/>
        </w:pict>
      </w:r>
    </w:p>
    <w:bookmarkEnd w:id="42"/>
    <w:bookmarkEnd w:id="43"/>
    <w:bookmarkStart w:id="50" w:name="X4c0918e3ae810b4de31be7777bfc273f57313f7"/>
    <w:p>
      <w:pPr>
        <w:pStyle w:val="Heading2"/>
      </w:pPr>
      <w:r>
        <w:t xml:space="preserve">VI. Tier 4 — Lower-Priority / Editorial / Strategic Issues</w:t>
      </w:r>
    </w:p>
    <w:bookmarkStart w:id="44" w:name="s.-issue-19-figures-not-inserted"/>
    <w:p>
      <w:pPr>
        <w:pStyle w:val="Heading3"/>
      </w:pPr>
      <w:r>
        <w:t xml:space="preserve">S. Issue 19 — Figures Not Inserted</w:t>
      </w:r>
    </w:p>
    <w:p>
      <w:pPr>
        <w:pStyle w:val="FirstParagraph"/>
      </w:pPr>
      <w:r>
        <w:rPr>
          <w:b/>
          <w:bCs/>
        </w:rPr>
        <w:t xml:space="preserve">Documents affected:</w:t>
      </w:r>
      <w:r>
        <w:t xml:space="preserve"> </w:t>
      </w:r>
      <w:r>
        <w:t xml:space="preserve">Device Description, Appendix A (Figures 1–3, all</w:t>
      </w:r>
      <w:r>
        <w:t xml:space="preserve"> </w:t>
      </w:r>
      <w:r>
        <w:t xml:space="preserve">“</w:t>
      </w:r>
      <w:r>
        <w:t xml:space="preserve">to be inserted</w:t>
      </w:r>
      <w:r>
        <w:t xml:space="preserve">”</w:t>
      </w:r>
      <w:r>
        <w:t xml:space="preserve">).</w:t>
      </w:r>
    </w:p>
    <w:p>
      <w:pPr>
        <w:pStyle w:val="BodyText"/>
      </w:pPr>
      <w:r>
        <w:rPr>
          <w:b/>
          <w:bCs/>
        </w:rPr>
        <w:t xml:space="preserve">Recommendation.</w:t>
      </w:r>
      <w:r>
        <w:t xml:space="preserve"> </w:t>
      </w:r>
      <w:r>
        <w:t xml:space="preserve">Insert the schematic and console figures before filing; FDA relies on device schematics to understand the mechanism, which is central to the SE analysis. Figure 3 (reproduced from the K192847 summary) should be confirmed as permissible to reproduce, or redrawn.</w:t>
      </w:r>
    </w:p>
    <w:bookmarkEnd w:id="44"/>
    <w:bookmarkStart w:id="45" w:name="X1c6b01251e9fc5990bdaf6a4c46feb0b49e343d"/>
    <w:p>
      <w:pPr>
        <w:pStyle w:val="Heading3"/>
      </w:pPr>
      <w:r>
        <w:t xml:space="preserve">T. Issue 20 — Clinical Appendices</w:t>
      </w:r>
      <w:r>
        <w:t xml:space="preserve"> </w:t>
      </w:r>
      <w:r>
        <w:t xml:space="preserve">“</w:t>
      </w:r>
      <w:r>
        <w:t xml:space="preserve">In Development</w:t>
      </w:r>
      <w:r>
        <w:t xml:space="preserve">”</w:t>
      </w:r>
    </w:p>
    <w:p>
      <w:pPr>
        <w:pStyle w:val="FirstParagraph"/>
      </w:pPr>
      <w:r>
        <w:rPr>
          <w:b/>
          <w:bCs/>
        </w:rPr>
        <w:t xml:space="preserve">Documents affected:</w:t>
      </w:r>
      <w:r>
        <w:t xml:space="preserve"> </w:t>
      </w:r>
      <w:r>
        <w:t xml:space="preserve">Clinical Synopsis §18 (Appendices A–D, all</w:t>
      </w:r>
      <w:r>
        <w:t xml:space="preserve"> </w:t>
      </w:r>
      <w:r>
        <w:t xml:space="preserve">“</w:t>
      </w:r>
      <w:r>
        <w:t xml:space="preserve">in development</w:t>
      </w:r>
      <w:r>
        <w:t xml:space="preserve">”</w:t>
      </w:r>
      <w:r>
        <w:t xml:space="preserve">).</w:t>
      </w:r>
    </w:p>
    <w:p>
      <w:pPr>
        <w:pStyle w:val="BodyText"/>
      </w:pPr>
      <w:r>
        <w:rPr>
          <w:b/>
          <w:bCs/>
        </w:rPr>
        <w:t xml:space="preserve">Recommendation.</w:t>
      </w:r>
      <w:r>
        <w:t xml:space="preserve"> </w:t>
      </w:r>
      <w:r>
        <w:t xml:space="preserve">At minimum, finalize the venographic scoring methodology (Appendix C) for the Q-Sub, since it underpins the primary endpoint. The model ICF (Appendix A) and CRF templates (Appendix B) can follow, but the scoring method should be available for FDA comment.</w:t>
      </w:r>
    </w:p>
    <w:bookmarkEnd w:id="45"/>
    <w:bookmarkStart w:id="46" w:name="X517ea750f47681c193619c9441f6a368d84ea28"/>
    <w:p>
      <w:pPr>
        <w:pStyle w:val="Heading3"/>
      </w:pPr>
      <w:r>
        <w:t xml:space="preserve">U. Issue 21 — Materials Lists Inconsistent; Nickel/Nitinol Allergy Not Addressed</w:t>
      </w:r>
    </w:p>
    <w:p>
      <w:pPr>
        <w:pStyle w:val="FirstParagraph"/>
      </w:pPr>
      <w:r>
        <w:rPr>
          <w:b/>
          <w:bCs/>
        </w:rPr>
        <w:t xml:space="preserve">Documents affected:</w:t>
      </w:r>
      <w:r>
        <w:t xml:space="preserve"> </w:t>
      </w:r>
      <w:r>
        <w:t xml:space="preserve">Clinical Synopsis §7.3 (excl. 6); IFU §3 (contraind. 2); Device Description §2.2; Testing Plan §2.3.</w:t>
      </w:r>
    </w:p>
    <w:p>
      <w:pPr>
        <w:pStyle w:val="BodyText"/>
      </w:pPr>
      <w:r>
        <w:rPr>
          <w:b/>
          <w:bCs/>
        </w:rPr>
        <w:t xml:space="preserve">Discussion.</w:t>
      </w:r>
      <w:r>
        <w:t xml:space="preserve"> </w:t>
      </w:r>
      <w:r>
        <w:t xml:space="preserve">The Clinical Synopsis excludes patients with allergy to</w:t>
      </w:r>
      <w:r>
        <w:t xml:space="preserve"> </w:t>
      </w:r>
      <w:r>
        <w:t xml:space="preserve">“</w:t>
      </w:r>
      <w:r>
        <w:t xml:space="preserve">polyurethane and silicone,</w:t>
      </w:r>
      <w:r>
        <w:t xml:space="preserve">”</w:t>
      </w:r>
      <w:r>
        <w:t xml:space="preserve"> </w:t>
      </w:r>
      <w:r>
        <w:t xml:space="preserve">but silicone is not listed as a device material anywhere. The IFU contraindicates allergy to</w:t>
      </w:r>
      <w:r>
        <w:t xml:space="preserve"> </w:t>
      </w:r>
      <w:r>
        <w:t xml:space="preserve">“</w:t>
      </w:r>
      <w:r>
        <w:t xml:space="preserve">polyurethane, stainless steel, and barium sulfate,</w:t>
      </w:r>
      <w:r>
        <w:t xml:space="preserve">”</w:t>
      </w:r>
      <w:r>
        <w:t xml:space="preserve"> </w:t>
      </w:r>
      <w:r>
        <w:t xml:space="preserve">but barium sulfate is not listed in the Device Description or Testing Plan materials (the predicate used a barium-sulfate radiopaque marker; the VascuClear’s radiopaque strategy is unspecified). Most importantly, if the impeller is nitinol (Testing Plan §2.3) — or even if nitinol is present in the distal tip (Device Description §2.2) —</w:t>
      </w:r>
      <w:r>
        <w:t xml:space="preserve"> </w:t>
      </w:r>
      <w:r>
        <w:rPr>
          <w:b/>
          <w:bCs/>
        </w:rPr>
        <w:t xml:space="preserve">nickel hypersensitivity</w:t>
      </w:r>
      <w:r>
        <w:t xml:space="preserve"> </w:t>
      </w:r>
      <w:r>
        <w:t xml:space="preserve">is a recognized concern and should be addressed in the contraindications/exclusions and in the biocompatibility risk assessment, neither of which currently mentions nickel.</w:t>
      </w:r>
    </w:p>
    <w:p>
      <w:pPr>
        <w:pStyle w:val="BodyText"/>
      </w:pPr>
      <w:r>
        <w:rPr>
          <w:b/>
          <w:bCs/>
        </w:rPr>
        <w:t xml:space="preserve">Recommendation.</w:t>
      </w:r>
      <w:r>
        <w:t xml:space="preserve"> </w:t>
      </w:r>
      <w:r>
        <w:t xml:space="preserve">Reconcile the materials list across all documents (ties to Issue 13, item 3); remove silicone if not present; clarify the radiopaque-marker material; and add nickel/nitinol hypersensitivity to the contraindications, exclusion criteria, and biocompatibility risk assessment as appropriate.</w:t>
      </w:r>
    </w:p>
    <w:bookmarkEnd w:id="46"/>
    <w:bookmarkStart w:id="47" w:name="X9bdef973c7027ecb9bb9bcb3b77248dc619e60c"/>
    <w:p>
      <w:pPr>
        <w:pStyle w:val="Heading3"/>
      </w:pPr>
      <w:r>
        <w:t xml:space="preserve">V. Issue 22 — December 31, 2025 Clearance Milestone Appears Unrealistic; Corporate Implications</w:t>
      </w:r>
    </w:p>
    <w:p>
      <w:pPr>
        <w:pStyle w:val="FirstParagraph"/>
      </w:pPr>
      <w:r>
        <w:rPr>
          <w:b/>
          <w:bCs/>
        </w:rPr>
        <w:t xml:space="preserve">Documents affected:</w:t>
      </w:r>
      <w:r>
        <w:t xml:space="preserve"> </w:t>
      </w:r>
      <w:r>
        <w:t xml:space="preserve">Testing Plan §9.2; email chain (Fessenden 4/22; Pressman 5/12).</w:t>
      </w:r>
    </w:p>
    <w:p>
      <w:pPr>
        <w:pStyle w:val="BodyText"/>
      </w:pPr>
      <w:r>
        <w:rPr>
          <w:b/>
          <w:bCs/>
        </w:rPr>
        <w:t xml:space="preserve">Discussion.</w:t>
      </w:r>
      <w:r>
        <w:t xml:space="preserve"> </w:t>
      </w:r>
      <w:r>
        <w:t xml:space="preserve">The Testing Plan (§9.2) shows non-clinical testing completing November–December 2025, with the 510(k) to be submitted</w:t>
      </w:r>
      <w:r>
        <w:t xml:space="preserve"> </w:t>
      </w:r>
      <w:r>
        <w:t xml:space="preserve">“</w:t>
      </w:r>
      <w:r>
        <w:t xml:space="preserve">as early as practical</w:t>
      </w:r>
      <w:r>
        <w:t xml:space="preserve">”</w:t>
      </w:r>
      <w:r>
        <w:t xml:space="preserve"> </w:t>
      </w:r>
      <w:r>
        <w:t xml:space="preserve">thereafter and clearance targeted by December 31, 2025. A 510(k) submitted in December 2025 cannot be cleared by December 31, 2025 — FDA review alone is ~90 days, and that assumes no hold. The Braddock Ventures Series D milestone (510(k) clearance by 12/31/2025) therefore appears unachievable on the current plan,</w:t>
      </w:r>
      <w:r>
        <w:t xml:space="preserve"> </w:t>
      </w:r>
      <w:r>
        <w:rPr>
          <w:i/>
          <w:iCs/>
        </w:rPr>
        <w:t xml:space="preserve">independent</w:t>
      </w:r>
      <w:r>
        <w:t xml:space="preserve"> </w:t>
      </w:r>
      <w:r>
        <w:t xml:space="preserve">of the Tier 1 issues. If any Tier 1 issue forces a pathway change (combination product, IDE, de novo) or any Tier 2 issue forces testing rework, the slip compounds. With ~$18.3M cash and a $1.52M/month burn (Marsh, 5/9 email), the runway does not accommodate large delays.</w:t>
      </w:r>
    </w:p>
    <w:p>
      <w:pPr>
        <w:pStyle w:val="BodyText"/>
      </w:pPr>
      <w:r>
        <w:rPr>
          <w:b/>
          <w:bCs/>
        </w:rPr>
        <w:t xml:space="preserve">Recommendation.</w:t>
      </w:r>
      <w:r>
        <w:t xml:space="preserve"> </w:t>
      </w:r>
      <w:r>
        <w:t xml:space="preserve">Re-baseline the timeline realistically and communicate it to the board and to Braddock/Northgate now. Per Kate’s 5/12 email, loop in Kendrick &amp; Hale on the corporate/contractual implications of a likely milestone miss, particularly if the pathway changes. Do not let the milestone pressure drive a premature or under-supported Q-Sub.</w:t>
      </w:r>
    </w:p>
    <w:bookmarkEnd w:id="47"/>
    <w:bookmarkStart w:id="48" w:name="X9b7c6f0edd4a33be83afe2524f9729781af97a8"/>
    <w:p>
      <w:pPr>
        <w:pStyle w:val="Heading3"/>
      </w:pPr>
      <w:r>
        <w:t xml:space="preserve">W. Issue 23 — Alarm-Systems Collateral Standard (IEC 60601-1-8) Not Addressed</w:t>
      </w:r>
    </w:p>
    <w:p>
      <w:pPr>
        <w:pStyle w:val="FirstParagraph"/>
      </w:pPr>
      <w:r>
        <w:rPr>
          <w:b/>
          <w:bCs/>
        </w:rPr>
        <w:t xml:space="preserve">Documents affected:</w:t>
      </w:r>
      <w:r>
        <w:t xml:space="preserve"> </w:t>
      </w:r>
      <w:r>
        <w:t xml:space="preserve">Testing Plan §4; Device Description §2.3.</w:t>
      </w:r>
    </w:p>
    <w:p>
      <w:pPr>
        <w:pStyle w:val="BodyText"/>
      </w:pPr>
      <w:r>
        <w:rPr>
          <w:b/>
          <w:bCs/>
        </w:rPr>
        <w:t xml:space="preserve">Discussion.</w:t>
      </w:r>
      <w:r>
        <w:t xml:space="preserve"> </w:t>
      </w:r>
      <w:r>
        <w:t xml:space="preserve">The console implements safety alarms (overspeed, over-pressure, obstruction, disconnect). IEC 60601-1-8 (alarm systems in medical electrical equipment) may apply, alongside the usability considerations in Issue 16.</w:t>
      </w:r>
    </w:p>
    <w:p>
      <w:pPr>
        <w:pStyle w:val="BodyText"/>
      </w:pPr>
      <w:r>
        <w:rPr>
          <w:b/>
          <w:bCs/>
        </w:rPr>
        <w:t xml:space="preserve">Recommendation.</w:t>
      </w:r>
      <w:r>
        <w:t xml:space="preserve"> </w:t>
      </w:r>
      <w:r>
        <w:t xml:space="preserve">Evaluate IEC 60601-1-8 applicability and add alarm-system verification to the electrical-safety plan if applicable.</w:t>
      </w:r>
    </w:p>
    <w:bookmarkEnd w:id="48"/>
    <w:bookmarkStart w:id="49" w:name="Xa1bae3ceb2786fa64ae61d069e83fd3e82c28a6"/>
    <w:p>
      <w:pPr>
        <w:pStyle w:val="Heading3"/>
      </w:pPr>
      <w:r>
        <w:t xml:space="preserve">X. Issue 24 — Cybersecurity Posture Not Addressed</w:t>
      </w:r>
    </w:p>
    <w:p>
      <w:pPr>
        <w:pStyle w:val="FirstParagraph"/>
      </w:pPr>
      <w:r>
        <w:rPr>
          <w:b/>
          <w:bCs/>
        </w:rPr>
        <w:t xml:space="preserve">Documents affected:</w:t>
      </w:r>
      <w:r>
        <w:t xml:space="preserve"> </w:t>
      </w:r>
      <w:r>
        <w:t xml:space="preserve">Device Description §2.3; Testing Plan §5.</w:t>
      </w:r>
    </w:p>
    <w:p>
      <w:pPr>
        <w:pStyle w:val="BodyText"/>
      </w:pPr>
      <w:r>
        <w:rPr>
          <w:b/>
          <w:bCs/>
        </w:rPr>
        <w:t xml:space="preserve">Discussion.</w:t>
      </w:r>
      <w:r>
        <w:t xml:space="preserve"> </w:t>
      </w:r>
      <w:r>
        <w:t xml:space="preserve">The console has embedded firmware, operational data logging, and</w:t>
      </w:r>
      <w:r>
        <w:t xml:space="preserve"> </w:t>
      </w:r>
      <w:r>
        <w:t xml:space="preserve">“</w:t>
      </w:r>
      <w:r>
        <w:t xml:space="preserve">service diagnostics.</w:t>
      </w:r>
      <w:r>
        <w:t xml:space="preserve">”</w:t>
      </w:r>
      <w:r>
        <w:t xml:space="preserve"> </w:t>
      </w:r>
      <w:r>
        <w:t xml:space="preserve">If there is any data connectivity (wireless, network, USB service port), FDA’s 2023 cybersecurity guidance (</w:t>
      </w:r>
      <w:r>
        <w:t xml:space="preserve">“</w:t>
      </w:r>
      <w:r>
        <w:t xml:space="preserve">Cybersecurity in Medical Devices</w:t>
      </w:r>
      <w:r>
        <w:t xml:space="preserve">”</w:t>
      </w:r>
      <w:r>
        <w:t xml:space="preserve">) and a premarket cybersecurity submission may apply. If the device is fully offline, a brief statement to that effect in the submission suffices.</w:t>
      </w:r>
    </w:p>
    <w:p>
      <w:pPr>
        <w:pStyle w:val="BodyText"/>
      </w:pPr>
      <w:r>
        <w:rPr>
          <w:b/>
          <w:bCs/>
        </w:rPr>
        <w:t xml:space="preserve">Recommendation.</w:t>
      </w:r>
      <w:r>
        <w:t xml:space="preserve"> </w:t>
      </w:r>
      <w:r>
        <w:t xml:space="preserve">Confirm whether the console has any connectivity. If yes, add a cybersecurity plan (threat modeling, security risk management, SBOM) per the 2023 guidance. If no, state so explicitly.</w:t>
      </w:r>
    </w:p>
    <w:p>
      <w:r>
        <w:pict>
          <v:rect style="width:0;height:1.5pt" o:hralign="center" o:hrstd="t" o:hr="t"/>
        </w:pict>
      </w:r>
    </w:p>
    <w:bookmarkEnd w:id="49"/>
    <w:bookmarkEnd w:id="50"/>
    <w:bookmarkStart w:id="51" w:name="X08fed12d89bcfdf7f1a1cb548931a0021598f57"/>
    <w:p>
      <w:pPr>
        <w:pStyle w:val="Heading2"/>
      </w:pPr>
      <w:r>
        <w:t xml:space="preserve">VII. Cross-Cutting Recommendations and Next Steps</w:t>
      </w:r>
    </w:p>
    <w:p>
      <w:pPr>
        <w:numPr>
          <w:ilvl w:val="0"/>
          <w:numId w:val="1017"/>
        </w:numPr>
      </w:pPr>
      <w:r>
        <w:rPr>
          <w:b/>
          <w:bCs/>
        </w:rPr>
        <w:t xml:space="preserve">Resolve the four Tier 1 issues before filing.</w:t>
      </w:r>
      <w:r>
        <w:t xml:space="preserve"> </w:t>
      </w:r>
      <w:r>
        <w:t xml:space="preserve">They are interrelated: the drug-delivery indication (Issue 4) drives both the combination-product question (Issue 1) and the SE/new-questions problem (Issue 3); the IDE/clinical-timeline contradiction (Issue 2) is independent but equally time-sensitive. A go/no-go decision on the pathway should be made now, not deferred to the Q-Sub meeting.</w:t>
      </w:r>
    </w:p>
    <w:p>
      <w:pPr>
        <w:numPr>
          <w:ilvl w:val="0"/>
          <w:numId w:val="1017"/>
        </w:numPr>
      </w:pPr>
      <w:r>
        <w:rPr>
          <w:b/>
          <w:bCs/>
        </w:rPr>
        <w:t xml:space="preserve">Add two Q-Sub questions that the package currently omits:</w:t>
      </w:r>
      <w:r>
        <w:t xml:space="preserve"> </w:t>
      </w:r>
      <w:r>
        <w:t xml:space="preserve">(a) whether the Device should be classified/regulated as a combination product under 21 CFR Part 3; and (b) whether an IDE is required for the proposed clinical study, and if so, FDA’s view on SR vs. NSR. Both are squarely within the purpose of a Q-Sub and both have been flagged internally by counsel. Filing without them forfeits the opportunity to get FDA’s view on the two highest-stakes questions before committing.</w:t>
      </w:r>
    </w:p>
    <w:p>
      <w:pPr>
        <w:numPr>
          <w:ilvl w:val="0"/>
          <w:numId w:val="1017"/>
        </w:numPr>
      </w:pPr>
      <w:r>
        <w:rPr>
          <w:b/>
          <w:bCs/>
        </w:rPr>
        <w:t xml:space="preserve">Pre-empt the Tier 2 testing gaps now.</w:t>
      </w:r>
      <w:r>
        <w:t xml:space="preserve"> </w:t>
      </w:r>
      <w:r>
        <w:t xml:space="preserve">The contact-duration/biocompatibility contradiction (Issue 5), the impeller-fatigue specification (Issue 6), the software documentation level (Issue 7), and the EMC omission (Issue 8) are all but certain to be raised by FDA. Addressing them in the Q-Sub (rather than reacting to FDA feedback) preserves schedule and signals readiness. Several (Issue 5 in particular) also change the testing budget and timeline and should be reflected in the cost/schedule update to the board.</w:t>
      </w:r>
    </w:p>
    <w:p>
      <w:pPr>
        <w:numPr>
          <w:ilvl w:val="0"/>
          <w:numId w:val="1017"/>
        </w:numPr>
      </w:pPr>
      <w:r>
        <w:rPr>
          <w:b/>
          <w:bCs/>
        </w:rPr>
        <w:t xml:space="preserve">Produce a single controlled facts sheet</w:t>
      </w:r>
      <w:r>
        <w:t xml:space="preserve"> </w:t>
      </w:r>
      <w:r>
        <w:t xml:space="preserve">and reconcile all documents to it (Issue 13). The predicate-indication error in Testing Plan Appendix A and the impeller-material discrepancy are the highest-priority reconciliations.</w:t>
      </w:r>
    </w:p>
    <w:p>
      <w:pPr>
        <w:numPr>
          <w:ilvl w:val="0"/>
          <w:numId w:val="1017"/>
        </w:numPr>
      </w:pPr>
      <w:r>
        <w:rPr>
          <w:b/>
          <w:bCs/>
        </w:rPr>
        <w:t xml:space="preserve">Re-baseline the timeline and engage corporate counsel.</w:t>
      </w:r>
      <w:r>
        <w:t xml:space="preserve"> </w:t>
      </w:r>
      <w:r>
        <w:t xml:space="preserve">The December 31, 2025 clearance milestone is not achievable on the current plan even without a pathway change. Kendrick &amp; Hale should be engaged on the Braddock/Northgate implications now (Issue 22; Pressman 5/12 email).</w:t>
      </w:r>
    </w:p>
    <w:p>
      <w:pPr>
        <w:numPr>
          <w:ilvl w:val="0"/>
          <w:numId w:val="1017"/>
        </w:numPr>
      </w:pPr>
      <w:r>
        <w:rPr>
          <w:b/>
          <w:bCs/>
        </w:rPr>
        <w:t xml:space="preserve">Recommended decision points for the May 19 internal review:</w:t>
      </w:r>
    </w:p>
    <w:p>
      <w:pPr>
        <w:pStyle w:val="Compact"/>
        <w:numPr>
          <w:ilvl w:val="1"/>
          <w:numId w:val="1018"/>
        </w:numPr>
      </w:pPr>
      <w:r>
        <w:t xml:space="preserve">Pathway: confirm traditional 510(k) vs. prepare de novo fallback; decide whether to add the combination-product and IDE questions to the Q-Sub (recommend: yes to both).</w:t>
      </w:r>
    </w:p>
    <w:p>
      <w:pPr>
        <w:pStyle w:val="Compact"/>
        <w:numPr>
          <w:ilvl w:val="1"/>
          <w:numId w:val="1018"/>
        </w:numPr>
      </w:pPr>
      <w:r>
        <w:t xml:space="preserve">Indication: decide claimed-indication vs. described-feature posture for drug delivery, and propagate consistently.</w:t>
      </w:r>
    </w:p>
    <w:p>
      <w:pPr>
        <w:pStyle w:val="Compact"/>
        <w:numPr>
          <w:ilvl w:val="1"/>
          <w:numId w:val="1018"/>
        </w:numPr>
      </w:pPr>
      <w:r>
        <w:t xml:space="preserve">Clinical study: decide pre-clearance (IDE) vs. genuine post-clearance, and re-baseline enrollment accordingly.</w:t>
      </w:r>
    </w:p>
    <w:p>
      <w:pPr>
        <w:pStyle w:val="Compact"/>
        <w:numPr>
          <w:ilvl w:val="1"/>
          <w:numId w:val="1018"/>
        </w:numPr>
      </w:pPr>
      <w:r>
        <w:t xml:space="preserve">Testing plan: authorize the additions in Issues 5, 6, 7, 8, 9, 10, 11, 12, 15, 16, 18 and re-estimate cost/schedule.</w:t>
      </w:r>
    </w:p>
    <w:p>
      <w:pPr>
        <w:pStyle w:val="FirstParagraph"/>
      </w:pPr>
      <w:r>
        <w:t xml:space="preserve">I am available to discuss any of the above in advance of the May 19 review.</w:t>
      </w:r>
    </w:p>
    <w:p>
      <w:r>
        <w:pict>
          <v:rect style="width:0;height:1.5pt" o:hralign="center" o:hrstd="t" o:hr="t"/>
        </w:pict>
      </w:r>
    </w:p>
    <w:bookmarkEnd w:id="51"/>
    <w:bookmarkStart w:id="52" w:name="viii.-documents-reviewed"/>
    <w:p>
      <w:pPr>
        <w:pStyle w:val="Heading2"/>
      </w:pPr>
      <w:r>
        <w:t xml:space="preserve">VIII. Documents Reviewed</w:t>
      </w:r>
    </w:p>
    <w:p>
      <w:pPr>
        <w:pStyle w:val="Compact"/>
        <w:numPr>
          <w:ilvl w:val="0"/>
          <w:numId w:val="1019"/>
        </w:numPr>
      </w:pPr>
      <w:r>
        <w:rPr>
          <w:rStyle w:val="VerbatimChar"/>
        </w:rPr>
        <w:t xml:space="preserve">presub-cover-letter.docx</w:t>
      </w:r>
      <w:r>
        <w:t xml:space="preserve"> </w:t>
      </w:r>
      <w:r>
        <w:t xml:space="preserve">— Pre-Submission Cover Letter (May 19, 2025).</w:t>
      </w:r>
    </w:p>
    <w:p>
      <w:pPr>
        <w:pStyle w:val="Compact"/>
        <w:numPr>
          <w:ilvl w:val="0"/>
          <w:numId w:val="1019"/>
        </w:numPr>
      </w:pPr>
      <w:r>
        <w:rPr>
          <w:rStyle w:val="VerbatimChar"/>
        </w:rPr>
        <w:t xml:space="preserve">device-description-predicate-comparison.docx</w:t>
      </w:r>
      <w:r>
        <w:t xml:space="preserve"> </w:t>
      </w:r>
      <w:r>
        <w:t xml:space="preserve">— Device Description and Predicate Comparison (Section 2).</w:t>
      </w:r>
    </w:p>
    <w:p>
      <w:pPr>
        <w:pStyle w:val="Compact"/>
        <w:numPr>
          <w:ilvl w:val="0"/>
          <w:numId w:val="1019"/>
        </w:numPr>
      </w:pPr>
      <w:r>
        <w:rPr>
          <w:rStyle w:val="VerbatimChar"/>
        </w:rPr>
        <w:t xml:space="preserve">proposed-testing-plan.docx</w:t>
      </w:r>
      <w:r>
        <w:t xml:space="preserve"> </w:t>
      </w:r>
      <w:r>
        <w:t xml:space="preserve">— Proposed Testing Plan (Draft 2.1, May 2025).</w:t>
      </w:r>
    </w:p>
    <w:p>
      <w:pPr>
        <w:pStyle w:val="Compact"/>
        <w:numPr>
          <w:ilvl w:val="0"/>
          <w:numId w:val="1019"/>
        </w:numPr>
      </w:pPr>
      <w:r>
        <w:rPr>
          <w:rStyle w:val="VerbatimChar"/>
        </w:rPr>
        <w:t xml:space="preserve">clinical-study-synopsis.docx</w:t>
      </w:r>
      <w:r>
        <w:t xml:space="preserve"> </w:t>
      </w:r>
      <w:r>
        <w:t xml:space="preserve">— Clinical Study Synopsis, Protocol CLR-VC3-001 (Draft 1.0, May 2025).</w:t>
      </w:r>
    </w:p>
    <w:p>
      <w:pPr>
        <w:pStyle w:val="Compact"/>
        <w:numPr>
          <w:ilvl w:val="0"/>
          <w:numId w:val="1019"/>
        </w:numPr>
      </w:pPr>
      <w:r>
        <w:rPr>
          <w:rStyle w:val="VerbatimChar"/>
        </w:rPr>
        <w:t xml:space="preserve">draft-ifu-vasculear-3000.docx</w:t>
      </w:r>
      <w:r>
        <w:t xml:space="preserve"> </w:t>
      </w:r>
      <w:r>
        <w:t xml:space="preserve">— Draft Instructions for Use, IFU-VC3000-001, Rev. A (May 2025).</w:t>
      </w:r>
    </w:p>
    <w:p>
      <w:pPr>
        <w:pStyle w:val="Compact"/>
        <w:numPr>
          <w:ilvl w:val="0"/>
          <w:numId w:val="1019"/>
        </w:numPr>
      </w:pPr>
      <w:r>
        <w:rPr>
          <w:rStyle w:val="VerbatimChar"/>
        </w:rPr>
        <w:t xml:space="preserve">thrombex-200-510k-summary.docx</w:t>
      </w:r>
      <w:r>
        <w:t xml:space="preserve"> </w:t>
      </w:r>
      <w:r>
        <w:t xml:space="preserve">— ThrombEx 200 (K192847) 510(k) Summary (Aug. 14, 2020).</w:t>
      </w:r>
    </w:p>
    <w:p>
      <w:pPr>
        <w:pStyle w:val="Compact"/>
        <w:numPr>
          <w:ilvl w:val="0"/>
          <w:numId w:val="1019"/>
        </w:numPr>
      </w:pPr>
      <w:r>
        <w:rPr>
          <w:rStyle w:val="VerbatimChar"/>
        </w:rPr>
        <w:t xml:space="preserve">internal-email-chain-reg-strategy.eml</w:t>
      </w:r>
      <w:r>
        <w:t xml:space="preserve"> </w:t>
      </w:r>
      <w:r>
        <w:t xml:space="preserve">— Internal strategy email chain, April 22 – May 12, 2025 (Fessenden, Marsh, Pressman, Yoo).</w:t>
      </w:r>
    </w:p>
    <w:p>
      <w:r>
        <w:pict>
          <v:rect style="width:0;height:1.5pt" o:hralign="center" o:hrstd="t" o:hr="t"/>
        </w:pict>
      </w:r>
    </w:p>
    <w:p>
      <w:pPr>
        <w:pStyle w:val="FirstParagraph"/>
      </w:pPr>
      <w:r>
        <w:rPr>
          <w:i/>
          <w:iCs/>
        </w:rPr>
        <w:t xml:space="preserve">Prepared by Daniel J. Yoo, Senior Associate, Hargrove, Templeton &amp; Bliss LLP, for internal regulatory-strategy use. Privileged and confidential.</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2026-06-26T23:36:52Z</dcterms:created>
  <dcterms:modified xsi:type="dcterms:W3CDTF">2026-06-26T23:36:52Z</dcterms:modified>
</cp:coreProperties>
</file>

<file path=docProps/custom.xml><?xml version="1.0" encoding="utf-8"?>
<Properties xmlns="http://schemas.openxmlformats.org/officeDocument/2006/custom-properties" xmlns:vt="http://schemas.openxmlformats.org/officeDocument/2006/docPropsVTypes"/>
</file>