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100" w:name="prioritized-issue-memorandum"/>
    <w:p>
      <w:pPr>
        <w:pStyle w:val="Heading1"/>
      </w:pPr>
      <w:r>
        <w:t xml:space="preserve">PRIORITIZED ISSUE MEMORANDUM</w:t>
      </w:r>
    </w:p>
    <w:p>
      <w:pPr>
        <w:pStyle w:val="FirstParagraph"/>
      </w:pPr>
      <w:r>
        <w:rPr>
          <w:b/>
          <w:bCs/>
        </w:rPr>
        <w:t xml:space="preserve">TO:</w:t>
      </w:r>
      <w:r>
        <w:t xml:space="preserve"> </w:t>
      </w:r>
      <w:r>
        <w:t xml:space="preserve">Linda Fessenden, Vice President, Regulatory Affairs, Clearfield Medical Devices, Inc.; Katherine</w:t>
      </w:r>
      <w:r>
        <w:t xml:space="preserve"> </w:t>
      </w:r>
      <w:r>
        <w:t xml:space="preserve">“</w:t>
      </w:r>
      <w:r>
        <w:t xml:space="preserve">Kate</w:t>
      </w:r>
      <w:r>
        <w:t xml:space="preserve">”</w:t>
      </w:r>
      <w:r>
        <w:t xml:space="preserve"> </w:t>
      </w:r>
      <w:r>
        <w:t xml:space="preserve">Pressman, Partner, Hargrove, Templeton &amp; Bliss LLP; Dr. Evelyn Marsh, RAC, Principal Consultant, Ridgepoint Consulting Group</w:t>
      </w:r>
    </w:p>
    <w:p>
      <w:pPr>
        <w:pStyle w:val="BodyText"/>
      </w:pPr>
      <w:r>
        <w:rPr>
          <w:b/>
          <w:bCs/>
        </w:rPr>
        <w:t xml:space="preserve">FROM:</w:t>
      </w:r>
      <w:r>
        <w:t xml:space="preserve"> </w:t>
      </w:r>
      <w:r>
        <w:t xml:space="preserve">Daniel J. Yoo, Senior Associate, Hargrove, Templeton &amp; Bliss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Comprehensive Regulatory, Scientific, and Strategic Review of the Draft Pre-Submission (Q-Sub) Package — VascuClear 3000 Thrombectomy System (Proposed Traditional 510(k); Product Code GXD; 21 CFR 870.1250)</w:t>
      </w:r>
    </w:p>
    <w:p>
      <w:r>
        <w:pict>
          <v:rect style="width:0;height:1.5pt" o:hralign="center" o:hrstd="t" o:hr="t"/>
        </w:pict>
      </w:r>
    </w:p>
    <w:bookmarkStart w:id="21" w:name="i.-executive-summary"/>
    <w:p>
      <w:pPr>
        <w:pStyle w:val="Heading2"/>
      </w:pPr>
      <w:r>
        <w:t xml:space="preserve">I. Executive Summary</w:t>
      </w:r>
    </w:p>
    <w:p>
      <w:pPr>
        <w:pStyle w:val="FirstParagraph"/>
      </w:pPr>
      <w:r>
        <w:t xml:space="preserve">At Kate Pressman’s request, I have completed a comprehensive review of the draft Pre-Submission (Q-Sub) package for the VascuClear 3000 Thrombectomy System in advance of the May 19, 2025 internal review deadline and the targeted June 15, 2025 filing date. This memorandum identifies and prioritizes the regulatory, scientific, and strategic deficiencies in the package as currently drafted.</w:t>
      </w:r>
    </w:p>
    <w:p>
      <w:pPr>
        <w:pStyle w:val="BodyText"/>
      </w:pPr>
      <w:r>
        <w:t xml:space="preserve">The package is well-organized and reflects genuine effort across the team. However, the review surfaces a number of issues that, in my judgment, must be addressed before the package is filed with the Center for Devices and Radiological Health (CDRH). Most importantly:</w:t>
      </w:r>
    </w:p>
    <w:p>
      <w:pPr>
        <w:numPr>
          <w:ilvl w:val="0"/>
          <w:numId w:val="1001"/>
        </w:numPr>
      </w:pPr>
      <w:r>
        <w:rPr>
          <w:b/>
          <w:bCs/>
        </w:rPr>
        <w:t xml:space="preserve">Two pathway-defining questions that Kate Pressman specifically recommended be put to FDA — (a) whether the VascuClear 3000 is a combination product under 21 CFR Part 3, and (b) whether an Investigational Device Exemption (IDE) is required for the proposed clinical study — are not included in any of the three sets of questions to FDA in the package.</w:t>
      </w:r>
      <w:r>
        <w:t xml:space="preserve"> </w:t>
      </w:r>
      <w:r>
        <w:t xml:space="preserve">The package instead asserts definitive positions on both points. These are the single most actionable gaps and should be corrected before filing.</w:t>
      </w:r>
    </w:p>
    <w:p>
      <w:pPr>
        <w:numPr>
          <w:ilvl w:val="0"/>
          <w:numId w:val="1001"/>
        </w:numPr>
      </w:pPr>
      <w:r>
        <w:rPr>
          <w:b/>
          <w:bCs/>
        </w:rPr>
        <w:t xml:space="preserve">The substantial-equivalence (SE) position is exposed on two fronts:</w:t>
      </w:r>
      <w:r>
        <w:t xml:space="preserve"> </w:t>
      </w:r>
      <w:r>
        <w:t xml:space="preserve">the sole predicate (ThrombEx 200, K192847) is a purely mechanical device with no drug-delivery capability, leaving the VascuClear 3000’s central differentiating feature (the integrated thrombolytic infusion lumen and pharmacomechanical indication) without any predicate precedent; and the package contains material factual misstatements of the predicate’s cleared indication and specifications in the comparison tables.</w:t>
      </w:r>
    </w:p>
    <w:p>
      <w:pPr>
        <w:numPr>
          <w:ilvl w:val="0"/>
          <w:numId w:val="1001"/>
        </w:numPr>
      </w:pPr>
      <w:r>
        <w:rPr>
          <w:b/>
          <w:bCs/>
        </w:rPr>
        <w:t xml:space="preserve">A central scientific contradiction runs through the package:</w:t>
      </w:r>
      <w:r>
        <w:t xml:space="preserve"> </w:t>
      </w:r>
      <w:r>
        <w:t xml:space="preserve">the biocompatibility testing plan classifies the catheter as</w:t>
      </w:r>
      <w:r>
        <w:t xml:space="preserve"> </w:t>
      </w:r>
      <w:r>
        <w:t xml:space="preserve">“</w:t>
      </w:r>
      <w:r>
        <w:t xml:space="preserve">limited contact (&lt;24 hours)</w:t>
      </w:r>
      <w:r>
        <w:t xml:space="preserve">”</w:t>
      </w:r>
      <w:r>
        <w:t xml:space="preserve"> </w:t>
      </w:r>
      <w:r>
        <w:t xml:space="preserve">and excludes subchronic toxicity, implantation, and genotoxicity endpoints on that basis, while the device description, draft IFU, and clinical synopsis all state that the catheter may remain in situ for up to 72 hours (prolonged contact). The device-description comparison table contradicts itself on this point within a single row.</w:t>
      </w:r>
    </w:p>
    <w:p>
      <w:pPr>
        <w:numPr>
          <w:ilvl w:val="0"/>
          <w:numId w:val="1001"/>
        </w:numPr>
      </w:pPr>
      <w:r>
        <w:rPr>
          <w:b/>
          <w:bCs/>
        </w:rPr>
        <w:t xml:space="preserve">The clinical-study characterization as</w:t>
      </w:r>
      <w:r>
        <w:rPr>
          <w:b/>
          <w:bCs/>
        </w:rPr>
        <w:t xml:space="preserve"> </w:t>
      </w:r>
      <w:r>
        <w:rPr>
          <w:b/>
          <w:bCs/>
        </w:rPr>
        <w:t xml:space="preserve">“</w:t>
      </w:r>
      <w:r>
        <w:rPr>
          <w:b/>
          <w:bCs/>
        </w:rPr>
        <w:t xml:space="preserve">post-clearance</w:t>
      </w:r>
      <w:r>
        <w:rPr>
          <w:b/>
          <w:bCs/>
        </w:rPr>
        <w:t xml:space="preserve">”</w:t>
      </w:r>
      <w:r>
        <w:rPr>
          <w:b/>
          <w:bCs/>
        </w:rPr>
        <w:t xml:space="preserve"> </w:t>
      </w:r>
      <w:r>
        <w:rPr>
          <w:b/>
          <w:bCs/>
        </w:rPr>
        <w:t xml:space="preserve">is internally untenable:</w:t>
      </w:r>
      <w:r>
        <w:t xml:space="preserve"> </w:t>
      </w:r>
      <w:r>
        <w:t xml:space="preserve">the package’s own timeline shows enrollment beginning Q4 2025 while 510(k) clearance is targeted for December 31, 2025, and the clinical study report is not finalized until Q4 2026. The study therefore cannot be both</w:t>
      </w:r>
      <w:r>
        <w:t xml:space="preserve"> </w:t>
      </w:r>
      <w:r>
        <w:t xml:space="preserve">“</w:t>
      </w:r>
      <w:r>
        <w:t xml:space="preserve">post-clearance</w:t>
      </w:r>
      <w:r>
        <w:t xml:space="preserve">”</w:t>
      </w:r>
      <w:r>
        <w:t xml:space="preserve"> </w:t>
      </w:r>
      <w:r>
        <w:t xml:space="preserve">and the source of data</w:t>
      </w:r>
      <w:r>
        <w:t xml:space="preserve"> </w:t>
      </w:r>
      <w:r>
        <w:t xml:space="preserve">“</w:t>
      </w:r>
      <w:r>
        <w:t xml:space="preserve">intended to support the 510(k) submission,</w:t>
      </w:r>
      <w:r>
        <w:t xml:space="preserve">”</w:t>
      </w:r>
      <w:r>
        <w:t xml:space="preserve"> </w:t>
      </w:r>
      <w:r>
        <w:t xml:space="preserve">and the clinical data cannot be available in time to support a December 31, 2025 clearance.</w:t>
      </w:r>
    </w:p>
    <w:p>
      <w:pPr>
        <w:numPr>
          <w:ilvl w:val="0"/>
          <w:numId w:val="1001"/>
        </w:numPr>
      </w:pPr>
      <w:r>
        <w:rPr>
          <w:b/>
          <w:bCs/>
        </w:rPr>
        <w:t xml:space="preserve">Several expected testing categories are omitted entirely</w:t>
      </w:r>
      <w:r>
        <w:t xml:space="preserve"> </w:t>
      </w:r>
      <w:r>
        <w:t xml:space="preserve">(EMC, shelf-life/sterile-barrier validation, reprocessing validation for the reusable console, MRI safety testing, human-factors/usability engineering, animal/in-vivo testing, drug compatibility testing with actual thrombolytics, corrosion testing, flexural fatigue and distal-tip detachment-force testing, and a risk-management file summary); no radiopaque marker is described for a device used under fluoroscopy; and the software level of concern is almost certainly understated.</w:t>
      </w:r>
    </w:p>
    <w:p>
      <w:pPr>
        <w:numPr>
          <w:ilvl w:val="0"/>
          <w:numId w:val="1001"/>
        </w:numPr>
      </w:pPr>
      <w:r>
        <w:rPr>
          <w:b/>
          <w:bCs/>
        </w:rPr>
        <w:t xml:space="preserve">The Cover Letter represents to FDA that the Testing Plan includes EMC testing and IEC 62304 software V&amp;V, but the enclosed Testing Plan includes neither; and the Device Description presents the impeller-fatigue and EtO-sterilization validations as already completed while the Testing Plan schedules them for the future.</w:t>
      </w:r>
    </w:p>
    <w:p>
      <w:pPr>
        <w:numPr>
          <w:ilvl w:val="0"/>
          <w:numId w:val="1001"/>
        </w:numPr>
      </w:pPr>
      <w:r>
        <w:rPr>
          <w:b/>
          <w:bCs/>
        </w:rPr>
        <w:t xml:space="preserve">The clinical-evidence scope (tPA/alteplase only) does not cover the breadth of the indicated</w:t>
      </w:r>
      <w:r>
        <w:rPr>
          <w:b/>
          <w:bCs/>
        </w:rPr>
        <w:t xml:space="preserve"> </w:t>
      </w:r>
      <w:r>
        <w:rPr>
          <w:b/>
          <w:bCs/>
        </w:rPr>
        <w:t xml:space="preserve">“</w:t>
      </w:r>
      <w:r>
        <w:rPr>
          <w:b/>
          <w:bCs/>
        </w:rPr>
        <w:t xml:space="preserve">physician-specified thrombolytic agents,</w:t>
      </w:r>
      <w:r>
        <w:rPr>
          <w:b/>
          <w:bCs/>
        </w:rPr>
        <w:t xml:space="preserve">”</w:t>
      </w:r>
      <w:r>
        <w:rPr>
          <w:b/>
          <w:bCs/>
        </w:rPr>
        <w:t xml:space="preserve"> </w:t>
      </w:r>
      <w:r>
        <w:rPr>
          <w:b/>
          <w:bCs/>
        </w:rPr>
        <w:t xml:space="preserve">the primary-endpoint venographic scoring methodology is undefined (</w:t>
      </w:r>
      <w:r>
        <w:rPr>
          <w:b/>
          <w:bCs/>
        </w:rPr>
        <w:t xml:space="preserve">“</w:t>
      </w:r>
      <w:r>
        <w:rPr>
          <w:b/>
          <w:bCs/>
        </w:rPr>
        <w:t xml:space="preserve">in development</w:t>
      </w:r>
      <w:r>
        <w:rPr>
          <w:b/>
          <w:bCs/>
        </w:rPr>
        <w:t xml:space="preserve">”</w:t>
      </w:r>
      <w:r>
        <w:rPr>
          <w:b/>
          <w:bCs/>
        </w:rPr>
        <w:t xml:space="preserve">), and the sample-size power claim is statistically questionable.</w:t>
      </w:r>
    </w:p>
    <w:p>
      <w:pPr>
        <w:numPr>
          <w:ilvl w:val="0"/>
          <w:numId w:val="1001"/>
        </w:numPr>
      </w:pPr>
      <w:r>
        <w:rPr>
          <w:b/>
          <w:bCs/>
        </w:rPr>
        <w:t xml:space="preserve">The Braddock Ventures Series D milestone (510(k) clearance by December 31, 2025) is at material risk</w:t>
      </w:r>
      <w:r>
        <w:t xml:space="preserve"> </w:t>
      </w:r>
      <w:r>
        <w:t xml:space="preserve">under the package’s own timeline, and the corporate implications of a pathway change (e.g., combination-product classification) have not been addressed with Kendrick &amp; Hale.</w:t>
      </w:r>
    </w:p>
    <w:p>
      <w:pPr>
        <w:pStyle w:val="FirstParagraph"/>
      </w:pPr>
      <w:r>
        <w:t xml:space="preserve">Sixty-eight (68) distinct issues are catalogued below, organized into five priority tiers. A consolidated inventory appears in Appendix A.</w:t>
      </w:r>
    </w:p>
    <w:p>
      <w:r>
        <w:pict>
          <v:rect style="width:0;height:1.5pt" o:hralign="center" o:hrstd="t" o:hr="t"/>
        </w:pict>
      </w:r>
    </w:p>
    <w:bookmarkEnd w:id="21"/>
    <w:bookmarkStart w:id="22" w:name="ii.-scope-and-documents-reviewed"/>
    <w:p>
      <w:pPr>
        <w:pStyle w:val="Heading2"/>
      </w:pPr>
      <w:r>
        <w:t xml:space="preserve">II. Scope and Documents Reviewed</w:t>
      </w:r>
    </w:p>
    <w:p>
      <w:pPr>
        <w:pStyle w:val="FirstParagraph"/>
      </w:pPr>
      <w:r>
        <w:t xml:space="preserve">I reviewed the following documents, each of which forms part of, or bears directly on, the draft Pre-Submission package:</w:t>
      </w:r>
    </w:p>
    <w:p>
      <w:pPr>
        <w:pStyle w:val="Compact"/>
        <w:numPr>
          <w:ilvl w:val="0"/>
          <w:numId w:val="1002"/>
        </w:numPr>
      </w:pPr>
      <w:r>
        <w:rPr>
          <w:b/>
          <w:bCs/>
        </w:rPr>
        <w:t xml:space="preserve">Cover Letter</w:t>
      </w:r>
      <w:r>
        <w:t xml:space="preserve"> </w:t>
      </w:r>
      <w:r>
        <w:t xml:space="preserve">—</w:t>
      </w:r>
      <w:r>
        <w:t xml:space="preserve"> </w:t>
      </w:r>
      <w:r>
        <w:rPr>
          <w:rStyle w:val="VerbatimChar"/>
        </w:rPr>
        <w:t xml:space="preserve">presub-cover-letter.docx</w:t>
      </w:r>
      <w:r>
        <w:t xml:space="preserve"> </w:t>
      </w:r>
      <w:r>
        <w:t xml:space="preserve">(dated May 19, 2025).</w:t>
      </w:r>
    </w:p>
    <w:p>
      <w:pPr>
        <w:pStyle w:val="Compact"/>
        <w:numPr>
          <w:ilvl w:val="0"/>
          <w:numId w:val="1002"/>
        </w:numPr>
      </w:pPr>
      <w:r>
        <w:rPr>
          <w:b/>
          <w:bCs/>
        </w:rPr>
        <w:t xml:space="preserve">Device Description and Predicate Comparison</w:t>
      </w:r>
      <w:r>
        <w:t xml:space="preserve"> </w:t>
      </w:r>
      <w:r>
        <w:t xml:space="preserve">—</w:t>
      </w:r>
      <w:r>
        <w:t xml:space="preserve"> </w:t>
      </w:r>
      <w:r>
        <w:rPr>
          <w:rStyle w:val="VerbatimChar"/>
        </w:rPr>
        <w:t xml:space="preserve">device-description-predicate-comparison.docx</w:t>
      </w:r>
      <w:r>
        <w:t xml:space="preserve"> </w:t>
      </w:r>
      <w:r>
        <w:t xml:space="preserve">(Section 2 of the package).</w:t>
      </w:r>
    </w:p>
    <w:p>
      <w:pPr>
        <w:pStyle w:val="Compact"/>
        <w:numPr>
          <w:ilvl w:val="0"/>
          <w:numId w:val="1002"/>
        </w:numPr>
      </w:pPr>
      <w:r>
        <w:rPr>
          <w:b/>
          <w:bCs/>
        </w:rPr>
        <w:t xml:space="preserve">Proposed Testing Plan</w:t>
      </w:r>
      <w:r>
        <w:t xml:space="preserve"> </w:t>
      </w:r>
      <w:r>
        <w:t xml:space="preserve">—</w:t>
      </w:r>
      <w:r>
        <w:t xml:space="preserve"> </w:t>
      </w:r>
      <w:r>
        <w:rPr>
          <w:rStyle w:val="VerbatimChar"/>
        </w:rPr>
        <w:t xml:space="preserve">proposed-testing-plan.docx</w:t>
      </w:r>
      <w:r>
        <w:t xml:space="preserve"> </w:t>
      </w:r>
      <w:r>
        <w:t xml:space="preserve">(Draft 2.1, May 2025).</w:t>
      </w:r>
    </w:p>
    <w:p>
      <w:pPr>
        <w:pStyle w:val="Compact"/>
        <w:numPr>
          <w:ilvl w:val="0"/>
          <w:numId w:val="1002"/>
        </w:numPr>
      </w:pPr>
      <w:r>
        <w:rPr>
          <w:b/>
          <w:bCs/>
        </w:rPr>
        <w:t xml:space="preserve">Clinical Study Synopsis</w:t>
      </w:r>
      <w:r>
        <w:t xml:space="preserve"> </w:t>
      </w:r>
      <w:r>
        <w:t xml:space="preserve">—</w:t>
      </w:r>
      <w:r>
        <w:t xml:space="preserve"> </w:t>
      </w:r>
      <w:r>
        <w:rPr>
          <w:rStyle w:val="VerbatimChar"/>
        </w:rPr>
        <w:t xml:space="preserve">clinical-study-synopsis.docx</w:t>
      </w:r>
      <w:r>
        <w:t xml:space="preserve"> </w:t>
      </w:r>
      <w:r>
        <w:t xml:space="preserve">(Protocol CLR-VC3-001, Draft 1.0, May 2025).</w:t>
      </w:r>
    </w:p>
    <w:p>
      <w:pPr>
        <w:pStyle w:val="Compact"/>
        <w:numPr>
          <w:ilvl w:val="0"/>
          <w:numId w:val="1002"/>
        </w:numPr>
      </w:pPr>
      <w:r>
        <w:rPr>
          <w:b/>
          <w:bCs/>
        </w:rPr>
        <w:t xml:space="preserve">Draft Instructions for Use (IFU)</w:t>
      </w:r>
      <w:r>
        <w:t xml:space="preserve"> </w:t>
      </w:r>
      <w:r>
        <w:t xml:space="preserve">—</w:t>
      </w:r>
      <w:r>
        <w:t xml:space="preserve"> </w:t>
      </w:r>
      <w:r>
        <w:rPr>
          <w:rStyle w:val="VerbatimChar"/>
        </w:rPr>
        <w:t xml:space="preserve">draft-ifu-vasculear-3000.docx</w:t>
      </w:r>
      <w:r>
        <w:t xml:space="preserve"> </w:t>
      </w:r>
      <w:r>
        <w:t xml:space="preserve">(IFU-VC3000-001, Rev. A, May 2025).</w:t>
      </w:r>
    </w:p>
    <w:p>
      <w:pPr>
        <w:pStyle w:val="Compact"/>
        <w:numPr>
          <w:ilvl w:val="0"/>
          <w:numId w:val="1002"/>
        </w:numPr>
      </w:pPr>
      <w:r>
        <w:rPr>
          <w:b/>
          <w:bCs/>
        </w:rPr>
        <w:t xml:space="preserve">ThrombEx 200 (K192847) 510(k) Summary</w:t>
      </w:r>
      <w:r>
        <w:t xml:space="preserve"> </w:t>
      </w:r>
      <w:r>
        <w:t xml:space="preserve">—</w:t>
      </w:r>
      <w:r>
        <w:t xml:space="preserve"> </w:t>
      </w:r>
      <w:r>
        <w:rPr>
          <w:rStyle w:val="VerbatimChar"/>
        </w:rPr>
        <w:t xml:space="preserve">thrombex-200-510k-summary.docx</w:t>
      </w:r>
      <w:r>
        <w:t xml:space="preserve"> </w:t>
      </w:r>
      <w:r>
        <w:t xml:space="preserve">(predicate summary, August 14, 2020).</w:t>
      </w:r>
    </w:p>
    <w:p>
      <w:pPr>
        <w:pStyle w:val="Compact"/>
        <w:numPr>
          <w:ilvl w:val="0"/>
          <w:numId w:val="1002"/>
        </w:numPr>
      </w:pPr>
      <w:r>
        <w:rPr>
          <w:b/>
          <w:bCs/>
        </w:rPr>
        <w:t xml:space="preserve">Internal Strategy Email Chain</w:t>
      </w:r>
      <w:r>
        <w:t xml:space="preserve"> </w:t>
      </w:r>
      <w:r>
        <w:t xml:space="preserve">—</w:t>
      </w:r>
      <w:r>
        <w:t xml:space="preserve"> </w:t>
      </w:r>
      <w:r>
        <w:rPr>
          <w:rStyle w:val="VerbatimChar"/>
        </w:rPr>
        <w:t xml:space="preserve">internal-email-chain-reg-strategy.eml</w:t>
      </w:r>
      <w:r>
        <w:t xml:space="preserve"> </w:t>
      </w:r>
      <w:r>
        <w:t xml:space="preserve">(Fessenden/Marsh/Pressman, April 22 – May 12, 2025).</w:t>
      </w:r>
    </w:p>
    <w:p>
      <w:pPr>
        <w:pStyle w:val="FirstParagraph"/>
      </w:pPr>
      <w:r>
        <w:t xml:space="preserve">Where a factual assertion about the predicate appears in the package, I have checked it against the ThrombEx 200 510(k) summary (document 6) and noted discrepancies.</w:t>
      </w:r>
    </w:p>
    <w:p>
      <w:r>
        <w:pict>
          <v:rect style="width:0;height:1.5pt" o:hralign="center" o:hrstd="t" o:hr="t"/>
        </w:pict>
      </w:r>
    </w:p>
    <w:bookmarkEnd w:id="22"/>
    <w:bookmarkStart w:id="23" w:name="iii.-priority-classification"/>
    <w:p>
      <w:pPr>
        <w:pStyle w:val="Heading2"/>
      </w:pPr>
      <w:r>
        <w:t xml:space="preserve">III. Priority Classification</w:t>
      </w:r>
    </w:p>
    <w:p>
      <w:pPr>
        <w:pStyle w:val="FirstParagraph"/>
      </w:pPr>
      <w:r>
        <w:t xml:space="preserve">Issues are assigned to one of five tiers:</w:t>
      </w:r>
    </w:p>
    <w:p>
      <w:pPr>
        <w:pStyle w:val="Compact"/>
        <w:numPr>
          <w:ilvl w:val="0"/>
          <w:numId w:val="1003"/>
        </w:numPr>
      </w:pPr>
      <w:r>
        <w:rPr>
          <w:b/>
          <w:bCs/>
        </w:rPr>
        <w:t xml:space="preserve">Tier 1 — Critical / Pathway-Defining.</w:t>
      </w:r>
      <w:r>
        <w:t xml:space="preserve"> </w:t>
      </w:r>
      <w:r>
        <w:t xml:space="preserve">Issues that may change the regulatory pathway, review division, or the legal sufficiency of the clinical study. These should be resolved, and the corresponding questions added to the package, before filing.</w:t>
      </w:r>
    </w:p>
    <w:p>
      <w:pPr>
        <w:pStyle w:val="Compact"/>
        <w:numPr>
          <w:ilvl w:val="0"/>
          <w:numId w:val="1003"/>
        </w:numPr>
      </w:pPr>
      <w:r>
        <w:rPr>
          <w:b/>
          <w:bCs/>
        </w:rPr>
        <w:t xml:space="preserve">Tier 2 — High: Substantial Equivalence and Predicate Selection.</w:t>
      </w:r>
      <w:r>
        <w:t xml:space="preserve"> </w:t>
      </w:r>
      <w:r>
        <w:t xml:space="preserve">Issues that go to the core SE argument and the integrity of the predicate comparison.</w:t>
      </w:r>
    </w:p>
    <w:p>
      <w:pPr>
        <w:pStyle w:val="Compact"/>
        <w:numPr>
          <w:ilvl w:val="0"/>
          <w:numId w:val="1003"/>
        </w:numPr>
      </w:pPr>
      <w:r>
        <w:rPr>
          <w:b/>
          <w:bCs/>
        </w:rPr>
        <w:t xml:space="preserve">Tier 3 — High: Scientific and Testing Deficiencies.</w:t>
      </w:r>
      <w:r>
        <w:t xml:space="preserve"> </w:t>
      </w:r>
      <w:r>
        <w:t xml:space="preserve">Issues in the proposed testing program that FDA is likely to challenge and that may require additional studies.</w:t>
      </w:r>
    </w:p>
    <w:p>
      <w:pPr>
        <w:pStyle w:val="Compact"/>
        <w:numPr>
          <w:ilvl w:val="0"/>
          <w:numId w:val="1003"/>
        </w:numPr>
      </w:pPr>
      <w:r>
        <w:rPr>
          <w:b/>
          <w:bCs/>
        </w:rPr>
        <w:t xml:space="preserve">Tier 4 — Medium: Clinical, Labeling, and Additional Testing Gaps.</w:t>
      </w:r>
      <w:r>
        <w:t xml:space="preserve"> </w:t>
      </w:r>
      <w:r>
        <w:t xml:space="preserve">Issues affecting the clinical study design, the draft IFU, and secondary testing categories.</w:t>
      </w:r>
    </w:p>
    <w:p>
      <w:pPr>
        <w:pStyle w:val="Compact"/>
        <w:numPr>
          <w:ilvl w:val="0"/>
          <w:numId w:val="1003"/>
        </w:numPr>
      </w:pPr>
      <w:r>
        <w:rPr>
          <w:b/>
          <w:bCs/>
        </w:rPr>
        <w:t xml:space="preserve">Tier 5 — Lower: Drafting, Consistency, and Hygiene.</w:t>
      </w:r>
      <w:r>
        <w:t xml:space="preserve"> </w:t>
      </w:r>
      <w:r>
        <w:t xml:space="preserve">Internal inconsistencies, factual errors, and presentation items that should be corrected but do not, standing alone, change the pathway.</w:t>
      </w:r>
    </w:p>
    <w:p>
      <w:r>
        <w:pict>
          <v:rect style="width:0;height:1.5pt" o:hralign="center" o:hrstd="t" o:hr="t"/>
        </w:pict>
      </w:r>
    </w:p>
    <w:bookmarkEnd w:id="23"/>
    <w:bookmarkStart w:id="28" w:name="X0478f09cc69a08454af444d13d763ac1dd33b9c"/>
    <w:p>
      <w:pPr>
        <w:pStyle w:val="Heading2"/>
      </w:pPr>
      <w:r>
        <w:t xml:space="preserve">IV. Tier 1 — Critical / Pathway-Defining Issues</w:t>
      </w:r>
    </w:p>
    <w:bookmarkStart w:id="24" w:name="Xcab90cf3dd0307aea4e5a0716f9d7c0456f8d8c"/>
    <w:p>
      <w:pPr>
        <w:pStyle w:val="Heading3"/>
      </w:pPr>
      <w:r>
        <w:t xml:space="preserve">Issue 1 — Combination-product classification risk is not put to FDA</w:t>
      </w:r>
    </w:p>
    <w:p>
      <w:pPr>
        <w:pStyle w:val="FirstParagraph"/>
      </w:pPr>
      <w:r>
        <w:rPr>
          <w:b/>
          <w:bCs/>
        </w:rPr>
        <w:t xml:space="preserve">Issue.</w:t>
      </w:r>
      <w:r>
        <w:t xml:space="preserve"> </w:t>
      </w:r>
      <w:r>
        <w:t xml:space="preserve">The VascuClear 3000 incorporates an integrated lumen purpose-built for the local delivery of thrombolytic agents, and the proposed indication for use explicitly claims</w:t>
      </w:r>
      <w:r>
        <w:t xml:space="preserve"> </w:t>
      </w:r>
      <w:r>
        <w:t xml:space="preserve">“</w:t>
      </w:r>
      <w:r>
        <w:t xml:space="preserve">simultaneous local delivery of physician-specified thrombolytic agents</w:t>
      </w:r>
      <w:r>
        <w:t xml:space="preserve">”</w:t>
      </w:r>
      <w:r>
        <w:t xml:space="preserve"> </w:t>
      </w:r>
      <w:r>
        <w:t xml:space="preserve">as a therapeutic function. This presents a colorable argument that the device meets the definition of a combination product under 21 CFR 3.2(e), particularly where a device is intended for use with a drug and both are required to achieve the intended use. The package nonetheless takes a definitive position that the device is</w:t>
      </w:r>
      <w:r>
        <w:t xml:space="preserve"> </w:t>
      </w:r>
      <w:r>
        <w:rPr>
          <w:b/>
          <w:bCs/>
        </w:rPr>
        <w:t xml:space="preserve">not</w:t>
      </w:r>
      <w:r>
        <w:t xml:space="preserve"> </w:t>
      </w:r>
      <w:r>
        <w:t xml:space="preserve">a combination product (Cover Letter §VII; Device Description §1, §2.4, §5; Testing Plan §1) and does</w:t>
      </w:r>
      <w:r>
        <w:t xml:space="preserve"> </w:t>
      </w:r>
      <w:r>
        <w:rPr>
          <w:b/>
          <w:bCs/>
        </w:rPr>
        <w:t xml:space="preserve">not</w:t>
      </w:r>
      <w:r>
        <w:t xml:space="preserve"> </w:t>
      </w:r>
      <w:r>
        <w:t xml:space="preserve">include any question to FDA asking the Agency to confirm that classification.</w:t>
      </w:r>
    </w:p>
    <w:p>
      <w:pPr>
        <w:pStyle w:val="BodyText"/>
      </w:pPr>
      <w:r>
        <w:rPr>
          <w:b/>
          <w:bCs/>
        </w:rPr>
        <w:t xml:space="preserve">Source.</w:t>
      </w:r>
      <w:r>
        <w:t xml:space="preserve"> </w:t>
      </w:r>
      <w:r>
        <w:t xml:space="preserve">Cover Letter §VII; Device Description §1, §2.4, §5.1–5.3; Testing Plan §1; Clinical Synopsis §2, §3. The internal email chain shows that Kate Pressman specifically recommended (May 12, 2025 email)</w:t>
      </w:r>
      <w:r>
        <w:t xml:space="preserve"> </w:t>
      </w:r>
      <w:r>
        <w:t xml:space="preserve">“</w:t>
      </w:r>
      <w:r>
        <w:t xml:space="preserve">that we include a question in the Pre-Submission package asking FDA directly whether the VascuClear 3000 should be classified as a combination product,</w:t>
      </w:r>
      <w:r>
        <w:t xml:space="preserve">”</w:t>
      </w:r>
      <w:r>
        <w:t xml:space="preserve"> </w:t>
      </w:r>
      <w:r>
        <w:t xml:space="preserve">and that Dr. Marsh’s contrary position rests on the infusion-pump analogy and the fact that the drug is physician-supplied. The package as drafted adopts Dr. Marsh’s position without adding the question.</w:t>
      </w:r>
    </w:p>
    <w:p>
      <w:pPr>
        <w:pStyle w:val="BodyText"/>
      </w:pPr>
      <w:r>
        <w:rPr>
          <w:b/>
          <w:bCs/>
        </w:rPr>
        <w:t xml:space="preserve">Why it matters.</w:t>
      </w:r>
      <w:r>
        <w:t xml:space="preserve"> </w:t>
      </w:r>
      <w:r>
        <w:t xml:space="preserve">If FDA disagrees, the review may be routed to or coordinated with the Office of Combination Products (OCP) and/or CDER, a Request for Designation (RFD) or Pre-RFD under 21 CFR 3.7 may be required, and the review timeline and evidentiary expectations (including drug-device compatibility data) may change materially. Obtaining FDA’s view at the Pre-Submission stage is, as Kate noted,</w:t>
      </w:r>
      <w:r>
        <w:t xml:space="preserve"> </w:t>
      </w:r>
      <w:r>
        <w:t xml:space="preserve">“</w:t>
      </w:r>
      <w:r>
        <w:t xml:space="preserve">cheap insurance</w:t>
      </w:r>
      <w:r>
        <w:t xml:space="preserve">”</w:t>
      </w:r>
      <w:r>
        <w:t xml:space="preserve"> </w:t>
      </w:r>
      <w:r>
        <w:t xml:space="preserve">relative to discovering the issue after submission.</w:t>
      </w:r>
    </w:p>
    <w:p>
      <w:pPr>
        <w:pStyle w:val="BodyText"/>
      </w:pPr>
      <w:r>
        <w:rPr>
          <w:b/>
          <w:bCs/>
        </w:rPr>
        <w:t xml:space="preserve">Recommendation.</w:t>
      </w:r>
      <w:r>
        <w:t xml:space="preserve"> </w:t>
      </w:r>
      <w:r>
        <w:t xml:space="preserve">Add a question to the Cover Letter (§VI) and to the Device Description (§6) asking FDA directly whether the VascuClear 3000, as designed and as indicated, should be classified as a combination product under 21 CFR Part 3, and, if so, what the implications are for review assignment and data requirements. Preserve Clearfield’s stated position, but frame it as a position on which FDA’s concurrence is sought. Consider whether a Pre-RFD to OCP should be filed in parallel.</w:t>
      </w:r>
    </w:p>
    <w:bookmarkEnd w:id="24"/>
    <w:bookmarkStart w:id="25" w:name="Xc2654ee4404eab117256e2d32f4e535ce4d1e62"/>
    <w:p>
      <w:pPr>
        <w:pStyle w:val="Heading3"/>
      </w:pPr>
      <w:r>
        <w:t xml:space="preserve">Issue 2 — IDE requirement is not put to FDA;</w:t>
      </w:r>
      <w:r>
        <w:t xml:space="preserve"> </w:t>
      </w:r>
      <w:r>
        <w:t xml:space="preserve">“</w:t>
      </w:r>
      <w:r>
        <w:t xml:space="preserve">post-clearance</w:t>
      </w:r>
      <w:r>
        <w:t xml:space="preserve">”</w:t>
      </w:r>
      <w:r>
        <w:t xml:space="preserve"> </w:t>
      </w:r>
      <w:r>
        <w:t xml:space="preserve">theory is internally contradicted</w:t>
      </w:r>
    </w:p>
    <w:p>
      <w:pPr>
        <w:pStyle w:val="FirstParagraph"/>
      </w:pPr>
      <w:r>
        <w:rPr>
          <w:b/>
          <w:bCs/>
        </w:rPr>
        <w:t xml:space="preserve">Issue.</w:t>
      </w:r>
      <w:r>
        <w:t xml:space="preserve"> </w:t>
      </w:r>
      <w:r>
        <w:t xml:space="preserve">The Clinical Synopsis (§6) states that</w:t>
      </w:r>
      <w:r>
        <w:t xml:space="preserve"> </w:t>
      </w:r>
      <w:r>
        <w:t xml:space="preserve">“</w:t>
      </w:r>
      <w:r>
        <w:t xml:space="preserve">an Investigational Device Exemption (IDE) is not anticipated</w:t>
      </w:r>
      <w:r>
        <w:t xml:space="preserve">”</w:t>
      </w:r>
      <w:r>
        <w:t xml:space="preserve"> </w:t>
      </w:r>
      <w:r>
        <w:t xml:space="preserve">because</w:t>
      </w:r>
      <w:r>
        <w:t xml:space="preserve"> </w:t>
      </w:r>
      <w:r>
        <w:t xml:space="preserve">“</w:t>
      </w:r>
      <w:r>
        <w:t xml:space="preserve">the clinical study is designed as a post-clearance data collection effort, and the VascuClear 3000 is expected to have received 510(k) clearance prior to study initiation.</w:t>
      </w:r>
      <w:r>
        <w:t xml:space="preserve">”</w:t>
      </w:r>
      <w:r>
        <w:t xml:space="preserve"> </w:t>
      </w:r>
      <w:r>
        <w:t xml:space="preserve">This characterization is contradicted elsewhere in the same package: (a) the Synopsis (§3) states that the clinical data</w:t>
      </w:r>
      <w:r>
        <w:t xml:space="preserve"> </w:t>
      </w:r>
      <w:r>
        <w:t xml:space="preserve">“</w:t>
      </w:r>
      <w:r>
        <w:t xml:space="preserve">is intended to support the 510(k) submission</w:t>
      </w:r>
      <w:r>
        <w:t xml:space="preserve">”</w:t>
      </w:r>
      <w:r>
        <w:t xml:space="preserve">; (b) the Synopsis (§5) repeats the</w:t>
      </w:r>
      <w:r>
        <w:t xml:space="preserve"> </w:t>
      </w:r>
      <w:r>
        <w:t xml:space="preserve">“</w:t>
      </w:r>
      <w:r>
        <w:t xml:space="preserve">post-clearance</w:t>
      </w:r>
      <w:r>
        <w:t xml:space="preserve">”</w:t>
      </w:r>
      <w:r>
        <w:t xml:space="preserve"> </w:t>
      </w:r>
      <w:r>
        <w:t xml:space="preserve">framing while simultaneously describing the study as generating</w:t>
      </w:r>
      <w:r>
        <w:t xml:space="preserve"> </w:t>
      </w:r>
      <w:r>
        <w:t xml:space="preserve">“</w:t>
      </w:r>
      <w:r>
        <w:t xml:space="preserve">supportive clinical evidence</w:t>
      </w:r>
      <w:r>
        <w:t xml:space="preserve">”</w:t>
      </w:r>
      <w:r>
        <w:t xml:space="preserve">; and (c) the package’s own timeline shows first-patient enrollment in</w:t>
      </w:r>
      <w:r>
        <w:t xml:space="preserve"> </w:t>
      </w:r>
      <w:r>
        <w:rPr>
          <w:b/>
          <w:bCs/>
        </w:rPr>
        <w:t xml:space="preserve">Q4 2025</w:t>
      </w:r>
      <w:r>
        <w:t xml:space="preserve"> </w:t>
      </w:r>
      <w:r>
        <w:t xml:space="preserve">while 510(k) clearance is targeted for</w:t>
      </w:r>
      <w:r>
        <w:t xml:space="preserve"> </w:t>
      </w:r>
      <w:r>
        <w:rPr>
          <w:b/>
          <w:bCs/>
        </w:rPr>
        <w:t xml:space="preserve">December 31, 2025</w:t>
      </w:r>
      <w:r>
        <w:t xml:space="preserve">, with the clinical study report not finalized until</w:t>
      </w:r>
      <w:r>
        <w:t xml:space="preserve"> </w:t>
      </w:r>
      <w:r>
        <w:rPr>
          <w:b/>
          <w:bCs/>
        </w:rPr>
        <w:t xml:space="preserve">Q4 2026</w:t>
      </w:r>
      <w:r>
        <w:t xml:space="preserve">. A study that enrolls before clearance, and that is conducted to generate data supporting the clearance, is not</w:t>
      </w:r>
      <w:r>
        <w:t xml:space="preserve"> </w:t>
      </w:r>
      <w:r>
        <w:t xml:space="preserve">“</w:t>
      </w:r>
      <w:r>
        <w:t xml:space="preserve">post-clearance.</w:t>
      </w:r>
      <w:r>
        <w:t xml:space="preserve">”</w:t>
      </w:r>
      <w:r>
        <w:t xml:space="preserve"> </w:t>
      </w:r>
      <w:r>
        <w:t xml:space="preserve">Under 21 CFR 812.3(m), a device that is the object of a clinical investigation and that has not yet received clearance is an</w:t>
      </w:r>
      <w:r>
        <w:t xml:space="preserve"> </w:t>
      </w:r>
      <w:r>
        <w:t xml:space="preserve">“</w:t>
      </w:r>
      <w:r>
        <w:t xml:space="preserve">investigational device.</w:t>
      </w:r>
      <w:r>
        <w:t xml:space="preserve">”</w:t>
      </w:r>
      <w:r>
        <w:t xml:space="preserve"> </w:t>
      </w:r>
      <w:r>
        <w:t xml:space="preserve">Kate Pressman (May 5, 2025) further flagged that the protocol’s tPA administration through the device lumen</w:t>
      </w:r>
      <w:r>
        <w:t xml:space="preserve"> </w:t>
      </w:r>
      <w:r>
        <w:t xml:space="preserve">“</w:t>
      </w:r>
      <w:r>
        <w:t xml:space="preserve">could be viewed as an unapproved use of the device in combination with a drug, which might implicate both device and drug regulatory requirements.</w:t>
      </w:r>
      <w:r>
        <w:t xml:space="preserve">”</w:t>
      </w:r>
    </w:p>
    <w:p>
      <w:pPr>
        <w:pStyle w:val="BodyText"/>
      </w:pPr>
      <w:r>
        <w:rPr>
          <w:b/>
          <w:bCs/>
        </w:rPr>
        <w:t xml:space="preserve">Source.</w:t>
      </w:r>
      <w:r>
        <w:t xml:space="preserve"> </w:t>
      </w:r>
      <w:r>
        <w:t xml:space="preserve">Clinical Synopsis §3, §5, §6, §15 (timeline); Testing Plan §9.2 (510(k) submission target and Dec. 31, 2025 clearance milestone); Cover Letter §VIII. The email chain shows Kate Pressman (May 5 and May 12, 2025) flagging the 21 CFR 812.3(m) definition and recommending that the IDE question be put to FDA; the package does not include that question in any of its three question sets (Cover Letter §VI; Device Description §6; Testing Plan §10).</w:t>
      </w:r>
    </w:p>
    <w:p>
      <w:pPr>
        <w:pStyle w:val="BodyText"/>
      </w:pPr>
      <w:r>
        <w:rPr>
          <w:b/>
          <w:bCs/>
        </w:rPr>
        <w:t xml:space="preserve">Why it matters.</w:t>
      </w:r>
      <w:r>
        <w:t xml:space="preserve"> </w:t>
      </w:r>
      <w:r>
        <w:t xml:space="preserve">If the study is pre-clearance and the device is investigational, an IDE (or, at minimum, an IRB nonsignificant-risk (NSR) determination under 21 CFR 812.2(b) with the associated abbreviated IDE requirements) is required before enrollment. Proceeding on the assumption that no IDE is needed, without FDA confirmation, risks an enforcement exposure and a timeline disruption if FDA or an IRB disagrees after enrollment has begun.</w:t>
      </w:r>
    </w:p>
    <w:p>
      <w:pPr>
        <w:pStyle w:val="BodyText"/>
      </w:pPr>
      <w:r>
        <w:rPr>
          <w:b/>
          <w:bCs/>
        </w:rPr>
        <w:t xml:space="preserve">Recommendation.</w:t>
      </w:r>
      <w:r>
        <w:t xml:space="preserve"> </w:t>
      </w:r>
      <w:r>
        <w:t xml:space="preserve">Add a question to the Cover Letter (§VI) and Clinical Synopsis asking FDA whether an IDE is required for the proposed study as designed. Reconcile the</w:t>
      </w:r>
      <w:r>
        <w:t xml:space="preserve"> </w:t>
      </w:r>
      <w:r>
        <w:t xml:space="preserve">“</w:t>
      </w:r>
      <w:r>
        <w:t xml:space="preserve">post-clearance</w:t>
      </w:r>
      <w:r>
        <w:t xml:space="preserve">”</w:t>
      </w:r>
      <w:r>
        <w:t xml:space="preserve"> </w:t>
      </w:r>
      <w:r>
        <w:t xml:space="preserve">language: either (i) recharacterize the study honestly as a pre-clearance supportive study and address the IDE/NSR pathway, or (ii) defer the study to true post-clearance and remove the claim that its data will support the 510(k). The current drafting is internally inconsistent and should not go to FDA as written.</w:t>
      </w:r>
    </w:p>
    <w:bookmarkEnd w:id="25"/>
    <w:bookmarkStart w:id="26" w:name="Xc3fe407ff7fb9d302a2f7e7ab095fc43bd29bd5"/>
    <w:p>
      <w:pPr>
        <w:pStyle w:val="Heading3"/>
      </w:pPr>
      <w:r>
        <w:t xml:space="preserve">Issue 3 — Significant-risk (SR) vs. nonsignificant-risk (NSR) determination is undocumented</w:t>
      </w:r>
    </w:p>
    <w:p>
      <w:pPr>
        <w:pStyle w:val="FirstParagraph"/>
      </w:pPr>
      <w:r>
        <w:rPr>
          <w:b/>
          <w:bCs/>
        </w:rPr>
        <w:t xml:space="preserve">Issue.</w:t>
      </w:r>
      <w:r>
        <w:t xml:space="preserve"> </w:t>
      </w:r>
      <w:r>
        <w:t xml:space="preserve">The Clinical Synopsis (§6) asserts that</w:t>
      </w:r>
      <w:r>
        <w:t xml:space="preserve"> </w:t>
      </w:r>
      <w:r>
        <w:t xml:space="preserve">“</w:t>
      </w:r>
      <w:r>
        <w:t xml:space="preserve">the study is not considered a significant risk device study</w:t>
      </w:r>
      <w:r>
        <w:t xml:space="preserve">”</w:t>
      </w:r>
      <w:r>
        <w:t xml:space="preserve"> </w:t>
      </w:r>
      <w:r>
        <w:t xml:space="preserve">but provides no documented risk analysis supporting that conclusion. The study’s own major-adverse-event (MAE) list (§9.3) includes death from any cause, symptomatic pulmonary embolism, major bleeding (requiring transfusion or re-intervention), vessel perforation, and device malfunction requiring surgical or interventional intervention — outcomes that are serious. The device is a non-cleared, rotating-impeller (12,000 RPM) catheter used with concurrent tPA infusion in the venous system. The SR/NSR determination is, in the first instance, made by the IRB under 21 CFR 812.2(b) and 812.3; if the study is SR, a full FDA IDE must be approved under 21 CFR 812.30 before enrollment.</w:t>
      </w:r>
    </w:p>
    <w:p>
      <w:pPr>
        <w:pStyle w:val="BodyText"/>
      </w:pPr>
      <w:r>
        <w:rPr>
          <w:b/>
          <w:bCs/>
        </w:rPr>
        <w:t xml:space="preserve">Source.</w:t>
      </w:r>
      <w:r>
        <w:t xml:space="preserve"> </w:t>
      </w:r>
      <w:r>
        <w:t xml:space="preserve">Clinical Synopsis §6, §9.3.</w:t>
      </w:r>
    </w:p>
    <w:p>
      <w:pPr>
        <w:pStyle w:val="BodyText"/>
      </w:pPr>
      <w:r>
        <w:rPr>
          <w:b/>
          <w:bCs/>
        </w:rPr>
        <w:t xml:space="preserve">Why it matters.</w:t>
      </w:r>
      <w:r>
        <w:t xml:space="preserve"> </w:t>
      </w:r>
      <w:r>
        <w:t xml:space="preserve">An unsupported NSR assumption is a legal and operational risk. If any IRB determines the study to be SR, enrollment cannot proceed without an FDA-approved IDE, which the Synopsis currently states will not be submitted. The package should present a documented SR/NSR analysis and should seek FDA’s view.</w:t>
      </w:r>
    </w:p>
    <w:p>
      <w:pPr>
        <w:pStyle w:val="BodyText"/>
      </w:pPr>
      <w:r>
        <w:rPr>
          <w:b/>
          <w:bCs/>
        </w:rPr>
        <w:t xml:space="preserve">Recommendation.</w:t>
      </w:r>
      <w:r>
        <w:t xml:space="preserve"> </w:t>
      </w:r>
      <w:r>
        <w:t xml:space="preserve">Prepare a written SR/NSR analysis per 21 CFR 812.3(m) addressing each MAE and the probability of serious injury. Add a question to FDA asking whether the Agency concurs with the NSR characterization or considers the study SR (which would require an IDE). Address the regulatory sequence (FDA IDE approval, if required, precedes IRB approval and enrollment).</w:t>
      </w:r>
    </w:p>
    <w:bookmarkEnd w:id="26"/>
    <w:bookmarkStart w:id="27" w:name="X8e8522a41b756376a9caab3a3591a2beb475431"/>
    <w:p>
      <w:pPr>
        <w:pStyle w:val="Heading3"/>
      </w:pPr>
      <w:r>
        <w:t xml:space="preserve">Issue 4 — Indication framing is inconsistent with the team’s own stated strategy</w:t>
      </w:r>
    </w:p>
    <w:p>
      <w:pPr>
        <w:pStyle w:val="FirstParagraph"/>
      </w:pPr>
      <w:r>
        <w:rPr>
          <w:b/>
          <w:bCs/>
        </w:rPr>
        <w:t xml:space="preserve">Issue.</w:t>
      </w:r>
      <w:r>
        <w:t xml:space="preserve"> </w:t>
      </w:r>
      <w:r>
        <w:t xml:space="preserve">The proposed indication positions drug delivery as a</w:t>
      </w:r>
      <w:r>
        <w:t xml:space="preserve"> </w:t>
      </w:r>
      <w:r>
        <w:rPr>
          <w:b/>
          <w:bCs/>
        </w:rPr>
        <w:t xml:space="preserve">co-primary</w:t>
      </w:r>
      <w:r>
        <w:t xml:space="preserve"> </w:t>
      </w:r>
      <w:r>
        <w:t xml:space="preserve">therapeutic function —</w:t>
      </w:r>
      <w:r>
        <w:t xml:space="preserve"> </w:t>
      </w:r>
      <w:r>
        <w:t xml:space="preserve">“</w:t>
      </w:r>
      <w:r>
        <w:t xml:space="preserve">indicated for the percutaneous removal of thrombus</w:t>
      </w:r>
      <w:r>
        <w:t xml:space="preserve"> </w:t>
      </w:r>
      <w:r>
        <w:rPr>
          <w:b/>
          <w:bCs/>
        </w:rPr>
        <w:t xml:space="preserve">and simultaneous local delivery of physician-specified thrombolytic agents</w:t>
      </w:r>
      <w:r>
        <w:t xml:space="preserve">”</w:t>
      </w:r>
      <w:r>
        <w:t xml:space="preserve"> </w:t>
      </w:r>
      <w:r>
        <w:t xml:space="preserve">— in the Cover Letter (§IV), the Device Description (§2.4), the draft IFU (§2), and the Clinical Synopsis (§4.1). This is directly inconsistent with Dr. Marsh’s own recommendation in the May 9, 2025 email that the team</w:t>
      </w:r>
      <w:r>
        <w:t xml:space="preserve"> </w:t>
      </w:r>
      <w:r>
        <w:t xml:space="preserve">“</w:t>
      </w:r>
      <w:r>
        <w:t xml:space="preserve">refine the IFU so the primary indication focuses on the mechanical thrombectomy function … and describe the drug delivery capability in the device description section as a feature, rather than positioning it as a co-primary therapeutic function.</w:t>
      </w:r>
      <w:r>
        <w:t xml:space="preserve">”</w:t>
      </w:r>
      <w:r>
        <w:t xml:space="preserve"> </w:t>
      </w:r>
      <w:r>
        <w:t xml:space="preserve">The package as drafted does not implement that recommendation.</w:t>
      </w:r>
    </w:p>
    <w:p>
      <w:pPr>
        <w:pStyle w:val="BodyText"/>
      </w:pPr>
      <w:r>
        <w:rPr>
          <w:b/>
          <w:bCs/>
        </w:rPr>
        <w:t xml:space="preserve">Source.</w:t>
      </w:r>
      <w:r>
        <w:t xml:space="preserve"> </w:t>
      </w:r>
      <w:r>
        <w:t xml:space="preserve">Cover Letter §IV; Device Description §2.4; IFU §2; Clinical Synopsis §4.1; email chain (Marsh, May 9, 2025).</w:t>
      </w:r>
    </w:p>
    <w:p>
      <w:pPr>
        <w:pStyle w:val="BodyText"/>
      </w:pPr>
      <w:r>
        <w:rPr>
          <w:b/>
          <w:bCs/>
        </w:rPr>
        <w:t xml:space="preserve">Why it matters.</w:t>
      </w:r>
      <w:r>
        <w:t xml:space="preserve"> </w:t>
      </w:r>
      <w:r>
        <w:t xml:space="preserve">The co-primary drug-delivery language (a) strengthens the combination-product argument that the team is otherwise trying to minimize (Issue 1), (b) widens the gap from a purely mechanical predicate (Issue 5), and (c) is inconsistent with the team’s own privileged strategic analysis. Sending the package to FDA with an indication that the team’s own consultant has already recommended rewording is internally incoherent.</w:t>
      </w:r>
    </w:p>
    <w:p>
      <w:pPr>
        <w:pStyle w:val="BodyText"/>
      </w:pPr>
      <w:r>
        <w:rPr>
          <w:b/>
          <w:bCs/>
        </w:rPr>
        <w:t xml:space="preserve">Recommendation.</w:t>
      </w:r>
      <w:r>
        <w:t xml:space="preserve"> </w:t>
      </w:r>
      <w:r>
        <w:t xml:space="preserve">Decide, as a threshold matter, whether drug delivery is a co-primary indicated function or an ancillary feature, and make the indication, device description, IFU, and clinical-synopsis language consistent with that decision. If the team adopts Dr. Marsh’s approach, revise the indication accordingly across all four documents. If the team intends to keep the co-primary language, do so deliberately and prepare the combination-product and SE defenses that follow.</w:t>
      </w:r>
    </w:p>
    <w:p>
      <w:r>
        <w:pict>
          <v:rect style="width:0;height:1.5pt" o:hralign="center" o:hrstd="t" o:hr="t"/>
        </w:pict>
      </w:r>
    </w:p>
    <w:bookmarkEnd w:id="27"/>
    <w:bookmarkEnd w:id="28"/>
    <w:bookmarkStart w:id="33" w:name="X642aaaef1d43293211bc442f74c3c9029ca757c"/>
    <w:p>
      <w:pPr>
        <w:pStyle w:val="Heading2"/>
      </w:pPr>
      <w:r>
        <w:t xml:space="preserve">V. Tier 2 — High Priority: Substantial Equivalence and Predicate Selection</w:t>
      </w:r>
    </w:p>
    <w:bookmarkStart w:id="29" w:name="X9d2b2e038fdb182cd8b74259dabf196396f425b"/>
    <w:p>
      <w:pPr>
        <w:pStyle w:val="Heading3"/>
      </w:pPr>
      <w:r>
        <w:t xml:space="preserve">Issue 5 — No predicate for the drug-delivery / pharmacomechanical function</w:t>
      </w:r>
    </w:p>
    <w:p>
      <w:pPr>
        <w:pStyle w:val="FirstParagraph"/>
      </w:pPr>
      <w:r>
        <w:rPr>
          <w:b/>
          <w:bCs/>
        </w:rPr>
        <w:t xml:space="preserve">Issue.</w:t>
      </w:r>
      <w:r>
        <w:t xml:space="preserve"> </w:t>
      </w:r>
      <w:r>
        <w:t xml:space="preserve">The sole proposed predicate, the ThrombEx 200 (K192847), is a</w:t>
      </w:r>
      <w:r>
        <w:t xml:space="preserve"> </w:t>
      </w:r>
      <w:r>
        <w:rPr>
          <w:b/>
          <w:bCs/>
        </w:rPr>
        <w:t xml:space="preserve">purely mechanical</w:t>
      </w:r>
      <w:r>
        <w:t xml:space="preserve"> </w:t>
      </w:r>
      <w:r>
        <w:t xml:space="preserve">aspiration device. The ThrombEx 200 510(k) Summary states expressly that the device</w:t>
      </w:r>
      <w:r>
        <w:t xml:space="preserve"> </w:t>
      </w:r>
      <w:r>
        <w:t xml:space="preserve">“</w:t>
      </w:r>
      <w:r>
        <w:t xml:space="preserve">does not deliver any pharmaceutical agents, thrombolytic drugs, or therapeutic substances to the patient</w:t>
      </w:r>
      <w:r>
        <w:t xml:space="preserve">”</w:t>
      </w:r>
      <w:r>
        <w:t xml:space="preserve"> </w:t>
      </w:r>
      <w:r>
        <w:t xml:space="preserve">and</w:t>
      </w:r>
      <w:r>
        <w:t xml:space="preserve"> </w:t>
      </w:r>
      <w:r>
        <w:t xml:space="preserve">“</w:t>
      </w:r>
      <w:r>
        <w:t xml:space="preserve">is not indicated for use in conjunction with any drug delivery or drug infusion procedure.</w:t>
      </w:r>
      <w:r>
        <w:t xml:space="preserve">”</w:t>
      </w:r>
      <w:r>
        <w:t xml:space="preserve"> </w:t>
      </w:r>
      <w:r>
        <w:t xml:space="preserve">The VascuClear 3000’s central differentiating feature — the integrated thrombolytic infusion lumen and the pharmacomechanical indication — therefore has</w:t>
      </w:r>
      <w:r>
        <w:t xml:space="preserve"> </w:t>
      </w:r>
      <w:r>
        <w:rPr>
          <w:b/>
          <w:bCs/>
        </w:rPr>
        <w:t xml:space="preserve">no predicate precedent</w:t>
      </w:r>
      <w:r>
        <w:t xml:space="preserve"> </w:t>
      </w:r>
      <w:r>
        <w:t xml:space="preserve">in the selected predicate. The Device Description (§3.1) confirms that</w:t>
      </w:r>
      <w:r>
        <w:t xml:space="preserve"> </w:t>
      </w:r>
      <w:r>
        <w:t xml:space="preserve">“</w:t>
      </w:r>
      <w:r>
        <w:t xml:space="preserve">no secondary or reference predicates have been identified.</w:t>
      </w:r>
      <w:r>
        <w:t xml:space="preserve">”</w:t>
      </w:r>
    </w:p>
    <w:p>
      <w:pPr>
        <w:pStyle w:val="BodyText"/>
      </w:pPr>
      <w:r>
        <w:rPr>
          <w:b/>
          <w:bCs/>
        </w:rPr>
        <w:t xml:space="preserve">Source.</w:t>
      </w:r>
      <w:r>
        <w:t xml:space="preserve"> </w:t>
      </w:r>
      <w:r>
        <w:t xml:space="preserve">ThrombEx 200 510(k) Summary §2, §3.1, §3.2, §6; Device Description §3.1, §4.3, §5.2; Cover Letter §III.</w:t>
      </w:r>
    </w:p>
    <w:p>
      <w:pPr>
        <w:pStyle w:val="BodyText"/>
      </w:pPr>
      <w:r>
        <w:rPr>
          <w:b/>
          <w:bCs/>
        </w:rPr>
        <w:t xml:space="preserve">Why it matters.</w:t>
      </w:r>
      <w:r>
        <w:t xml:space="preserve"> </w:t>
      </w:r>
      <w:r>
        <w:t xml:space="preserve">Substantial equivalence requires that differences in technological characteristics do not raise new questions of safety and effectiveness. The addition of an indicated drug-delivery function to a predicate that has none is a significant technological and intended-use difference. FDA is likely to ask for a reference predicate (e.g., a cleared catheter-directed thrombolysis / infusion catheter) to bridge the drug-delivery feature, or to require data that address the new function.</w:t>
      </w:r>
    </w:p>
    <w:p>
      <w:pPr>
        <w:pStyle w:val="BodyText"/>
      </w:pPr>
      <w:r>
        <w:rPr>
          <w:b/>
          <w:bCs/>
        </w:rPr>
        <w:t xml:space="preserve">Recommendation.</w:t>
      </w:r>
      <w:r>
        <w:t xml:space="preserve"> </w:t>
      </w:r>
      <w:r>
        <w:t xml:space="preserve">Identify and propose at least one reference predicate for the infusion-lumen / drug-delivery function (for example, a cleared catheter-directed thrombolytic infusion catheter), and present a multi-predicate SE analysis. Add a question to FDA (Device Description §6, Q4 already invites this) asking specifically whether a reference predicate for the drug-delivery function is needed. Do not represent that a single, purely mechanical predicate is sufficient.</w:t>
      </w:r>
    </w:p>
    <w:bookmarkEnd w:id="29"/>
    <w:bookmarkStart w:id="30" w:name="Xa7144d11c2dcf69d49aa372ae3798c21fd91074"/>
    <w:p>
      <w:pPr>
        <w:pStyle w:val="Heading3"/>
      </w:pPr>
      <w:r>
        <w:t xml:space="preserve">Issue 6 — Different mechanism of action with no impeller-mechanism predicate cited</w:t>
      </w:r>
    </w:p>
    <w:p>
      <w:pPr>
        <w:pStyle w:val="FirstParagraph"/>
      </w:pPr>
      <w:r>
        <w:rPr>
          <w:b/>
          <w:bCs/>
        </w:rPr>
        <w:t xml:space="preserve">Issue.</w:t>
      </w:r>
      <w:r>
        <w:t xml:space="preserve"> </w:t>
      </w:r>
      <w:r>
        <w:t xml:space="preserve">The predicate removes thrombus by Bernoulli-effect hydrodynamic aspiration (no moving parts). The VascuClear 3000 uses a rotating helical impeller at up to 12,000 RPM for mechanical maceration. The package asserts this</w:t>
      </w:r>
      <w:r>
        <w:t xml:space="preserve"> </w:t>
      </w:r>
      <w:r>
        <w:t xml:space="preserve">“</w:t>
      </w:r>
      <w:r>
        <w:t xml:space="preserve">does not raise new questions of safety and effectiveness</w:t>
      </w:r>
      <w:r>
        <w:t xml:space="preserve">”</w:t>
      </w:r>
      <w:r>
        <w:t xml:space="preserve"> </w:t>
      </w:r>
      <w:r>
        <w:t xml:space="preserve">(Device Description §4.3, §5.2) but cites no cleared</w:t>
      </w:r>
      <w:r>
        <w:t xml:space="preserve"> </w:t>
      </w:r>
      <w:r>
        <w:rPr>
          <w:b/>
          <w:bCs/>
        </w:rPr>
        <w:t xml:space="preserve">venous</w:t>
      </w:r>
      <w:r>
        <w:t xml:space="preserve"> </w:t>
      </w:r>
      <w:r>
        <w:t xml:space="preserve">rotational/impeller thrombectomy predicate to support that assertion. The cumulative differences — different mechanism, added drug delivery, larger catheter (10 Fr vs. 8 Fr), longer working length (65 cm vs. 55 cm), and a 72-hour indwell capability the predicate lacks — collectively may raise new questions of safety and effectiveness.</w:t>
      </w:r>
    </w:p>
    <w:p>
      <w:pPr>
        <w:pStyle w:val="BodyText"/>
      </w:pPr>
      <w:r>
        <w:rPr>
          <w:b/>
          <w:bCs/>
        </w:rPr>
        <w:t xml:space="preserve">Source.</w:t>
      </w:r>
      <w:r>
        <w:t xml:space="preserve"> </w:t>
      </w:r>
      <w:r>
        <w:t xml:space="preserve">Device Description §4.2 (comparison table), §4.3, §5.2; ThrombEx 200 510(k) Summary §3.3.</w:t>
      </w:r>
    </w:p>
    <w:p>
      <w:pPr>
        <w:pStyle w:val="BodyText"/>
      </w:pPr>
      <w:r>
        <w:rPr>
          <w:b/>
          <w:bCs/>
        </w:rPr>
        <w:t xml:space="preserve">Why it matters.</w:t>
      </w:r>
      <w:r>
        <w:t xml:space="preserve"> </w:t>
      </w:r>
      <w:r>
        <w:t xml:space="preserve">FDA evaluates SE on the totality of differences. A different mechanism of action, standing alone, can be acceptable, but the package should anchor the impeller mechanism to a cleared predicate or reference device and should address the cumulative effect of the differences rather than each in isolation.</w:t>
      </w:r>
    </w:p>
    <w:p>
      <w:pPr>
        <w:pStyle w:val="BodyText"/>
      </w:pPr>
      <w:r>
        <w:rPr>
          <w:b/>
          <w:bCs/>
        </w:rPr>
        <w:t xml:space="preserve">Recommendation.</w:t>
      </w:r>
      <w:r>
        <w:t xml:space="preserve"> </w:t>
      </w:r>
      <w:r>
        <w:t xml:space="preserve">Identify cleared rotational/impeller thrombectomy devices (including any in the arterial/neuro space) that can serve as reference devices for the impeller mechanism, and address the cumulative differences in a single integrated</w:t>
      </w:r>
      <w:r>
        <w:t xml:space="preserve"> </w:t>
      </w:r>
      <w:r>
        <w:t xml:space="preserve">“</w:t>
      </w:r>
      <w:r>
        <w:t xml:space="preserve">new questions</w:t>
      </w:r>
      <w:r>
        <w:t xml:space="preserve">”</w:t>
      </w:r>
      <w:r>
        <w:t xml:space="preserve"> </w:t>
      </w:r>
      <w:r>
        <w:t xml:space="preserve">analysis. Temper the definitive SE language (see Issue 62).</w:t>
      </w:r>
    </w:p>
    <w:bookmarkEnd w:id="30"/>
    <w:bookmarkStart w:id="31" w:name="Xeb8f908b17aa150da323943ce29a33964b0380f"/>
    <w:p>
      <w:pPr>
        <w:pStyle w:val="Heading3"/>
      </w:pPr>
      <w:r>
        <w:t xml:space="preserve">Issue 7 — Factual misstatement of the predicate’s cleared population (Testing Plan Appendix A)</w:t>
      </w:r>
    </w:p>
    <w:p>
      <w:pPr>
        <w:pStyle w:val="FirstParagraph"/>
      </w:pPr>
      <w:r>
        <w:rPr>
          <w:b/>
          <w:bCs/>
        </w:rPr>
        <w:t xml:space="preserve">Issue.</w:t>
      </w:r>
      <w:r>
        <w:t xml:space="preserve"> </w:t>
      </w:r>
      <w:r>
        <w:t xml:space="preserve">Table A-1 in the Testing Plan (Appendix A) lists the predicate’s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(≤14 days), iliofemoral venous segment</w:t>
      </w:r>
      <w:r>
        <w:t xml:space="preserve">”</w:t>
      </w:r>
      <w:r>
        <w:t xml:space="preserve"> </w:t>
      </w:r>
      <w:r>
        <w:t xml:space="preserve">— i.e., it copies the</w:t>
      </w:r>
      <w:r>
        <w:t xml:space="preserve"> </w:t>
      </w:r>
      <w:r>
        <w:rPr>
          <w:b/>
          <w:bCs/>
        </w:rPr>
        <w:t xml:space="preserve">subject</w:t>
      </w:r>
      <w:r>
        <w:t xml:space="preserve"> </w:t>
      </w:r>
      <w:r>
        <w:t xml:space="preserve">device’s population into the</w:t>
      </w:r>
      <w:r>
        <w:t xml:space="preserve"> </w:t>
      </w:r>
      <w:r>
        <w:rPr>
          <w:b/>
          <w:bCs/>
        </w:rPr>
        <w:t xml:space="preserve">predicate</w:t>
      </w:r>
      <w:r>
        <w:t xml:space="preserve"> </w:t>
      </w:r>
      <w:r>
        <w:t xml:space="preserve">column. This is factually wrong. The ThrombEx 200 was cleared for</w:t>
      </w:r>
      <w:r>
        <w:t xml:space="preserve"> </w:t>
      </w:r>
      <w:r>
        <w:t xml:space="preserve">“</w:t>
      </w:r>
      <w:r>
        <w:t xml:space="preserve">the percutaneous removal of thrombus from the peripheral vasculature,</w:t>
      </w:r>
      <w:r>
        <w:t xml:space="preserve">”</w:t>
      </w:r>
      <w:r>
        <w:t xml:space="preserve"> </w:t>
      </w:r>
      <w:r>
        <w:t xml:space="preserve">with no DVT-specific limitation, no ≤14-day symptom-onset window, and no iliofemoral anatomical restriction (ThrombEx 200 510(k) Summary §2; the indication expressly</w:t>
      </w:r>
      <w:r>
        <w:t xml:space="preserve"> </w:t>
      </w:r>
      <w:r>
        <w:t xml:space="preserve">“</w:t>
      </w:r>
      <w:r>
        <w:t xml:space="preserve">encompasses the peripheral vasculature, including both the arterial and venous peripheral vascular systems</w:t>
      </w:r>
      <w:r>
        <w:t xml:space="preserve">”</w:t>
      </w:r>
      <w:r>
        <w:t xml:space="preserve">).</w:t>
      </w:r>
    </w:p>
    <w:p>
      <w:pPr>
        <w:pStyle w:val="BodyText"/>
      </w:pPr>
      <w:r>
        <w:rPr>
          <w:b/>
          <w:bCs/>
        </w:rPr>
        <w:t xml:space="preserve">Source.</w:t>
      </w:r>
      <w:r>
        <w:t xml:space="preserve"> </w:t>
      </w:r>
      <w:r>
        <w:t xml:space="preserve">Testing Plan, Appendix A, Table A-1; ThrombEx 200 510(k) Summary §2.</w:t>
      </w:r>
    </w:p>
    <w:p>
      <w:pPr>
        <w:pStyle w:val="BodyText"/>
      </w:pPr>
      <w:r>
        <w:rPr>
          <w:b/>
          <w:bCs/>
        </w:rPr>
        <w:t xml:space="preserve">Why it matters.</w:t>
      </w:r>
      <w:r>
        <w:t xml:space="preserve"> </w:t>
      </w:r>
      <w:r>
        <w:t xml:space="preserve">The comparison table is the heart of the SE showing. A misstatement that makes the predicate’s cleared indication appear narrower and more similar to the subject device’s than it actually is undermines the credibility of the entire SE analysis and will be immediately apparent to the reviewer who pulls K192847. The subject device’s indication (iliofemoral venous, acute DVT ≤14 days, plus drug delivery) is in fact materially different from the predicate’s broad peripheral-vasculature indication.</w:t>
      </w:r>
    </w:p>
    <w:p>
      <w:pPr>
        <w:pStyle w:val="BodyText"/>
      </w:pPr>
      <w:r>
        <w:rPr>
          <w:b/>
          <w:bCs/>
        </w:rPr>
        <w:t xml:space="preserve">Recommendation.</w:t>
      </w:r>
      <w:r>
        <w:t xml:space="preserve"> </w:t>
      </w:r>
      <w:r>
        <w:t xml:space="preserve">Correct Table A-1 to state the predicate’s actual cleared population (</w:t>
      </w:r>
      <w:r>
        <w:t xml:space="preserve">“</w:t>
      </w:r>
      <w:r>
        <w:t xml:space="preserve">peripheral vasculature; not limited by anatomy, clinical presentation, or symptom duration</w:t>
      </w:r>
      <w:r>
        <w:t xml:space="preserve">”</w:t>
      </w:r>
      <w:r>
        <w:t xml:space="preserve">). Re-examine the SE</w:t>
      </w:r>
      <w:r>
        <w:t xml:space="preserve"> </w:t>
      </w:r>
      <w:r>
        <w:t xml:space="preserve">“</w:t>
      </w:r>
      <w:r>
        <w:t xml:space="preserve">same intended use</w:t>
      </w:r>
      <w:r>
        <w:t xml:space="preserve">”</w:t>
      </w:r>
      <w:r>
        <w:t xml:space="preserve"> </w:t>
      </w:r>
      <w:r>
        <w:t xml:space="preserve">argument (Device Description §5.1) in light of the corrected predicate indication.</w:t>
      </w:r>
    </w:p>
    <w:bookmarkEnd w:id="31"/>
    <w:bookmarkStart w:id="32" w:name="X296dd25d326a7cd17668973d60de5dae2849c47"/>
    <w:p>
      <w:pPr>
        <w:pStyle w:val="Heading3"/>
      </w:pPr>
      <w:r>
        <w:t xml:space="preserve">Issue 8 — Factual errors in the predicate comparison table (aspiration pressure and software)</w:t>
      </w:r>
    </w:p>
    <w:p>
      <w:pPr>
        <w:pStyle w:val="FirstParagraph"/>
      </w:pPr>
      <w:r>
        <w:rPr>
          <w:b/>
          <w:bCs/>
        </w:rPr>
        <w:t xml:space="preserve">Issue.</w:t>
      </w:r>
      <w:r>
        <w:t xml:space="preserve"> </w:t>
      </w:r>
      <w:r>
        <w:t xml:space="preserve">Two entries in the Device Description comparison table (§4.2) state that predicate characteristics are</w:t>
      </w:r>
      <w:r>
        <w:t xml:space="preserve"> </w:t>
      </w:r>
      <w:r>
        <w:t xml:space="preserve">“</w:t>
      </w:r>
      <w:r>
        <w:t xml:space="preserve">Not specified in publicly available 510(k) summary</w:t>
      </w:r>
      <w:r>
        <w:t xml:space="preserve">”</w:t>
      </w:r>
      <w:r>
        <w:t xml:space="preserve"> </w:t>
      </w:r>
      <w:r>
        <w:t xml:space="preserve">when in fact they</w:t>
      </w:r>
      <w:r>
        <w:t xml:space="preserve"> </w:t>
      </w:r>
      <w:r>
        <w:rPr>
          <w:b/>
          <w:bCs/>
        </w:rPr>
        <w:t xml:space="preserve">are</w:t>
      </w:r>
      <w:r>
        <w:t xml:space="preserve"> </w:t>
      </w:r>
      <w:r>
        <w:t xml:space="preserve">specified in the ThrombEx 200 510(k) Summary:</w:t>
      </w:r>
    </w:p>
    <w:p>
      <w:pPr>
        <w:numPr>
          <w:ilvl w:val="0"/>
          <w:numId w:val="1004"/>
        </w:numPr>
      </w:pPr>
      <w:r>
        <w:rPr>
          <w:b/>
          <w:bCs/>
        </w:rPr>
        <w:t xml:space="preserve">Aspiration pressure.</w:t>
      </w:r>
      <w:r>
        <w:t xml:space="preserve"> </w:t>
      </w:r>
      <w:r>
        <w:t xml:space="preserve">The 510(k) Summary (§5.2) specifies that the ThrombEx 200 generates</w:t>
      </w:r>
      <w:r>
        <w:t xml:space="preserve"> </w:t>
      </w:r>
      <w:r>
        <w:t xml:space="preserve">“</w:t>
      </w:r>
      <w:r>
        <w:t xml:space="preserve">a minimum of −300 mmHg</w:t>
      </w:r>
      <w:r>
        <w:t xml:space="preserve">”</w:t>
      </w:r>
      <w:r>
        <w:t xml:space="preserve"> </w:t>
      </w:r>
      <w:r>
        <w:t xml:space="preserve">and operates</w:t>
      </w:r>
      <w:r>
        <w:t xml:space="preserve"> </w:t>
      </w:r>
      <w:r>
        <w:t xml:space="preserve">“</w:t>
      </w:r>
      <w:r>
        <w:t xml:space="preserve">within the specified range (−250 mmHg to −350 mmHg).</w:t>
      </w:r>
      <w:r>
        <w:t xml:space="preserve">”</w:t>
      </w:r>
      <w:r>
        <w:t xml:space="preserve"> </w:t>
      </w:r>
      <w:r>
        <w:t xml:space="preserve">The comparison table (Device Description §4.2) and Testing Plan Table A-1 both say</w:t>
      </w:r>
      <w:r>
        <w:t xml:space="preserve"> </w:t>
      </w:r>
      <w:r>
        <w:t xml:space="preserve">“</w:t>
      </w:r>
      <w:r>
        <w:t xml:space="preserve">Not specified.</w:t>
      </w:r>
      <w:r>
        <w:t xml:space="preserve">”</w:t>
      </w:r>
      <w:r>
        <w:t xml:space="preserve"> </w:t>
      </w:r>
      <w:r>
        <w:t xml:space="preserve">The VascuClear 3000’s −650 mmHg is nearly twice the predicate’s maximum (−350 mmHg) — a meaningful performance difference that the SE analysis should address, not omit.</w:t>
      </w:r>
    </w:p>
    <w:p>
      <w:pPr>
        <w:numPr>
          <w:ilvl w:val="0"/>
          <w:numId w:val="1004"/>
        </w:numPr>
      </w:pPr>
      <w:r>
        <w:rPr>
          <w:b/>
          <w:bCs/>
        </w:rPr>
        <w:t xml:space="preserve">Software / firmware.</w:t>
      </w:r>
      <w:r>
        <w:t xml:space="preserve"> </w:t>
      </w:r>
      <w:r>
        <w:t xml:space="preserve">The 510(k) Summary (§5.6) specifies that the ThrombEx 200 software level of concern was determined to be</w:t>
      </w:r>
      <w:r>
        <w:t xml:space="preserve"> </w:t>
      </w:r>
      <w:r>
        <w:rPr>
          <w:b/>
          <w:bCs/>
        </w:rPr>
        <w:t xml:space="preserve">Moderate</w:t>
      </w:r>
      <w:r>
        <w:t xml:space="preserve">. The comparison table (Device Description §4.2) says</w:t>
      </w:r>
      <w:r>
        <w:t xml:space="preserve"> </w:t>
      </w:r>
      <w:r>
        <w:t xml:space="preserve">“</w:t>
      </w:r>
      <w:r>
        <w:t xml:space="preserve">Not specified.</w:t>
      </w:r>
      <w:r>
        <w:t xml:space="preserve">”</w:t>
      </w:r>
      <w:r>
        <w:t xml:space="preserve"> </w:t>
      </w:r>
      <w:r>
        <w:t xml:space="preserve">This error conceals the fact that the predicate’s simpler software was classified Moderate while the subject device’s more complex software is claimed Minor (Issue 14).</w:t>
      </w:r>
    </w:p>
    <w:p>
      <w:pPr>
        <w:pStyle w:val="FirstParagraph"/>
      </w:pPr>
      <w:r>
        <w:rPr>
          <w:b/>
          <w:bCs/>
        </w:rPr>
        <w:t xml:space="preserve">Source.</w:t>
      </w:r>
      <w:r>
        <w:t xml:space="preserve"> </w:t>
      </w:r>
      <w:r>
        <w:t xml:space="preserve">Device Description §4.2 (comparison table); Testing Plan, Appendix A, Table A-1; ThrombEx 200 510(k) Summary §5.2, §5.6.</w:t>
      </w:r>
    </w:p>
    <w:p>
      <w:pPr>
        <w:pStyle w:val="BodyText"/>
      </w:pPr>
      <w:r>
        <w:rPr>
          <w:b/>
          <w:bCs/>
        </w:rPr>
        <w:t xml:space="preserve">Recommendation.</w:t>
      </w:r>
      <w:r>
        <w:t xml:space="preserve"> </w:t>
      </w:r>
      <w:r>
        <w:t xml:space="preserve">Correct both entries to reflect the predicate’s actual specifications (aspiration −250 to −350 mmHg; software LOC Moderate). Add a narrative discussion of the aspiration-pressure difference and the software-LOC difference in the SE analysis.</w:t>
      </w:r>
    </w:p>
    <w:p>
      <w:r>
        <w:pict>
          <v:rect style="width:0;height:1.5pt" o:hralign="center" o:hrstd="t" o:hr="t"/>
        </w:pict>
      </w:r>
    </w:p>
    <w:bookmarkEnd w:id="32"/>
    <w:bookmarkEnd w:id="33"/>
    <w:bookmarkStart w:id="53" w:name="X66815cb2ee30ffb98b6f59dc530baf9da4c00af"/>
    <w:p>
      <w:pPr>
        <w:pStyle w:val="Heading2"/>
      </w:pPr>
      <w:r>
        <w:t xml:space="preserve">VI. Tier 3 — High Priority: Scientific and Testing Deficiencies</w:t>
      </w:r>
    </w:p>
    <w:bookmarkStart w:id="34" w:name="X465064000fae0ac2c0e76a50fa75202a6181682"/>
    <w:p>
      <w:pPr>
        <w:pStyle w:val="Heading3"/>
      </w:pPr>
      <w:r>
        <w:t xml:space="preserve">Issue 9 — Biocompatibility contact-duration contradiction (the</w:t>
      </w:r>
      <w:r>
        <w:t xml:space="preserve"> </w:t>
      </w:r>
      <w:r>
        <w:t xml:space="preserve">“</w:t>
      </w:r>
      <w:r>
        <w:t xml:space="preserve">limited &lt;24h</w:t>
      </w:r>
      <w:r>
        <w:t xml:space="preserve">”</w:t>
      </w:r>
      <w:r>
        <w:t xml:space="preserve"> </w:t>
      </w:r>
      <w:r>
        <w:t xml:space="preserve">vs. 72-hour indwell problem)</w:t>
      </w:r>
    </w:p>
    <w:p>
      <w:pPr>
        <w:pStyle w:val="FirstParagraph"/>
      </w:pPr>
      <w:r>
        <w:rPr>
          <w:b/>
          <w:bCs/>
        </w:rPr>
        <w:t xml:space="preserve">Issue.</w:t>
      </w:r>
      <w:r>
        <w:t xml:space="preserve"> </w:t>
      </w:r>
      <w:r>
        <w:t xml:space="preserve">The Testing Plan (§2.1) classifies the VascuClear Catheter as a blood-contacting device with</w:t>
      </w:r>
      <w:r>
        <w:t xml:space="preserve"> </w:t>
      </w:r>
      <w:r>
        <w:rPr>
          <w:b/>
          <w:bCs/>
        </w:rPr>
        <w:t xml:space="preserve">“</w:t>
      </w:r>
      <w:r>
        <w:rPr>
          <w:b/>
          <w:bCs/>
        </w:rPr>
        <w:t xml:space="preserve">limited contact duration (less than 24 hours)</w:t>
      </w:r>
      <w:r>
        <w:rPr>
          <w:b/>
          <w:bCs/>
        </w:rPr>
        <w:t xml:space="preserve">”</w:t>
      </w:r>
      <w:r>
        <w:t xml:space="preserve"> </w:t>
      </w:r>
      <w:r>
        <w:t xml:space="preserve">per ISO 10993-1:2018 Table A.1, and on that basis</w:t>
      </w:r>
      <w:r>
        <w:t xml:space="preserve"> </w:t>
      </w:r>
      <w:r>
        <w:rPr>
          <w:b/>
          <w:bCs/>
        </w:rPr>
        <w:t xml:space="preserve">excludes</w:t>
      </w:r>
      <w:r>
        <w:t xml:space="preserve"> </w:t>
      </w:r>
      <w:r>
        <w:t xml:space="preserve">subchronic systemic toxicity (ISO 10993-11), implantation testing (ISO 10993-6), and genotoxicity (ISO 10993-3). At the same time, the Device Description (§2.2), the draft IFU (§1, §8.4), and the Clinical Synopsis (§8.2, step 8) all state that the catheter</w:t>
      </w:r>
      <w:r>
        <w:t xml:space="preserve"> </w:t>
      </w:r>
      <w:r>
        <w:t xml:space="preserve">“</w:t>
      </w:r>
      <w:r>
        <w:t xml:space="preserve">may remain in situ for up to</w:t>
      </w:r>
      <w:r>
        <w:t xml:space="preserve"> </w:t>
      </w:r>
      <w:r>
        <w:rPr>
          <w:b/>
          <w:bCs/>
        </w:rPr>
        <w:t xml:space="preserve">72 hours</w:t>
      </w:r>
      <w:r>
        <w:t xml:space="preserve">”</w:t>
      </w:r>
      <w:r>
        <w:t xml:space="preserve"> </w:t>
      </w:r>
      <w:r>
        <w:t xml:space="preserve">for extended thrombolytic infusion. Seventy-two hours is</w:t>
      </w:r>
      <w:r>
        <w:t xml:space="preserve"> </w:t>
      </w:r>
      <w:r>
        <w:rPr>
          <w:b/>
          <w:bCs/>
        </w:rPr>
        <w:t xml:space="preserve">prolonged contact</w:t>
      </w:r>
      <w:r>
        <w:t xml:space="preserve"> </w:t>
      </w:r>
      <w:r>
        <w:t xml:space="preserve">(&gt;24 hours to 30 days) under ISO 10993-1, not</w:t>
      </w:r>
      <w:r>
        <w:t xml:space="preserve"> </w:t>
      </w:r>
      <w:r>
        <w:t xml:space="preserve">“</w:t>
      </w:r>
      <w:r>
        <w:t xml:space="preserve">limited.</w:t>
      </w:r>
      <w:r>
        <w:t xml:space="preserve">”</w:t>
      </w:r>
      <w:r>
        <w:t xml:space="preserve"> </w:t>
      </w:r>
      <w:r>
        <w:t xml:space="preserve">The Device Description comparison table (§4.2) contradicts itself within a single row: it lists</w:t>
      </w:r>
      <w:r>
        <w:t xml:space="preserve"> </w:t>
      </w:r>
      <w:r>
        <w:t xml:space="preserve">“</w:t>
      </w:r>
      <w:r>
        <w:t xml:space="preserve">Device Contact Duration: Up to 72 hours</w:t>
      </w:r>
      <w:r>
        <w:t xml:space="preserve">”</w:t>
      </w:r>
      <w:r>
        <w:t xml:space="preserve"> </w:t>
      </w:r>
      <w:r>
        <w:t xml:space="preserve">and, in the same table,</w:t>
      </w:r>
      <w:r>
        <w:t xml:space="preserve"> </w:t>
      </w:r>
      <w:r>
        <w:t xml:space="preserve">“</w:t>
      </w:r>
      <w:r>
        <w:t xml:space="preserve">Biocompatibility: … contact duration classified as</w:t>
      </w:r>
      <w:r>
        <w:t xml:space="preserve"> </w:t>
      </w:r>
      <w:r>
        <w:t xml:space="preserve">‘</w:t>
      </w:r>
      <w:r>
        <w:t xml:space="preserve">limited</w:t>
      </w:r>
      <w:r>
        <w:t xml:space="preserve">’</w:t>
      </w:r>
      <w:r>
        <w:t xml:space="preserve"> </w:t>
      </w:r>
      <w:r>
        <w:t xml:space="preserve">(&lt;24 hours).</w:t>
      </w:r>
      <w:r>
        <w:t xml:space="preserve">”</w:t>
      </w:r>
    </w:p>
    <w:p>
      <w:pPr>
        <w:pStyle w:val="BodyText"/>
      </w:pPr>
      <w:r>
        <w:rPr>
          <w:b/>
          <w:bCs/>
        </w:rPr>
        <w:t xml:space="preserve">Source.</w:t>
      </w:r>
      <w:r>
        <w:t xml:space="preserve"> </w:t>
      </w:r>
      <w:r>
        <w:t xml:space="preserve">Testing Plan §2.1, §2.2; Device Description §2.2, §4.2 (comparison table); IFU §1, §8.4; Clinical Synopsis §8.2.</w:t>
      </w:r>
    </w:p>
    <w:p>
      <w:pPr>
        <w:pStyle w:val="BodyText"/>
      </w:pPr>
      <w:r>
        <w:rPr>
          <w:b/>
          <w:bCs/>
        </w:rPr>
        <w:t xml:space="preserve">Why it matters.</w:t>
      </w:r>
      <w:r>
        <w:t xml:space="preserve"> </w:t>
      </w:r>
      <w:r>
        <w:t xml:space="preserve">If the 72-hour indwell claim stands, the</w:t>
      </w:r>
      <w:r>
        <w:t xml:space="preserve"> </w:t>
      </w:r>
      <w:r>
        <w:t xml:space="preserve">“</w:t>
      </w:r>
      <w:r>
        <w:t xml:space="preserve">limited</w:t>
      </w:r>
      <w:r>
        <w:t xml:space="preserve">”</w:t>
      </w:r>
      <w:r>
        <w:t xml:space="preserve"> </w:t>
      </w:r>
      <w:r>
        <w:t xml:space="preserve">classification is wrong, the excluded endpoints may be required, and the biocompatibility battery is incomplete. FDA will almost certainly flag this. If the 72-hour indwell is not essential, the IFU, device description, and clinical synopsis must be revised to remove it. The package cannot have it both ways.</w:t>
      </w:r>
    </w:p>
    <w:p>
      <w:pPr>
        <w:pStyle w:val="BodyText"/>
      </w:pPr>
      <w:r>
        <w:rPr>
          <w:b/>
          <w:bCs/>
        </w:rPr>
        <w:t xml:space="preserve">Recommendation.</w:t>
      </w:r>
      <w:r>
        <w:t xml:space="preserve"> </w:t>
      </w:r>
      <w:r>
        <w:t xml:space="preserve">Resolve the contact-duration classification as a threshold decision. If 72-hour indwell is retained, re-classify as prolonged contact, add the endpoints required by ISO 10993-1 Table A.1 for prolonged blood contact (including, at minimum, subchronic systemic toxicity and material-mediated genotoxicity consideration), and revise the EtO residual limits (Issue 10). If 72-hour indwell is dropped, remove the extended-infusion provisions from the IFU, device description, and clinical synopsis. Either way, fix the self-contradiction in the comparison table.</w:t>
      </w:r>
    </w:p>
    <w:bookmarkEnd w:id="34"/>
    <w:bookmarkStart w:id="35" w:name="X48a4cb717431e9806b21e49174544788eb039ad"/>
    <w:p>
      <w:pPr>
        <w:pStyle w:val="Heading3"/>
      </w:pPr>
      <w:r>
        <w:t xml:space="preserve">Issue 10 — EtO residual limits tied to the wrong (limited-contact) duration</w:t>
      </w:r>
    </w:p>
    <w:p>
      <w:pPr>
        <w:pStyle w:val="FirstParagraph"/>
      </w:pPr>
      <w:r>
        <w:rPr>
          <w:b/>
          <w:bCs/>
        </w:rPr>
        <w:t xml:space="preserve">Issue.</w:t>
      </w:r>
      <w:r>
        <w:t xml:space="preserve"> </w:t>
      </w:r>
      <w:r>
        <w:t xml:space="preserve">The Testing Plan (§6.2) sets EtO residual acceptance criteria at</w:t>
      </w:r>
      <w:r>
        <w:t xml:space="preserve"> </w:t>
      </w:r>
      <w:r>
        <w:t xml:space="preserve">“</w:t>
      </w:r>
      <w:r>
        <w:t xml:space="preserve">ethylene oxide ≤ 4 mg per device and ethylene chlorohydrin ≤ 9 mg per device,</w:t>
      </w:r>
      <w:r>
        <w:t xml:space="preserve">”</w:t>
      </w:r>
      <w:r>
        <w:t xml:space="preserve"> </w:t>
      </w:r>
      <w:r>
        <w:t xml:space="preserve">citing these as the ISO 10993-7 limits for</w:t>
      </w:r>
      <w:r>
        <w:t xml:space="preserve"> </w:t>
      </w:r>
      <w:r>
        <w:t xml:space="preserve">“</w:t>
      </w:r>
      <w:r>
        <w:t xml:space="preserve">contact devices with limited exposure duration.</w:t>
      </w:r>
      <w:r>
        <w:t xml:space="preserve">”</w:t>
      </w:r>
      <w:r>
        <w:t xml:space="preserve"> </w:t>
      </w:r>
      <w:r>
        <w:t xml:space="preserve">Those are the ISO 10993-7 tolerable-contact limits for</w:t>
      </w:r>
      <w:r>
        <w:t xml:space="preserve"> </w:t>
      </w:r>
      <w:r>
        <w:rPr>
          <w:b/>
          <w:bCs/>
        </w:rPr>
        <w:t xml:space="preserve">limited</w:t>
      </w:r>
      <w:r>
        <w:t xml:space="preserve"> </w:t>
      </w:r>
      <w:r>
        <w:t xml:space="preserve">contact (&lt;24 hours). If the 72-hour indwell stands and the device is prolonged contact, ISO 10993-7 specifies</w:t>
      </w:r>
      <w:r>
        <w:t xml:space="preserve"> </w:t>
      </w:r>
      <w:r>
        <w:rPr>
          <w:b/>
          <w:bCs/>
        </w:rPr>
        <w:t xml:space="preserve">more stringent (lower)</w:t>
      </w:r>
      <w:r>
        <w:t xml:space="preserve"> </w:t>
      </w:r>
      <w:r>
        <w:t xml:space="preserve">tolerable-contact limits for prolonged exposure, which would govern.</w:t>
      </w:r>
    </w:p>
    <w:p>
      <w:pPr>
        <w:pStyle w:val="BodyText"/>
      </w:pPr>
      <w:r>
        <w:rPr>
          <w:b/>
          <w:bCs/>
        </w:rPr>
        <w:t xml:space="preserve">Source.</w:t>
      </w:r>
      <w:r>
        <w:t xml:space="preserve"> </w:t>
      </w:r>
      <w:r>
        <w:t xml:space="preserve">Testing Plan §6.2; linked to Issue 9.</w:t>
      </w:r>
    </w:p>
    <w:p>
      <w:pPr>
        <w:pStyle w:val="BodyText"/>
      </w:pPr>
      <w:r>
        <w:rPr>
          <w:b/>
          <w:bCs/>
        </w:rPr>
        <w:t xml:space="preserve">Recommendation.</w:t>
      </w:r>
      <w:r>
        <w:t xml:space="preserve"> </w:t>
      </w:r>
      <w:r>
        <w:t xml:space="preserve">Confirm the applicable ISO 10993-7 limits against the final contact-duration classification and revise the acceptance criteria accordingly. Do not leave the limited-contact limits in place if the device is prolonged contact.</w:t>
      </w:r>
    </w:p>
    <w:bookmarkEnd w:id="35"/>
    <w:bookmarkStart w:id="36" w:name="Xb37d14a72fe29843b626ca45cf6a2da85508513"/>
    <w:p>
      <w:pPr>
        <w:pStyle w:val="Heading3"/>
      </w:pPr>
      <w:r>
        <w:t xml:space="preserve">Issue 11 — Impeller fatigue testing:</w:t>
      </w:r>
      <w:r>
        <w:t xml:space="preserve"> </w:t>
      </w:r>
      <w:r>
        <w:t xml:space="preserve">“</w:t>
      </w:r>
      <w:r>
        <w:t xml:space="preserve">500 rotational cycles</w:t>
      </w:r>
      <w:r>
        <w:t xml:space="preserve">”</w:t>
      </w:r>
      <w:r>
        <w:t xml:space="preserve"> </w:t>
      </w:r>
      <w:r>
        <w:t xml:space="preserve">is not a meaningful fatigue test</w:t>
      </w:r>
    </w:p>
    <w:p>
      <w:pPr>
        <w:pStyle w:val="FirstParagraph"/>
      </w:pPr>
      <w:r>
        <w:rPr>
          <w:b/>
          <w:bCs/>
        </w:rPr>
        <w:t xml:space="preserve">Issue.</w:t>
      </w:r>
      <w:r>
        <w:t xml:space="preserve"> </w:t>
      </w:r>
      <w:r>
        <w:t xml:space="preserve">The Testing Plan (§3.3) defines</w:t>
      </w:r>
      <w:r>
        <w:t xml:space="preserve"> </w:t>
      </w:r>
      <w:r>
        <w:t xml:space="preserve">“</w:t>
      </w:r>
      <w:r>
        <w:t xml:space="preserve">one rotational cycle</w:t>
      </w:r>
      <w:r>
        <w:t xml:space="preserve">”</w:t>
      </w:r>
      <w:r>
        <w:t xml:space="preserve"> </w:t>
      </w:r>
      <w:r>
        <w:t xml:space="preserve">as</w:t>
      </w:r>
      <w:r>
        <w:t xml:space="preserve"> </w:t>
      </w:r>
      <w:r>
        <w:t xml:space="preserve">“</w:t>
      </w:r>
      <w:r>
        <w:t xml:space="preserve">one complete revolution (360°) of the impeller</w:t>
      </w:r>
      <w:r>
        <w:t xml:space="preserve">”</w:t>
      </w:r>
      <w:r>
        <w:t xml:space="preserve"> </w:t>
      </w:r>
      <w:r>
        <w:t xml:space="preserve">and requires fatigue testing for</w:t>
      </w:r>
      <w:r>
        <w:t xml:space="preserve"> </w:t>
      </w:r>
      <w:r>
        <w:t xml:space="preserve">“</w:t>
      </w:r>
      <w:r>
        <w:t xml:space="preserve">a minimum of 500 rotational cycles</w:t>
      </w:r>
      <w:r>
        <w:t xml:space="preserve">”</w:t>
      </w:r>
      <w:r>
        <w:t xml:space="preserve"> </w:t>
      </w:r>
      <w:r>
        <w:t xml:space="preserve">at 12,000 RPM. Five hundred revolutions at 12,000 RPM equals approximately</w:t>
      </w:r>
      <w:r>
        <w:t xml:space="preserve"> </w:t>
      </w:r>
      <w:r>
        <w:rPr>
          <w:b/>
          <w:bCs/>
        </w:rPr>
        <w:t xml:space="preserve">2.5 seconds</w:t>
      </w:r>
      <w:r>
        <w:t xml:space="preserve"> </w:t>
      </w:r>
      <w:r>
        <w:t xml:space="preserve">of operation — a duration that cannot demonstrate fatigue durability. The Device Description (§2.2) describes the same specification as</w:t>
      </w:r>
      <w:r>
        <w:t xml:space="preserve"> </w:t>
      </w:r>
      <w:r>
        <w:t xml:space="preserve">“</w:t>
      </w:r>
      <w:r>
        <w:t xml:space="preserve">500 complete</w:t>
      </w:r>
      <w:r>
        <w:t xml:space="preserve"> </w:t>
      </w:r>
      <w:r>
        <w:rPr>
          <w:b/>
          <w:bCs/>
        </w:rPr>
        <w:t xml:space="preserve">activation</w:t>
      </w:r>
      <w:r>
        <w:t xml:space="preserve"> </w:t>
      </w:r>
      <w:r>
        <w:t xml:space="preserve">cycles,</w:t>
      </w:r>
      <w:r>
        <w:t xml:space="preserve">”</w:t>
      </w:r>
      <w:r>
        <w:t xml:space="preserve"> </w:t>
      </w:r>
      <w:r>
        <w:t xml:space="preserve">suggesting 500 separate on/off activation events rather than 500 revolutions. The two documents use</w:t>
      </w:r>
      <w:r>
        <w:t xml:space="preserve"> </w:t>
      </w:r>
      <w:r>
        <w:t xml:space="preserve">“</w:t>
      </w:r>
      <w:r>
        <w:t xml:space="preserve">cycle</w:t>
      </w:r>
      <w:r>
        <w:t xml:space="preserve">”</w:t>
      </w:r>
      <w:r>
        <w:t xml:space="preserve"> </w:t>
      </w:r>
      <w:r>
        <w:t xml:space="preserve">to mean different things.</w:t>
      </w:r>
    </w:p>
    <w:p>
      <w:pPr>
        <w:pStyle w:val="BodyText"/>
      </w:pPr>
      <w:r>
        <w:rPr>
          <w:b/>
          <w:bCs/>
        </w:rPr>
        <w:t xml:space="preserve">Source.</w:t>
      </w:r>
      <w:r>
        <w:t xml:space="preserve"> </w:t>
      </w:r>
      <w:r>
        <w:t xml:space="preserve">Testing Plan §3.3; Device Description §2.2.</w:t>
      </w:r>
    </w:p>
    <w:p>
      <w:pPr>
        <w:pStyle w:val="BodyText"/>
      </w:pPr>
      <w:r>
        <w:rPr>
          <w:b/>
          <w:bCs/>
        </w:rPr>
        <w:t xml:space="preserve">Why it matters.</w:t>
      </w:r>
      <w:r>
        <w:t xml:space="preserve"> </w:t>
      </w:r>
      <w:r>
        <w:t xml:space="preserve">A 2.5-second fatigue test will not withstand FDA scrutiny for a rotating component that is the device’s primary mechanism of action, and the inconsistent definition of</w:t>
      </w:r>
      <w:r>
        <w:t xml:space="preserve"> </w:t>
      </w:r>
      <w:r>
        <w:t xml:space="preserve">“</w:t>
      </w:r>
      <w:r>
        <w:t xml:space="preserve">cycle</w:t>
      </w:r>
      <w:r>
        <w:t xml:space="preserve">”</w:t>
      </w:r>
      <w:r>
        <w:t xml:space="preserve"> </w:t>
      </w:r>
      <w:r>
        <w:t xml:space="preserve">is a verification-planning defect. FDA will challenge both the acceptance criterion and the rationale.</w:t>
      </w:r>
    </w:p>
    <w:p>
      <w:pPr>
        <w:pStyle w:val="BodyText"/>
      </w:pPr>
      <w:r>
        <w:rPr>
          <w:b/>
          <w:bCs/>
        </w:rPr>
        <w:t xml:space="preserve">Recommendation.</w:t>
      </w:r>
      <w:r>
        <w:t xml:space="preserve"> </w:t>
      </w:r>
      <w:r>
        <w:t xml:space="preserve">Reconcile the definition of</w:t>
      </w:r>
      <w:r>
        <w:t xml:space="preserve"> </w:t>
      </w:r>
      <w:r>
        <w:t xml:space="preserve">“</w:t>
      </w:r>
      <w:r>
        <w:t xml:space="preserve">cycle</w:t>
      </w:r>
      <w:r>
        <w:t xml:space="preserve">”</w:t>
      </w:r>
      <w:r>
        <w:t xml:space="preserve"> </w:t>
      </w:r>
      <w:r>
        <w:t xml:space="preserve">across documents. Establish a clinically meaningful fatigue protocol — e.g., a specified number of activation events multiplied by a worst-case per-event run time, or a total-revolution count representative of cumulative worst-case clinical use — with a statistically justified sample size. Present the rationale to FDA in the Pre-Submission.</w:t>
      </w:r>
    </w:p>
    <w:bookmarkEnd w:id="36"/>
    <w:bookmarkStart w:id="37" w:name="X43e14799bffda8cdd97b4c3ab869ce4a6a4d190"/>
    <w:p>
      <w:pPr>
        <w:pStyle w:val="Heading3"/>
      </w:pPr>
      <w:r>
        <w:t xml:space="preserve">Issue 12 — Simulated-use bench testing excludes the indicated pharmacomechanical function</w:t>
      </w:r>
    </w:p>
    <w:p>
      <w:pPr>
        <w:pStyle w:val="FirstParagraph"/>
      </w:pPr>
      <w:r>
        <w:rPr>
          <w:b/>
          <w:bCs/>
        </w:rPr>
        <w:t xml:space="preserve">Issue.</w:t>
      </w:r>
      <w:r>
        <w:t xml:space="preserve"> </w:t>
      </w:r>
      <w:r>
        <w:t xml:space="preserve">The Testing Plan (§7.2) expressly states that</w:t>
      </w:r>
      <w:r>
        <w:t xml:space="preserve"> </w:t>
      </w:r>
      <w:r>
        <w:t xml:space="preserve">“</w:t>
      </w:r>
      <w:r>
        <w:t xml:space="preserve">the simulated-use bench testing protocol evaluates mechanical thrombectomy only. The thrombolytic infusion lumen is not activated during simulated-use bench testing. Combined pharmacomechanical testing (simultaneous mechanical thrombectomy with concurrent thrombolytic agent delivery) is not included in this bench test protocol.</w:t>
      </w:r>
      <w:r>
        <w:t xml:space="preserve">”</w:t>
      </w:r>
      <w:r>
        <w:t xml:space="preserve"> </w:t>
      </w:r>
      <w:r>
        <w:t xml:space="preserve">The device’s</w:t>
      </w:r>
      <w:r>
        <w:t xml:space="preserve"> </w:t>
      </w:r>
      <w:r>
        <w:rPr>
          <w:b/>
          <w:bCs/>
        </w:rPr>
        <w:t xml:space="preserve">indicated</w:t>
      </w:r>
      <w:r>
        <w:t xml:space="preserve"> </w:t>
      </w:r>
      <w:r>
        <w:t xml:space="preserve">function, however, is pharmacomechanical thrombectomy. The bench testing therefore does not test the device as it is indicated to be used.</w:t>
      </w:r>
    </w:p>
    <w:p>
      <w:pPr>
        <w:pStyle w:val="BodyText"/>
      </w:pPr>
      <w:r>
        <w:rPr>
          <w:b/>
          <w:bCs/>
        </w:rPr>
        <w:t xml:space="preserve">Source.</w:t>
      </w:r>
      <w:r>
        <w:t xml:space="preserve"> </w:t>
      </w:r>
      <w:r>
        <w:t xml:space="preserve">Testing Plan §7.2; Cover Letter §IV; Device Description §2.4; IFU §2.</w:t>
      </w:r>
    </w:p>
    <w:p>
      <w:pPr>
        <w:pStyle w:val="BodyText"/>
      </w:pPr>
      <w:r>
        <w:rPr>
          <w:b/>
          <w:bCs/>
        </w:rPr>
        <w:t xml:space="preserve">Why it matters.</w:t>
      </w:r>
      <w:r>
        <w:t xml:space="preserve"> </w:t>
      </w:r>
      <w:r>
        <w:t xml:space="preserve">FDA expects bench performance testing to evaluate the device in its indicated use configuration. Testing only the mechanical sub-function leaves the combined pharmacomechanical performance uncharacterized and weakens the SE showing for the differentiating feature.</w:t>
      </w:r>
    </w:p>
    <w:p>
      <w:pPr>
        <w:pStyle w:val="BodyText"/>
      </w:pPr>
      <w:r>
        <w:rPr>
          <w:b/>
          <w:bCs/>
        </w:rPr>
        <w:t xml:space="preserve">Recommendation.</w:t>
      </w:r>
      <w:r>
        <w:t xml:space="preserve"> </w:t>
      </w:r>
      <w:r>
        <w:t xml:space="preserve">Add a combined pharmacomechanical bench test (mechanical thrombectomy with concurrent infusion) to the protocol, or justify with specificity why separate mechanical and flow characterization is sufficient and present that justification to FDA (Testing Plan §10, Q5/Q6).</w:t>
      </w:r>
    </w:p>
    <w:bookmarkEnd w:id="37"/>
    <w:bookmarkStart w:id="38" w:name="X74fca8d74a23106a1f3a4b49ce1ca16da6f3d87"/>
    <w:p>
      <w:pPr>
        <w:pStyle w:val="Heading3"/>
      </w:pPr>
      <w:r>
        <w:t xml:space="preserve">Issue 13 — Drug-delivery characterization uses saline only; drug compatibility is unverified</w:t>
      </w:r>
    </w:p>
    <w:p>
      <w:pPr>
        <w:pStyle w:val="FirstParagraph"/>
      </w:pPr>
      <w:r>
        <w:rPr>
          <w:b/>
          <w:bCs/>
        </w:rPr>
        <w:t xml:space="preserve">Issue.</w:t>
      </w:r>
      <w:r>
        <w:t xml:space="preserve"> </w:t>
      </w:r>
      <w:r>
        <w:t xml:space="preserve">The Testing Plan (§8.2) uses</w:t>
      </w:r>
      <w:r>
        <w:t xml:space="preserve"> </w:t>
      </w:r>
      <w:r>
        <w:rPr>
          <w:b/>
          <w:bCs/>
        </w:rPr>
        <w:t xml:space="preserve">normal saline</w:t>
      </w:r>
      <w:r>
        <w:t xml:space="preserve"> </w:t>
      </w:r>
      <w:r>
        <w:t xml:space="preserve">as the test fluid for all drug-delivery characterization. The draft IFU (§9) candidly admits that</w:t>
      </w:r>
      <w:r>
        <w:t xml:space="preserve"> </w:t>
      </w:r>
      <w:r>
        <w:t xml:space="preserve">“</w:t>
      </w:r>
      <w:r>
        <w:t xml:space="preserve">[d]rug compatibility with catheter lumen materials has not been independently verified by Clearfield Medical Devices</w:t>
      </w:r>
      <w:r>
        <w:t xml:space="preserve">”</w:t>
      </w:r>
      <w:r>
        <w:t xml:space="preserve"> </w:t>
      </w:r>
      <w:r>
        <w:t xml:space="preserve">and that</w:t>
      </w:r>
      <w:r>
        <w:t xml:space="preserve"> </w:t>
      </w:r>
      <w:r>
        <w:t xml:space="preserve">“</w:t>
      </w:r>
      <w:r>
        <w:t xml:space="preserve">specific compatibility testing with individual thrombolytic agents, diluents, or drug formulations has not been performed.</w:t>
      </w:r>
      <w:r>
        <w:t xml:space="preserve">”</w:t>
      </w:r>
      <w:r>
        <w:t xml:space="preserve"> </w:t>
      </w:r>
      <w:r>
        <w:t xml:space="preserve">For a device indicated to deliver thrombolytic agents, there is no proposed testing of representative thrombolytics (e.g., alteplase, reteplase, tenecteplase) for material compatibility, drug adsorption/absorption to the PTFE liner and polyurethane, drug stability through the lumen, or delivered-dose accuracy.</w:t>
      </w:r>
    </w:p>
    <w:p>
      <w:pPr>
        <w:pStyle w:val="BodyText"/>
      </w:pPr>
      <w:r>
        <w:rPr>
          <w:b/>
          <w:bCs/>
        </w:rPr>
        <w:t xml:space="preserve">Source.</w:t>
      </w:r>
      <w:r>
        <w:t xml:space="preserve"> </w:t>
      </w:r>
      <w:r>
        <w:t xml:space="preserve">Testing Plan §8.2; IFU §9.</w:t>
      </w:r>
    </w:p>
    <w:p>
      <w:pPr>
        <w:pStyle w:val="BodyText"/>
      </w:pPr>
      <w:r>
        <w:rPr>
          <w:b/>
          <w:bCs/>
        </w:rPr>
        <w:t xml:space="preserve">Why it matters.</w:t>
      </w:r>
      <w:r>
        <w:t xml:space="preserve"> </w:t>
      </w:r>
      <w:r>
        <w:t xml:space="preserve">If the device is indicated for drug delivery, FDA is likely to require drug-compatibility and delivered-dose data, particularly if the combination-product question (Issue 1) cuts against Clearfield. The package’s own Question 6 to FDA (Testing Plan §10) effectively concedes the gap by asking whether saline is</w:t>
      </w:r>
      <w:r>
        <w:t xml:space="preserve"> </w:t>
      </w:r>
      <w:r>
        <w:t xml:space="preserve">“</w:t>
      </w:r>
      <w:r>
        <w:t xml:space="preserve">sufficient.</w:t>
      </w:r>
      <w:r>
        <w:t xml:space="preserve">”</w:t>
      </w:r>
    </w:p>
    <w:p>
      <w:pPr>
        <w:pStyle w:val="BodyText"/>
      </w:pPr>
      <w:r>
        <w:rPr>
          <w:b/>
          <w:bCs/>
        </w:rPr>
        <w:t xml:space="preserve">Recommendation.</w:t>
      </w:r>
      <w:r>
        <w:t xml:space="preserve"> </w:t>
      </w:r>
      <w:r>
        <w:t xml:space="preserve">Propose a drug-compatibility testing plan using representative thrombolytics (at minimum alteplase), addressing adsorption/loss, stability, and delivered-dose accuracy across the 2–10 mL/min range. Come to the Pre-Submission with a proposed plan rather than leaving the entire question open.</w:t>
      </w:r>
    </w:p>
    <w:bookmarkEnd w:id="38"/>
    <w:bookmarkStart w:id="39" w:name="X8c8de6fc830966c5fb6a967888e25bdb7cd3191"/>
    <w:p>
      <w:pPr>
        <w:pStyle w:val="Heading3"/>
      </w:pPr>
      <w:r>
        <w:t xml:space="preserve">Issue 14 — Software level of concern</w:t>
      </w:r>
      <w:r>
        <w:t xml:space="preserve"> </w:t>
      </w:r>
      <w:r>
        <w:t xml:space="preserve">“</w:t>
      </w:r>
      <w:r>
        <w:t xml:space="preserve">Minor</w:t>
      </w:r>
      <w:r>
        <w:t xml:space="preserve">”</w:t>
      </w:r>
      <w:r>
        <w:t xml:space="preserve"> </w:t>
      </w:r>
      <w:r>
        <w:t xml:space="preserve">is almost certainly understated</w:t>
      </w:r>
    </w:p>
    <w:p>
      <w:pPr>
        <w:pStyle w:val="FirstParagraph"/>
      </w:pPr>
      <w:r>
        <w:rPr>
          <w:b/>
          <w:bCs/>
        </w:rPr>
        <w:t xml:space="preserve">Issue.</w:t>
      </w:r>
      <w:r>
        <w:t xml:space="preserve"> </w:t>
      </w:r>
      <w:r>
        <w:t xml:space="preserve">The Testing Plan (§5.2) classifies the console software as</w:t>
      </w:r>
      <w:r>
        <w:t xml:space="preserve"> </w:t>
      </w:r>
      <w:r>
        <w:rPr>
          <w:b/>
          <w:bCs/>
        </w:rPr>
        <w:t xml:space="preserve">Minor</w:t>
      </w:r>
      <w:r>
        <w:t xml:space="preserve"> </w:t>
      </w:r>
      <w:r>
        <w:t xml:space="preserve">level of concern, relying on</w:t>
      </w:r>
      <w:r>
        <w:t xml:space="preserve"> </w:t>
      </w:r>
      <w:r>
        <w:t xml:space="preserve">“</w:t>
      </w:r>
      <w:r>
        <w:t xml:space="preserve">independent hardware safety mechanisms</w:t>
      </w:r>
      <w:r>
        <w:t xml:space="preserve">”</w:t>
      </w:r>
      <w:r>
        <w:t xml:space="preserve"> </w:t>
      </w:r>
      <w:r>
        <w:t xml:space="preserve">(a mechanical over-speed governor and a hardware pressure-relief valve). Two problems: (a) the</w:t>
      </w:r>
      <w:r>
        <w:t xml:space="preserve"> </w:t>
      </w:r>
      <w:r>
        <w:rPr>
          <w:b/>
          <w:bCs/>
        </w:rPr>
        <w:t xml:space="preserve">predicate’s</w:t>
      </w:r>
      <w:r>
        <w:t xml:space="preserve"> </w:t>
      </w:r>
      <w:r>
        <w:t xml:space="preserve">software — which controls only an aspiration pump and saline flow, a simpler function — was classified</w:t>
      </w:r>
      <w:r>
        <w:t xml:space="preserve"> </w:t>
      </w:r>
      <w:r>
        <w:rPr>
          <w:b/>
          <w:bCs/>
        </w:rPr>
        <w:t xml:space="preserve">Moderate</w:t>
      </w:r>
      <w:r>
        <w:t xml:space="preserve"> </w:t>
      </w:r>
      <w:r>
        <w:t xml:space="preserve">(ThrombEx 200 510(k) Summary §5.6); it is difficult to justify a lower classification for software that additionally controls a 12,000 RPM rotating impeller; and (b) the existence and independence of the hardware backups is asserted but not demonstrated, and an uncommanded impeller overspeed or rotation could cause vessel perforation or serious injury. The Testing Plan (§5.3) also proposes to</w:t>
      </w:r>
      <w:r>
        <w:t xml:space="preserve"> </w:t>
      </w:r>
      <w:r>
        <w:rPr>
          <w:b/>
          <w:bCs/>
        </w:rPr>
        <w:t xml:space="preserve">withhold</w:t>
      </w:r>
      <w:r>
        <w:t xml:space="preserve"> </w:t>
      </w:r>
      <w:r>
        <w:t xml:space="preserve">the hazard analysis, detailed architecture, and unresolved-anomaly list from the 510(k).</w:t>
      </w:r>
    </w:p>
    <w:p>
      <w:pPr>
        <w:pStyle w:val="BodyText"/>
      </w:pPr>
      <w:r>
        <w:rPr>
          <w:b/>
          <w:bCs/>
        </w:rPr>
        <w:t xml:space="preserve">Source.</w:t>
      </w:r>
      <w:r>
        <w:t xml:space="preserve"> </w:t>
      </w:r>
      <w:r>
        <w:t xml:space="preserve">Testing Plan §5.2, §5.3; ThrombEx 200 510(k) Summary §5.6; Device Description §2.3.</w:t>
      </w:r>
    </w:p>
    <w:p>
      <w:pPr>
        <w:pStyle w:val="BodyText"/>
      </w:pPr>
      <w:r>
        <w:rPr>
          <w:b/>
          <w:bCs/>
        </w:rPr>
        <w:t xml:space="preserve">Why it matters.</w:t>
      </w:r>
      <w:r>
        <w:t xml:space="preserve"> </w:t>
      </w:r>
      <w:r>
        <w:t xml:space="preserve">An understated documentation level risks an Additional Information (AI) request and a documentation gap late in review. For a Moderate classification (and under the current 2023 guidance’s Enhanced documentation level), the hazard analysis and architecture are expected in the submission.</w:t>
      </w:r>
    </w:p>
    <w:p>
      <w:pPr>
        <w:pStyle w:val="BodyText"/>
      </w:pPr>
      <w:r>
        <w:rPr>
          <w:b/>
          <w:bCs/>
        </w:rPr>
        <w:t xml:space="preserve">Recommendation.</w:t>
      </w:r>
      <w:r>
        <w:t xml:space="preserve"> </w:t>
      </w:r>
      <w:r>
        <w:t xml:space="preserve">Reassess the level of concern/documentation level as at least Moderate/Enhanced, document and validate the independence of the hardware safety mechanisms, and plan to include the hazard analysis, architecture description, and anomaly disposition in the 510(k). Add a question to FDA (Testing Plan §10, Q4) seeking concurrence on the documentation level.</w:t>
      </w:r>
    </w:p>
    <w:bookmarkEnd w:id="39"/>
    <w:bookmarkStart w:id="40" w:name="X5588b38c67122453dfbeb200e5b3f4026e5263f"/>
    <w:p>
      <w:pPr>
        <w:pStyle w:val="Heading3"/>
      </w:pPr>
      <w:r>
        <w:t xml:space="preserve">Issue 15 — Obsolete software guidance cited; IEC 62304 not committed for the subject device</w:t>
      </w:r>
    </w:p>
    <w:p>
      <w:pPr>
        <w:pStyle w:val="FirstParagraph"/>
      </w:pPr>
      <w:r>
        <w:rPr>
          <w:b/>
          <w:bCs/>
        </w:rPr>
        <w:t xml:space="preserve">Issue.</w:t>
      </w:r>
      <w:r>
        <w:t xml:space="preserve"> </w:t>
      </w:r>
      <w:r>
        <w:t xml:space="preserve">The package repeatedly relies on FDA’s 2005 guidance</w:t>
      </w:r>
      <w:r>
        <w:t xml:space="preserve"> </w:t>
      </w:r>
      <w:r>
        <w:t xml:space="preserve">“</w:t>
      </w:r>
      <w:r>
        <w:t xml:space="preserve">Guidance for the Content of Premarket Submissions for Software Contained in Medical Devices</w:t>
      </w:r>
      <w:r>
        <w:t xml:space="preserve">”</w:t>
      </w:r>
      <w:r>
        <w:t xml:space="preserve"> </w:t>
      </w:r>
      <w:r>
        <w:t xml:space="preserve">(Device Description §2.3 and References §7; Testing Plan §5.2). That guidance was superseded by FDA’s current guidance,</w:t>
      </w:r>
      <w:r>
        <w:t xml:space="preserve"> </w:t>
      </w:r>
      <w:r>
        <w:t xml:space="preserve">“</w:t>
      </w:r>
      <w:r>
        <w:t xml:space="preserve">Content of Premarket Submissions for Device Software Functions</w:t>
      </w:r>
      <w:r>
        <w:t xml:space="preserve">”</w:t>
      </w:r>
      <w:r>
        <w:t xml:space="preserve"> </w:t>
      </w:r>
      <w:r>
        <w:t xml:space="preserve">(2023), which replaced the Level-of-Concern framework with the Documentation Level (Basic/Enhanced) framework. The Testing Plan also does not commit the subject device’s software V&amp;V to IEC 62304, although the predicate’s software was developed to IEC 62304:2006 (ThrombEx 200 510(k) Summary §5.6).</w:t>
      </w:r>
    </w:p>
    <w:p>
      <w:pPr>
        <w:pStyle w:val="BodyText"/>
      </w:pPr>
      <w:r>
        <w:rPr>
          <w:b/>
          <w:bCs/>
        </w:rPr>
        <w:t xml:space="preserve">Source.</w:t>
      </w:r>
      <w:r>
        <w:t xml:space="preserve"> </w:t>
      </w:r>
      <w:r>
        <w:t xml:space="preserve">Device Description §2.3, References §7; Testing Plan §5.2; ThrombEx 200 510(k) Summary §5.6.</w:t>
      </w:r>
    </w:p>
    <w:p>
      <w:pPr>
        <w:pStyle w:val="BodyText"/>
      </w:pPr>
      <w:r>
        <w:rPr>
          <w:b/>
          <w:bCs/>
        </w:rPr>
        <w:t xml:space="preserve">Recommendation.</w:t>
      </w:r>
      <w:r>
        <w:t xml:space="preserve"> </w:t>
      </w:r>
      <w:r>
        <w:t xml:space="preserve">Update all software-guidance citations to the 2023 guidance and reframe the documentation plan in terms of Documentation Level. Commit to IEC 62304 (current edition) for the software life cycle. Align with the predicate’s IEC 62304 approach.</w:t>
      </w:r>
    </w:p>
    <w:bookmarkEnd w:id="40"/>
    <w:bookmarkStart w:id="41" w:name="X1c8c7f138d56067eac1d9cac6cbdfb0615cd0bc"/>
    <w:p>
      <w:pPr>
        <w:pStyle w:val="Heading3"/>
      </w:pPr>
      <w:r>
        <w:t xml:space="preserve">Issue 16 — EMC testing (IEC 60601-1-2) is omitted</w:t>
      </w:r>
    </w:p>
    <w:p>
      <w:pPr>
        <w:pStyle w:val="FirstParagraph"/>
      </w:pPr>
      <w:r>
        <w:rPr>
          <w:b/>
          <w:bCs/>
        </w:rPr>
        <w:t xml:space="preserve">Issue.</w:t>
      </w:r>
      <w:r>
        <w:t xml:space="preserve"> </w:t>
      </w:r>
      <w:r>
        <w:t xml:space="preserve">The Testing Plan (§4) proposes electrical safety testing to IEC 60601-1:2012 only. It does</w:t>
      </w:r>
      <w:r>
        <w:t xml:space="preserve"> </w:t>
      </w:r>
      <w:r>
        <w:rPr>
          <w:b/>
          <w:bCs/>
        </w:rPr>
        <w:t xml:space="preserve">not</w:t>
      </w:r>
      <w:r>
        <w:t xml:space="preserve"> </w:t>
      </w:r>
      <w:r>
        <w:t xml:space="preserve">include electromagnetic compatibility (EMC) testing to IEC 60601-1-2. The predicate was tested to</w:t>
      </w:r>
      <w:r>
        <w:t xml:space="preserve"> </w:t>
      </w:r>
      <w:r>
        <w:rPr>
          <w:b/>
          <w:bCs/>
        </w:rPr>
        <w:t xml:space="preserve">both</w:t>
      </w:r>
      <w:r>
        <w:t xml:space="preserve"> </w:t>
      </w:r>
      <w:r>
        <w:t xml:space="preserve">IEC 60601-1</w:t>
      </w:r>
      <w:r>
        <w:t xml:space="preserve"> </w:t>
      </w:r>
      <w:r>
        <w:rPr>
          <w:b/>
          <w:bCs/>
        </w:rPr>
        <w:t xml:space="preserve">and</w:t>
      </w:r>
      <w:r>
        <w:t xml:space="preserve"> </w:t>
      </w:r>
      <w:r>
        <w:t xml:space="preserve">IEC 60601-1-2:2014, with a full EMC battery (radiated/conducted emissions, ESD, radiated/conducted RF immunity, EFT, surge, power-frequency magnetic field, voltage dips) (ThrombEx 200 510(k) Summary §5.3). The VascuClear Console is an electromechanical device with a motor drive, touchscreen, and embedded electronics; it both emits and is susceptible to electromagnetic interference.</w:t>
      </w:r>
    </w:p>
    <w:p>
      <w:pPr>
        <w:pStyle w:val="BodyText"/>
      </w:pPr>
      <w:r>
        <w:rPr>
          <w:b/>
          <w:bCs/>
        </w:rPr>
        <w:t xml:space="preserve">Source.</w:t>
      </w:r>
      <w:r>
        <w:t xml:space="preserve"> </w:t>
      </w:r>
      <w:r>
        <w:t xml:space="preserve">Testing Plan §4; ThrombEx 200 510(k) Summary §5.3.</w:t>
      </w:r>
    </w:p>
    <w:p>
      <w:pPr>
        <w:pStyle w:val="BodyText"/>
      </w:pPr>
      <w:r>
        <w:rPr>
          <w:b/>
          <w:bCs/>
        </w:rPr>
        <w:t xml:space="preserve">Why it matters.</w:t>
      </w:r>
      <w:r>
        <w:t xml:space="preserve"> </w:t>
      </w:r>
      <w:r>
        <w:t xml:space="preserve">EMC testing is a standard expectation for medical electrical equipment and was performed for the predicate. Its omission will be flagged.</w:t>
      </w:r>
    </w:p>
    <w:p>
      <w:pPr>
        <w:pStyle w:val="BodyText"/>
      </w:pPr>
      <w:r>
        <w:rPr>
          <w:b/>
          <w:bCs/>
        </w:rPr>
        <w:t xml:space="preserve">Recommendation.</w:t>
      </w:r>
      <w:r>
        <w:t xml:space="preserve"> </w:t>
      </w:r>
      <w:r>
        <w:t xml:space="preserve">Add IEC 60601-1-2:2014 (or the current recognized edition) EMC testing to the plan, performed at the NRTL. Update the testing timeline and budget accordingly.</w:t>
      </w:r>
    </w:p>
    <w:bookmarkEnd w:id="41"/>
    <w:bookmarkStart w:id="42" w:name="X4f908ad9286c9df709e865a461d3d2d8ac7c4be"/>
    <w:p>
      <w:pPr>
        <w:pStyle w:val="Heading3"/>
      </w:pPr>
      <w:r>
        <w:t xml:space="preserve">Issue 17 — Shelf-life / sterile-barrier validation is omitted</w:t>
      </w:r>
    </w:p>
    <w:p>
      <w:pPr>
        <w:pStyle w:val="FirstParagraph"/>
      </w:pPr>
      <w:r>
        <w:rPr>
          <w:b/>
          <w:bCs/>
        </w:rPr>
        <w:t xml:space="preserve">Issue.</w:t>
      </w:r>
      <w:r>
        <w:t xml:space="preserve"> </w:t>
      </w:r>
      <w:r>
        <w:t xml:space="preserve">The Testing Plan (§6) covers EtO sterilization validation but does</w:t>
      </w:r>
      <w:r>
        <w:t xml:space="preserve"> </w:t>
      </w:r>
      <w:r>
        <w:rPr>
          <w:b/>
          <w:bCs/>
        </w:rPr>
        <w:t xml:space="preserve">not</w:t>
      </w:r>
      <w:r>
        <w:t xml:space="preserve"> </w:t>
      </w:r>
      <w:r>
        <w:t xml:space="preserve">address shelf-life or sterile-barrier system validation. The predicate performed shelf-life validation supporting a two-year claim using accelerated aging (ASTM F1980), distribution simulation (ASTM D4169), and seal-strength testing (ASTM F2095) (ThrombEx 200 510(k) Summary §5.4). The VascuClear Catheter is supplied sterile in a Tyvek/polyester pouch with an expiration date printed on the label (IFU §12), but no shelf-life claim or validation is proposed.</w:t>
      </w:r>
    </w:p>
    <w:p>
      <w:pPr>
        <w:pStyle w:val="BodyText"/>
      </w:pPr>
      <w:r>
        <w:rPr>
          <w:b/>
          <w:bCs/>
        </w:rPr>
        <w:t xml:space="preserve">Source.</w:t>
      </w:r>
      <w:r>
        <w:t xml:space="preserve"> </w:t>
      </w:r>
      <w:r>
        <w:t xml:space="preserve">Testing Plan §6; IFU §12; ThrombEx 200 510(k) Summary §5.4.</w:t>
      </w:r>
    </w:p>
    <w:p>
      <w:pPr>
        <w:pStyle w:val="BodyText"/>
      </w:pPr>
      <w:r>
        <w:rPr>
          <w:b/>
          <w:bCs/>
        </w:rPr>
        <w:t xml:space="preserve">Recommendation.</w:t>
      </w:r>
      <w:r>
        <w:t xml:space="preserve"> </w:t>
      </w:r>
      <w:r>
        <w:t xml:space="preserve">Add a shelf-life / sterile-barrier validation program (ASTM F1980 accelerated aging, ASTM D4169 distribution simulation, ASTM F2095 seal strength, and real-time aging confirmation) with a defined shelf-life claim. This is on the critical path and should be initiated early.</w:t>
      </w:r>
    </w:p>
    <w:bookmarkEnd w:id="42"/>
    <w:bookmarkStart w:id="43" w:name="Xdee75df7b057a09f0b822db1557348ee1fcd218"/>
    <w:p>
      <w:pPr>
        <w:pStyle w:val="Heading3"/>
      </w:pPr>
      <w:r>
        <w:t xml:space="preserve">Issue 18 — No animal / in-vivo testing proposed</w:t>
      </w:r>
    </w:p>
    <w:p>
      <w:pPr>
        <w:pStyle w:val="FirstParagraph"/>
      </w:pPr>
      <w:r>
        <w:rPr>
          <w:b/>
          <w:bCs/>
        </w:rPr>
        <w:t xml:space="preserve">Issue.</w:t>
      </w:r>
      <w:r>
        <w:t xml:space="preserve"> </w:t>
      </w:r>
      <w:r>
        <w:t xml:space="preserve">The Testing Plan proposes no in-vivo (animal) testing. Given a novel rotating-impeller mechanism operating in the venous system with concurrent thrombolytic delivery, and a predicate with a fundamentally different mechanism, FDA may expect acute in-vivo data (e.g., a swine venous thrombectomy model) addressing vessel-wall injury, shear-induced hemolysis, particulate/embolic burden, and the combined pharmacomechanical effect before human exposure.</w:t>
      </w:r>
    </w:p>
    <w:p>
      <w:pPr>
        <w:pStyle w:val="BodyText"/>
      </w:pPr>
      <w:r>
        <w:rPr>
          <w:b/>
          <w:bCs/>
        </w:rPr>
        <w:t xml:space="preserve">Source.</w:t>
      </w:r>
      <w:r>
        <w:t xml:space="preserve"> </w:t>
      </w:r>
      <w:r>
        <w:t xml:space="preserve">Testing Plan (entire); Device Description §4.3.</w:t>
      </w:r>
    </w:p>
    <w:p>
      <w:pPr>
        <w:pStyle w:val="BodyText"/>
      </w:pPr>
      <w:r>
        <w:rPr>
          <w:b/>
          <w:bCs/>
        </w:rPr>
        <w:t xml:space="preserve">Recommendation.</w:t>
      </w:r>
      <w:r>
        <w:t xml:space="preserve"> </w:t>
      </w:r>
      <w:r>
        <w:t xml:space="preserve">Evaluate whether to propose a targeted acute animal study and present the rationale (or a justified omission) to FDA in the Pre-Submission. At minimum, ask FDA whether in-vivo data are expected (Cover Letter §VI, Q6).</w:t>
      </w:r>
    </w:p>
    <w:bookmarkEnd w:id="43"/>
    <w:bookmarkStart w:id="44" w:name="X8a030dbcac2879ec2237317b1bd6bc42539c7f9"/>
    <w:p>
      <w:pPr>
        <w:pStyle w:val="Heading3"/>
      </w:pPr>
      <w:r>
        <w:t xml:space="preserve">Issue 19 — No ISO 14971 risk-management file summary included</w:t>
      </w:r>
    </w:p>
    <w:p>
      <w:pPr>
        <w:pStyle w:val="FirstParagraph"/>
      </w:pPr>
      <w:r>
        <w:rPr>
          <w:b/>
          <w:bCs/>
        </w:rPr>
        <w:t xml:space="preserve">Issue.</w:t>
      </w:r>
      <w:r>
        <w:t xml:space="preserve"> </w:t>
      </w:r>
      <w:r>
        <w:t xml:space="preserve">The package references</w:t>
      </w:r>
      <w:r>
        <w:t xml:space="preserve"> </w:t>
      </w:r>
      <w:r>
        <w:t xml:space="preserve">“</w:t>
      </w:r>
      <w:r>
        <w:t xml:space="preserve">Clearfield’s risk analysis</w:t>
      </w:r>
      <w:r>
        <w:t xml:space="preserve">”</w:t>
      </w:r>
      <w:r>
        <w:t xml:space="preserve"> </w:t>
      </w:r>
      <w:r>
        <w:t xml:space="preserve">only in support of the software level of concern (Testing Plan §5.2; Device Description §2.3) but does not include or summarize a device-level ISO 14971 risk-management file. The risk analysis should drive the testing plan and the SE</w:t>
      </w:r>
      <w:r>
        <w:t xml:space="preserve"> </w:t>
      </w:r>
      <w:r>
        <w:t xml:space="preserve">“</w:t>
      </w:r>
      <w:r>
        <w:t xml:space="preserve">new questions</w:t>
      </w:r>
      <w:r>
        <w:t xml:space="preserve">”</w:t>
      </w:r>
      <w:r>
        <w:t xml:space="preserve"> </w:t>
      </w:r>
      <w:r>
        <w:t xml:space="preserve">analysis.</w:t>
      </w:r>
    </w:p>
    <w:p>
      <w:pPr>
        <w:pStyle w:val="BodyText"/>
      </w:pPr>
      <w:r>
        <w:rPr>
          <w:b/>
          <w:bCs/>
        </w:rPr>
        <w:t xml:space="preserve">Source.</w:t>
      </w:r>
      <w:r>
        <w:t xml:space="preserve"> </w:t>
      </w:r>
      <w:r>
        <w:t xml:space="preserve">Testing Plan §5.2; Device Description §2.3.</w:t>
      </w:r>
    </w:p>
    <w:p>
      <w:pPr>
        <w:pStyle w:val="BodyText"/>
      </w:pPr>
      <w:r>
        <w:rPr>
          <w:b/>
          <w:bCs/>
        </w:rPr>
        <w:t xml:space="preserve">Recommendation.</w:t>
      </w:r>
      <w:r>
        <w:t xml:space="preserve"> </w:t>
      </w:r>
      <w:r>
        <w:t xml:space="preserve">Include an ISO 14971 risk-management summary as part of the Pre-Submission (or, at minimum, summarize the hazard analysis and the traceability of risks to tests), and use it to justify the testing battery and the SE argument.</w:t>
      </w:r>
    </w:p>
    <w:bookmarkEnd w:id="44"/>
    <w:bookmarkStart w:id="45" w:name="Xe62170a83a042b666c9c85f88b4c62f8fb13597"/>
    <w:p>
      <w:pPr>
        <w:pStyle w:val="Heading3"/>
      </w:pPr>
      <w:r>
        <w:t xml:space="preserve">Issue 20 — Impeller material specification is contradictory across documents</w:t>
      </w:r>
    </w:p>
    <w:p>
      <w:pPr>
        <w:pStyle w:val="FirstParagraph"/>
      </w:pPr>
      <w:r>
        <w:rPr>
          <w:b/>
          <w:bCs/>
        </w:rPr>
        <w:t xml:space="preserve">Issue.</w:t>
      </w:r>
      <w:r>
        <w:t xml:space="preserve"> </w:t>
      </w:r>
      <w:r>
        <w:t xml:space="preserve">The Device Description (§2.2) states that</w:t>
      </w:r>
      <w:r>
        <w:t xml:space="preserve"> </w:t>
      </w:r>
      <w:r>
        <w:t xml:space="preserve">“</w:t>
      </w:r>
      <w:r>
        <w:t xml:space="preserve">the rotating helical impeller is constructed of medical-grade stainless steel (316L)</w:t>
      </w:r>
      <w:r>
        <w:t xml:space="preserve">”</w:t>
      </w:r>
      <w:r>
        <w:t xml:space="preserve"> </w:t>
      </w:r>
      <w:r>
        <w:t xml:space="preserve">and that</w:t>
      </w:r>
      <w:r>
        <w:t xml:space="preserve"> </w:t>
      </w:r>
      <w:r>
        <w:t xml:space="preserve">“</w:t>
      </w:r>
      <w:r>
        <w:t xml:space="preserve">certain structural components within the distal tip housing incorporate nitinol.</w:t>
      </w:r>
      <w:r>
        <w:t xml:space="preserve">”</w:t>
      </w:r>
      <w:r>
        <w:t xml:space="preserve"> </w:t>
      </w:r>
      <w:r>
        <w:t xml:space="preserve">The Testing Plan (§2.3) states the opposite:</w:t>
      </w:r>
      <w:r>
        <w:t xml:space="preserve"> </w:t>
      </w:r>
      <w:r>
        <w:t xml:space="preserve">“</w:t>
      </w:r>
      <w:r>
        <w:t xml:space="preserve">Impeller Housing — Stainless steel 316L</w:t>
      </w:r>
      <w:r>
        <w:t xml:space="preserve">”</w:t>
      </w:r>
      <w:r>
        <w:t xml:space="preserve"> </w:t>
      </w:r>
      <w:r>
        <w:t xml:space="preserve">and</w:t>
      </w:r>
      <w:r>
        <w:t xml:space="preserve"> </w:t>
      </w:r>
      <w:r>
        <w:t xml:space="preserve">“</w:t>
      </w:r>
      <w:r>
        <w:t xml:space="preserve">Helical Impeller — Nitinol (nickel-titanium alloy); the rotating impeller element is in direct, dynamic contact with blood.</w:t>
      </w:r>
      <w:r>
        <w:t xml:space="preserve">”</w:t>
      </w:r>
      <w:r>
        <w:t xml:space="preserve"> </w:t>
      </w:r>
      <w:r>
        <w:t xml:space="preserve">The two documents therefore disagree on whether the rotating impeller itself is 316L stainless steel or nitinol — a critical component whose material drives biocompatibility (nickel sensitization/leaching), corrosion, and MRI-safety analysis.</w:t>
      </w:r>
    </w:p>
    <w:p>
      <w:pPr>
        <w:pStyle w:val="BodyText"/>
      </w:pPr>
      <w:r>
        <w:rPr>
          <w:b/>
          <w:bCs/>
        </w:rPr>
        <w:t xml:space="preserve">Source.</w:t>
      </w:r>
      <w:r>
        <w:t xml:space="preserve"> </w:t>
      </w:r>
      <w:r>
        <w:t xml:space="preserve">Device Description §2.2; Testing Plan §2.3.</w:t>
      </w:r>
    </w:p>
    <w:p>
      <w:pPr>
        <w:pStyle w:val="BodyText"/>
      </w:pPr>
      <w:r>
        <w:rPr>
          <w:b/>
          <w:bCs/>
        </w:rPr>
        <w:t xml:space="preserve">Recommendation.</w:t>
      </w:r>
      <w:r>
        <w:t xml:space="preserve"> </w:t>
      </w:r>
      <w:r>
        <w:t xml:space="preserve">Reconcile the impeller material specification across all documents (device description, testing plan, IFU, clinical synopsis). If the impeller is nitinol, address nickel leaching in the biocompatibility evaluation (sensitization and ISO 10993-18 chemical characterization) and update the IFU contraindications/exclusions (Issue 44).</w:t>
      </w:r>
    </w:p>
    <w:bookmarkEnd w:id="45"/>
    <w:bookmarkStart w:id="46" w:name="Xf6eac8189c3004c1c525d21f3fda2e44766e2c4"/>
    <w:p>
      <w:pPr>
        <w:pStyle w:val="Heading3"/>
      </w:pPr>
      <w:r>
        <w:t xml:space="preserve">Issue 21 — Cover Letter misrepresents the contents of its own Testing Plan enclosure</w:t>
      </w:r>
    </w:p>
    <w:p>
      <w:pPr>
        <w:pStyle w:val="FirstParagraph"/>
      </w:pPr>
      <w:r>
        <w:rPr>
          <w:b/>
          <w:bCs/>
        </w:rPr>
        <w:t xml:space="preserve">Issue.</w:t>
      </w:r>
      <w:r>
        <w:t xml:space="preserve"> </w:t>
      </w:r>
      <w:r>
        <w:t xml:space="preserve">The Cover Letter (§V, Enclosure 2 description) tells FDA that the Proposed Testing Plan includes</w:t>
      </w:r>
      <w:r>
        <w:t xml:space="preserve"> </w:t>
      </w:r>
      <w:r>
        <w:t xml:space="preserve">“</w:t>
      </w:r>
      <w:r>
        <w:t xml:space="preserve">electrical safety and electromagnetic compatibility testing (IEC 60601-1 series)</w:t>
      </w:r>
      <w:r>
        <w:t xml:space="preserve">”</w:t>
      </w:r>
      <w:r>
        <w:t xml:space="preserve"> </w:t>
      </w:r>
      <w:r>
        <w:t xml:space="preserve">and</w:t>
      </w:r>
      <w:r>
        <w:t xml:space="preserve"> </w:t>
      </w:r>
      <w:r>
        <w:t xml:space="preserve">“</w:t>
      </w:r>
      <w:r>
        <w:t xml:space="preserve">software verification and validation (IEC 62304).</w:t>
      </w:r>
      <w:r>
        <w:t xml:space="preserve">”</w:t>
      </w:r>
      <w:r>
        <w:t xml:space="preserve"> </w:t>
      </w:r>
      <w:r>
        <w:t xml:space="preserve">The enclosed Testing Plan, however, includes neither: Section 4 covers IEC 60601-1 electrical safety only, with no IEC 60601-1-2 EMC testing (Issue 16); and Section 5 bases software V&amp;V on the 2005 FDA guidance and does not commit to IEC 62304 (Issue 15). The cover letter therefore affirmatively represents to FDA that the package contains EMC and IEC 62304 content that the enclosure does not in fact contain.</w:t>
      </w:r>
    </w:p>
    <w:p>
      <w:pPr>
        <w:pStyle w:val="BodyText"/>
      </w:pPr>
      <w:r>
        <w:rPr>
          <w:b/>
          <w:bCs/>
        </w:rPr>
        <w:t xml:space="preserve">Source.</w:t>
      </w:r>
      <w:r>
        <w:t xml:space="preserve"> </w:t>
      </w:r>
      <w:r>
        <w:t xml:space="preserve">Cover Letter §V; Testing Plan §4, §5.</w:t>
      </w:r>
    </w:p>
    <w:p>
      <w:pPr>
        <w:pStyle w:val="BodyText"/>
      </w:pPr>
      <w:r>
        <w:rPr>
          <w:b/>
          <w:bCs/>
        </w:rPr>
        <w:t xml:space="preserve">Why it matters.</w:t>
      </w:r>
      <w:r>
        <w:t xml:space="preserve"> </w:t>
      </w:r>
      <w:r>
        <w:t xml:space="preserve">FDA uses the cover letter’s enclosure summary to orient its review. Representing that EMC and IEC 62304 testing are included when they are not creates a mismatch between the cover letter and its enclosure and will prompt an immediate request for the missing content.</w:t>
      </w:r>
    </w:p>
    <w:p>
      <w:pPr>
        <w:pStyle w:val="BodyText"/>
      </w:pPr>
      <w:r>
        <w:rPr>
          <w:b/>
          <w:bCs/>
        </w:rPr>
        <w:t xml:space="preserve">Recommendation.</w:t>
      </w:r>
      <w:r>
        <w:t xml:space="preserve"> </w:t>
      </w:r>
      <w:r>
        <w:t xml:space="preserve">Either add the EMC and IEC 62304 testing to the Testing Plan (Issues 15, 16) or correct the Cover Letter §V description to match what the Testing Plan actually proposes. The cover letter and its enclosures must be consistent.</w:t>
      </w:r>
    </w:p>
    <w:bookmarkEnd w:id="46"/>
    <w:bookmarkStart w:id="47" w:name="Xa9d76fa984cf0b06927e67c59bcc2ecc9605b92"/>
    <w:p>
      <w:pPr>
        <w:pStyle w:val="Heading3"/>
      </w:pPr>
      <w:r>
        <w:t xml:space="preserve">Issue 22 — Device Description presents validations as already completed while the Testing Plan schedules them for the future</w:t>
      </w:r>
    </w:p>
    <w:p>
      <w:pPr>
        <w:pStyle w:val="FirstParagraph"/>
      </w:pPr>
      <w:r>
        <w:rPr>
          <w:b/>
          <w:bCs/>
        </w:rPr>
        <w:t xml:space="preserve">Issue.</w:t>
      </w:r>
      <w:r>
        <w:t xml:space="preserve"> </w:t>
      </w:r>
      <w:r>
        <w:t xml:space="preserve">The Device Description (§2.2) states that impeller fatigue testing</w:t>
      </w:r>
      <w:r>
        <w:t xml:space="preserve"> </w:t>
      </w:r>
      <w:r>
        <w:t xml:space="preserve">“</w:t>
      </w:r>
      <w:r>
        <w:t xml:space="preserve">has been validated by Pinnacle Standards Testing, Inc. … which has confirmed that the rotating helical impeller maintains structural and functional integrity through 500 complete activation cycles,</w:t>
      </w:r>
      <w:r>
        <w:t xml:space="preserve">”</w:t>
      </w:r>
      <w:r>
        <w:t xml:space="preserve"> </w:t>
      </w:r>
      <w:r>
        <w:t xml:space="preserve">and that EtO sterilization is</w:t>
      </w:r>
      <w:r>
        <w:t xml:space="preserve"> </w:t>
      </w:r>
      <w:r>
        <w:t xml:space="preserve">“</w:t>
      </w:r>
      <w:r>
        <w:t xml:space="preserve">validated in accordance with ISO 11135.</w:t>
      </w:r>
      <w:r>
        <w:t xml:space="preserve">”</w:t>
      </w:r>
      <w:r>
        <w:t xml:space="preserve"> </w:t>
      </w:r>
      <w:r>
        <w:t xml:space="preserve">These are presented as completed validations. The Testing Plan (§9.2), however, schedules testing initiation for July 2025 (after the Q-Sub meeting) and anticipates completion in November–December 2025. The validations are thus represented as already completed in one document and as not-yet-started in another.</w:t>
      </w:r>
    </w:p>
    <w:p>
      <w:pPr>
        <w:pStyle w:val="BodyText"/>
      </w:pPr>
      <w:r>
        <w:rPr>
          <w:b/>
          <w:bCs/>
        </w:rPr>
        <w:t xml:space="preserve">Source.</w:t>
      </w:r>
      <w:r>
        <w:t xml:space="preserve"> </w:t>
      </w:r>
      <w:r>
        <w:t xml:space="preserve">Device Description §2.2; Testing Plan §9.2.</w:t>
      </w:r>
    </w:p>
    <w:p>
      <w:pPr>
        <w:pStyle w:val="BodyText"/>
      </w:pPr>
      <w:r>
        <w:rPr>
          <w:b/>
          <w:bCs/>
        </w:rPr>
        <w:t xml:space="preserve">Why it matters.</w:t>
      </w:r>
      <w:r>
        <w:t xml:space="preserve"> </w:t>
      </w:r>
      <w:r>
        <w:t xml:space="preserve">Presenting future/planned testing as completed validation misstates the evidentiary status of the package and could mislead FDA about what data currently exist. It also conflicts with the package’s own timeline.</w:t>
      </w:r>
    </w:p>
    <w:p>
      <w:pPr>
        <w:pStyle w:val="BodyText"/>
      </w:pPr>
      <w:r>
        <w:rPr>
          <w:b/>
          <w:bCs/>
        </w:rPr>
        <w:t xml:space="preserve">Recommendation.</w:t>
      </w:r>
      <w:r>
        <w:t xml:space="preserve"> </w:t>
      </w:r>
      <w:r>
        <w:t xml:space="preserve">Revise the Device Description to describe the 500-cycle fatigue specification and the EtO sterilization method as proposed/targeted (to be validated per the Testing Plan), not as already validated. Align with the Testing Plan timeline.</w:t>
      </w:r>
    </w:p>
    <w:bookmarkEnd w:id="47"/>
    <w:bookmarkStart w:id="48" w:name="X41db6507802e1acdc7c47bc93b14f0969f291f9"/>
    <w:p>
      <w:pPr>
        <w:pStyle w:val="Heading3"/>
      </w:pPr>
      <w:r>
        <w:t xml:space="preserve">Issue 23 — Biocompatibility contact-TYPE categorization is inconsistent and apparently incorrect</w:t>
      </w:r>
    </w:p>
    <w:p>
      <w:pPr>
        <w:pStyle w:val="FirstParagraph"/>
      </w:pPr>
      <w:r>
        <w:rPr>
          <w:b/>
          <w:bCs/>
        </w:rPr>
        <w:t xml:space="preserve">Issue.</w:t>
      </w:r>
      <w:r>
        <w:t xml:space="preserve"> </w:t>
      </w:r>
      <w:r>
        <w:t xml:space="preserve">The Device Description (§4.4) categorizes the VascuClear Catheter as a</w:t>
      </w:r>
      <w:r>
        <w:t xml:space="preserve"> </w:t>
      </w:r>
      <w:r>
        <w:t xml:space="preserve">“</w:t>
      </w:r>
      <w:r>
        <w:t xml:space="preserve">surface-contacting device (circulating blood).</w:t>
      </w:r>
      <w:r>
        <w:t xml:space="preserve">”</w:t>
      </w:r>
      <w:r>
        <w:t xml:space="preserve"> </w:t>
      </w:r>
      <w:r>
        <w:t xml:space="preserve">The Testing Plan (§2.1) categorizes it as a</w:t>
      </w:r>
      <w:r>
        <w:t xml:space="preserve"> </w:t>
      </w:r>
      <w:r>
        <w:t xml:space="preserve">“</w:t>
      </w:r>
      <w:r>
        <w:t xml:space="preserve">blood-contacting device.</w:t>
      </w:r>
      <w:r>
        <w:t xml:space="preserve">”</w:t>
      </w:r>
      <w:r>
        <w:t xml:space="preserve"> </w:t>
      </w:r>
      <w:r>
        <w:t xml:space="preserve">Under ISO 10993-1:2018, an intravascular catheter in direct contact with circulating blood is an</w:t>
      </w:r>
      <w:r>
        <w:t xml:space="preserve"> </w:t>
      </w:r>
      <w:r>
        <w:t xml:space="preserve">“</w:t>
      </w:r>
      <w:r>
        <w:t xml:space="preserve">external communicating device, blood path direct</w:t>
      </w:r>
      <w:r>
        <w:t xml:space="preserve">”</w:t>
      </w:r>
      <w:r>
        <w:t xml:space="preserve"> </w:t>
      </w:r>
      <w:r>
        <w:t xml:space="preserve">contact category, not a</w:t>
      </w:r>
      <w:r>
        <w:t xml:space="preserve"> </w:t>
      </w:r>
      <w:r>
        <w:t xml:space="preserve">“</w:t>
      </w:r>
      <w:r>
        <w:t xml:space="preserve">surface-contacting</w:t>
      </w:r>
      <w:r>
        <w:t xml:space="preserve">”</w:t>
      </w:r>
      <w:r>
        <w:t xml:space="preserve"> </w:t>
      </w:r>
      <w:r>
        <w:t xml:space="preserve">device. The two documents therefore use different and, in the case of</w:t>
      </w:r>
      <w:r>
        <w:t xml:space="preserve"> </w:t>
      </w:r>
      <w:r>
        <w:t xml:space="preserve">“</w:t>
      </w:r>
      <w:r>
        <w:t xml:space="preserve">surface-contacting,</w:t>
      </w:r>
      <w:r>
        <w:t xml:space="preserve">”</w:t>
      </w:r>
      <w:r>
        <w:t xml:space="preserve"> </w:t>
      </w:r>
      <w:r>
        <w:t xml:space="preserve">apparently incorrect contact-type categorizations.</w:t>
      </w:r>
    </w:p>
    <w:p>
      <w:pPr>
        <w:pStyle w:val="BodyText"/>
      </w:pPr>
      <w:r>
        <w:rPr>
          <w:b/>
          <w:bCs/>
        </w:rPr>
        <w:t xml:space="preserve">Source.</w:t>
      </w:r>
      <w:r>
        <w:t xml:space="preserve"> </w:t>
      </w:r>
      <w:r>
        <w:t xml:space="preserve">Device Description §4.4; Testing Plan §2.1.</w:t>
      </w:r>
    </w:p>
    <w:p>
      <w:pPr>
        <w:pStyle w:val="BodyText"/>
      </w:pPr>
      <w:r>
        <w:rPr>
          <w:b/>
          <w:bCs/>
        </w:rPr>
        <w:t xml:space="preserve">Why it matters.</w:t>
      </w:r>
      <w:r>
        <w:t xml:space="preserve"> </w:t>
      </w:r>
      <w:r>
        <w:t xml:space="preserve">The ISO 10993-1 contact category (surface / external communicating / implant) drives the endpoint matrix in Table A.1. An incorrect categorization could lead to selection of the wrong endpoint set, compounding the contact-duration problem (Issue 9).</w:t>
      </w:r>
    </w:p>
    <w:p>
      <w:pPr>
        <w:pStyle w:val="BodyText"/>
      </w:pPr>
      <w:r>
        <w:rPr>
          <w:b/>
          <w:bCs/>
        </w:rPr>
        <w:t xml:space="preserve">Recommendation.</w:t>
      </w:r>
      <w:r>
        <w:t xml:space="preserve"> </w:t>
      </w:r>
      <w:r>
        <w:t xml:space="preserve">Reconcile the contact-type categorization across documents and confirm the correct ISO 10993-1 category (external communicating, blood path direct) for an intravascular blood-contacting catheter; verify the endpoint matrix against that category.</w:t>
      </w:r>
    </w:p>
    <w:bookmarkEnd w:id="48"/>
    <w:bookmarkStart w:id="49" w:name="X24b951f15719957f8515ff58ed0f526cfe9a587"/>
    <w:p>
      <w:pPr>
        <w:pStyle w:val="Heading3"/>
      </w:pPr>
      <w:r>
        <w:t xml:space="preserve">Issue 24 — Flexural fatigue testing of the catheter body is omitted</w:t>
      </w:r>
    </w:p>
    <w:p>
      <w:pPr>
        <w:pStyle w:val="FirstParagraph"/>
      </w:pPr>
      <w:r>
        <w:rPr>
          <w:b/>
          <w:bCs/>
        </w:rPr>
        <w:t xml:space="preserve">Issue.</w:t>
      </w:r>
      <w:r>
        <w:t xml:space="preserve"> </w:t>
      </w:r>
      <w:r>
        <w:t xml:space="preserve">The predicate performed</w:t>
      </w:r>
      <w:r>
        <w:t xml:space="preserve"> </w:t>
      </w:r>
      <w:r>
        <w:t xml:space="preserve">“</w:t>
      </w:r>
      <w:r>
        <w:t xml:space="preserve">flexural fatigue testing at the catheter body (50,000 cycles at ±45° deflection)</w:t>
      </w:r>
      <w:r>
        <w:t xml:space="preserve">”</w:t>
      </w:r>
      <w:r>
        <w:t xml:space="preserve"> </w:t>
      </w:r>
      <w:r>
        <w:t xml:space="preserve">(ThrombEx 200 510(k) Summary §5.2). The VascuClear 3000 Testing Plan (§3) proposes no flexural fatigue testing of the catheter body; the only fatigue testing is the impeller rotational fatigue (Issue 11). The catheter body, which contains the rotating drive shaft and multiple lumens and is repeatedly advanced and retracted through tortuous venous anatomy, is not subjected to flexural fatigue evaluation.</w:t>
      </w:r>
    </w:p>
    <w:p>
      <w:pPr>
        <w:pStyle w:val="BodyText"/>
      </w:pPr>
      <w:r>
        <w:rPr>
          <w:b/>
          <w:bCs/>
        </w:rPr>
        <w:t xml:space="preserve">Source.</w:t>
      </w:r>
      <w:r>
        <w:t xml:space="preserve"> </w:t>
      </w:r>
      <w:r>
        <w:t xml:space="preserve">Testing Plan §3; ThrombEx 200 510(k) Summary §5.2.</w:t>
      </w:r>
    </w:p>
    <w:p>
      <w:pPr>
        <w:pStyle w:val="BodyText"/>
      </w:pPr>
      <w:r>
        <w:rPr>
          <w:b/>
          <w:bCs/>
        </w:rPr>
        <w:t xml:space="preserve">Why it matters.</w:t>
      </w:r>
      <w:r>
        <w:t xml:space="preserve"> </w:t>
      </w:r>
      <w:r>
        <w:t xml:space="preserve">Flexural fatigue is a relevant failure mode for a catheter subjected to repeated bending and torque; the predicate evaluated it. Its omission is a testing gap relative to the predicate.</w:t>
      </w:r>
    </w:p>
    <w:p>
      <w:pPr>
        <w:pStyle w:val="BodyText"/>
      </w:pPr>
      <w:r>
        <w:rPr>
          <w:b/>
          <w:bCs/>
        </w:rPr>
        <w:t xml:space="preserve">Recommendation.</w:t>
      </w:r>
      <w:r>
        <w:t xml:space="preserve"> </w:t>
      </w:r>
      <w:r>
        <w:t xml:space="preserve">Add flexural fatigue testing of the catheter body (with a clinically justified cycle count) to the mechanical testing plan.</w:t>
      </w:r>
    </w:p>
    <w:bookmarkEnd w:id="49"/>
    <w:bookmarkStart w:id="50" w:name="X2ed9e8d1163770b59eb528f840fcf6b557ed1d9"/>
    <w:p>
      <w:pPr>
        <w:pStyle w:val="Heading3"/>
      </w:pPr>
      <w:r>
        <w:t xml:space="preserve">Issue 25 — Distal-tip detachment-force testing is omitted</w:t>
      </w:r>
    </w:p>
    <w:p>
      <w:pPr>
        <w:pStyle w:val="FirstParagraph"/>
      </w:pPr>
      <w:r>
        <w:rPr>
          <w:b/>
          <w:bCs/>
        </w:rPr>
        <w:t xml:space="preserve">Issue.</w:t>
      </w:r>
      <w:r>
        <w:t xml:space="preserve"> </w:t>
      </w:r>
      <w:r>
        <w:t xml:space="preserve">The predicate performed</w:t>
      </w:r>
      <w:r>
        <w:t xml:space="preserve"> </w:t>
      </w:r>
      <w:r>
        <w:t xml:space="preserve">“</w:t>
      </w:r>
      <w:r>
        <w:t xml:space="preserve">Catheter Tip Detachment Force</w:t>
      </w:r>
      <w:r>
        <w:t xml:space="preserve">”</w:t>
      </w:r>
      <w:r>
        <w:t xml:space="preserve"> </w:t>
      </w:r>
      <w:r>
        <w:t xml:space="preserve">axial pull-off testing of the distal tip assembly (acceptance criterion 2.0 N; achieved 5.0 N) (ThrombEx 200 510(k) Summary §5.2). The VascuClear 3000 Testing Plan (§3.2) tensile testing covers the catheter-to-hub bond and the impeller-to-shaft bond, but does not include distal-tip assembly detachment force. Given the rotating impeller and protective cage at the distal tip, distal-tip retention is a safety-critical feature — a detached distal-tip component would become an embolic foreign body.</w:t>
      </w:r>
    </w:p>
    <w:p>
      <w:pPr>
        <w:pStyle w:val="BodyText"/>
      </w:pPr>
      <w:r>
        <w:rPr>
          <w:b/>
          <w:bCs/>
        </w:rPr>
        <w:t xml:space="preserve">Source.</w:t>
      </w:r>
      <w:r>
        <w:t xml:space="preserve"> </w:t>
      </w:r>
      <w:r>
        <w:t xml:space="preserve">Testing Plan §3.2; ThrombEx 200 510(k) Summary §5.2.</w:t>
      </w:r>
    </w:p>
    <w:p>
      <w:pPr>
        <w:pStyle w:val="BodyText"/>
      </w:pPr>
      <w:r>
        <w:rPr>
          <w:b/>
          <w:bCs/>
        </w:rPr>
        <w:t xml:space="preserve">Why it matters.</w:t>
      </w:r>
      <w:r>
        <w:t xml:space="preserve"> </w:t>
      </w:r>
      <w:r>
        <w:t xml:space="preserve">Distal-tip component retention is safety-critical for a device with a rotating impeller at the tip; the predicate tested it. Omission leaves an unaddressed embolization risk.</w:t>
      </w:r>
    </w:p>
    <w:p>
      <w:pPr>
        <w:pStyle w:val="BodyText"/>
      </w:pPr>
      <w:r>
        <w:rPr>
          <w:b/>
          <w:bCs/>
        </w:rPr>
        <w:t xml:space="preserve">Recommendation.</w:t>
      </w:r>
      <w:r>
        <w:t xml:space="preserve"> </w:t>
      </w:r>
      <w:r>
        <w:t xml:space="preserve">Add distal-tip assembly detachment-force testing to the mechanical testing plan with a defined acceptance criterion.</w:t>
      </w:r>
    </w:p>
    <w:bookmarkEnd w:id="50"/>
    <w:bookmarkStart w:id="51" w:name="X8a83b4eef28d756dc5d1e0b205f1d262fd6c220"/>
    <w:p>
      <w:pPr>
        <w:pStyle w:val="Heading3"/>
      </w:pPr>
      <w:r>
        <w:t xml:space="preserve">Issue 26 — No radiopaque marker band is described for a device used under fluoroscopy</w:t>
      </w:r>
    </w:p>
    <w:p>
      <w:pPr>
        <w:pStyle w:val="FirstParagraph"/>
      </w:pPr>
      <w:r>
        <w:rPr>
          <w:b/>
          <w:bCs/>
        </w:rPr>
        <w:t xml:space="preserve">Issue.</w:t>
      </w:r>
      <w:r>
        <w:t xml:space="preserve"> </w:t>
      </w:r>
      <w:r>
        <w:t xml:space="preserve">The device is intended for use under continuous fluoroscopic guidance (Device Description §2.1; IFU §8), and the IFU relies on fluoroscopic visualization of the catheter tip for positioning and warns against operating without fluoroscopy. Neither the Device Description nor the IFU describes any radiopaque marker band or other fluoroscopic visibility feature on the VascuClear Catheter. The predicate incorporated a barium sulfate-loaded radiopaque marker band at the distal tip for fluoroscopic tip visualization (ThrombEx 200 510(k) Summary §3.1).</w:t>
      </w:r>
    </w:p>
    <w:p>
      <w:pPr>
        <w:pStyle w:val="BodyText"/>
      </w:pPr>
      <w:r>
        <w:rPr>
          <w:b/>
          <w:bCs/>
        </w:rPr>
        <w:t xml:space="preserve">Source.</w:t>
      </w:r>
      <w:r>
        <w:t xml:space="preserve"> </w:t>
      </w:r>
      <w:r>
        <w:t xml:space="preserve">Device Description §2.2, §2.1; IFU §8; ThrombEx 200 510(k) Summary §3.1.</w:t>
      </w:r>
    </w:p>
    <w:p>
      <w:pPr>
        <w:pStyle w:val="BodyText"/>
      </w:pPr>
      <w:r>
        <w:rPr>
          <w:b/>
          <w:bCs/>
        </w:rPr>
        <w:t xml:space="preserve">Why it matters.</w:t>
      </w:r>
      <w:r>
        <w:t xml:space="preserve"> </w:t>
      </w:r>
      <w:r>
        <w:t xml:space="preserve">Without a described radiopaque marker, it is unclear how the catheter tip (and the rotating impeller) is visualized fluoroscopically, which is central to the indicated use and to the warnings against operating without fluoroscopy.</w:t>
      </w:r>
    </w:p>
    <w:p>
      <w:pPr>
        <w:pStyle w:val="BodyText"/>
      </w:pPr>
      <w:r>
        <w:rPr>
          <w:b/>
          <w:bCs/>
        </w:rPr>
        <w:t xml:space="preserve">Recommendation.</w:t>
      </w:r>
      <w:r>
        <w:t xml:space="preserve"> </w:t>
      </w:r>
      <w:r>
        <w:t xml:space="preserve">Describe the radiopaque marker (or other fluoroscopic visibility means) in the device description and IFU, or confirm and document how tip visualization is achieved.</w:t>
      </w:r>
    </w:p>
    <w:bookmarkEnd w:id="51"/>
    <w:bookmarkStart w:id="52" w:name="X0bd5025b10d2602be6080f2de8d8afda894d1a4"/>
    <w:p>
      <w:pPr>
        <w:pStyle w:val="Heading3"/>
      </w:pPr>
      <w:r>
        <w:t xml:space="preserve">Issue 27 — Rated infusion pressure and burst pressure are undefined, making acceptance criteria circular</w:t>
      </w:r>
    </w:p>
    <w:p>
      <w:pPr>
        <w:pStyle w:val="FirstParagraph"/>
      </w:pPr>
      <w:r>
        <w:rPr>
          <w:b/>
          <w:bCs/>
        </w:rPr>
        <w:t xml:space="preserve">Issue.</w:t>
      </w:r>
      <w:r>
        <w:t xml:space="preserve"> </w:t>
      </w:r>
      <w:r>
        <w:t xml:space="preserve">The burst pressure acceptance criterion (Testing Plan §3.2) is stated as</w:t>
      </w:r>
      <w:r>
        <w:t xml:space="preserve"> </w:t>
      </w:r>
      <w:r>
        <w:t xml:space="preserve">“</w:t>
      </w:r>
      <w:r>
        <w:t xml:space="preserve">≥3× the maximum rated infusion pressure,</w:t>
      </w:r>
      <w:r>
        <w:t xml:space="preserve">”</w:t>
      </w:r>
      <w:r>
        <w:t xml:space="preserve"> </w:t>
      </w:r>
      <w:r>
        <w:t xml:space="preserve">and the infusion pressure test (§8.2) requires that pressure</w:t>
      </w:r>
      <w:r>
        <w:t xml:space="preserve"> </w:t>
      </w:r>
      <w:r>
        <w:t xml:space="preserve">“</w:t>
      </w:r>
      <w:r>
        <w:t xml:space="preserve">remain below the catheter’s rated infusion lumen burst pressure.</w:t>
      </w:r>
      <w:r>
        <w:t xml:space="preserve">”</w:t>
      </w:r>
      <w:r>
        <w:t xml:space="preserve"> </w:t>
      </w:r>
      <w:r>
        <w:t xml:space="preserve">Neither the</w:t>
      </w:r>
      <w:r>
        <w:t xml:space="preserve"> </w:t>
      </w:r>
      <w:r>
        <w:t xml:space="preserve">“</w:t>
      </w:r>
      <w:r>
        <w:t xml:space="preserve">maximum rated infusion pressure</w:t>
      </w:r>
      <w:r>
        <w:t xml:space="preserve">”</w:t>
      </w:r>
      <w:r>
        <w:t xml:space="preserve"> </w:t>
      </w:r>
      <w:r>
        <w:t xml:space="preserve">nor the</w:t>
      </w:r>
      <w:r>
        <w:t xml:space="preserve"> </w:t>
      </w:r>
      <w:r>
        <w:t xml:space="preserve">“</w:t>
      </w:r>
      <w:r>
        <w:t xml:space="preserve">rated infusion lumen burst pressure</w:t>
      </w:r>
      <w:r>
        <w:t xml:space="preserve">”</w:t>
      </w:r>
      <w:r>
        <w:t xml:space="preserve"> </w:t>
      </w:r>
      <w:r>
        <w:t xml:space="preserve">is specified anywhere in the package. The IFU (§13) specifies the infusion flow rate (2–10 mL/min) but no rated infusion pressure or burst pressure. The acceptance criteria are therefore circular — they reference rated values that are themselves undefined.</w:t>
      </w:r>
    </w:p>
    <w:p>
      <w:pPr>
        <w:pStyle w:val="BodyText"/>
      </w:pPr>
      <w:r>
        <w:rPr>
          <w:b/>
          <w:bCs/>
        </w:rPr>
        <w:t xml:space="preserve">Source.</w:t>
      </w:r>
      <w:r>
        <w:t xml:space="preserve"> </w:t>
      </w:r>
      <w:r>
        <w:t xml:space="preserve">Testing Plan §3.2, §8.2; IFU §13.</w:t>
      </w:r>
    </w:p>
    <w:p>
      <w:pPr>
        <w:pStyle w:val="BodyText"/>
      </w:pPr>
      <w:r>
        <w:rPr>
          <w:b/>
          <w:bCs/>
        </w:rPr>
        <w:t xml:space="preserve">Why it matters.</w:t>
      </w:r>
      <w:r>
        <w:t xml:space="preserve"> </w:t>
      </w:r>
      <w:r>
        <w:t xml:space="preserve">Acceptance criteria must be tied to defined, verifiable specifications. Undefined rated pressures make the burst and infusion-pressure tests unverifiable and the criteria meaningless.</w:t>
      </w:r>
    </w:p>
    <w:p>
      <w:pPr>
        <w:pStyle w:val="BodyText"/>
      </w:pPr>
      <w:r>
        <w:rPr>
          <w:b/>
          <w:bCs/>
        </w:rPr>
        <w:t xml:space="preserve">Recommendation.</w:t>
      </w:r>
      <w:r>
        <w:t xml:space="preserve"> </w:t>
      </w:r>
      <w:r>
        <w:t xml:space="preserve">Specify the rated infusion pressure and rated burst pressure of the infusion lumen in the device specifications and IFU, and restate the acceptance criteria against those defined values.</w:t>
      </w:r>
    </w:p>
    <w:p>
      <w:r>
        <w:pict>
          <v:rect style="width:0;height:1.5pt" o:hralign="center" o:hrstd="t" o:hr="t"/>
        </w:pict>
      </w:r>
    </w:p>
    <w:bookmarkEnd w:id="52"/>
    <w:bookmarkEnd w:id="53"/>
    <w:bookmarkStart w:id="78" w:name="X4759c061c34eb2461e0dfaaa142a4900e451710"/>
    <w:p>
      <w:pPr>
        <w:pStyle w:val="Heading2"/>
      </w:pPr>
      <w:r>
        <w:t xml:space="preserve">VII. Tier 4 — Medium Priority: Clinical, Labeling, and Additional Testing Gaps</w:t>
      </w:r>
    </w:p>
    <w:bookmarkStart w:id="54" w:name="Xb917eeb98a80ec6d0ee798ec6d540d9fb6c7300"/>
    <w:p>
      <w:pPr>
        <w:pStyle w:val="Heading3"/>
      </w:pPr>
      <w:r>
        <w:t xml:space="preserve">Issue 28 — Reprocessing validation for the reusable console is omitted</w:t>
      </w:r>
    </w:p>
    <w:p>
      <w:pPr>
        <w:pStyle w:val="FirstParagraph"/>
      </w:pPr>
      <w:r>
        <w:rPr>
          <w:b/>
          <w:bCs/>
        </w:rPr>
        <w:t xml:space="preserve">Issue.</w:t>
      </w:r>
      <w:r>
        <w:t xml:space="preserve"> </w:t>
      </w:r>
      <w:r>
        <w:t xml:space="preserve">The console is reusable, and the IFU (§11) provides cleaning/disinfection instructions (</w:t>
      </w:r>
      <w:r>
        <w:t xml:space="preserve">“</w:t>
      </w:r>
      <w:r>
        <w:t xml:space="preserve">clean the exterior surfaces … with a hospital-grade disinfectant wipe</w:t>
      </w:r>
      <w:r>
        <w:t xml:space="preserve">”</w:t>
      </w:r>
      <w:r>
        <w:t xml:space="preserve">). The Testing Plan does not propose any reprocessing validation for the console. FDA’s guidance</w:t>
      </w:r>
      <w:r>
        <w:t xml:space="preserve"> </w:t>
      </w:r>
      <w:r>
        <w:t xml:space="preserve">“</w:t>
      </w:r>
      <w:r>
        <w:t xml:space="preserve">Reprocessing Medical Devices in Health Care Settings: Validation Methods and Labeling</w:t>
      </w:r>
      <w:r>
        <w:t xml:space="preserve">”</w:t>
      </w:r>
      <w:r>
        <w:t xml:space="preserve"> </w:t>
      </w:r>
      <w:r>
        <w:t xml:space="preserve">(2015) expects validated reprocessing instructions for reusable devices. The Device Description (§2.3) references a</w:t>
      </w:r>
      <w:r>
        <w:t xml:space="preserve"> </w:t>
      </w:r>
      <w:r>
        <w:t xml:space="preserve">“</w:t>
      </w:r>
      <w:r>
        <w:t xml:space="preserve">reusable device reprocessing validation protocol</w:t>
      </w:r>
      <w:r>
        <w:t xml:space="preserve">”</w:t>
      </w:r>
      <w:r>
        <w:t xml:space="preserve"> </w:t>
      </w:r>
      <w:r>
        <w:t xml:space="preserve">but the Testing Plan does not include it as a testing category.</w:t>
      </w:r>
    </w:p>
    <w:p>
      <w:pPr>
        <w:pStyle w:val="BodyText"/>
      </w:pPr>
      <w:r>
        <w:rPr>
          <w:b/>
          <w:bCs/>
        </w:rPr>
        <w:t xml:space="preserve">Source.</w:t>
      </w:r>
      <w:r>
        <w:t xml:space="preserve"> </w:t>
      </w:r>
      <w:r>
        <w:t xml:space="preserve">IFU §11; Device Description §2.3; Testing Plan (no reprocessing category).</w:t>
      </w:r>
    </w:p>
    <w:p>
      <w:pPr>
        <w:pStyle w:val="BodyText"/>
      </w:pPr>
      <w:r>
        <w:rPr>
          <w:b/>
          <w:bCs/>
        </w:rPr>
        <w:t xml:space="preserve">Recommendation.</w:t>
      </w:r>
      <w:r>
        <w:t xml:space="preserve"> </w:t>
      </w:r>
      <w:r>
        <w:t xml:space="preserve">Add a reprocessing validation study for the console and validate the IFU cleaning/disinfection instructions.</w:t>
      </w:r>
    </w:p>
    <w:bookmarkEnd w:id="54"/>
    <w:bookmarkStart w:id="55" w:name="X4682d9b3fe3151670c31b693ba30d6d68a0dae1"/>
    <w:p>
      <w:pPr>
        <w:pStyle w:val="Heading3"/>
      </w:pPr>
      <w:r>
        <w:t xml:space="preserve">Issue 29 — MRI safety testing omitted; IFU contains [TBD] placeholders</w:t>
      </w:r>
    </w:p>
    <w:p>
      <w:pPr>
        <w:pStyle w:val="FirstParagraph"/>
      </w:pPr>
      <w:r>
        <w:rPr>
          <w:b/>
          <w:bCs/>
        </w:rPr>
        <w:t xml:space="preserve">Issue.</w:t>
      </w:r>
      <w:r>
        <w:t xml:space="preserve"> </w:t>
      </w:r>
      <w:r>
        <w:t xml:space="preserve">The IFU (§6) claims the VascuClear Catheter is</w:t>
      </w:r>
      <w:r>
        <w:t xml:space="preserve"> </w:t>
      </w:r>
      <w:r>
        <w:t xml:space="preserve">“</w:t>
      </w:r>
      <w:r>
        <w:t xml:space="preserve">MR Conditional</w:t>
      </w:r>
      <w:r>
        <w:t xml:space="preserve">”</w:t>
      </w:r>
      <w:r>
        <w:t xml:space="preserve"> </w:t>
      </w:r>
      <w:r>
        <w:t xml:space="preserve">but contains</w:t>
      </w:r>
      <w:r>
        <w:t xml:space="preserve"> </w:t>
      </w:r>
      <w:r>
        <w:t xml:space="preserve">“</w:t>
      </w:r>
      <w:r>
        <w:t xml:space="preserve">[TBD]</w:t>
      </w:r>
      <w:r>
        <w:t xml:space="preserve">”</w:t>
      </w:r>
      <w:r>
        <w:t xml:space="preserve"> </w:t>
      </w:r>
      <w:r>
        <w:t xml:space="preserve">placeholders for the temperature rise and the MRI system field strength, and the comparison table (Device Description §4.2) repeats the</w:t>
      </w:r>
      <w:r>
        <w:t xml:space="preserve"> </w:t>
      </w:r>
      <w:r>
        <w:t xml:space="preserve">“</w:t>
      </w:r>
      <w:r>
        <w:t xml:space="preserve">MR Conditional</w:t>
      </w:r>
      <w:r>
        <w:t xml:space="preserve">”</w:t>
      </w:r>
      <w:r>
        <w:t xml:space="preserve"> </w:t>
      </w:r>
      <w:r>
        <w:t xml:space="preserve">claim. The Testing Plan proposes</w:t>
      </w:r>
      <w:r>
        <w:t xml:space="preserve"> </w:t>
      </w:r>
      <w:r>
        <w:rPr>
          <w:b/>
          <w:bCs/>
        </w:rPr>
        <w:t xml:space="preserve">no</w:t>
      </w:r>
      <w:r>
        <w:t xml:space="preserve"> </w:t>
      </w:r>
      <w:r>
        <w:t xml:space="preserve">MRI safety testing (e.g., ASTM F2182 RF-induced heating, F2052 magnetically induced displacement force, F2213 torque, F2119 image artifact). An MR Conditional claim requires completed non-clinical test data.</w:t>
      </w:r>
    </w:p>
    <w:p>
      <w:pPr>
        <w:pStyle w:val="BodyText"/>
      </w:pPr>
      <w:r>
        <w:rPr>
          <w:b/>
          <w:bCs/>
        </w:rPr>
        <w:t xml:space="preserve">Source.</w:t>
      </w:r>
      <w:r>
        <w:t xml:space="preserve"> </w:t>
      </w:r>
      <w:r>
        <w:t xml:space="preserve">IFU §6; Device Description §4.2; Testing Plan (no MRI testing).</w:t>
      </w:r>
    </w:p>
    <w:p>
      <w:pPr>
        <w:pStyle w:val="BodyText"/>
      </w:pPr>
      <w:r>
        <w:rPr>
          <w:b/>
          <w:bCs/>
        </w:rPr>
        <w:t xml:space="preserve">Recommendation.</w:t>
      </w:r>
      <w:r>
        <w:t xml:space="preserve"> </w:t>
      </w:r>
      <w:r>
        <w:t xml:space="preserve">Either propose MRI safety testing to support the MR Conditional claim (and complete the [TBD] values), or remove the MR Conditional claim from the IFU and comparison table until data exist.</w:t>
      </w:r>
    </w:p>
    <w:bookmarkEnd w:id="55"/>
    <w:bookmarkStart w:id="56" w:name="X9bb40dbf07cbdbd2b02bd0bfc082b138326090d"/>
    <w:p>
      <w:pPr>
        <w:pStyle w:val="Heading3"/>
      </w:pPr>
      <w:r>
        <w:t xml:space="preserve">Issue 30 — Human factors / usability engineering is omitted</w:t>
      </w:r>
    </w:p>
    <w:p>
      <w:pPr>
        <w:pStyle w:val="FirstParagraph"/>
      </w:pPr>
      <w:r>
        <w:rPr>
          <w:b/>
          <w:bCs/>
        </w:rPr>
        <w:t xml:space="preserve">Issue.</w:t>
      </w:r>
      <w:r>
        <w:t xml:space="preserve"> </w:t>
      </w:r>
      <w:r>
        <w:t xml:space="preserve">The console has a touchscreen user interface and operator controls for impeller speed (up to 12,000 RPM) and aspiration pressure (up to −650 mmHg) — safety-critical functions where use error could cause serious injury. The Testing Plan proposes no human-factors / usability-engineering (HFE/UE) activities. FDA’s guidance</w:t>
      </w:r>
      <w:r>
        <w:t xml:space="preserve"> </w:t>
      </w:r>
      <w:r>
        <w:t xml:space="preserve">“</w:t>
      </w:r>
      <w:r>
        <w:t xml:space="preserve">Applying Human Factors and Usability Engineering to Medical Devices</w:t>
      </w:r>
      <w:r>
        <w:t xml:space="preserve">”</w:t>
      </w:r>
      <w:r>
        <w:t xml:space="preserve"> </w:t>
      </w:r>
      <w:r>
        <w:t xml:space="preserve">(2016) and the 2023 HF guidance expect HFE/UE for devices with critical safety functions.</w:t>
      </w:r>
    </w:p>
    <w:p>
      <w:pPr>
        <w:pStyle w:val="BodyText"/>
      </w:pPr>
      <w:r>
        <w:rPr>
          <w:b/>
          <w:bCs/>
        </w:rPr>
        <w:t xml:space="preserve">Source.</w:t>
      </w:r>
      <w:r>
        <w:t xml:space="preserve"> </w:t>
      </w:r>
      <w:r>
        <w:t xml:space="preserve">Testing Plan (no HFE category); Device Description §2.3; IFU §8.</w:t>
      </w:r>
    </w:p>
    <w:p>
      <w:pPr>
        <w:pStyle w:val="BodyText"/>
      </w:pPr>
      <w:r>
        <w:rPr>
          <w:b/>
          <w:bCs/>
        </w:rPr>
        <w:t xml:space="preserve">Recommendation.</w:t>
      </w:r>
      <w:r>
        <w:t xml:space="preserve"> </w:t>
      </w:r>
      <w:r>
        <w:t xml:space="preserve">Add a use-error analysis and summative usability validation to the plan, or justify omission to FDA.</w:t>
      </w:r>
    </w:p>
    <w:bookmarkEnd w:id="56"/>
    <w:bookmarkStart w:id="57" w:name="Xa7fcb3e6f24995525be78c7ae0ad54763e5e274"/>
    <w:p>
      <w:pPr>
        <w:pStyle w:val="Heading3"/>
      </w:pPr>
      <w:r>
        <w:t xml:space="preserve">Issue 31 — Dynamic (in-use) hemolysis is not addressed</w:t>
      </w:r>
    </w:p>
    <w:p>
      <w:pPr>
        <w:pStyle w:val="FirstParagraph"/>
      </w:pPr>
      <w:r>
        <w:rPr>
          <w:b/>
          <w:bCs/>
        </w:rPr>
        <w:t xml:space="preserve">Issue.</w:t>
      </w:r>
      <w:r>
        <w:t xml:space="preserve"> </w:t>
      </w:r>
      <w:r>
        <w:t xml:space="preserve">The proposed hemocompatibility testing (Testing Plan §2.2, ISO 10993-4) includes hemolysis by</w:t>
      </w:r>
      <w:r>
        <w:t xml:space="preserve"> </w:t>
      </w:r>
      <w:r>
        <w:t xml:space="preserve">“</w:t>
      </w:r>
      <w:r>
        <w:t xml:space="preserve">direct and indirect contact methods,</w:t>
      </w:r>
      <w:r>
        <w:t xml:space="preserve">”</w:t>
      </w:r>
      <w:r>
        <w:t xml:space="preserve"> </w:t>
      </w:r>
      <w:r>
        <w:t xml:space="preserve">which are typically static extract methods. For a device with a rotating impeller at 12,000 RPM in direct contact with blood, shear-induced hemolysis is a primary, device-specific risk that should be evaluated under dynamic (impeller-operating) conditions, not solely by static extraction.</w:t>
      </w:r>
    </w:p>
    <w:p>
      <w:pPr>
        <w:pStyle w:val="BodyText"/>
      </w:pPr>
      <w:r>
        <w:rPr>
          <w:b/>
          <w:bCs/>
        </w:rPr>
        <w:t xml:space="preserve">Source.</w:t>
      </w:r>
      <w:r>
        <w:t xml:space="preserve"> </w:t>
      </w:r>
      <w:r>
        <w:t xml:space="preserve">Testing Plan §2.2, §3.3 (particulate).</w:t>
      </w:r>
    </w:p>
    <w:p>
      <w:pPr>
        <w:pStyle w:val="BodyText"/>
      </w:pPr>
      <w:r>
        <w:rPr>
          <w:b/>
          <w:bCs/>
        </w:rPr>
        <w:t xml:space="preserve">Recommendation.</w:t>
      </w:r>
      <w:r>
        <w:t xml:space="preserve"> </w:t>
      </w:r>
      <w:r>
        <w:t xml:space="preserve">Add dynamic/in-use hemolysis testing with the impeller operating at worst-case speed, and define a hemolysis acceptance criterion. Coordinate with the particulate-generation test.</w:t>
      </w:r>
    </w:p>
    <w:bookmarkEnd w:id="57"/>
    <w:bookmarkStart w:id="58" w:name="X37f3b43b4e6ac1c519169685a835dc9c81a119b"/>
    <w:p>
      <w:pPr>
        <w:pStyle w:val="Heading3"/>
      </w:pPr>
      <w:r>
        <w:t xml:space="preserve">Issue 32 — Corrosion / galvanic testing is omitted</w:t>
      </w:r>
    </w:p>
    <w:p>
      <w:pPr>
        <w:pStyle w:val="FirstParagraph"/>
      </w:pPr>
      <w:r>
        <w:rPr>
          <w:b/>
          <w:bCs/>
        </w:rPr>
        <w:t xml:space="preserve">Issue.</w:t>
      </w:r>
      <w:r>
        <w:t xml:space="preserve"> </w:t>
      </w:r>
      <w:r>
        <w:t xml:space="preserve">The device incorporates dissimilar metals (316L stainless steel and nitinol) in a blood environment with a rotating, mechanically loaded interface (impeller-to-shaft). Galvanic and fretting corrosion are potential risks. The Testing Plan proposes no corrosion testing.</w:t>
      </w:r>
    </w:p>
    <w:p>
      <w:pPr>
        <w:pStyle w:val="BodyText"/>
      </w:pPr>
      <w:r>
        <w:rPr>
          <w:b/>
          <w:bCs/>
        </w:rPr>
        <w:t xml:space="preserve">Source.</w:t>
      </w:r>
      <w:r>
        <w:t xml:space="preserve"> </w:t>
      </w:r>
      <w:r>
        <w:t xml:space="preserve">Testing Plan §2.3, §3; Device Description §2.2.</w:t>
      </w:r>
    </w:p>
    <w:p>
      <w:pPr>
        <w:pStyle w:val="BodyText"/>
      </w:pPr>
      <w:r>
        <w:rPr>
          <w:b/>
          <w:bCs/>
        </w:rPr>
        <w:t xml:space="preserve">Recommendation.</w:t>
      </w:r>
      <w:r>
        <w:t xml:space="preserve"> </w:t>
      </w:r>
      <w:r>
        <w:t xml:space="preserve">Add fretting/galvanic corrosion testing of the impeller-shaft interface, particularly given the dissimilar metals.</w:t>
      </w:r>
    </w:p>
    <w:bookmarkEnd w:id="58"/>
    <w:bookmarkStart w:id="59" w:name="Xb9f083d07cddeb0bfc2ea88cc4a7b669132e014"/>
    <w:p>
      <w:pPr>
        <w:pStyle w:val="Heading3"/>
      </w:pPr>
      <w:r>
        <w:t xml:space="preserve">Issue 33 — Hydrophilic coating is inconsistently documented and untested</w:t>
      </w:r>
    </w:p>
    <w:p>
      <w:pPr>
        <w:pStyle w:val="FirstParagraph"/>
      </w:pPr>
      <w:r>
        <w:rPr>
          <w:b/>
          <w:bCs/>
        </w:rPr>
        <w:t xml:space="preserve">Issue.</w:t>
      </w:r>
      <w:r>
        <w:t xml:space="preserve"> </w:t>
      </w:r>
      <w:r>
        <w:t xml:space="preserve">The Testing Plan (§2.3) lists a</w:t>
      </w:r>
      <w:r>
        <w:t xml:space="preserve"> </w:t>
      </w:r>
      <w:r>
        <w:t xml:space="preserve">“</w:t>
      </w:r>
      <w:r>
        <w:t xml:space="preserve">Hydrophilic Coating</w:t>
      </w:r>
      <w:r>
        <w:t xml:space="preserve">”</w:t>
      </w:r>
      <w:r>
        <w:t xml:space="preserve"> </w:t>
      </w:r>
      <w:r>
        <w:t xml:space="preserve">as a patient-contacting material applied to the catheter distal tip. The Device Description (§2.2) and the IFU do not mention a hydrophilic coating. No coating-integrity, adhesion, or delamination testing (or coating-derived particulate) is proposed.</w:t>
      </w:r>
    </w:p>
    <w:p>
      <w:pPr>
        <w:pStyle w:val="BodyText"/>
      </w:pPr>
      <w:r>
        <w:rPr>
          <w:b/>
          <w:bCs/>
        </w:rPr>
        <w:t xml:space="preserve">Source.</w:t>
      </w:r>
      <w:r>
        <w:t xml:space="preserve"> </w:t>
      </w:r>
      <w:r>
        <w:t xml:space="preserve">Testing Plan §2.3; Device Description §2.2; IFU.</w:t>
      </w:r>
    </w:p>
    <w:p>
      <w:pPr>
        <w:pStyle w:val="BodyText"/>
      </w:pPr>
      <w:r>
        <w:rPr>
          <w:b/>
          <w:bCs/>
        </w:rPr>
        <w:t xml:space="preserve">Recommendation.</w:t>
      </w:r>
      <w:r>
        <w:t xml:space="preserve"> </w:t>
      </w:r>
      <w:r>
        <w:t xml:space="preserve">Reconcile whether a hydrophilic coating is present; if so, document it in the device description and IFU, include it in biocompatibility, and add coating-integrity/delamination testing.</w:t>
      </w:r>
    </w:p>
    <w:bookmarkEnd w:id="59"/>
    <w:bookmarkStart w:id="60" w:name="X48c9e5ac2c0e727c7e34ca610f74e7154785dc9"/>
    <w:p>
      <w:pPr>
        <w:pStyle w:val="Heading3"/>
      </w:pPr>
      <w:r>
        <w:t xml:space="preserve">Issue 34 — Cybersecurity content is omitted</w:t>
      </w:r>
    </w:p>
    <w:p>
      <w:pPr>
        <w:pStyle w:val="FirstParagraph"/>
      </w:pPr>
      <w:r>
        <w:rPr>
          <w:b/>
          <w:bCs/>
        </w:rPr>
        <w:t xml:space="preserve">Issue.</w:t>
      </w:r>
      <w:r>
        <w:t xml:space="preserve"> </w:t>
      </w:r>
      <w:r>
        <w:t xml:space="preserve">The console contains embedded firmware, and the IFU (§11) contemplates firmware updates performed by authorized service personnel. FDA’s guidance</w:t>
      </w:r>
      <w:r>
        <w:t xml:space="preserve"> </w:t>
      </w:r>
      <w:r>
        <w:t xml:space="preserve">“</w:t>
      </w:r>
      <w:r>
        <w:t xml:space="preserve">Content of Premarket Submissions for Management of Cybersecurity in Medical Devices</w:t>
      </w:r>
      <w:r>
        <w:t xml:space="preserve">”</w:t>
      </w:r>
      <w:r>
        <w:t xml:space="preserve"> </w:t>
      </w:r>
      <w:r>
        <w:t xml:space="preserve">(2023) expects cybersecurity documentation for devices with software/firmware, particularly where any update or data-logging pathway exists. The Testing Plan does not address cybersecurity.</w:t>
      </w:r>
    </w:p>
    <w:p>
      <w:pPr>
        <w:pStyle w:val="BodyText"/>
      </w:pPr>
      <w:r>
        <w:rPr>
          <w:b/>
          <w:bCs/>
        </w:rPr>
        <w:t xml:space="preserve">Source.</w:t>
      </w:r>
      <w:r>
        <w:t xml:space="preserve"> </w:t>
      </w:r>
      <w:r>
        <w:t xml:space="preserve">Testing Plan §5; IFU §11.</w:t>
      </w:r>
    </w:p>
    <w:p>
      <w:pPr>
        <w:pStyle w:val="BodyText"/>
      </w:pPr>
      <w:r>
        <w:rPr>
          <w:b/>
          <w:bCs/>
        </w:rPr>
        <w:t xml:space="preserve">Recommendation.</w:t>
      </w:r>
      <w:r>
        <w:t xml:space="preserve"> </w:t>
      </w:r>
      <w:r>
        <w:t xml:space="preserve">Address cybersecurity (threat modeling, security risk management, update/patch process, and the documentation expected under the 2023 guidance) to the extent applicable to the console.</w:t>
      </w:r>
    </w:p>
    <w:bookmarkEnd w:id="60"/>
    <w:bookmarkStart w:id="61" w:name="Xd53bda3597434aa278489caf1812d90d6a833ec"/>
    <w:p>
      <w:pPr>
        <w:pStyle w:val="Heading3"/>
      </w:pPr>
      <w:r>
        <w:t xml:space="preserve">Issue 35 — Clinical-study timeline contradicts the claim that the data will support the 510(k)</w:t>
      </w:r>
    </w:p>
    <w:p>
      <w:pPr>
        <w:pStyle w:val="FirstParagraph"/>
      </w:pPr>
      <w:r>
        <w:rPr>
          <w:b/>
          <w:bCs/>
        </w:rPr>
        <w:t xml:space="preserve">Issue.</w:t>
      </w:r>
      <w:r>
        <w:t xml:space="preserve"> </w:t>
      </w:r>
      <w:r>
        <w:t xml:space="preserve">The Clinical Synopsis timeline (§15) shows first-patient enrollment in Q4 2025, enrollment completion in Q2 2026, last-patient-last-visit in Q3 2026, and clinical study report finalization in</w:t>
      </w:r>
      <w:r>
        <w:t xml:space="preserve"> </w:t>
      </w:r>
      <w:r>
        <w:rPr>
          <w:b/>
          <w:bCs/>
        </w:rPr>
        <w:t xml:space="preserve">Q4 2026</w:t>
      </w:r>
      <w:r>
        <w:t xml:space="preserve">. The Testing Plan (§9.2) targets 510(k) clearance by</w:t>
      </w:r>
      <w:r>
        <w:t xml:space="preserve"> </w:t>
      </w:r>
      <w:r>
        <w:rPr>
          <w:b/>
          <w:bCs/>
        </w:rPr>
        <w:t xml:space="preserve">December 31, 2025</w:t>
      </w:r>
      <w:r>
        <w:t xml:space="preserve">. The clinical data therefore cannot be available in time to support a December 31, 2025 clearance, yet the Synopsis (§3) states the data</w:t>
      </w:r>
      <w:r>
        <w:t xml:space="preserve"> </w:t>
      </w:r>
      <w:r>
        <w:t xml:space="preserve">“</w:t>
      </w:r>
      <w:r>
        <w:t xml:space="preserve">is intended to support the 510(k) submission.</w:t>
      </w:r>
      <w:r>
        <w:t xml:space="preserve">”</w:t>
      </w:r>
      <w:r>
        <w:t xml:space="preserve"> </w:t>
      </w:r>
      <w:r>
        <w:t xml:space="preserve">The package is internally inconsistent on the role and timing of the clinical data.</w:t>
      </w:r>
    </w:p>
    <w:p>
      <w:pPr>
        <w:pStyle w:val="BodyText"/>
      </w:pPr>
      <w:r>
        <w:rPr>
          <w:b/>
          <w:bCs/>
        </w:rPr>
        <w:t xml:space="preserve">Source.</w:t>
      </w:r>
      <w:r>
        <w:t xml:space="preserve"> </w:t>
      </w:r>
      <w:r>
        <w:t xml:space="preserve">Clinical Synopsis §3, §15; Testing Plan §9.2.</w:t>
      </w:r>
    </w:p>
    <w:p>
      <w:pPr>
        <w:pStyle w:val="BodyText"/>
      </w:pPr>
      <w:r>
        <w:rPr>
          <w:b/>
          <w:bCs/>
        </w:rPr>
        <w:t xml:space="preserve">Recommendation.</w:t>
      </w:r>
      <w:r>
        <w:t xml:space="preserve"> </w:t>
      </w:r>
      <w:r>
        <w:t xml:space="preserve">Reconcile the timeline. Either (i) the 510(k) will be submitted on bench/predicate data alone (in which case the clinical study is genuinely post-clearance and the Synopsis should say so, and the IDE analysis changes accordingly — see Issues 2–3), or (ii) the clearance milestone must move to accommodate the clinical data (Q4 2026 CSR at the earliest, plus FDA review). The current package asserts both.</w:t>
      </w:r>
    </w:p>
    <w:bookmarkEnd w:id="61"/>
    <w:bookmarkStart w:id="62" w:name="Xe32106aa444b004814a347789503873d91929ca"/>
    <w:p>
      <w:pPr>
        <w:pStyle w:val="Heading3"/>
      </w:pPr>
      <w:r>
        <w:t xml:space="preserve">Issue 36 — Braddock Ventures milestone (Dec. 31, 2025 clearance) is at material risk; corporate counsel not engaged</w:t>
      </w:r>
    </w:p>
    <w:p>
      <w:pPr>
        <w:pStyle w:val="FirstParagraph"/>
      </w:pPr>
      <w:r>
        <w:rPr>
          <w:b/>
          <w:bCs/>
        </w:rPr>
        <w:t xml:space="preserve">Issue.</w:t>
      </w:r>
      <w:r>
        <w:t xml:space="preserve"> </w:t>
      </w:r>
      <w:r>
        <w:t xml:space="preserve">The December 31, 2025 510(k) clearance milestone in the Braddock Ventures Series D term sheet is at material risk under the package’s own timeline: testing completes November–December 2025 (Testing Plan §9.2), the 510(k) is submitted</w:t>
      </w:r>
      <w:r>
        <w:t xml:space="preserve"> </w:t>
      </w:r>
      <w:r>
        <w:t xml:space="preserve">“</w:t>
      </w:r>
      <w:r>
        <w:t xml:space="preserve">as early as practical</w:t>
      </w:r>
      <w:r>
        <w:t xml:space="preserve">”</w:t>
      </w:r>
      <w:r>
        <w:t xml:space="preserve"> </w:t>
      </w:r>
      <w:r>
        <w:t xml:space="preserve">after that, and FDA’s traditional 510(k) review generally runs approximately 90 calendar days (and frequently longer when AI requests issue). Clearance by December 31, 2025 is therefore not realistic on this timeline, and is even less so if the pathway changes (e.g., combination-product classification, an IDE requirement, or additional testing). Kate Pressman’s May 12 email specifically flagged that</w:t>
      </w:r>
      <w:r>
        <w:t xml:space="preserve"> </w:t>
      </w:r>
      <w:r>
        <w:t xml:space="preserve">“</w:t>
      </w:r>
      <w:r>
        <w:t xml:space="preserve">if there is any real possibility that the regulatory pathway changes … we should loop in Kendrick &amp; Hale</w:t>
      </w:r>
      <w:r>
        <w:t xml:space="preserve">”</w:t>
      </w:r>
      <w:r>
        <w:t xml:space="preserve"> </w:t>
      </w:r>
      <w:r>
        <w:t xml:space="preserve">because the milestone</w:t>
      </w:r>
      <w:r>
        <w:t xml:space="preserve"> </w:t>
      </w:r>
      <w:r>
        <w:t xml:space="preserve">“</w:t>
      </w:r>
      <w:r>
        <w:t xml:space="preserve">may not be achievable under an alternative pathway.</w:t>
      </w:r>
      <w:r>
        <w:t xml:space="preserve">”</w:t>
      </w:r>
      <w:r>
        <w:t xml:space="preserve"> </w:t>
      </w:r>
      <w:r>
        <w:t xml:space="preserve">The package does not reflect that step.</w:t>
      </w:r>
    </w:p>
    <w:p>
      <w:pPr>
        <w:pStyle w:val="BodyText"/>
      </w:pPr>
      <w:r>
        <w:rPr>
          <w:b/>
          <w:bCs/>
        </w:rPr>
        <w:t xml:space="preserve">Source.</w:t>
      </w:r>
      <w:r>
        <w:t xml:space="preserve"> </w:t>
      </w:r>
      <w:r>
        <w:t xml:space="preserve">Testing Plan §9.2; email chain (Pressman, May 12, 2025; Fessenden, April 22, 2025 re: Braddock milestone).</w:t>
      </w:r>
    </w:p>
    <w:p>
      <w:pPr>
        <w:pStyle w:val="BodyText"/>
      </w:pPr>
      <w:r>
        <w:rPr>
          <w:b/>
          <w:bCs/>
        </w:rPr>
        <w:t xml:space="preserve">Recommendation.</w:t>
      </w:r>
      <w:r>
        <w:t xml:space="preserve"> </w:t>
      </w:r>
      <w:r>
        <w:t xml:space="preserve">Prepare a realistic, risk-adjusted timeline with contingencies for the principal pathway-change scenarios, and engage Kendrick &amp; Hale on the corporate/contractual implications of a missed or delayed milestone before the package is finalized. Do not present the December 31, 2025 clearance target to FDA as the basis for the Pre-Submission scheduling without internal alignment on its achievability.</w:t>
      </w:r>
    </w:p>
    <w:bookmarkEnd w:id="62"/>
    <w:bookmarkStart w:id="63" w:name="Xe06bfc62928996e454882e63968257f20b9f551"/>
    <w:p>
      <w:pPr>
        <w:pStyle w:val="Heading3"/>
      </w:pPr>
      <w:r>
        <w:t xml:space="preserve">Issue 37 — Clinical performance goal (70%) is not justified; single-arm design with no comparator</w:t>
      </w:r>
    </w:p>
    <w:p>
      <w:pPr>
        <w:pStyle w:val="FirstParagraph"/>
      </w:pPr>
      <w:r>
        <w:rPr>
          <w:b/>
          <w:bCs/>
        </w:rPr>
        <w:t xml:space="preserve">Issue.</w:t>
      </w:r>
      <w:r>
        <w:t xml:space="preserve"> </w:t>
      </w:r>
      <w:r>
        <w:t xml:space="preserve">The Clinical Synopsis (§11.1) sets a primary performance goal of 70% (lower bound of the 95% exact binomial CI for the proportion achieving ≥50% thrombus removal at 24 hours must exceed 70%), assuming a true success rate of 80%. The 70% performance goal is not derived from any objective performance criterion (OPC), predicate data, or cited literature. The study is single-arm with no comparator. Separately, the clinical success threshold (≥50% thrombus removal) is more lenient than the bench acceptance criterion (≥80% single-pass removal) (Testing Plan §7.2), a disconnect that FDA may question.</w:t>
      </w:r>
    </w:p>
    <w:p>
      <w:pPr>
        <w:pStyle w:val="BodyText"/>
      </w:pPr>
      <w:r>
        <w:rPr>
          <w:b/>
          <w:bCs/>
        </w:rPr>
        <w:t xml:space="preserve">Source.</w:t>
      </w:r>
      <w:r>
        <w:t xml:space="preserve"> </w:t>
      </w:r>
      <w:r>
        <w:t xml:space="preserve">Clinical Synopsis §9.1, §11.1; Testing Plan §7.2.</w:t>
      </w:r>
    </w:p>
    <w:p>
      <w:pPr>
        <w:pStyle w:val="BodyText"/>
      </w:pPr>
      <w:r>
        <w:rPr>
          <w:b/>
          <w:bCs/>
        </w:rPr>
        <w:t xml:space="preserve">Recommendation.</w:t>
      </w:r>
      <w:r>
        <w:t xml:space="preserve"> </w:t>
      </w:r>
      <w:r>
        <w:t xml:space="preserve">Derive and document the 70% performance goal from a recognized OPC or published performance data (e.g., ATTRACT/CaVenT-derived), or justify it explicitly. Reconcile the clinical (50%) and bench (80%) thresholds or explain the difference.</w:t>
      </w:r>
    </w:p>
    <w:bookmarkEnd w:id="63"/>
    <w:bookmarkStart w:id="64" w:name="X3e43fb512ded6fc04156e684e7dbed6a2d07079"/>
    <w:p>
      <w:pPr>
        <w:pStyle w:val="Heading3"/>
      </w:pPr>
      <w:r>
        <w:t xml:space="preserve">Issue 38 — Primary-endpoint timing is ambiguous relative to extended infusion</w:t>
      </w:r>
    </w:p>
    <w:p>
      <w:pPr>
        <w:pStyle w:val="FirstParagraph"/>
      </w:pPr>
      <w:r>
        <w:rPr>
          <w:b/>
          <w:bCs/>
        </w:rPr>
        <w:t xml:space="preserve">Issue.</w:t>
      </w:r>
      <w:r>
        <w:t xml:space="preserve"> </w:t>
      </w:r>
      <w:r>
        <w:t xml:space="preserve">The primary endpoint is</w:t>
      </w:r>
      <w:r>
        <w:t xml:space="preserve"> </w:t>
      </w:r>
      <w:r>
        <w:t xml:space="preserve">“</w:t>
      </w:r>
      <w:r>
        <w:t xml:space="preserve">≥50% thrombus removal at 24 hours post-procedure</w:t>
      </w:r>
      <w:r>
        <w:t xml:space="preserve">”</w:t>
      </w:r>
      <w:r>
        <w:t xml:space="preserve"> </w:t>
      </w:r>
      <w:r>
        <w:t xml:space="preserve">by venography (Clinical Synopsis §9.1, §10), assessed at the</w:t>
      </w:r>
      <w:r>
        <w:t xml:space="preserve"> </w:t>
      </w:r>
      <w:r>
        <w:t xml:space="preserve">“</w:t>
      </w:r>
      <w:r>
        <w:t xml:space="preserve">24-Hour Post-Procedure (Day 1)</w:t>
      </w:r>
      <w:r>
        <w:t xml:space="preserve">”</w:t>
      </w:r>
      <w:r>
        <w:t xml:space="preserve"> </w:t>
      </w:r>
      <w:r>
        <w:t xml:space="preserve">visit. The index procedure (§8.2, step 8) permits the catheter to remain in situ for extended infusion for up to 72 hours.</w:t>
      </w:r>
      <w:r>
        <w:t xml:space="preserve"> </w:t>
      </w:r>
      <w:r>
        <w:t xml:space="preserve">“</w:t>
      </w:r>
      <w:r>
        <w:t xml:space="preserve">Post-procedure</w:t>
      </w:r>
      <w:r>
        <w:t xml:space="preserve">”</w:t>
      </w:r>
      <w:r>
        <w:t xml:space="preserve"> </w:t>
      </w:r>
      <w:r>
        <w:t xml:space="preserve">is therefore ambiguous when the procedure may include up to 72 hours of infusion, and the Day-1 venogram may occur during ongoing infusion.</w:t>
      </w:r>
    </w:p>
    <w:p>
      <w:pPr>
        <w:pStyle w:val="BodyText"/>
      </w:pPr>
      <w:r>
        <w:rPr>
          <w:b/>
          <w:bCs/>
        </w:rPr>
        <w:t xml:space="preserve">Source.</w:t>
      </w:r>
      <w:r>
        <w:t xml:space="preserve"> </w:t>
      </w:r>
      <w:r>
        <w:t xml:space="preserve">Clinical Synopsis §8.2, §9.1, §10.</w:t>
      </w:r>
    </w:p>
    <w:p>
      <w:pPr>
        <w:pStyle w:val="BodyText"/>
      </w:pPr>
      <w:r>
        <w:rPr>
          <w:b/>
          <w:bCs/>
        </w:rPr>
        <w:t xml:space="preserve">Recommendation.</w:t>
      </w:r>
      <w:r>
        <w:t xml:space="preserve"> </w:t>
      </w:r>
      <w:r>
        <w:t xml:space="preserve">Define precisely when the primary-endpoint venogram is obtained relative to the end of mechanical thrombectomy, the end of any extended infusion, and catheter removal.</w:t>
      </w:r>
    </w:p>
    <w:bookmarkEnd w:id="64"/>
    <w:bookmarkStart w:id="65" w:name="X663bd7a26eb93650fbb973428b92b5c9162fb3c"/>
    <w:p>
      <w:pPr>
        <w:pStyle w:val="Heading3"/>
      </w:pPr>
      <w:r>
        <w:t xml:space="preserve">Issue 39 — No DSMB, CEC, or independent blinded core laboratory is committed</w:t>
      </w:r>
    </w:p>
    <w:p>
      <w:pPr>
        <w:pStyle w:val="FirstParagraph"/>
      </w:pPr>
      <w:r>
        <w:rPr>
          <w:b/>
          <w:bCs/>
        </w:rPr>
        <w:t xml:space="preserve">Issue.</w:t>
      </w:r>
      <w:r>
        <w:t xml:space="preserve"> </w:t>
      </w:r>
      <w:r>
        <w:t xml:space="preserve">Safety monitoring is described as Sponsor- and CRO-conducted (Clinical Synopsis §12), with no independent Data Safety Monitoring Board (DSMB) and no Clinical Events Committee (CEC) for adjudication of MAEs that include death and symptomatic PE. The primary endpoint is investigator-assessed semi-quantitative venography (</w:t>
      </w:r>
      <w:r>
        <w:t xml:space="preserve">“</w:t>
      </w:r>
      <w:r>
        <w:t xml:space="preserve">modified Marder</w:t>
      </w:r>
      <w:r>
        <w:t xml:space="preserve">”</w:t>
      </w:r>
      <w:r>
        <w:t xml:space="preserve">); the Synopsis does not commit to an independent, blinded core laboratory for the primary-endpoint assessment (the budget mentions core-laboratory fees but the Synopsis does not bind to a blinded core lab).</w:t>
      </w:r>
    </w:p>
    <w:p>
      <w:pPr>
        <w:pStyle w:val="BodyText"/>
      </w:pPr>
      <w:r>
        <w:rPr>
          <w:b/>
          <w:bCs/>
        </w:rPr>
        <w:t xml:space="preserve">Source.</w:t>
      </w:r>
      <w:r>
        <w:t xml:space="preserve"> </w:t>
      </w:r>
      <w:r>
        <w:t xml:space="preserve">Clinical Synopsis §9.1, §12, §16.</w:t>
      </w:r>
    </w:p>
    <w:p>
      <w:pPr>
        <w:pStyle w:val="BodyText"/>
      </w:pPr>
      <w:r>
        <w:rPr>
          <w:b/>
          <w:bCs/>
        </w:rPr>
        <w:t xml:space="preserve">Recommendation.</w:t>
      </w:r>
      <w:r>
        <w:t xml:space="preserve"> </w:t>
      </w:r>
      <w:r>
        <w:t xml:space="preserve">Commit to an independent blinded imaging core laboratory for the primary endpoint and to a CEC for MAE adjudication; consider a DSMB given the MAE profile.</w:t>
      </w:r>
    </w:p>
    <w:bookmarkEnd w:id="65"/>
    <w:bookmarkStart w:id="66" w:name="Xf7e7a51964c6712d02834890a7767ee45bd24ce"/>
    <w:p>
      <w:pPr>
        <w:pStyle w:val="Heading3"/>
      </w:pPr>
      <w:r>
        <w:t xml:space="preserve">Issue 40 — tPA dosing has no maximum cumulative dose or stopping criteria; off-label use not addressed</w:t>
      </w:r>
    </w:p>
    <w:p>
      <w:pPr>
        <w:pStyle w:val="FirstParagraph"/>
      </w:pPr>
      <w:r>
        <w:rPr>
          <w:b/>
          <w:bCs/>
        </w:rPr>
        <w:t xml:space="preserve">Issue.</w:t>
      </w:r>
      <w:r>
        <w:t xml:space="preserve"> </w:t>
      </w:r>
      <w:r>
        <w:t xml:space="preserve">The protocol infuses alteplase at 0.5–1.0 mg/hr (Clinical Synopsis §8.2, step 5), potentially for up to 72 hours, with total tPA dose reported only as a secondary endpoint. No maximum cumulative tPA dose and no fibrinogen-based (or other laboratory) stopping criteria are specified, although the IFU (§8.4) references fibrinogen monitoring during extended infusion. Major bleeding is a listed MAE and is dose-related. Separately, catheter-directed thrombolysis of DVT with alteplase at these doses is an off-label use of an approved drug; the protocol does not address the off-label status in the consent or protocol design.</w:t>
      </w:r>
    </w:p>
    <w:p>
      <w:pPr>
        <w:pStyle w:val="BodyText"/>
      </w:pPr>
      <w:r>
        <w:rPr>
          <w:b/>
          <w:bCs/>
        </w:rPr>
        <w:t xml:space="preserve">Source.</w:t>
      </w:r>
      <w:r>
        <w:t xml:space="preserve"> </w:t>
      </w:r>
      <w:r>
        <w:t xml:space="preserve">Clinical Synopsis §8.2, §9.2, §9.3; IFU §8.4.</w:t>
      </w:r>
    </w:p>
    <w:p>
      <w:pPr>
        <w:pStyle w:val="BodyText"/>
      </w:pPr>
      <w:r>
        <w:rPr>
          <w:b/>
          <w:bCs/>
        </w:rPr>
        <w:t xml:space="preserve">Recommendation.</w:t>
      </w:r>
      <w:r>
        <w:t xml:space="preserve"> </w:t>
      </w:r>
      <w:r>
        <w:t xml:space="preserve">Specify a maximum cumulative tPA dose and explicit laboratory stopping criteria (e.g., fibrinogen threshold). Address the off-label use of alteplase in the protocol and informed consent.</w:t>
      </w:r>
    </w:p>
    <w:bookmarkEnd w:id="66"/>
    <w:bookmarkStart w:id="67" w:name="Xdee5f051fef9da9b17d8c74929a978d64cb8d7e"/>
    <w:p>
      <w:pPr>
        <w:pStyle w:val="Heading3"/>
      </w:pPr>
      <w:r>
        <w:t xml:space="preserve">Issue 41 — 30-day follow-up is insufficient to assess the stated PTS rationale</w:t>
      </w:r>
    </w:p>
    <w:p>
      <w:pPr>
        <w:pStyle w:val="FirstParagraph"/>
      </w:pPr>
      <w:r>
        <w:rPr>
          <w:b/>
          <w:bCs/>
        </w:rPr>
        <w:t xml:space="preserve">Issue.</w:t>
      </w:r>
      <w:r>
        <w:t xml:space="preserve"> </w:t>
      </w:r>
      <w:r>
        <w:t xml:space="preserve">The study rationale (Clinical Synopsis §3) emphasizes prevention of post-thrombotic syndrome (PTS) as the clinical motivation, but PTS manifests over months to years. Follow-up ends at 30 days (§10). The study therefore cannot assess the stated clinical rationale.</w:t>
      </w:r>
    </w:p>
    <w:p>
      <w:pPr>
        <w:pStyle w:val="BodyText"/>
      </w:pPr>
      <w:r>
        <w:rPr>
          <w:b/>
          <w:bCs/>
        </w:rPr>
        <w:t xml:space="preserve">Source.</w:t>
      </w:r>
      <w:r>
        <w:t xml:space="preserve"> </w:t>
      </w:r>
      <w:r>
        <w:t xml:space="preserve">Clinical Synopsis §3, §10.</w:t>
      </w:r>
    </w:p>
    <w:p>
      <w:pPr>
        <w:pStyle w:val="BodyText"/>
      </w:pPr>
      <w:r>
        <w:rPr>
          <w:b/>
          <w:bCs/>
        </w:rPr>
        <w:t xml:space="preserve">Recommendation.</w:t>
      </w:r>
      <w:r>
        <w:t xml:space="preserve"> </w:t>
      </w:r>
      <w:r>
        <w:t xml:space="preserve">Either extend follow-up to capture a PTS-relevant timepoint (e.g., 6–12 months with Villalta scoring), or reframe the rationale to match the 30-day safety/effectiveness endpoints actually captured. Acknowledge the limitation explicitly.</w:t>
      </w:r>
    </w:p>
    <w:bookmarkEnd w:id="67"/>
    <w:bookmarkStart w:id="68" w:name="X05a44cd8e3c1d5a3dae19259ee33239fa379958"/>
    <w:p>
      <w:pPr>
        <w:pStyle w:val="Heading3"/>
      </w:pPr>
      <w:r>
        <w:t xml:space="preserve">Issue 42 — IFU names specific thrombolytic agents, creating tension with the</w:t>
      </w:r>
      <w:r>
        <w:t xml:space="preserve"> </w:t>
      </w:r>
      <w:r>
        <w:t xml:space="preserve">“</w:t>
      </w:r>
      <w:r>
        <w:t xml:space="preserve">not a combination product</w:t>
      </w:r>
      <w:r>
        <w:t xml:space="preserve">”</w:t>
      </w:r>
      <w:r>
        <w:t xml:space="preserve"> </w:t>
      </w:r>
      <w:r>
        <w:t xml:space="preserve">position</w:t>
      </w:r>
    </w:p>
    <w:p>
      <w:pPr>
        <w:pStyle w:val="FirstParagraph"/>
      </w:pPr>
      <w:r>
        <w:rPr>
          <w:b/>
          <w:bCs/>
        </w:rPr>
        <w:t xml:space="preserve">Issue.</w:t>
      </w:r>
      <w:r>
        <w:t xml:space="preserve"> </w:t>
      </w:r>
      <w:r>
        <w:t xml:space="preserve">The IFU (§9) states that</w:t>
      </w:r>
      <w:r>
        <w:t xml:space="preserve"> </w:t>
      </w:r>
      <w:r>
        <w:t xml:space="preserve">“</w:t>
      </w:r>
      <w:r>
        <w:t xml:space="preserve">[c]ompatible thrombolytic agents include, but are not limited to, tPA (tissue plasminogen activator), such as alteplase, reteplase, and tenecteplase.</w:t>
      </w:r>
      <w:r>
        <w:t xml:space="preserve">”</w:t>
      </w:r>
      <w:r>
        <w:t xml:space="preserve"> </w:t>
      </w:r>
      <w:r>
        <w:t xml:space="preserve">Naming specific drugs in the labeling of a device whose indication claims drug delivery tensions the team’s position that the device is not a combination product (Issue 1) and that the drug is</w:t>
      </w:r>
      <w:r>
        <w:t xml:space="preserve"> </w:t>
      </w:r>
      <w:r>
        <w:t xml:space="preserve">“</w:t>
      </w:r>
      <w:r>
        <w:t xml:space="preserve">physician-specified.</w:t>
      </w:r>
      <w:r>
        <w:t xml:space="preserve">”</w:t>
      </w:r>
    </w:p>
    <w:p>
      <w:pPr>
        <w:pStyle w:val="BodyText"/>
      </w:pPr>
      <w:r>
        <w:rPr>
          <w:b/>
          <w:bCs/>
        </w:rPr>
        <w:t xml:space="preserve">Source.</w:t>
      </w:r>
      <w:r>
        <w:t xml:space="preserve"> </w:t>
      </w:r>
      <w:r>
        <w:t xml:space="preserve">IFU §9; Cover Letter §IV; Device Description §2.4.</w:t>
      </w:r>
    </w:p>
    <w:p>
      <w:pPr>
        <w:pStyle w:val="BodyText"/>
      </w:pPr>
      <w:r>
        <w:rPr>
          <w:b/>
          <w:bCs/>
        </w:rPr>
        <w:t xml:space="preserve">Recommendation.</w:t>
      </w:r>
      <w:r>
        <w:t xml:space="preserve"> </w:t>
      </w:r>
      <w:r>
        <w:t xml:space="preserve">Reconcile with the combination-product strategy. If minimizing combination-product exposure, consider whether naming specific agents is necessary at this stage or whether the language should be more general pending FDA feedback.</w:t>
      </w:r>
    </w:p>
    <w:bookmarkEnd w:id="68"/>
    <w:bookmarkStart w:id="69" w:name="Xf4e705f812901654bca3c9213c8c93bccc6b6a8"/>
    <w:p>
      <w:pPr>
        <w:pStyle w:val="Heading3"/>
      </w:pPr>
      <w:r>
        <w:t xml:space="preserve">Issue 43 — IFU provides no dosing or dilution guidance for an indicated drug-delivery function</w:t>
      </w:r>
    </w:p>
    <w:p>
      <w:pPr>
        <w:pStyle w:val="FirstParagraph"/>
      </w:pPr>
      <w:r>
        <w:rPr>
          <w:b/>
          <w:bCs/>
        </w:rPr>
        <w:t xml:space="preserve">Issue.</w:t>
      </w:r>
      <w:r>
        <w:t xml:space="preserve"> </w:t>
      </w:r>
      <w:r>
        <w:t xml:space="preserve">The IFU (§9) provides</w:t>
      </w:r>
      <w:r>
        <w:t xml:space="preserve"> </w:t>
      </w:r>
      <w:r>
        <w:t xml:space="preserve">“</w:t>
      </w:r>
      <w:r>
        <w:t xml:space="preserve">no specific dosing guidance</w:t>
      </w:r>
      <w:r>
        <w:t xml:space="preserve">”</w:t>
      </w:r>
      <w:r>
        <w:t xml:space="preserve"> </w:t>
      </w:r>
      <w:r>
        <w:t xml:space="preserve">and</w:t>
      </w:r>
      <w:r>
        <w:t xml:space="preserve"> </w:t>
      </w:r>
      <w:r>
        <w:t xml:space="preserve">“</w:t>
      </w:r>
      <w:r>
        <w:t xml:space="preserve">no dilution instructions,</w:t>
      </w:r>
      <w:r>
        <w:t xml:space="preserve">”</w:t>
      </w:r>
      <w:r>
        <w:t xml:space="preserve"> </w:t>
      </w:r>
      <w:r>
        <w:t xml:space="preserve">deferring entirely to the physician and the drug label. While defensible for a device-only claim, the complete absence of dosing/dilution guidance for a device</w:t>
      </w:r>
      <w:r>
        <w:t xml:space="preserve"> </w:t>
      </w:r>
      <w:r>
        <w:rPr>
          <w:b/>
          <w:bCs/>
        </w:rPr>
        <w:t xml:space="preserve">indicated</w:t>
      </w:r>
      <w:r>
        <w:t xml:space="preserve"> </w:t>
      </w:r>
      <w:r>
        <w:t xml:space="preserve">for drug delivery may be a labeling deficiency and is inconsistent with the co-primary drug-delivery indication.</w:t>
      </w:r>
    </w:p>
    <w:p>
      <w:pPr>
        <w:pStyle w:val="BodyText"/>
      </w:pPr>
      <w:r>
        <w:rPr>
          <w:b/>
          <w:bCs/>
        </w:rPr>
        <w:t xml:space="preserve">Source.</w:t>
      </w:r>
      <w:r>
        <w:t xml:space="preserve"> </w:t>
      </w:r>
      <w:r>
        <w:t xml:space="preserve">IFU §9.</w:t>
      </w:r>
    </w:p>
    <w:p>
      <w:pPr>
        <w:pStyle w:val="BodyText"/>
      </w:pPr>
      <w:r>
        <w:rPr>
          <w:b/>
          <w:bCs/>
        </w:rPr>
        <w:t xml:space="preserve">Recommendation.</w:t>
      </w:r>
      <w:r>
        <w:t xml:space="preserve"> </w:t>
      </w:r>
      <w:r>
        <w:t xml:space="preserve">Provide at least general dosing/dilution guidance or a cross-reference to the drug manufacturer’s labeling, consistent with the final indication framing (Issue 4).</w:t>
      </w:r>
    </w:p>
    <w:bookmarkEnd w:id="69"/>
    <w:bookmarkStart w:id="70" w:name="X8eb983ed477536d99494230c0f104526fdcd370"/>
    <w:p>
      <w:pPr>
        <w:pStyle w:val="Heading3"/>
      </w:pPr>
      <w:r>
        <w:t xml:space="preserve">Issue 44 — Contraindications and exclusion criteria reference non-device materials and omit nitinol/nickel</w:t>
      </w:r>
    </w:p>
    <w:p>
      <w:pPr>
        <w:pStyle w:val="FirstParagraph"/>
      </w:pPr>
      <w:r>
        <w:rPr>
          <w:b/>
          <w:bCs/>
        </w:rPr>
        <w:t xml:space="preserve">Issue.</w:t>
      </w:r>
      <w:r>
        <w:t xml:space="preserve"> </w:t>
      </w:r>
      <w:r>
        <w:t xml:space="preserve">The IFU contraindications (§3) list</w:t>
      </w:r>
      <w:r>
        <w:t xml:space="preserve"> </w:t>
      </w:r>
      <w:r>
        <w:t xml:space="preserve">“</w:t>
      </w:r>
      <w:r>
        <w:t xml:space="preserve">polyurethane, stainless steel, and barium sulfate</w:t>
      </w:r>
      <w:r>
        <w:t xml:space="preserve">”</w:t>
      </w:r>
      <w:r>
        <w:t xml:space="preserve"> </w:t>
      </w:r>
      <w:r>
        <w:t xml:space="preserve">as catheter component materials. The clinical-study exclusion criteria (Synopsis §7.3, item 6) list</w:t>
      </w:r>
      <w:r>
        <w:t xml:space="preserve"> </w:t>
      </w:r>
      <w:r>
        <w:t xml:space="preserve">“</w:t>
      </w:r>
      <w:r>
        <w:t xml:space="preserve">polyurethane and silicone.</w:t>
      </w:r>
      <w:r>
        <w:t xml:space="preserve">”</w:t>
      </w:r>
      <w:r>
        <w:t xml:space="preserve"> </w:t>
      </w:r>
      <w:r>
        <w:t xml:space="preserve">Neither barium sulfate nor silicone is a VascuClear 3000 material (barium sulfate is the predicate’s radiopaque-marker material; silicone is not listed anywhere in the VascuClear materials). Conversely,</w:t>
      </w:r>
      <w:r>
        <w:t xml:space="preserve"> </w:t>
      </w:r>
      <w:r>
        <w:rPr>
          <w:b/>
          <w:bCs/>
        </w:rPr>
        <w:t xml:space="preserve">nitinol/nickel</w:t>
      </w:r>
      <w:r>
        <w:t xml:space="preserve"> </w:t>
      </w:r>
      <w:r>
        <w:t xml:space="preserve">— which the Testing Plan (§2.3) identifies as the impeller material and which is a recognized sensitizing allergen — is omitted from both the IFU contraindications and the study exclusion criteria.</w:t>
      </w:r>
    </w:p>
    <w:p>
      <w:pPr>
        <w:pStyle w:val="BodyText"/>
      </w:pPr>
      <w:r>
        <w:rPr>
          <w:b/>
          <w:bCs/>
        </w:rPr>
        <w:t xml:space="preserve">Source.</w:t>
      </w:r>
      <w:r>
        <w:t xml:space="preserve"> </w:t>
      </w:r>
      <w:r>
        <w:t xml:space="preserve">IFU §3; Clinical Synopsis §7.3; Testing Plan §2.3; Device Description §2.2.</w:t>
      </w:r>
    </w:p>
    <w:p>
      <w:pPr>
        <w:pStyle w:val="BodyText"/>
      </w:pPr>
      <w:r>
        <w:rPr>
          <w:b/>
          <w:bCs/>
        </w:rPr>
        <w:t xml:space="preserve">Recommendation.</w:t>
      </w:r>
      <w:r>
        <w:t xml:space="preserve"> </w:t>
      </w:r>
      <w:r>
        <w:t xml:space="preserve">Correct the material lists in the IFU contraindications and study exclusion criteria to reflect the actual VascuClear materials (including nitinol/nickel once the impeller material is reconciled — Issue 20), and remove barium sulfate and silicone.</w:t>
      </w:r>
    </w:p>
    <w:bookmarkEnd w:id="70"/>
    <w:bookmarkStart w:id="71" w:name="X20ac931ffe60abeec1e2ca6df88c9088f703cb6"/>
    <w:p>
      <w:pPr>
        <w:pStyle w:val="Heading3"/>
      </w:pPr>
      <w:r>
        <w:t xml:space="preserve">Issue 45 — Inclusion age (18–75) is more restrictive than the indicated population (18+)</w:t>
      </w:r>
    </w:p>
    <w:p>
      <w:pPr>
        <w:pStyle w:val="FirstParagraph"/>
      </w:pPr>
      <w:r>
        <w:rPr>
          <w:b/>
          <w:bCs/>
        </w:rPr>
        <w:t xml:space="preserve">Issue.</w:t>
      </w:r>
      <w:r>
        <w:t xml:space="preserve"> </w:t>
      </w:r>
      <w:r>
        <w:t xml:space="preserve">The study inclusion criterion (Clinical Synopsis §7.2, item 1) caps enrollment at age 18 to 75, inclusive, while the IFU (§2) and indication state</w:t>
      </w:r>
      <w:r>
        <w:t xml:space="preserve"> </w:t>
      </w:r>
      <w:r>
        <w:t xml:space="preserve">“</w:t>
      </w:r>
      <w:r>
        <w:t xml:space="preserve">adult patients eighteen (18) years of age and older</w:t>
      </w:r>
      <w:r>
        <w:t xml:space="preserve">”</w:t>
      </w:r>
      <w:r>
        <w:t xml:space="preserve"> </w:t>
      </w:r>
      <w:r>
        <w:t xml:space="preserve">with no upper bound. The study population is therefore narrower than the indicated population.</w:t>
      </w:r>
    </w:p>
    <w:p>
      <w:pPr>
        <w:pStyle w:val="BodyText"/>
      </w:pPr>
      <w:r>
        <w:rPr>
          <w:b/>
          <w:bCs/>
        </w:rPr>
        <w:t xml:space="preserve">Source.</w:t>
      </w:r>
      <w:r>
        <w:t xml:space="preserve"> </w:t>
      </w:r>
      <w:r>
        <w:t xml:space="preserve">Clinical Synopsis §7.2; IFU §2; Cover Letter §IV.</w:t>
      </w:r>
    </w:p>
    <w:p>
      <w:pPr>
        <w:pStyle w:val="BodyText"/>
      </w:pPr>
      <w:r>
        <w:rPr>
          <w:b/>
          <w:bCs/>
        </w:rPr>
        <w:t xml:space="preserve">Recommendation.</w:t>
      </w:r>
      <w:r>
        <w:t xml:space="preserve"> </w:t>
      </w:r>
      <w:r>
        <w:t xml:space="preserve">Note the discrepancy and either justify the upper age cap in the protocol or align the study population with the indication. Ensure the IFU/indication and protocol are consistent.</w:t>
      </w:r>
    </w:p>
    <w:bookmarkEnd w:id="71"/>
    <w:bookmarkStart w:id="72" w:name="X667796e11ab7a328abdd60a10ad8cd5e0421a91"/>
    <w:p>
      <w:pPr>
        <w:pStyle w:val="Heading3"/>
      </w:pPr>
      <w:r>
        <w:t xml:space="preserve">Issue 46 — No explicit ISO 14155 / 21 CFR 54 / 21 CFR 812 compliance commitments for the clinical study</w:t>
      </w:r>
    </w:p>
    <w:p>
      <w:pPr>
        <w:pStyle w:val="FirstParagraph"/>
      </w:pPr>
      <w:r>
        <w:rPr>
          <w:b/>
          <w:bCs/>
        </w:rPr>
        <w:t xml:space="preserve">Issue.</w:t>
      </w:r>
      <w:r>
        <w:t xml:space="preserve"> </w:t>
      </w:r>
      <w:r>
        <w:t xml:space="preserve">The Clinical Synopsis references ISO 14155:2020 in its reference list (§17) and mentions</w:t>
      </w:r>
      <w:r>
        <w:t xml:space="preserve"> </w:t>
      </w:r>
      <w:r>
        <w:t xml:space="preserve">“</w:t>
      </w:r>
      <w:r>
        <w:t xml:space="preserve">good clinical practice standards</w:t>
      </w:r>
      <w:r>
        <w:t xml:space="preserve">”</w:t>
      </w:r>
      <w:r>
        <w:t xml:space="preserve"> </w:t>
      </w:r>
      <w:r>
        <w:t xml:space="preserve">generally (§6), but does not explicitly commit the study to ISO 14155, 21 CFR Part 812 (where applicable), 21 CFR Part 50, 21 CFR Part 56, or 21 CFR Part 54 (clinical investigator financial disclosure). Financial disclosure is generally required for studies supporting a 510(k).</w:t>
      </w:r>
    </w:p>
    <w:p>
      <w:pPr>
        <w:pStyle w:val="BodyText"/>
      </w:pPr>
      <w:r>
        <w:rPr>
          <w:b/>
          <w:bCs/>
        </w:rPr>
        <w:t xml:space="preserve">Source.</w:t>
      </w:r>
      <w:r>
        <w:t xml:space="preserve"> </w:t>
      </w:r>
      <w:r>
        <w:t xml:space="preserve">Clinical Synopsis §6, §13, §14, §17.</w:t>
      </w:r>
    </w:p>
    <w:p>
      <w:pPr>
        <w:pStyle w:val="BodyText"/>
      </w:pPr>
      <w:r>
        <w:rPr>
          <w:b/>
          <w:bCs/>
        </w:rPr>
        <w:t xml:space="preserve">Recommendation.</w:t>
      </w:r>
      <w:r>
        <w:t xml:space="preserve"> </w:t>
      </w:r>
      <w:r>
        <w:t xml:space="preserve">Add explicit compliance commitments to ISO 14155:2020 and the applicable 21 CFR parts (50, 54, 56, 812 as applicable) in the Synopsis.</w:t>
      </w:r>
    </w:p>
    <w:bookmarkEnd w:id="72"/>
    <w:bookmarkStart w:id="73" w:name="X7aeeeb88dd929dec4ec0fde34402b75431c316a"/>
    <w:p>
      <w:pPr>
        <w:pStyle w:val="Heading3"/>
      </w:pPr>
      <w:r>
        <w:t xml:space="preserve">Issue 47 — No comparative bench testing against the predicate</w:t>
      </w:r>
    </w:p>
    <w:p>
      <w:pPr>
        <w:pStyle w:val="FirstParagraph"/>
      </w:pPr>
      <w:r>
        <w:rPr>
          <w:b/>
          <w:bCs/>
        </w:rPr>
        <w:t xml:space="preserve">Issue.</w:t>
      </w:r>
      <w:r>
        <w:t xml:space="preserve"> </w:t>
      </w:r>
      <w:r>
        <w:t xml:space="preserve">The SE argument rests on bench testing, but the simulated-use bench test evaluates the VascuClear 3000 alone (Testing Plan §7); no head-to-head comparison against the ThrombEx 200 is proposed. The predicate’s published bench result (mean 78.4% thrombus removal; 510(k) Summary §5.5) and the subject’s ≥80% single-pass target are not directly compared.</w:t>
      </w:r>
    </w:p>
    <w:p>
      <w:pPr>
        <w:pStyle w:val="BodyText"/>
      </w:pPr>
      <w:r>
        <w:rPr>
          <w:b/>
          <w:bCs/>
        </w:rPr>
        <w:t xml:space="preserve">Source.</w:t>
      </w:r>
      <w:r>
        <w:t xml:space="preserve"> </w:t>
      </w:r>
      <w:r>
        <w:t xml:space="preserve">Testing Plan §7; ThrombEx 200 510(k) Summary §5.5.</w:t>
      </w:r>
    </w:p>
    <w:p>
      <w:pPr>
        <w:pStyle w:val="BodyText"/>
      </w:pPr>
      <w:r>
        <w:rPr>
          <w:b/>
          <w:bCs/>
        </w:rPr>
        <w:t xml:space="preserve">Recommendation.</w:t>
      </w:r>
      <w:r>
        <w:t xml:space="preserve"> </w:t>
      </w:r>
      <w:r>
        <w:t xml:space="preserve">Consider a direct comparative bench evaluation against the predicate (or the predicate’s published performance) to strengthen the SE showing, and present the comparison to FDA.</w:t>
      </w:r>
    </w:p>
    <w:bookmarkEnd w:id="73"/>
    <w:bookmarkStart w:id="74" w:name="X1c1ac04276ad841da2a50c7b79dabfcbceb12d7"/>
    <w:p>
      <w:pPr>
        <w:pStyle w:val="Heading3"/>
      </w:pPr>
      <w:r>
        <w:t xml:space="preserve">Issue 48 — Particulate acceptance criteria and sample sizes need justification</w:t>
      </w:r>
    </w:p>
    <w:p>
      <w:pPr>
        <w:pStyle w:val="FirstParagraph"/>
      </w:pPr>
      <w:r>
        <w:rPr>
          <w:b/>
          <w:bCs/>
        </w:rPr>
        <w:t xml:space="preserve">Issue.</w:t>
      </w:r>
      <w:r>
        <w:t xml:space="preserve"> </w:t>
      </w:r>
      <w:r>
        <w:t xml:space="preserve">The particulate-generation test (Testing Plan §3.3) proposes acceptance based on</w:t>
      </w:r>
      <w:r>
        <w:t xml:space="preserve"> </w:t>
      </w:r>
      <w:r>
        <w:t xml:space="preserve">“</w:t>
      </w:r>
      <w:r>
        <w:t xml:space="preserve">USP &lt;788&gt; limits for large-volume parenterals,</w:t>
      </w:r>
      <w:r>
        <w:t xml:space="preserve">”</w:t>
      </w:r>
      <w:r>
        <w:t xml:space="preserve"> </w:t>
      </w:r>
      <w:r>
        <w:t xml:space="preserve">which is an injectable-solution standard whose applicability to a mechanical device’s particulate burden should be justified. Several sample sizes are small (n = 3 for electrical safety and particulate; n = 6 for impeller fatigue and performance) and are stated without statistical justification.</w:t>
      </w:r>
    </w:p>
    <w:p>
      <w:pPr>
        <w:pStyle w:val="BodyText"/>
      </w:pPr>
      <w:r>
        <w:rPr>
          <w:b/>
          <w:bCs/>
        </w:rPr>
        <w:t xml:space="preserve">Source.</w:t>
      </w:r>
      <w:r>
        <w:t xml:space="preserve"> </w:t>
      </w:r>
      <w:r>
        <w:t xml:space="preserve">Testing Plan §3.3, §4.2, §3.2.</w:t>
      </w:r>
    </w:p>
    <w:p>
      <w:pPr>
        <w:pStyle w:val="BodyText"/>
      </w:pPr>
      <w:r>
        <w:rPr>
          <w:b/>
          <w:bCs/>
        </w:rPr>
        <w:t xml:space="preserve">Recommendation.</w:t>
      </w:r>
      <w:r>
        <w:t xml:space="preserve"> </w:t>
      </w:r>
      <w:r>
        <w:t xml:space="preserve">Justify the USP &lt;788&gt; criteria for this device or propose device-specific particulate criteria, and provide statistical justification for sample sizes (or ask FDA to concur — Testing Plan §10, Q2/Q3).</w:t>
      </w:r>
    </w:p>
    <w:bookmarkEnd w:id="74"/>
    <w:bookmarkStart w:id="75" w:name="X09f6d2e2056cb9ce550f62f8928f11713aaff9c"/>
    <w:p>
      <w:pPr>
        <w:pStyle w:val="Heading3"/>
      </w:pPr>
      <w:r>
        <w:t xml:space="preserve">Issue 49 — Clinical-evidence scope (tPA only) does not cover the breadth of the indicated agents</w:t>
      </w:r>
    </w:p>
    <w:p>
      <w:pPr>
        <w:pStyle w:val="FirstParagraph"/>
      </w:pPr>
      <w:r>
        <w:rPr>
          <w:b/>
          <w:bCs/>
        </w:rPr>
        <w:t xml:space="preserve">Issue.</w:t>
      </w:r>
      <w:r>
        <w:t xml:space="preserve"> </w:t>
      </w:r>
      <w:r>
        <w:t xml:space="preserve">The clinical study administers only alteplase/tPA through the infusion lumen (Clinical Synopsis §4.1, §8.2 step 5). The proposed indication, however, claims</w:t>
      </w:r>
      <w:r>
        <w:t xml:space="preserve"> </w:t>
      </w:r>
      <w:r>
        <w:t xml:space="preserve">“</w:t>
      </w:r>
      <w:r>
        <w:t xml:space="preserve">simultaneous local delivery of physician-specified thrombolytic agents</w:t>
      </w:r>
      <w:r>
        <w:t xml:space="preserve">”</w:t>
      </w:r>
      <w:r>
        <w:t xml:space="preserve"> </w:t>
      </w:r>
      <w:r>
        <w:t xml:space="preserve">broadly (Cover Letter §IV; Device Description §2.4), and the IFU (§9) names alteplase, reteplase, and tenecteplase as compatible agents. The clinical evidence therefore supports only tPA/alteplase, while the indication and labeling encompass a broader set of agents for which no clinical data are generated.</w:t>
      </w:r>
    </w:p>
    <w:p>
      <w:pPr>
        <w:pStyle w:val="BodyText"/>
      </w:pPr>
      <w:r>
        <w:rPr>
          <w:b/>
          <w:bCs/>
        </w:rPr>
        <w:t xml:space="preserve">Source.</w:t>
      </w:r>
      <w:r>
        <w:t xml:space="preserve"> </w:t>
      </w:r>
      <w:r>
        <w:t xml:space="preserve">Clinical Synopsis §4.1, §8.2; Cover Letter §IV; Device Description §2.4; IFU §9.</w:t>
      </w:r>
    </w:p>
    <w:p>
      <w:pPr>
        <w:pStyle w:val="BodyText"/>
      </w:pPr>
      <w:r>
        <w:rPr>
          <w:b/>
          <w:bCs/>
        </w:rPr>
        <w:t xml:space="preserve">Why it matters.</w:t>
      </w:r>
      <w:r>
        <w:t xml:space="preserve"> </w:t>
      </w:r>
      <w:r>
        <w:t xml:space="preserve">FDA may narrow the indication to the agent(s) actually studied, or require data/justification to support the broader</w:t>
      </w:r>
      <w:r>
        <w:t xml:space="preserve"> </w:t>
      </w:r>
      <w:r>
        <w:t xml:space="preserve">“</w:t>
      </w:r>
      <w:r>
        <w:t xml:space="preserve">physician-specified thrombolytic agents</w:t>
      </w:r>
      <w:r>
        <w:t xml:space="preserve">”</w:t>
      </w:r>
      <w:r>
        <w:t xml:space="preserve"> </w:t>
      </w:r>
      <w:r>
        <w:t xml:space="preserve">language and the named agents in the IFU.</w:t>
      </w:r>
    </w:p>
    <w:p>
      <w:pPr>
        <w:pStyle w:val="BodyText"/>
      </w:pPr>
      <w:r>
        <w:rPr>
          <w:b/>
          <w:bCs/>
        </w:rPr>
        <w:t xml:space="preserve">Recommendation.</w:t>
      </w:r>
      <w:r>
        <w:t xml:space="preserve"> </w:t>
      </w:r>
      <w:r>
        <w:t xml:space="preserve">Either narrow the indication and IFU to the agent studied (alteplase/tPA), or justify the broader agent scope and address whether data are needed for the additional named agents. Reconcile with the combination-product and indication-framing decisions (Issues 1, 4, 42).</w:t>
      </w:r>
    </w:p>
    <w:bookmarkEnd w:id="75"/>
    <w:bookmarkStart w:id="76" w:name="Xbefb5d19e5040941734ad144a2fb968d9ecb8e6"/>
    <w:p>
      <w:pPr>
        <w:pStyle w:val="Heading3"/>
      </w:pPr>
      <w:r>
        <w:t xml:space="preserve">Issue 50 — Primary-endpoint venographic scoring methodology is undefined (</w:t>
      </w:r>
      <w:r>
        <w:t xml:space="preserve">“</w:t>
      </w:r>
      <w:r>
        <w:t xml:space="preserve">in development</w:t>
      </w:r>
      <w:r>
        <w:t xml:space="preserve">”</w:t>
      </w:r>
      <w:r>
        <w:t xml:space="preserve">)</w:t>
      </w:r>
    </w:p>
    <w:p>
      <w:pPr>
        <w:pStyle w:val="FirstParagraph"/>
      </w:pPr>
      <w:r>
        <w:rPr>
          <w:b/>
          <w:bCs/>
        </w:rPr>
        <w:t xml:space="preserve">Issue.</w:t>
      </w:r>
      <w:r>
        <w:t xml:space="preserve"> </w:t>
      </w:r>
      <w:r>
        <w:t xml:space="preserve">The primary endpoint (≥50% thrombus removal at 24 hours) is assessed using</w:t>
      </w:r>
      <w:r>
        <w:t xml:space="preserve"> </w:t>
      </w:r>
      <w:r>
        <w:t xml:space="preserve">“</w:t>
      </w:r>
      <w:r>
        <w:t xml:space="preserve">a standardized semi-quantitative venographic scoring system based on the modified Marder scoring methodology (or an equivalent validated scoring system)</w:t>
      </w:r>
      <w:r>
        <w:t xml:space="preserve">”</w:t>
      </w:r>
      <w:r>
        <w:t xml:space="preserve"> </w:t>
      </w:r>
      <w:r>
        <w:t xml:space="preserve">(Clinical Synopsis §9.1). The scoring methodology itself is listed as</w:t>
      </w:r>
      <w:r>
        <w:t xml:space="preserve"> </w:t>
      </w:r>
      <w:r>
        <w:t xml:space="preserve">“</w:t>
      </w:r>
      <w:r>
        <w:t xml:space="preserve">in development</w:t>
      </w:r>
      <w:r>
        <w:t xml:space="preserve">”</w:t>
      </w:r>
      <w:r>
        <w:t xml:space="preserve"> </w:t>
      </w:r>
      <w:r>
        <w:t xml:space="preserve">(Synopsis §18, Appendix C). The primary-endpoint measurement method is therefore not yet defined.</w:t>
      </w:r>
    </w:p>
    <w:p>
      <w:pPr>
        <w:pStyle w:val="BodyText"/>
      </w:pPr>
      <w:r>
        <w:rPr>
          <w:b/>
          <w:bCs/>
        </w:rPr>
        <w:t xml:space="preserve">Source.</w:t>
      </w:r>
      <w:r>
        <w:t xml:space="preserve"> </w:t>
      </w:r>
      <w:r>
        <w:t xml:space="preserve">Clinical Synopsis §9.1, §18.</w:t>
      </w:r>
    </w:p>
    <w:p>
      <w:pPr>
        <w:pStyle w:val="BodyText"/>
      </w:pPr>
      <w:r>
        <w:rPr>
          <w:b/>
          <w:bCs/>
        </w:rPr>
        <w:t xml:space="preserve">Why it matters.</w:t>
      </w:r>
      <w:r>
        <w:t xml:space="preserve"> </w:t>
      </w:r>
      <w:r>
        <w:t xml:space="preserve">The primary endpoint cannot be reliably assessed, and inter-reader variability cannot be controlled, until the scoring methodology is defined and validated. FDA will expect the methodology to be specified.</w:t>
      </w:r>
    </w:p>
    <w:p>
      <w:pPr>
        <w:pStyle w:val="BodyText"/>
      </w:pPr>
      <w:r>
        <w:rPr>
          <w:b/>
          <w:bCs/>
        </w:rPr>
        <w:t xml:space="preserve">Recommendation.</w:t>
      </w:r>
      <w:r>
        <w:t xml:space="preserve"> </w:t>
      </w:r>
      <w:r>
        <w:t xml:space="preserve">Finalize and validate the venographic scoring methodology (including reader training and inter-reader reliability) before the study, and include it in the Pre-Submission or describe it for FDA feedback.</w:t>
      </w:r>
    </w:p>
    <w:bookmarkEnd w:id="76"/>
    <w:bookmarkStart w:id="77" w:name="X1a586798949a1f650709c704a896bc5a9f49cf1"/>
    <w:p>
      <w:pPr>
        <w:pStyle w:val="Heading3"/>
      </w:pPr>
      <w:r>
        <w:t xml:space="preserve">Issue 51 — Sample-size / power claim is statistically questionable</w:t>
      </w:r>
    </w:p>
    <w:p>
      <w:pPr>
        <w:pStyle w:val="FirstParagraph"/>
      </w:pPr>
      <w:r>
        <w:rPr>
          <w:b/>
          <w:bCs/>
        </w:rPr>
        <w:t xml:space="preserve">Issue.</w:t>
      </w:r>
      <w:r>
        <w:t xml:space="preserve"> </w:t>
      </w:r>
      <w:r>
        <w:t xml:space="preserve">The Synopsis (§11.1) states that, assuming a true success rate of 80%, a sample of 60 patients</w:t>
      </w:r>
      <w:r>
        <w:t xml:space="preserve"> </w:t>
      </w:r>
      <w:r>
        <w:t xml:space="preserve">“</w:t>
      </w:r>
      <w:r>
        <w:t xml:space="preserve">provides greater than 95% confidence that the lower bound of the exact binomial 95% confidence interval for the observed success rate will exceed the pre-specified performance goal of 70%.</w:t>
      </w:r>
      <w:r>
        <w:t xml:space="preserve">”</w:t>
      </w:r>
      <w:r>
        <w:t xml:space="preserve"> </w:t>
      </w:r>
      <w:r>
        <w:t xml:space="preserve">This claim is not supported by the arithmetic: at an observed success rate equal to the assumed true rate (48/60 = 80%), the exact (Clopper-Pearson) 95% confidence interval lower bound is approximately 0.68–0.70 — at or below the 70% performance goal. The study therefore has a substantial probability of failing to meet the performance goal even if the true rate is 80%, and the stated</w:t>
      </w:r>
      <w:r>
        <w:t xml:space="preserve"> </w:t>
      </w:r>
      <w:r>
        <w:t xml:space="preserve">“</w:t>
      </w:r>
      <w:r>
        <w:t xml:space="preserve">&gt;95% confidence</w:t>
      </w:r>
      <w:r>
        <w:t xml:space="preserve">”</w:t>
      </w:r>
      <w:r>
        <w:t xml:space="preserve"> </w:t>
      </w:r>
      <w:r>
        <w:t xml:space="preserve">(i.e., statistical power) is overstated.</w:t>
      </w:r>
    </w:p>
    <w:p>
      <w:pPr>
        <w:pStyle w:val="BodyText"/>
      </w:pPr>
      <w:r>
        <w:rPr>
          <w:b/>
          <w:bCs/>
        </w:rPr>
        <w:t xml:space="preserve">Source.</w:t>
      </w:r>
      <w:r>
        <w:t xml:space="preserve"> </w:t>
      </w:r>
      <w:r>
        <w:t xml:space="preserve">Clinical Synopsis §11.1.</w:t>
      </w:r>
    </w:p>
    <w:p>
      <w:pPr>
        <w:pStyle w:val="BodyText"/>
      </w:pPr>
      <w:r>
        <w:rPr>
          <w:b/>
          <w:bCs/>
        </w:rPr>
        <w:t xml:space="preserve">Why it matters.</w:t>
      </w:r>
      <w:r>
        <w:t xml:space="preserve"> </w:t>
      </w:r>
      <w:r>
        <w:t xml:space="preserve">An underpowered study with an overstated power claim risks a failed primary endpoint and an unreliable sample size. FDA scrutinizes sample-size justification.</w:t>
      </w:r>
    </w:p>
    <w:p>
      <w:pPr>
        <w:pStyle w:val="BodyText"/>
      </w:pPr>
      <w:r>
        <w:rPr>
          <w:b/>
          <w:bCs/>
        </w:rPr>
        <w:t xml:space="preserve">Recommendation.</w:t>
      </w:r>
      <w:r>
        <w:t xml:space="preserve"> </w:t>
      </w:r>
      <w:r>
        <w:t xml:space="preserve">Recompute the sample size with a formal power analysis (specifying power, e.g., 80% or 90%, and the performance goal) and present the calculation transparently. Consider increasing n or raising the assumed success rate only if clinically justified.</w:t>
      </w:r>
    </w:p>
    <w:p>
      <w:r>
        <w:pict>
          <v:rect style="width:0;height:1.5pt" o:hralign="center" o:hrstd="t" o:hr="t"/>
        </w:pict>
      </w:r>
    </w:p>
    <w:bookmarkEnd w:id="77"/>
    <w:bookmarkEnd w:id="78"/>
    <w:bookmarkStart w:id="96" w:name="X5d84f4bbe1ccda6dccdcc63951ec7784ddb054e"/>
    <w:p>
      <w:pPr>
        <w:pStyle w:val="Heading2"/>
      </w:pPr>
      <w:r>
        <w:t xml:space="preserve">VIII. Tier 5 — Lower Priority: Drafting, Consistency, and Hygiene</w:t>
      </w:r>
    </w:p>
    <w:bookmarkStart w:id="79" w:name="Xbcbb05dd08344f988a5e09b4f509091b256f7b6"/>
    <w:p>
      <w:pPr>
        <w:pStyle w:val="Heading3"/>
      </w:pPr>
      <w:r>
        <w:t xml:space="preserve">Issue 52 — Console dimensions and weight are inconsistent across documents</w:t>
      </w:r>
    </w:p>
    <w:p>
      <w:pPr>
        <w:pStyle w:val="FirstParagraph"/>
      </w:pPr>
      <w:r>
        <w:t xml:space="preserve">The Device Description (§2.3) states the console is approximately 40 cm (W) × 35 cm (D) × 20 cm (H) and weighs approximately 15 kg. The IFU (§13) states 30 cm × 25 cm × 15 cm and 4.5 kg. These are materially different; one is wrong.</w:t>
      </w:r>
      <w:r>
        <w:t xml:space="preserve"> </w:t>
      </w:r>
      <w:r>
        <w:rPr>
          <w:b/>
          <w:bCs/>
        </w:rPr>
        <w:t xml:space="preserve">Source:</w:t>
      </w:r>
      <w:r>
        <w:t xml:space="preserve"> </w:t>
      </w:r>
      <w:r>
        <w:t xml:space="preserve">Device Description §2.3; IFU §13.</w:t>
      </w:r>
      <w:r>
        <w:t xml:space="preserve"> </w:t>
      </w:r>
      <w:r>
        <w:rPr>
          <w:b/>
          <w:bCs/>
        </w:rPr>
        <w:t xml:space="preserve">Recommendation:</w:t>
      </w:r>
      <w:r>
        <w:t xml:space="preserve"> </w:t>
      </w:r>
      <w:r>
        <w:t xml:space="preserve">Reconcile to a single specification.</w:t>
      </w:r>
    </w:p>
    <w:bookmarkEnd w:id="79"/>
    <w:bookmarkStart w:id="80" w:name="Xdaca6c3d2b84a179ea965b23e2fb8685f0fbcd1"/>
    <w:p>
      <w:pPr>
        <w:pStyle w:val="Heading3"/>
      </w:pPr>
      <w:r>
        <w:t xml:space="preserve">Issue 53 — Display type is inconsistent (touchscreen vs. LCD)</w:t>
      </w:r>
    </w:p>
    <w:p>
      <w:pPr>
        <w:pStyle w:val="FirstParagraph"/>
      </w:pPr>
      <w:r>
        <w:t xml:space="preserve">The Device Description (§2.3) and Testing Plan (§5.1) describe a</w:t>
      </w:r>
      <w:r>
        <w:t xml:space="preserve"> </w:t>
      </w:r>
      <w:r>
        <w:t xml:space="preserve">“</w:t>
      </w:r>
      <w:r>
        <w:t xml:space="preserve">7-inch color touchscreen display.</w:t>
      </w:r>
      <w:r>
        <w:t xml:space="preserve">”</w:t>
      </w:r>
      <w:r>
        <w:t xml:space="preserve"> </w:t>
      </w:r>
      <w:r>
        <w:t xml:space="preserve">The IFU (§1, §13) describes an</w:t>
      </w:r>
      <w:r>
        <w:t xml:space="preserve"> </w:t>
      </w:r>
      <w:r>
        <w:t xml:space="preserve">“</w:t>
      </w:r>
      <w:r>
        <w:t xml:space="preserve">LCD display</w:t>
      </w:r>
      <w:r>
        <w:t xml:space="preserve">”</w:t>
      </w:r>
      <w:r>
        <w:t xml:space="preserve"> </w:t>
      </w:r>
      <w:r>
        <w:t xml:space="preserve">/</w:t>
      </w:r>
      <w:r>
        <w:t xml:space="preserve"> </w:t>
      </w:r>
      <w:r>
        <w:t xml:space="preserve">“</w:t>
      </w:r>
      <w:r>
        <w:t xml:space="preserve">LCD with real-time … indicators.</w:t>
      </w:r>
      <w:r>
        <w:t xml:space="preserve">”</w:t>
      </w:r>
      <w:r>
        <w:t xml:space="preserve"> </w:t>
      </w:r>
      <w:r>
        <w:t xml:space="preserve">A touchscreen and a non-touch LCD are functionally different.</w:t>
      </w:r>
      <w:r>
        <w:t xml:space="preserve"> </w:t>
      </w:r>
      <w:r>
        <w:rPr>
          <w:b/>
          <w:bCs/>
        </w:rPr>
        <w:t xml:space="preserve">Source:</w:t>
      </w:r>
      <w:r>
        <w:t xml:space="preserve"> </w:t>
      </w:r>
      <w:r>
        <w:t xml:space="preserve">Device Description §2.3; Testing Plan §5.1; IFU §1, §13.</w:t>
      </w:r>
      <w:r>
        <w:t xml:space="preserve"> </w:t>
      </w:r>
      <w:r>
        <w:rPr>
          <w:b/>
          <w:bCs/>
        </w:rPr>
        <w:t xml:space="preserve">Recommendation:</w:t>
      </w:r>
      <w:r>
        <w:t xml:space="preserve"> </w:t>
      </w:r>
      <w:r>
        <w:t xml:space="preserve">Reconcile; if touchscreen, correct the IFU.</w:t>
      </w:r>
    </w:p>
    <w:bookmarkEnd w:id="80"/>
    <w:bookmarkStart w:id="81" w:name="X05fcd04928dc9ad83f023e18e26ae632a7193b9"/>
    <w:p>
      <w:pPr>
        <w:pStyle w:val="Heading3"/>
      </w:pPr>
      <w:r>
        <w:t xml:space="preserve">Issue 54 — Contact telephone numbers are inconsistent across documents</w:t>
      </w:r>
    </w:p>
    <w:p>
      <w:pPr>
        <w:pStyle w:val="FirstParagraph"/>
      </w:pPr>
      <w:r>
        <w:t xml:space="preserve">The cover-letter letterhead lists (952) 555-0140; the cover-letter primary contact (Linda Fessenden) lists (952) 555-0142; the Device Description primary contact lists (952) 555-0174; the IFU lists 1-800-555-0142.</w:t>
      </w:r>
      <w:r>
        <w:t xml:space="preserve"> </w:t>
      </w:r>
      <w:r>
        <w:rPr>
          <w:b/>
          <w:bCs/>
        </w:rPr>
        <w:t xml:space="preserve">Source:</w:t>
      </w:r>
      <w:r>
        <w:t xml:space="preserve"> </w:t>
      </w:r>
      <w:r>
        <w:t xml:space="preserve">Cover Letter; Device Description; IFU §15.</w:t>
      </w:r>
      <w:r>
        <w:t xml:space="preserve"> </w:t>
      </w:r>
      <w:r>
        <w:rPr>
          <w:b/>
          <w:bCs/>
        </w:rPr>
        <w:t xml:space="preserve">Recommendation:</w:t>
      </w:r>
      <w:r>
        <w:t xml:space="preserve"> </w:t>
      </w:r>
      <w:r>
        <w:t xml:space="preserve">Reconcile to correct, consistent numbers.</w:t>
      </w:r>
    </w:p>
    <w:bookmarkEnd w:id="81"/>
    <w:bookmarkStart w:id="82" w:name="Xfb29271e7a8b5ec732f7ee86cb73b0d4a15d8b6"/>
    <w:p>
      <w:pPr>
        <w:pStyle w:val="Heading3"/>
      </w:pPr>
      <w:r>
        <w:t xml:space="preserve">Issue 55 — Cover letter is dated the internal review deadline, not the filing date</w:t>
      </w:r>
    </w:p>
    <w:p>
      <w:pPr>
        <w:pStyle w:val="FirstParagraph"/>
      </w:pPr>
      <w:r>
        <w:t xml:space="preserve">The cover letter is dated May 19, 2025 (the internal review deadline), while the targeted filing date is June 15, 2025.</w:t>
      </w:r>
      <w:r>
        <w:t xml:space="preserve"> </w:t>
      </w:r>
      <w:r>
        <w:rPr>
          <w:b/>
          <w:bCs/>
        </w:rPr>
        <w:t xml:space="preserve">Source:</w:t>
      </w:r>
      <w:r>
        <w:t xml:space="preserve"> </w:t>
      </w:r>
      <w:r>
        <w:t xml:space="preserve">Cover Letter; email chain (Fessenden, April 22, 2025).</w:t>
      </w:r>
      <w:r>
        <w:t xml:space="preserve"> </w:t>
      </w:r>
      <w:r>
        <w:rPr>
          <w:b/>
          <w:bCs/>
        </w:rPr>
        <w:t xml:space="preserve">Recommendation:</w:t>
      </w:r>
      <w:r>
        <w:t xml:space="preserve"> </w:t>
      </w:r>
      <w:r>
        <w:t xml:space="preserve">Update the cover-letter date to the actual filing date.</w:t>
      </w:r>
    </w:p>
    <w:bookmarkEnd w:id="82"/>
    <w:bookmarkStart w:id="83" w:name="Xbf1de334698a451d187b7718d95eda2004d804f"/>
    <w:p>
      <w:pPr>
        <w:pStyle w:val="Heading3"/>
      </w:pPr>
      <w:r>
        <w:t xml:space="preserve">Issue 56 —</w:t>
      </w:r>
      <w:r>
        <w:t xml:space="preserve"> </w:t>
      </w:r>
      <w:r>
        <w:t xml:space="preserve">“</w:t>
      </w:r>
      <w:r>
        <w:t xml:space="preserve">Pre-Submission Type: Traditional 510(k) Pre-Submission</w:t>
      </w:r>
      <w:r>
        <w:t xml:space="preserve">”</w:t>
      </w:r>
      <w:r>
        <w:t xml:space="preserve"> </w:t>
      </w:r>
      <w:r>
        <w:t xml:space="preserve">is a mischaracterization</w:t>
      </w:r>
    </w:p>
    <w:p>
      <w:pPr>
        <w:pStyle w:val="FirstParagraph"/>
      </w:pPr>
      <w:r>
        <w:t xml:space="preserve">The cover letter labels the submission type</w:t>
      </w:r>
      <w:r>
        <w:t xml:space="preserve"> </w:t>
      </w:r>
      <w:r>
        <w:t xml:space="preserve">“</w:t>
      </w:r>
      <w:r>
        <w:t xml:space="preserve">Traditional 510(k) Pre-Submission.</w:t>
      </w:r>
      <w:r>
        <w:t xml:space="preserve">”</w:t>
      </w:r>
      <w:r>
        <w:t xml:space="preserve"> </w:t>
      </w:r>
      <w:r>
        <w:t xml:space="preserve">“</w:t>
      </w:r>
      <w:r>
        <w:t xml:space="preserve">Traditional 510(k)</w:t>
      </w:r>
      <w:r>
        <w:t xml:space="preserve">”</w:t>
      </w:r>
      <w:r>
        <w:t xml:space="preserve"> </w:t>
      </w:r>
      <w:r>
        <w:t xml:space="preserve">is a 510(k) type, not a Pre-Submission type under the Q-Submission Program.</w:t>
      </w:r>
      <w:r>
        <w:t xml:space="preserve"> </w:t>
      </w:r>
      <w:r>
        <w:rPr>
          <w:b/>
          <w:bCs/>
        </w:rPr>
        <w:t xml:space="preserve">Source:</w:t>
      </w:r>
      <w:r>
        <w:t xml:space="preserve"> </w:t>
      </w:r>
      <w:r>
        <w:t xml:space="preserve">Cover Letter header.</w:t>
      </w:r>
      <w:r>
        <w:t xml:space="preserve"> </w:t>
      </w:r>
      <w:r>
        <w:rPr>
          <w:b/>
          <w:bCs/>
        </w:rPr>
        <w:t xml:space="preserve">Recommendation:</w:t>
      </w:r>
      <w:r>
        <w:t xml:space="preserve"> </w:t>
      </w:r>
      <w:r>
        <w:t xml:space="preserve">Correct the submission-type designation.</w:t>
      </w:r>
    </w:p>
    <w:bookmarkEnd w:id="83"/>
    <w:bookmarkStart w:id="84" w:name="Xd099836b5841d0e2d47587b7129f525e97f085a"/>
    <w:p>
      <w:pPr>
        <w:pStyle w:val="Heading3"/>
      </w:pPr>
      <w:r>
        <w:t xml:space="preserve">Issue 57 — Prior 510(k) numbers appear only in the clinical synopsis</w:t>
      </w:r>
    </w:p>
    <w:p>
      <w:pPr>
        <w:pStyle w:val="FirstParagraph"/>
      </w:pPr>
      <w:r>
        <w:t xml:space="preserve">The three prior Clearfield 510(k) clearances (K173291, K184560, K201188) are listed only in the Clinical Synopsis (§3); the Cover Letter and Device Description mention</w:t>
      </w:r>
      <w:r>
        <w:t xml:space="preserve"> </w:t>
      </w:r>
      <w:r>
        <w:t xml:space="preserve">“</w:t>
      </w:r>
      <w:r>
        <w:t xml:space="preserve">three prior 510(k) clearances</w:t>
      </w:r>
      <w:r>
        <w:t xml:space="preserve">”</w:t>
      </w:r>
      <w:r>
        <w:t xml:space="preserve"> </w:t>
      </w:r>
      <w:r>
        <w:t xml:space="preserve">without the numbers.</w:t>
      </w:r>
      <w:r>
        <w:t xml:space="preserve"> </w:t>
      </w:r>
      <w:r>
        <w:rPr>
          <w:b/>
          <w:bCs/>
        </w:rPr>
        <w:t xml:space="preserve">Source:</w:t>
      </w:r>
      <w:r>
        <w:t xml:space="preserve"> </w:t>
      </w:r>
      <w:r>
        <w:t xml:space="preserve">Cover Letter §I; Device Description §1; Clinical Synopsis §3.</w:t>
      </w:r>
      <w:r>
        <w:t xml:space="preserve"> </w:t>
      </w:r>
      <w:r>
        <w:rPr>
          <w:b/>
          <w:bCs/>
        </w:rPr>
        <w:t xml:space="preserve">Recommendation:</w:t>
      </w:r>
      <w:r>
        <w:t xml:space="preserve"> </w:t>
      </w:r>
      <w:r>
        <w:t xml:space="preserve">Include the K numbers in the Cover Letter/Device Description for completeness and consistency.</w:t>
      </w:r>
    </w:p>
    <w:bookmarkEnd w:id="84"/>
    <w:bookmarkStart w:id="85" w:name="Xeb15626496b50843e0473c3595561baae8b35bf"/>
    <w:p>
      <w:pPr>
        <w:pStyle w:val="Heading3"/>
      </w:pPr>
      <w:r>
        <w:t xml:space="preserve">Issue 58 — Internal document cross-references are inconsistent</w:t>
      </w:r>
    </w:p>
    <w:p>
      <w:pPr>
        <w:pStyle w:val="FirstParagraph"/>
      </w:pPr>
      <w:r>
        <w:t xml:space="preserve">The Testing Plan (§1) references companion documents by internal numbers (DOC_001, DOC_002, DOC_003, DOC_005 — note the skipped DOC_004), while the Cover Letter enumerates enclosures 1–5 without those identifiers.</w:t>
      </w:r>
      <w:r>
        <w:t xml:space="preserve"> </w:t>
      </w:r>
      <w:r>
        <w:rPr>
          <w:b/>
          <w:bCs/>
        </w:rPr>
        <w:t xml:space="preserve">Source:</w:t>
      </w:r>
      <w:r>
        <w:t xml:space="preserve"> </w:t>
      </w:r>
      <w:r>
        <w:t xml:space="preserve">Testing Plan §1; Cover Letter §V.</w:t>
      </w:r>
      <w:r>
        <w:t xml:space="preserve"> </w:t>
      </w:r>
      <w:r>
        <w:rPr>
          <w:b/>
          <w:bCs/>
        </w:rPr>
        <w:t xml:space="preserve">Recommendation:</w:t>
      </w:r>
      <w:r>
        <w:t xml:space="preserve"> </w:t>
      </w:r>
      <w:r>
        <w:t xml:space="preserve">Use a single, consistent document-identification scheme across the package.</w:t>
      </w:r>
    </w:p>
    <w:bookmarkEnd w:id="85"/>
    <w:bookmarkStart w:id="86" w:name="X9c4261bc3d526b74e89d9e82432455acd0676cc"/>
    <w:p>
      <w:pPr>
        <w:pStyle w:val="Heading3"/>
      </w:pPr>
      <w:r>
        <w:t xml:space="preserve">Issue 59 — Clinical synopsis cites bench-testing data that does not yet exist</w:t>
      </w:r>
    </w:p>
    <w:p>
      <w:pPr>
        <w:pStyle w:val="FirstParagraph"/>
      </w:pPr>
      <w:r>
        <w:t xml:space="preserve">The Clinical Synopsis reference list (§17, ref. 5) cites</w:t>
      </w:r>
      <w:r>
        <w:t xml:space="preserve"> </w:t>
      </w:r>
      <w:r>
        <w:t xml:space="preserve">“</w:t>
      </w:r>
      <w:r>
        <w:t xml:space="preserve">Clearfield Medical Devices, Inc. VascuClear 3000 Thrombectomy System Bench Testing Data. Document No. CLR-VC3-BENCH-001. 2025.</w:t>
      </w:r>
      <w:r>
        <w:t xml:space="preserve">”</w:t>
      </w:r>
      <w:r>
        <w:t xml:space="preserve"> </w:t>
      </w:r>
      <w:r>
        <w:t xml:space="preserve">The Testing Plan (§9.2) targets testing initiation in July 2025; as of the May 2025 draft, that data set does not exist.</w:t>
      </w:r>
      <w:r>
        <w:t xml:space="preserve"> </w:t>
      </w:r>
      <w:r>
        <w:rPr>
          <w:b/>
          <w:bCs/>
        </w:rPr>
        <w:t xml:space="preserve">Source:</w:t>
      </w:r>
      <w:r>
        <w:t xml:space="preserve"> </w:t>
      </w:r>
      <w:r>
        <w:t xml:space="preserve">Clinical Synopsis §17; Testing Plan §9.2.</w:t>
      </w:r>
      <w:r>
        <w:t xml:space="preserve"> </w:t>
      </w:r>
      <w:r>
        <w:rPr>
          <w:b/>
          <w:bCs/>
        </w:rPr>
        <w:t xml:space="preserve">Recommendation:</w:t>
      </w:r>
      <w:r>
        <w:t xml:space="preserve"> </w:t>
      </w:r>
      <w:r>
        <w:t xml:space="preserve">Remove the premature reference or mark it as pending.</w:t>
      </w:r>
    </w:p>
    <w:bookmarkEnd w:id="86"/>
    <w:bookmarkStart w:id="87" w:name="Xc129532cddc3ec4412e184ba268fa5cea2c9c6e"/>
    <w:p>
      <w:pPr>
        <w:pStyle w:val="Heading3"/>
      </w:pPr>
      <w:r>
        <w:t xml:space="preserve">Issue 60 — Pulmonary-vasculature exclusion appears in the IFU but not the device description</w:t>
      </w:r>
    </w:p>
    <w:p>
      <w:pPr>
        <w:pStyle w:val="FirstParagraph"/>
      </w:pPr>
      <w:r>
        <w:t xml:space="preserve">The IFU (§2) states the device is</w:t>
      </w:r>
      <w:r>
        <w:t xml:space="preserve"> </w:t>
      </w:r>
      <w:r>
        <w:t xml:space="preserve">“</w:t>
      </w:r>
      <w:r>
        <w:t xml:space="preserve">not intended for use in the arterial vasculature, the cerebral vasculature, or the pulmonary vasculature.</w:t>
      </w:r>
      <w:r>
        <w:t xml:space="preserve">”</w:t>
      </w:r>
      <w:r>
        <w:t xml:space="preserve"> </w:t>
      </w:r>
      <w:r>
        <w:t xml:space="preserve">The Device Description (§2.4) omits the pulmonary-vasculature exclusion.</w:t>
      </w:r>
      <w:r>
        <w:t xml:space="preserve"> </w:t>
      </w:r>
      <w:r>
        <w:rPr>
          <w:b/>
          <w:bCs/>
        </w:rPr>
        <w:t xml:space="preserve">Source:</w:t>
      </w:r>
      <w:r>
        <w:t xml:space="preserve"> </w:t>
      </w:r>
      <w:r>
        <w:t xml:space="preserve">IFU §2; Device Description §2.4.</w:t>
      </w:r>
      <w:r>
        <w:t xml:space="preserve"> </w:t>
      </w:r>
      <w:r>
        <w:rPr>
          <w:b/>
          <w:bCs/>
        </w:rPr>
        <w:t xml:space="preserve">Recommendation:</w:t>
      </w:r>
      <w:r>
        <w:t xml:space="preserve"> </w:t>
      </w:r>
      <w:r>
        <w:t xml:space="preserve">Reconcile the exclusion language across documents.</w:t>
      </w:r>
    </w:p>
    <w:bookmarkEnd w:id="87"/>
    <w:bookmarkStart w:id="88" w:name="Xf54a31a25f8d285ae31b3a9f657f4887228b87d"/>
    <w:p>
      <w:pPr>
        <w:pStyle w:val="Heading3"/>
      </w:pPr>
      <w:r>
        <w:t xml:space="preserve">Issue 61 — CDRH office naming should be confirmed</w:t>
      </w:r>
    </w:p>
    <w:p>
      <w:pPr>
        <w:pStyle w:val="FirstParagraph"/>
      </w:pPr>
      <w:r>
        <w:t xml:space="preserve">The cover letter is addressed to the</w:t>
      </w:r>
      <w:r>
        <w:t xml:space="preserve"> </w:t>
      </w:r>
      <w:r>
        <w:t xml:space="preserve">“</w:t>
      </w:r>
      <w:r>
        <w:t xml:space="preserve">Division of Cardiovascular Devices, Office of Cardiovascular Devices.</w:t>
      </w:r>
      <w:r>
        <w:t xml:space="preserve">”</w:t>
      </w:r>
      <w:r>
        <w:t xml:space="preserve"> </w:t>
      </w:r>
      <w:r>
        <w:t xml:space="preserve">The ThrombEx 200 510(k) Summary identifies the reviewing office as</w:t>
      </w:r>
      <w:r>
        <w:t xml:space="preserve"> </w:t>
      </w:r>
      <w:r>
        <w:t xml:space="preserve">“</w:t>
      </w:r>
      <w:r>
        <w:t xml:space="preserve">OHT2: Office of Cardiovascular Devices.</w:t>
      </w:r>
      <w:r>
        <w:t xml:space="preserve">”</w:t>
      </w:r>
      <w:r>
        <w:t xml:space="preserve"> </w:t>
      </w:r>
      <w:r>
        <w:t xml:space="preserve">CDRH has reorganized its super-office structure over time.</w:t>
      </w:r>
      <w:r>
        <w:t xml:space="preserve"> </w:t>
      </w:r>
      <w:r>
        <w:rPr>
          <w:b/>
          <w:bCs/>
        </w:rPr>
        <w:t xml:space="preserve">Source:</w:t>
      </w:r>
      <w:r>
        <w:t xml:space="preserve"> </w:t>
      </w:r>
      <w:r>
        <w:t xml:space="preserve">Cover Letter; ThrombEx 200 510(k) Summary.</w:t>
      </w:r>
      <w:r>
        <w:t xml:space="preserve"> </w:t>
      </w:r>
      <w:r>
        <w:rPr>
          <w:b/>
          <w:bCs/>
        </w:rPr>
        <w:t xml:space="preserve">Recommendation:</w:t>
      </w:r>
      <w:r>
        <w:t xml:space="preserve"> </w:t>
      </w:r>
      <w:r>
        <w:t xml:space="preserve">Confirm and use the current CDRH organizational designation (OHT2: Office of Cardiovascular Devices) in the cover letter.</w:t>
      </w:r>
    </w:p>
    <w:bookmarkEnd w:id="88"/>
    <w:bookmarkStart w:id="89" w:name="Xb0e03055d802cab86d5a17f46182e010ce4a329"/>
    <w:p>
      <w:pPr>
        <w:pStyle w:val="Heading3"/>
      </w:pPr>
      <w:r>
        <w:t xml:space="preserve">Issue 62 — Substantial equivalence is framed as a definitive conclusion rather than a proposal</w:t>
      </w:r>
    </w:p>
    <w:p>
      <w:pPr>
        <w:pStyle w:val="FirstParagraph"/>
      </w:pPr>
      <w:r>
        <w:t xml:space="preserve">The Cover Letter (§VII) and Device Description (§5.3) state that the VascuClear 3000</w:t>
      </w:r>
      <w:r>
        <w:t xml:space="preserve"> </w:t>
      </w:r>
      <w:r>
        <w:t xml:space="preserve">“</w:t>
      </w:r>
      <w:r>
        <w:t xml:space="preserve">is substantially equivalent</w:t>
      </w:r>
      <w:r>
        <w:t xml:space="preserve">”</w:t>
      </w:r>
      <w:r>
        <w:t xml:space="preserve"> </w:t>
      </w:r>
      <w:r>
        <w:t xml:space="preserve">to the predicate as a concluded matter. Given the predicate gaps (Issues 5–8), the SE position should be framed as a proposal on which FDA’s concurrence is sought.</w:t>
      </w:r>
      <w:r>
        <w:t xml:space="preserve"> </w:t>
      </w:r>
      <w:r>
        <w:rPr>
          <w:b/>
          <w:bCs/>
        </w:rPr>
        <w:t xml:space="preserve">Source:</w:t>
      </w:r>
      <w:r>
        <w:t xml:space="preserve"> </w:t>
      </w:r>
      <w:r>
        <w:t xml:space="preserve">Cover Letter §VII; Device Description §5.3.</w:t>
      </w:r>
      <w:r>
        <w:t xml:space="preserve"> </w:t>
      </w:r>
      <w:r>
        <w:rPr>
          <w:b/>
          <w:bCs/>
        </w:rPr>
        <w:t xml:space="preserve">Recommendation:</w:t>
      </w:r>
      <w:r>
        <w:t xml:space="preserve"> </w:t>
      </w:r>
      <w:r>
        <w:t xml:space="preserve">Soften the framing to</w:t>
      </w:r>
      <w:r>
        <w:t xml:space="preserve"> </w:t>
      </w:r>
      <w:r>
        <w:t xml:space="preserve">“</w:t>
      </w:r>
      <w:r>
        <w:t xml:space="preserve">Clearfield proposes to demonstrate substantial equivalence … and seeks the Division’s concurrence.</w:t>
      </w:r>
      <w:r>
        <w:t xml:space="preserve">”</w:t>
      </w:r>
    </w:p>
    <w:bookmarkEnd w:id="89"/>
    <w:bookmarkStart w:id="90" w:name="Xb5a4c51b139aad6ee595e355a479632dace51d3"/>
    <w:p>
      <w:pPr>
        <w:pStyle w:val="Heading3"/>
      </w:pPr>
      <w:r>
        <w:t xml:space="preserve">Issue 63 — Testing budget is likely understated</w:t>
      </w:r>
    </w:p>
    <w:p>
      <w:pPr>
        <w:pStyle w:val="FirstParagraph"/>
      </w:pPr>
      <w:r>
        <w:t xml:space="preserve">The Testing Plan (§9.1) estimates total testing cost at approximately $600,000 within the $1.4 million 510(k) budget. The additional testing identified in this memorandum (EMC, shelf-life, reprocessing, HFE, MRI, drug compatibility, animal, corrosion, dynamic hemolysis, flexural fatigue, distal-tip detachment, and additional biocompatibility endpoints) is not budgeted and will extend the 16–20 week timeline.</w:t>
      </w:r>
      <w:r>
        <w:t xml:space="preserve"> </w:t>
      </w:r>
      <w:r>
        <w:rPr>
          <w:b/>
          <w:bCs/>
        </w:rPr>
        <w:t xml:space="preserve">Source:</w:t>
      </w:r>
      <w:r>
        <w:t xml:space="preserve"> </w:t>
      </w:r>
      <w:r>
        <w:t xml:space="preserve">Testing Plan §9.1.</w:t>
      </w:r>
      <w:r>
        <w:t xml:space="preserve"> </w:t>
      </w:r>
      <w:r>
        <w:rPr>
          <w:b/>
          <w:bCs/>
        </w:rPr>
        <w:t xml:space="preserve">Recommendation:</w:t>
      </w:r>
      <w:r>
        <w:t xml:space="preserve"> </w:t>
      </w:r>
      <w:r>
        <w:t xml:space="preserve">Revise the testing budget and timeline to reflect the additional studies.</w:t>
      </w:r>
    </w:p>
    <w:bookmarkEnd w:id="90"/>
    <w:bookmarkStart w:id="91" w:name="Xda311334bed2eb3b558c6ba23e8c36d71706a33"/>
    <w:p>
      <w:pPr>
        <w:pStyle w:val="Heading3"/>
      </w:pPr>
      <w:r>
        <w:t xml:space="preserve">Issue 64 — Aspiration flow rate vs. collection-canister capacity</w:t>
      </w:r>
    </w:p>
    <w:p>
      <w:pPr>
        <w:pStyle w:val="FirstParagraph"/>
      </w:pPr>
      <w:r>
        <w:t xml:space="preserve">The Testing Plan (§3.3) specifies a design aspiration flow rate of 450 mL/min at −650 mmHg, while the IFU (§7) specifies a 500 mL collection canister. At 450 mL/min the canister fills in roughly one minute, which appears operationally problematic.</w:t>
      </w:r>
      <w:r>
        <w:t xml:space="preserve"> </w:t>
      </w:r>
      <w:r>
        <w:rPr>
          <w:b/>
          <w:bCs/>
        </w:rPr>
        <w:t xml:space="preserve">Source:</w:t>
      </w:r>
      <w:r>
        <w:t xml:space="preserve"> </w:t>
      </w:r>
      <w:r>
        <w:t xml:space="preserve">Testing Plan §3.3; IFU §7.</w:t>
      </w:r>
      <w:r>
        <w:t xml:space="preserve"> </w:t>
      </w:r>
      <w:r>
        <w:rPr>
          <w:b/>
          <w:bCs/>
        </w:rPr>
        <w:t xml:space="preserve">Recommendation:</w:t>
      </w:r>
      <w:r>
        <w:t xml:space="preserve"> </w:t>
      </w:r>
      <w:r>
        <w:t xml:space="preserve">Reconcile the flow-rate and canister-capacity specifications and the IFU canister-replacement guidance.</w:t>
      </w:r>
    </w:p>
    <w:bookmarkEnd w:id="91"/>
    <w:bookmarkStart w:id="92" w:name="X55393a230a35b458372c06f251b630834c08e0c"/>
    <w:p>
      <w:pPr>
        <w:pStyle w:val="Heading3"/>
      </w:pPr>
      <w:r>
        <w:t xml:space="preserve">Issue 65 — Console service-life claim is unsupported and may be confused with the impeller</w:t>
      </w:r>
      <w:r>
        <w:t xml:space="preserve"> </w:t>
      </w:r>
      <w:r>
        <w:t xml:space="preserve">“</w:t>
      </w:r>
      <w:r>
        <w:t xml:space="preserve">500 cycles</w:t>
      </w:r>
      <w:r>
        <w:t xml:space="preserve">”</w:t>
      </w:r>
    </w:p>
    <w:p>
      <w:pPr>
        <w:pStyle w:val="FirstParagraph"/>
      </w:pPr>
      <w:r>
        <w:t xml:space="preserve">The IFU (§11, §13) states an expected console service life of</w:t>
      </w:r>
      <w:r>
        <w:t xml:space="preserve"> </w:t>
      </w:r>
      <w:r>
        <w:t xml:space="preserve">“</w:t>
      </w:r>
      <w:r>
        <w:t xml:space="preserve">5 years or 500 procedures.</w:t>
      </w:r>
      <w:r>
        <w:t xml:space="preserve">”</w:t>
      </w:r>
      <w:r>
        <w:t xml:space="preserve"> </w:t>
      </w:r>
      <w:r>
        <w:t xml:space="preserve">No validation supporting the 500-procedure claim is described, and the</w:t>
      </w:r>
      <w:r>
        <w:t xml:space="preserve"> </w:t>
      </w:r>
      <w:r>
        <w:t xml:space="preserve">“</w:t>
      </w:r>
      <w:r>
        <w:t xml:space="preserve">500</w:t>
      </w:r>
      <w:r>
        <w:t xml:space="preserve">”</w:t>
      </w:r>
      <w:r>
        <w:t xml:space="preserve"> </w:t>
      </w:r>
      <w:r>
        <w:t xml:space="preserve">figure may be confused with the impeller fatigue</w:t>
      </w:r>
      <w:r>
        <w:t xml:space="preserve"> </w:t>
      </w:r>
      <w:r>
        <w:t xml:space="preserve">“</w:t>
      </w:r>
      <w:r>
        <w:t xml:space="preserve">500 cycles</w:t>
      </w:r>
      <w:r>
        <w:t xml:space="preserve">”</w:t>
      </w:r>
      <w:r>
        <w:t xml:space="preserve"> </w:t>
      </w:r>
      <w:r>
        <w:t xml:space="preserve">(Issue 11).</w:t>
      </w:r>
      <w:r>
        <w:t xml:space="preserve"> </w:t>
      </w:r>
      <w:r>
        <w:rPr>
          <w:b/>
          <w:bCs/>
        </w:rPr>
        <w:t xml:space="preserve">Source:</w:t>
      </w:r>
      <w:r>
        <w:t xml:space="preserve"> </w:t>
      </w:r>
      <w:r>
        <w:t xml:space="preserve">IFU §11, §13.</w:t>
      </w:r>
      <w:r>
        <w:t xml:space="preserve"> </w:t>
      </w:r>
      <w:r>
        <w:rPr>
          <w:b/>
          <w:bCs/>
        </w:rPr>
        <w:t xml:space="preserve">Recommendation:</w:t>
      </w:r>
      <w:r>
        <w:t xml:space="preserve"> </w:t>
      </w:r>
      <w:r>
        <w:t xml:space="preserve">Support the service-life claim with validation data and distinguish it clearly from the impeller-cycle specification.</w:t>
      </w:r>
    </w:p>
    <w:bookmarkEnd w:id="92"/>
    <w:bookmarkStart w:id="93" w:name="X50defd9a5c339ff6fdfba9e597b72e5c9acebf2"/>
    <w:p>
      <w:pPr>
        <w:pStyle w:val="Heading3"/>
      </w:pPr>
      <w:r>
        <w:t xml:space="preserve">Issue 66 — Pinnacle Standards Testing location is inconsistent across documents</w:t>
      </w:r>
    </w:p>
    <w:p>
      <w:pPr>
        <w:pStyle w:val="FirstParagraph"/>
      </w:pPr>
      <w:r>
        <w:t xml:space="preserve">The Device Description (§2.2) states that impeller fatigue testing</w:t>
      </w:r>
      <w:r>
        <w:t xml:space="preserve"> </w:t>
      </w:r>
      <w:r>
        <w:t xml:space="preserve">“</w:t>
      </w:r>
      <w:r>
        <w:t xml:space="preserve">has been validated by Pinnacle Standards Testing, Inc. (Pittsburgh, PA).</w:t>
      </w:r>
      <w:r>
        <w:t xml:space="preserve">”</w:t>
      </w:r>
      <w:r>
        <w:t xml:space="preserve"> </w:t>
      </w:r>
      <w:r>
        <w:t xml:space="preserve">The Testing Plan (Appendix B) states that</w:t>
      </w:r>
      <w:r>
        <w:t xml:space="preserve"> </w:t>
      </w:r>
      <w:r>
        <w:t xml:space="preserve">“</w:t>
      </w:r>
      <w:r>
        <w:t xml:space="preserve">Pinnacle’s facilities are located in Austin, Texas.</w:t>
      </w:r>
      <w:r>
        <w:t xml:space="preserve">”</w:t>
      </w:r>
      <w:r>
        <w:t xml:space="preserve"> </w:t>
      </w:r>
      <w:r>
        <w:t xml:space="preserve">Pinnacle’s location is thus given as both Pittsburgh, PA and Austin, TX.</w:t>
      </w:r>
      <w:r>
        <w:t xml:space="preserve"> </w:t>
      </w:r>
      <w:r>
        <w:rPr>
          <w:b/>
          <w:bCs/>
        </w:rPr>
        <w:t xml:space="preserve">Source:</w:t>
      </w:r>
      <w:r>
        <w:t xml:space="preserve"> </w:t>
      </w:r>
      <w:r>
        <w:t xml:space="preserve">Device Description §2.2; Testing Plan Appendix B.</w:t>
      </w:r>
      <w:r>
        <w:t xml:space="preserve"> </w:t>
      </w:r>
      <w:r>
        <w:rPr>
          <w:b/>
          <w:bCs/>
        </w:rPr>
        <w:t xml:space="preserve">Recommendation:</w:t>
      </w:r>
      <w:r>
        <w:t xml:space="preserve"> </w:t>
      </w:r>
      <w:r>
        <w:t xml:space="preserve">Reconcile Pinnacle’s location across documents.</w:t>
      </w:r>
    </w:p>
    <w:bookmarkEnd w:id="93"/>
    <w:bookmarkStart w:id="94" w:name="X3a91ff0b57322aba0b32dd32c3a6dab738f12de"/>
    <w:p>
      <w:pPr>
        <w:pStyle w:val="Heading3"/>
      </w:pPr>
      <w:r>
        <w:t xml:space="preserve">Issue 67 — Pediatric exclusion is explicit in the device description but only implied in the IFU</w:t>
      </w:r>
    </w:p>
    <w:p>
      <w:pPr>
        <w:pStyle w:val="FirstParagraph"/>
      </w:pPr>
      <w:r>
        <w:t xml:space="preserve">The Device Description (§2.4) explicitly states the device is</w:t>
      </w:r>
      <w:r>
        <w:t xml:space="preserve"> </w:t>
      </w:r>
      <w:r>
        <w:t xml:space="preserve">“</w:t>
      </w:r>
      <w:r>
        <w:t xml:space="preserve">not intended for use in the arterial vasculature, the cerebral vasculature, or in pediatric patients.</w:t>
      </w:r>
      <w:r>
        <w:t xml:space="preserve">”</w:t>
      </w:r>
      <w:r>
        <w:t xml:space="preserve"> </w:t>
      </w:r>
      <w:r>
        <w:t xml:space="preserve">The IFU (§2) states the intended population is</w:t>
      </w:r>
      <w:r>
        <w:t xml:space="preserve"> </w:t>
      </w:r>
      <w:r>
        <w:t xml:space="preserve">“</w:t>
      </w:r>
      <w:r>
        <w:t xml:space="preserve">adult patients eighteen (18) years of age and older</w:t>
      </w:r>
      <w:r>
        <w:t xml:space="preserve">”</w:t>
      </w:r>
      <w:r>
        <w:t xml:space="preserve"> </w:t>
      </w:r>
      <w:r>
        <w:t xml:space="preserve">but contains no explicit pediatric-use exclusion statement, and instead excludes the pulmonary vasculature (which the Device Description omits — Issue 60). The exclusion statements are not consistent across the two documents, and neither contains the complete set of exclusions.</w:t>
      </w:r>
      <w:r>
        <w:t xml:space="preserve"> </w:t>
      </w:r>
      <w:r>
        <w:rPr>
          <w:b/>
          <w:bCs/>
        </w:rPr>
        <w:t xml:space="preserve">Source:</w:t>
      </w:r>
      <w:r>
        <w:t xml:space="preserve"> </w:t>
      </w:r>
      <w:r>
        <w:t xml:space="preserve">Device Description §2.4; IFU §2.</w:t>
      </w:r>
      <w:r>
        <w:t xml:space="preserve"> </w:t>
      </w:r>
      <w:r>
        <w:rPr>
          <w:b/>
          <w:bCs/>
        </w:rPr>
        <w:t xml:space="preserve">Recommendation:</w:t>
      </w:r>
      <w:r>
        <w:t xml:space="preserve"> </w:t>
      </w:r>
      <w:r>
        <w:t xml:space="preserve">Reconcile the exclusion statements across the Device Description and IFU so that both contain the complete, consistent set of exclusions (arterial, cerebral, pulmonary, pediatric).</w:t>
      </w:r>
    </w:p>
    <w:bookmarkEnd w:id="94"/>
    <w:bookmarkStart w:id="95" w:name="X06cd34651316048c18035bed60d7a8d2be7ece8"/>
    <w:p>
      <w:pPr>
        <w:pStyle w:val="Heading3"/>
      </w:pPr>
      <w:r>
        <w:t xml:space="preserve">Issue 68 — Device description figures are placeholders not yet included</w:t>
      </w:r>
    </w:p>
    <w:p>
      <w:pPr>
        <w:pStyle w:val="FirstParagraph"/>
      </w:pPr>
      <w:r>
        <w:t xml:space="preserve">The Device Description Appendix A lists Figure 1 (catheter schematic), Figure 2 (console external view), and Figure 3 (predicate mechanism schematic), each marked</w:t>
      </w:r>
      <w:r>
        <w:t xml:space="preserve"> </w:t>
      </w:r>
      <w:r>
        <w:t xml:space="preserve">“</w:t>
      </w:r>
      <w:r>
        <w:t xml:space="preserve">[Figure to be inserted]</w:t>
      </w:r>
      <w:r>
        <w:t xml:space="preserve">”</w:t>
      </w:r>
      <w:r>
        <w:t xml:space="preserve"> </w:t>
      </w:r>
      <w:r>
        <w:t xml:space="preserve">/</w:t>
      </w:r>
      <w:r>
        <w:t xml:space="preserve"> </w:t>
      </w:r>
      <w:r>
        <w:t xml:space="preserve">“</w:t>
      </w:r>
      <w:r>
        <w:t xml:space="preserve">[Figure 1 to be inserted].</w:t>
      </w:r>
      <w:r>
        <w:t xml:space="preserve">”</w:t>
      </w:r>
      <w:r>
        <w:t xml:space="preserve"> </w:t>
      </w:r>
      <w:r>
        <w:t xml:space="preserve">The figures referenced in the device description are not included in the package.</w:t>
      </w:r>
      <w:r>
        <w:t xml:space="preserve"> </w:t>
      </w:r>
      <w:r>
        <w:rPr>
          <w:b/>
          <w:bCs/>
        </w:rPr>
        <w:t xml:space="preserve">Source:</w:t>
      </w:r>
      <w:r>
        <w:t xml:space="preserve"> </w:t>
      </w:r>
      <w:r>
        <w:t xml:space="preserve">Device Description Appendix A.</w:t>
      </w:r>
      <w:r>
        <w:t xml:space="preserve"> </w:t>
      </w:r>
      <w:r>
        <w:rPr>
          <w:b/>
          <w:bCs/>
        </w:rPr>
        <w:t xml:space="preserve">Recommendation:</w:t>
      </w:r>
      <w:r>
        <w:t xml:space="preserve"> </w:t>
      </w:r>
      <w:r>
        <w:t xml:space="preserve">Insert the referenced figures before filing, or remove the figure references if the figures will not be included in the Pre-Submission.</w:t>
      </w:r>
    </w:p>
    <w:p>
      <w:r>
        <w:pict>
          <v:rect style="width:0;height:1.5pt" o:hralign="center" o:hrstd="t" o:hr="t"/>
        </w:pict>
      </w:r>
    </w:p>
    <w:bookmarkEnd w:id="95"/>
    <w:bookmarkEnd w:id="96"/>
    <w:bookmarkStart w:id="97" w:name="X57727a6ecf99547d009ecec553ba98c3dd1bf6b"/>
    <w:p>
      <w:pPr>
        <w:pStyle w:val="Heading2"/>
      </w:pPr>
      <w:r>
        <w:t xml:space="preserve">IX. Strategic and Timeline Considerations</w:t>
      </w:r>
    </w:p>
    <w:p>
      <w:pPr>
        <w:pStyle w:val="FirstParagraph"/>
      </w:pPr>
      <w:r>
        <w:t xml:space="preserve">The issues above converge on a single strategic risk that the team should address explicitly before filing:</w:t>
      </w:r>
    </w:p>
    <w:p>
      <w:pPr>
        <w:numPr>
          <w:ilvl w:val="0"/>
          <w:numId w:val="1005"/>
        </w:numPr>
      </w:pPr>
      <w:r>
        <w:rPr>
          <w:b/>
          <w:bCs/>
        </w:rPr>
        <w:t xml:space="preserve">Pathway uncertainty.</w:t>
      </w:r>
      <w:r>
        <w:t xml:space="preserve"> </w:t>
      </w:r>
      <w:r>
        <w:t xml:space="preserve">The combination-product question (Issue 1) and the IDE question (Issues 2–3) are genuinely open. The package’s posture of asserting definitive</w:t>
      </w:r>
      <w:r>
        <w:t xml:space="preserve"> </w:t>
      </w:r>
      <w:r>
        <w:t xml:space="preserve">“</w:t>
      </w:r>
      <w:r>
        <w:t xml:space="preserve">no</w:t>
      </w:r>
      <w:r>
        <w:t xml:space="preserve">”</w:t>
      </w:r>
      <w:r>
        <w:t xml:space="preserve"> </w:t>
      </w:r>
      <w:r>
        <w:t xml:space="preserve">answers to both, without asking FDA, is inconsistent with the diligence the team has otherwise applied and with Kate Pressman’s specific recommendation. The cost of asking is negligible; the cost of being wrong after submission is substantial.</w:t>
      </w:r>
    </w:p>
    <w:p>
      <w:pPr>
        <w:numPr>
          <w:ilvl w:val="0"/>
          <w:numId w:val="1005"/>
        </w:numPr>
      </w:pPr>
      <w:r>
        <w:rPr>
          <w:b/>
          <w:bCs/>
        </w:rPr>
        <w:t xml:space="preserve">Timeline realism.</w:t>
      </w:r>
      <w:r>
        <w:t xml:space="preserve"> </w:t>
      </w:r>
      <w:r>
        <w:t xml:space="preserve">The December 31, 2025 clearance milestone is not achievable on the package’s own timeline (testing completes November–December 2025; clinical data not available until Q4 2026). The package should not present that milestone to FDA as a scheduling driver without internal alignment on a realistic, contingency-inclusive timeline.</w:t>
      </w:r>
    </w:p>
    <w:p>
      <w:pPr>
        <w:numPr>
          <w:ilvl w:val="0"/>
          <w:numId w:val="1005"/>
        </w:numPr>
      </w:pPr>
      <w:r>
        <w:rPr>
          <w:b/>
          <w:bCs/>
        </w:rPr>
        <w:t xml:space="preserve">Corporate implications.</w:t>
      </w:r>
      <w:r>
        <w:t xml:space="preserve"> </w:t>
      </w:r>
      <w:r>
        <w:t xml:space="preserve">If the pathway changes (combination product, IDE required, or additional testing), the Braddock Ventures milestone may slip, with contractual and financing consequences. Kate Pressman correctly identified that Kendrick &amp; Hale should be engaged on these corporate implications; that step is not reflected in the package.</w:t>
      </w:r>
    </w:p>
    <w:p>
      <w:pPr>
        <w:numPr>
          <w:ilvl w:val="0"/>
          <w:numId w:val="1005"/>
        </w:numPr>
      </w:pPr>
      <w:r>
        <w:rPr>
          <w:b/>
          <w:bCs/>
        </w:rPr>
        <w:t xml:space="preserve">Budget.</w:t>
      </w:r>
      <w:r>
        <w:t xml:space="preserve"> </w:t>
      </w:r>
      <w:r>
        <w:t xml:space="preserve">The $600,000 testing budget and 16–20 week timeline do not account for the additional testing identified in this review. The $4.2 million total program estimate (per the email chain) and Clearfield’s $18.3 million cash position (April 30, 2025) with a $1.52 million monthly burn leave limited margin for delay; an accurate testing scope and budget are essential to the go/no-go decision.</w:t>
      </w:r>
    </w:p>
    <w:p>
      <w:r>
        <w:pict>
          <v:rect style="width:0;height:1.5pt" o:hralign="center" o:hrstd="t" o:hr="t"/>
        </w:pict>
      </w:r>
    </w:p>
    <w:bookmarkEnd w:id="97"/>
    <w:bookmarkStart w:id="98" w:name="x.-recommended-actions-and-next-steps"/>
    <w:p>
      <w:pPr>
        <w:pStyle w:val="Heading2"/>
      </w:pPr>
      <w:r>
        <w:t xml:space="preserve">X. Recommended Actions and Next Steps</w:t>
      </w:r>
    </w:p>
    <w:p>
      <w:pPr>
        <w:pStyle w:val="FirstParagraph"/>
      </w:pPr>
      <w:r>
        <w:t xml:space="preserve">In priority order, before the June 15, 2025 filing:</w:t>
      </w:r>
    </w:p>
    <w:p>
      <w:pPr>
        <w:numPr>
          <w:ilvl w:val="0"/>
          <w:numId w:val="1006"/>
        </w:numPr>
      </w:pPr>
      <w:r>
        <w:rPr>
          <w:b/>
          <w:bCs/>
        </w:rPr>
        <w:t xml:space="preserve">Add the two questions Kate Pressman recommended</w:t>
      </w:r>
      <w:r>
        <w:t xml:space="preserve"> </w:t>
      </w:r>
      <w:r>
        <w:t xml:space="preserve">— (a) whether the VascuClear 3000 is a combination product under 21 CFR Part 3, and (b) whether an IDE is required for the proposed clinical study — to the Cover Letter (§VI), Device Description (§6), and Clinical Synopsis. Frame Clearfield’s positions as positions on which FDA’s concurrence is sought. (Issues 1, 2.)</w:t>
      </w:r>
    </w:p>
    <w:p>
      <w:pPr>
        <w:numPr>
          <w:ilvl w:val="0"/>
          <w:numId w:val="1006"/>
        </w:numPr>
      </w:pPr>
      <w:r>
        <w:rPr>
          <w:b/>
          <w:bCs/>
        </w:rPr>
        <w:t xml:space="preserve">Reconcile the clinical-study characterization and timeline.</w:t>
      </w:r>
      <w:r>
        <w:t xml:space="preserve"> </w:t>
      </w:r>
      <w:r>
        <w:t xml:space="preserve">Decide whether the study is pre-clearance (supporting the 510(k), with IDE/NSR analysis) or genuinely post-clearance (in which case it cannot be represented as supporting the 510(k)), and make the Synopsis, Testing Plan, and Cover Letter consistent. Prepare the SR/NSR analysis. (Issues 2, 3, 35.)</w:t>
      </w:r>
    </w:p>
    <w:p>
      <w:pPr>
        <w:numPr>
          <w:ilvl w:val="0"/>
          <w:numId w:val="1006"/>
        </w:numPr>
      </w:pPr>
      <w:r>
        <w:rPr>
          <w:b/>
          <w:bCs/>
        </w:rPr>
        <w:t xml:space="preserve">Decide the indication framing</w:t>
      </w:r>
      <w:r>
        <w:t xml:space="preserve"> </w:t>
      </w:r>
      <w:r>
        <w:t xml:space="preserve">(co-primary drug delivery vs. ancillary feature) and make the Cover Letter, Device Description, IFU, and Clinical Synopsis consistent with that decision. (Issue 4.)</w:t>
      </w:r>
    </w:p>
    <w:p>
      <w:pPr>
        <w:numPr>
          <w:ilvl w:val="0"/>
          <w:numId w:val="1006"/>
        </w:numPr>
      </w:pPr>
      <w:r>
        <w:rPr>
          <w:b/>
          <w:bCs/>
        </w:rPr>
        <w:t xml:space="preserve">Correct the predicate comparison tables.</w:t>
      </w:r>
      <w:r>
        <w:t xml:space="preserve"> </w:t>
      </w:r>
      <w:r>
        <w:t xml:space="preserve">Fix the predicate population (Table A-1), aspiration pressure, and software LOC entries to reflect the ThrombEx 200 510(k) Summary, and add narrative discussion of the aspiration-pressure and software-LOC differences. (Issues 7, 8.)</w:t>
      </w:r>
    </w:p>
    <w:p>
      <w:pPr>
        <w:numPr>
          <w:ilvl w:val="0"/>
          <w:numId w:val="1006"/>
        </w:numPr>
      </w:pPr>
      <w:r>
        <w:rPr>
          <w:b/>
          <w:bCs/>
        </w:rPr>
        <w:t xml:space="preserve">Identify a reference predicate</w:t>
      </w:r>
      <w:r>
        <w:t xml:space="preserve"> </w:t>
      </w:r>
      <w:r>
        <w:t xml:space="preserve">for the drug-delivery/infusion function and present a multi-predicate SE analysis; temper the definitive SE language. (Issues 5, 6, 62.)</w:t>
      </w:r>
    </w:p>
    <w:p>
      <w:pPr>
        <w:numPr>
          <w:ilvl w:val="0"/>
          <w:numId w:val="1006"/>
        </w:numPr>
      </w:pPr>
      <w:r>
        <w:rPr>
          <w:b/>
          <w:bCs/>
        </w:rPr>
        <w:t xml:space="preserve">Resolve the biocompatibility contact-duration and contact-type contradictions</w:t>
      </w:r>
      <w:r>
        <w:t xml:space="preserve"> </w:t>
      </w:r>
      <w:r>
        <w:t xml:space="preserve">(limited vs. 72-hour prolonged; surface vs. external-communicating blood-direct) and cascade the resolution through the biocompatibility endpoints, EtO residual limits, IFU, device description, and clinical synopsis. (Issues 9, 10, 23.)</w:t>
      </w:r>
    </w:p>
    <w:p>
      <w:pPr>
        <w:numPr>
          <w:ilvl w:val="0"/>
          <w:numId w:val="1006"/>
        </w:numPr>
      </w:pPr>
      <w:r>
        <w:rPr>
          <w:b/>
          <w:bCs/>
        </w:rPr>
        <w:t xml:space="preserve">Fix the impeller fatigue protocol and the impeller material specification</w:t>
      </w:r>
      <w:r>
        <w:t xml:space="preserve">, and reconcile</w:t>
      </w:r>
      <w:r>
        <w:t xml:space="preserve"> </w:t>
      </w:r>
      <w:r>
        <w:t xml:space="preserve">“</w:t>
      </w:r>
      <w:r>
        <w:t xml:space="preserve">cycle</w:t>
      </w:r>
      <w:r>
        <w:t xml:space="preserve">”</w:t>
      </w:r>
      <w:r>
        <w:t xml:space="preserve"> </w:t>
      </w:r>
      <w:r>
        <w:t xml:space="preserve">definitions and the 316L-vs-nitinol discrepancy. (Issues 11, 20.)</w:t>
      </w:r>
    </w:p>
    <w:p>
      <w:pPr>
        <w:numPr>
          <w:ilvl w:val="0"/>
          <w:numId w:val="1006"/>
        </w:numPr>
      </w:pPr>
      <w:r>
        <w:rPr>
          <w:b/>
          <w:bCs/>
        </w:rPr>
        <w:t xml:space="preserve">Add the omitted testing categories</w:t>
      </w:r>
      <w:r>
        <w:t xml:space="preserve"> </w:t>
      </w:r>
      <w:r>
        <w:t xml:space="preserve">(EMC, shelf-life/sterile barrier, reprocessing, MRI, HFE, dynamic hemolysis, corrosion, drug compatibility, cybersecurity, flexural fatigue, distal-tip detachment-force, and consider animal/in-vivo), define the rated infusion/burst pressures, describe the radiopaque marker, update the budget and timeline, and include an ISO 14971 risk-management summary. (Issues 16–19, 24–27, 28–32, 34, 63.)</w:t>
      </w:r>
    </w:p>
    <w:p>
      <w:pPr>
        <w:numPr>
          <w:ilvl w:val="0"/>
          <w:numId w:val="1006"/>
        </w:numPr>
      </w:pPr>
      <w:r>
        <w:rPr>
          <w:b/>
          <w:bCs/>
        </w:rPr>
        <w:t xml:space="preserve">Reassess the software documentation level</w:t>
      </w:r>
      <w:r>
        <w:t xml:space="preserve"> </w:t>
      </w:r>
      <w:r>
        <w:t xml:space="preserve">(Moderate/Enhanced), update to the 2023 software guidance, commit to IEC 62304, and plan to include the hazard analysis and architecture. (Issues 14, 15.)</w:t>
      </w:r>
    </w:p>
    <w:p>
      <w:pPr>
        <w:numPr>
          <w:ilvl w:val="0"/>
          <w:numId w:val="1006"/>
        </w:numPr>
      </w:pPr>
      <w:r>
        <w:rPr>
          <w:b/>
          <w:bCs/>
        </w:rPr>
        <w:t xml:space="preserve">Strengthen the clinical protocol</w:t>
      </w:r>
      <w:r>
        <w:t xml:space="preserve"> </w:t>
      </w:r>
      <w:r>
        <w:t xml:space="preserve">(performance-goal derivation and power analysis, endpoint timing, DSMB/CEC/core lab, tPA dosing/stopping criteria, follow-up duration, venographic scoring methodology, indicated-agent scope, and compliance commitments). (Issues 37, 38, 39, 40, 41, 46, 49, 50, 51.)</w:t>
      </w:r>
    </w:p>
    <w:p>
      <w:pPr>
        <w:numPr>
          <w:ilvl w:val="0"/>
          <w:numId w:val="1006"/>
        </w:numPr>
      </w:pPr>
      <w:r>
        <w:rPr>
          <w:b/>
          <w:bCs/>
        </w:rPr>
        <w:t xml:space="preserve">Engage Kendrick &amp; Hale</w:t>
      </w:r>
      <w:r>
        <w:t xml:space="preserve"> </w:t>
      </w:r>
      <w:r>
        <w:t xml:space="preserve">on the Braddock milestone implications and prepare a realistic, contingency-inclusive timeline. (Issue 36.)</w:t>
      </w:r>
    </w:p>
    <w:p>
      <w:pPr>
        <w:numPr>
          <w:ilvl w:val="0"/>
          <w:numId w:val="1006"/>
        </w:numPr>
      </w:pPr>
      <w:r>
        <w:rPr>
          <w:b/>
          <w:bCs/>
        </w:rPr>
        <w:t xml:space="preserve">Correct the drafting/consistency items</w:t>
      </w:r>
      <w:r>
        <w:t xml:space="preserve"> </w:t>
      </w:r>
      <w:r>
        <w:t xml:space="preserve">in Tier 5 before the package is finalized, including reconciling the Cover Letter’s enclosure description with the actual Testing Plan contents and removing</w:t>
      </w:r>
      <w:r>
        <w:t xml:space="preserve"> </w:t>
      </w:r>
      <w:r>
        <w:t xml:space="preserve">“</w:t>
      </w:r>
      <w:r>
        <w:t xml:space="preserve">already-validated</w:t>
      </w:r>
      <w:r>
        <w:t xml:space="preserve">”</w:t>
      </w:r>
      <w:r>
        <w:t xml:space="preserve"> </w:t>
      </w:r>
      <w:r>
        <w:t xml:space="preserve">language from the Device Description. (Issues 21, 22, 52–68.)</w:t>
      </w:r>
    </w:p>
    <w:p>
      <w:pPr>
        <w:pStyle w:val="FirstParagraph"/>
      </w:pPr>
      <w:r>
        <w:t xml:space="preserve">I am available to discuss any of the above and to assist with revisions. Given the May 19 internal deadline and the June 15 filing target, I recommend that the Tier 1 and Tier 2 items be resolved this week.</w:t>
      </w:r>
    </w:p>
    <w:p>
      <w:pPr>
        <w:pStyle w:val="BodyText"/>
      </w:pPr>
      <w:r>
        <w:t xml:space="preserve">Respectfully submitted,</w:t>
      </w:r>
    </w:p>
    <w:p>
      <w:pPr>
        <w:pStyle w:val="BodyText"/>
      </w:pPr>
      <w:r>
        <w:rPr>
          <w:b/>
          <w:bCs/>
        </w:rPr>
        <w:t xml:space="preserve">Daniel J. Yoo</w:t>
      </w:r>
      <w:r>
        <w:t xml:space="preserve"> </w:t>
      </w:r>
      <w:r>
        <w:t xml:space="preserve">Senior Associate</w:t>
      </w:r>
      <w:r>
        <w:t xml:space="preserve"> </w:t>
      </w:r>
      <w:r>
        <w:t xml:space="preserve">Hargrove, Templeton &amp; Bliss LLP</w:t>
      </w:r>
      <w:r>
        <w:t xml:space="preserve"> </w:t>
      </w:r>
      <w:r>
        <w:t xml:space="preserve">1750 K Street NW, Suite 900</w:t>
      </w:r>
      <w:r>
        <w:t xml:space="preserve"> </w:t>
      </w:r>
      <w:r>
        <w:t xml:space="preserve">Washington, DC 20006</w:t>
      </w:r>
      <w:r>
        <w:t xml:space="preserve"> </w:t>
      </w:r>
      <w:r>
        <w:t xml:space="preserve">(202) 555-0387</w:t>
      </w:r>
      <w:r>
        <w:t xml:space="preserve"> </w:t>
      </w:r>
      <w:r>
        <w:t xml:space="preserve">dyoo@hargrovetb.com</w:t>
      </w:r>
    </w:p>
    <w:p>
      <w:r>
        <w:pict>
          <v:rect style="width:0;height:1.5pt" o:hralign="center" o:hrstd="t" o:hr="t"/>
        </w:pict>
      </w:r>
    </w:p>
    <w:bookmarkEnd w:id="98"/>
    <w:bookmarkStart w:id="99" w:name="appendix-a-consolidated-issue-inventory"/>
    <w:p>
      <w:pPr>
        <w:pStyle w:val="Heading2"/>
      </w:pPr>
      <w:r>
        <w:t xml:space="preserve">Appendix A — Consolidated Issue Inventory</w:t>
      </w:r>
    </w:p>
    <w:tbl>
      <w:tblPr>
        <w:tblStyle w:val="Table"/>
        <w:tblW w:type="pct" w:w="5000"/>
        <w:jc w:val="left"/>
        <w:tblLayout w:type="fixed"/>
        <w:tblLook w:firstRow="1" w:lastRow="0" w:firstColumn="0" w:lastColumn="0" w:noHBand="0" w:noVBand="0" w:val="0020"/>
      </w:tblPr>
      <w:tblGrid>
        <w:gridCol w:w="742"/>
        <w:gridCol w:w="1485"/>
        <w:gridCol w:w="1732"/>
        <w:gridCol w:w="3960"/>
      </w:tblGrid>
      <w:tr>
        <w:trPr>
          <w:tblHeader w:val="on"/>
        </w:trPr>
        <w:tc>
          <w:tcPr/>
          <w:p>
            <w:pPr>
              <w:pStyle w:val="Compact"/>
              <w:jc w:val="left"/>
            </w:pPr>
            <w:r>
              <w:t xml:space="preserve">#</w:t>
            </w:r>
          </w:p>
        </w:tc>
        <w:tc>
          <w:tcPr/>
          <w:p>
            <w:pPr>
              <w:pStyle w:val="Compact"/>
              <w:jc w:val="left"/>
            </w:pPr>
            <w:r>
              <w:t xml:space="preserve">Tier</w:t>
            </w:r>
          </w:p>
        </w:tc>
        <w:tc>
          <w:tcPr/>
          <w:p>
            <w:pPr>
              <w:pStyle w:val="Compact"/>
              <w:jc w:val="left"/>
            </w:pPr>
            <w:r>
              <w:t xml:space="preserve">Issue</w:t>
            </w:r>
          </w:p>
        </w:tc>
        <w:tc>
          <w:tcPr/>
          <w:p>
            <w:pPr>
              <w:pStyle w:val="Compact"/>
              <w:jc w:val="left"/>
            </w:pPr>
            <w:r>
              <w:t xml:space="preserve">Primary Source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Combination-product classification not put to FDA</w:t>
            </w:r>
          </w:p>
        </w:tc>
        <w:tc>
          <w:tcPr/>
          <w:p>
            <w:pPr>
              <w:pStyle w:val="Compact"/>
              <w:jc w:val="left"/>
            </w:pPr>
            <w:r>
              <w:t xml:space="preserve">Cover Letter §VII; DevDesc §1, §5; email (Pressman 5/12)</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IDE requirement not put to FDA;</w:t>
            </w:r>
            <w:r>
              <w:t xml:space="preserve"> </w:t>
            </w:r>
            <w:r>
              <w:t xml:space="preserve">“</w:t>
            </w:r>
            <w:r>
              <w:t xml:space="preserve">post-clearance</w:t>
            </w:r>
            <w:r>
              <w:t xml:space="preserve">”</w:t>
            </w:r>
            <w:r>
              <w:t xml:space="preserve"> </w:t>
            </w:r>
            <w:r>
              <w:t xml:space="preserve">theory contradicted</w:t>
            </w:r>
          </w:p>
        </w:tc>
        <w:tc>
          <w:tcPr/>
          <w:p>
            <w:pPr>
              <w:pStyle w:val="Compact"/>
              <w:jc w:val="left"/>
            </w:pPr>
            <w:r>
              <w:t xml:space="preserve">ClinSyn §3, §5, §6, §15; Testing Plan §9.2; email (Pressman 5/5, 5/12)</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SR/NSR determination undocumented</w:t>
            </w:r>
          </w:p>
        </w:tc>
        <w:tc>
          <w:tcPr/>
          <w:p>
            <w:pPr>
              <w:pStyle w:val="Compact"/>
              <w:jc w:val="left"/>
            </w:pPr>
            <w:r>
              <w:t xml:space="preserve">ClinSyn §6, §9.3</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Indication framing inconsistent with team’s own strategy</w:t>
            </w:r>
          </w:p>
        </w:tc>
        <w:tc>
          <w:tcPr/>
          <w:p>
            <w:pPr>
              <w:pStyle w:val="Compact"/>
              <w:jc w:val="left"/>
            </w:pPr>
            <w:r>
              <w:t xml:space="preserve">Cover Letter §IV; DevDesc §2.4; IFU §2; ClinSyn §4.1; email (Marsh 5/9)</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No predicate for drug-delivery/pharmacomechanical function</w:t>
            </w:r>
          </w:p>
        </w:tc>
        <w:tc>
          <w:tcPr/>
          <w:p>
            <w:pPr>
              <w:pStyle w:val="Compact"/>
              <w:jc w:val="left"/>
            </w:pPr>
            <w:r>
              <w:t xml:space="preserve">ThrombEx Summary §2, §6; DevDesc §3.1, §4.3</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Different mechanism (impeller vs. Bernoulli); no impeller predicate</w:t>
            </w:r>
          </w:p>
        </w:tc>
        <w:tc>
          <w:tcPr/>
          <w:p>
            <w:pPr>
              <w:pStyle w:val="Compact"/>
              <w:jc w:val="left"/>
            </w:pPr>
            <w:r>
              <w:t xml:space="preserve">DevDesc §4.2, §4.3, §5.2; ThrombEx Summary §3.3</w:t>
            </w:r>
          </w:p>
        </w:tc>
      </w:tr>
      <w:tr>
        <w:tc>
          <w:tcPr/>
          <w:p>
            <w:pPr>
              <w:pStyle w:val="Compact"/>
              <w:jc w:val="left"/>
            </w:pPr>
            <w:r>
              <w:t xml:space="preserve">7</w:t>
            </w:r>
          </w:p>
        </w:tc>
        <w:tc>
          <w:tcPr/>
          <w:p>
            <w:pPr>
              <w:pStyle w:val="Compact"/>
              <w:jc w:val="left"/>
            </w:pPr>
            <w:r>
              <w:t xml:space="preserve">2</w:t>
            </w:r>
          </w:p>
        </w:tc>
        <w:tc>
          <w:tcPr/>
          <w:p>
            <w:pPr>
              <w:pStyle w:val="Compact"/>
              <w:jc w:val="left"/>
            </w:pPr>
            <w:r>
              <w:t xml:space="preserve">Predicate population misstated in Testing Plan Table A-1</w:t>
            </w:r>
          </w:p>
        </w:tc>
        <w:tc>
          <w:tcPr/>
          <w:p>
            <w:pPr>
              <w:pStyle w:val="Compact"/>
              <w:jc w:val="left"/>
            </w:pPr>
            <w:r>
              <w:t xml:space="preserve">Testing Plan App. A; ThrombEx Summary §2</w:t>
            </w:r>
          </w:p>
        </w:tc>
      </w:tr>
      <w:tr>
        <w:tc>
          <w:tcPr/>
          <w:p>
            <w:pPr>
              <w:pStyle w:val="Compact"/>
              <w:jc w:val="left"/>
            </w:pPr>
            <w:r>
              <w:t xml:space="preserve">8</w:t>
            </w:r>
          </w:p>
        </w:tc>
        <w:tc>
          <w:tcPr/>
          <w:p>
            <w:pPr>
              <w:pStyle w:val="Compact"/>
              <w:jc w:val="left"/>
            </w:pPr>
            <w:r>
              <w:t xml:space="preserve">2</w:t>
            </w:r>
          </w:p>
        </w:tc>
        <w:tc>
          <w:tcPr/>
          <w:p>
            <w:pPr>
              <w:pStyle w:val="Compact"/>
              <w:jc w:val="left"/>
            </w:pPr>
            <w:r>
              <w:t xml:space="preserve">Predicate aspiration pressure &amp; software LOC shown as</w:t>
            </w:r>
            <w:r>
              <w:t xml:space="preserve"> </w:t>
            </w:r>
            <w:r>
              <w:t xml:space="preserve">“</w:t>
            </w:r>
            <w:r>
              <w:t xml:space="preserve">Not specified</w:t>
            </w:r>
            <w:r>
              <w:t xml:space="preserve">”</w:t>
            </w:r>
            <w:r>
              <w:t xml:space="preserve"> </w:t>
            </w:r>
            <w:r>
              <w:t xml:space="preserve">(both are specified)</w:t>
            </w:r>
          </w:p>
        </w:tc>
        <w:tc>
          <w:tcPr/>
          <w:p>
            <w:pPr>
              <w:pStyle w:val="Compact"/>
              <w:jc w:val="left"/>
            </w:pPr>
            <w:r>
              <w:t xml:space="preserve">DevDesc §4.2; Testing Plan App. A; ThrombEx Summary §5.2, §5.6</w:t>
            </w:r>
          </w:p>
        </w:tc>
      </w:tr>
      <w:tr>
        <w:tc>
          <w:tcPr/>
          <w:p>
            <w:pPr>
              <w:pStyle w:val="Compact"/>
              <w:jc w:val="left"/>
            </w:pPr>
            <w:r>
              <w:t xml:space="preserve">9</w:t>
            </w:r>
          </w:p>
        </w:tc>
        <w:tc>
          <w:tcPr/>
          <w:p>
            <w:pPr>
              <w:pStyle w:val="Compact"/>
              <w:jc w:val="left"/>
            </w:pPr>
            <w:r>
              <w:t xml:space="preserve">3</w:t>
            </w:r>
          </w:p>
        </w:tc>
        <w:tc>
          <w:tcPr/>
          <w:p>
            <w:pPr>
              <w:pStyle w:val="Compact"/>
              <w:jc w:val="left"/>
            </w:pPr>
            <w:r>
              <w:t xml:space="preserve">Biocompatibility</w:t>
            </w:r>
            <w:r>
              <w:t xml:space="preserve"> </w:t>
            </w:r>
            <w:r>
              <w:t xml:space="preserve">“</w:t>
            </w:r>
            <w:r>
              <w:t xml:space="preserve">limited &lt;24h</w:t>
            </w:r>
            <w:r>
              <w:t xml:space="preserve">”</w:t>
            </w:r>
            <w:r>
              <w:t xml:space="preserve"> </w:t>
            </w:r>
            <w:r>
              <w:t xml:space="preserve">vs. 72-hour indwell (prolonged) contradiction</w:t>
            </w:r>
          </w:p>
        </w:tc>
        <w:tc>
          <w:tcPr/>
          <w:p>
            <w:pPr>
              <w:pStyle w:val="Compact"/>
              <w:jc w:val="left"/>
            </w:pPr>
            <w:r>
              <w:t xml:space="preserve">Testing Plan §2.1, §2.2; DevDesc §2.2, §4.2; IFU §1, §8.4; ClinSyn §8.2</w:t>
            </w:r>
          </w:p>
        </w:tc>
      </w:tr>
      <w:tr>
        <w:tc>
          <w:tcPr/>
          <w:p>
            <w:pPr>
              <w:pStyle w:val="Compact"/>
              <w:jc w:val="left"/>
            </w:pPr>
            <w:r>
              <w:t xml:space="preserve">10</w:t>
            </w:r>
          </w:p>
        </w:tc>
        <w:tc>
          <w:tcPr/>
          <w:p>
            <w:pPr>
              <w:pStyle w:val="Compact"/>
              <w:jc w:val="left"/>
            </w:pPr>
            <w:r>
              <w:t xml:space="preserve">3</w:t>
            </w:r>
          </w:p>
        </w:tc>
        <w:tc>
          <w:tcPr/>
          <w:p>
            <w:pPr>
              <w:pStyle w:val="Compact"/>
              <w:jc w:val="left"/>
            </w:pPr>
            <w:r>
              <w:t xml:space="preserve">EtO residual limits tied to limited-contact duration</w:t>
            </w:r>
          </w:p>
        </w:tc>
        <w:tc>
          <w:tcPr/>
          <w:p>
            <w:pPr>
              <w:pStyle w:val="Compact"/>
              <w:jc w:val="left"/>
            </w:pPr>
            <w:r>
              <w:t xml:space="preserve">Testing Plan §6.2</w:t>
            </w:r>
          </w:p>
        </w:tc>
      </w:tr>
      <w:tr>
        <w:tc>
          <w:tcPr/>
          <w:p>
            <w:pPr>
              <w:pStyle w:val="Compact"/>
              <w:jc w:val="left"/>
            </w:pPr>
            <w:r>
              <w:t xml:space="preserve">11</w:t>
            </w:r>
          </w:p>
        </w:tc>
        <w:tc>
          <w:tcPr/>
          <w:p>
            <w:pPr>
              <w:pStyle w:val="Compact"/>
              <w:jc w:val="left"/>
            </w:pPr>
            <w:r>
              <w:t xml:space="preserve">3</w:t>
            </w:r>
          </w:p>
        </w:tc>
        <w:tc>
          <w:tcPr/>
          <w:p>
            <w:pPr>
              <w:pStyle w:val="Compact"/>
              <w:jc w:val="left"/>
            </w:pPr>
            <w:r>
              <w:t xml:space="preserve">Impeller fatigue</w:t>
            </w:r>
            <w:r>
              <w:t xml:space="preserve"> </w:t>
            </w:r>
            <w:r>
              <w:t xml:space="preserve">“</w:t>
            </w:r>
            <w:r>
              <w:t xml:space="preserve">500 rotational cycles</w:t>
            </w:r>
            <w:r>
              <w:t xml:space="preserve">”</w:t>
            </w:r>
            <w:r>
              <w:t xml:space="preserve"> </w:t>
            </w:r>
            <w:r>
              <w:t xml:space="preserve">= ~2.5 s;</w:t>
            </w:r>
            <w:r>
              <w:t xml:space="preserve"> </w:t>
            </w:r>
            <w:r>
              <w:t xml:space="preserve">“</w:t>
            </w:r>
            <w:r>
              <w:t xml:space="preserve">cycle</w:t>
            </w:r>
            <w:r>
              <w:t xml:space="preserve">”</w:t>
            </w:r>
            <w:r>
              <w:t xml:space="preserve"> </w:t>
            </w:r>
            <w:r>
              <w:t xml:space="preserve">defined inconsistently</w:t>
            </w:r>
          </w:p>
        </w:tc>
        <w:tc>
          <w:tcPr/>
          <w:p>
            <w:pPr>
              <w:pStyle w:val="Compact"/>
              <w:jc w:val="left"/>
            </w:pPr>
            <w:r>
              <w:t xml:space="preserve">Testing Plan §3.3; DevDesc §2.2</w:t>
            </w:r>
          </w:p>
        </w:tc>
      </w:tr>
      <w:tr>
        <w:tc>
          <w:tcPr/>
          <w:p>
            <w:pPr>
              <w:pStyle w:val="Compact"/>
              <w:jc w:val="left"/>
            </w:pPr>
            <w:r>
              <w:t xml:space="preserve">12</w:t>
            </w:r>
          </w:p>
        </w:tc>
        <w:tc>
          <w:tcPr/>
          <w:p>
            <w:pPr>
              <w:pStyle w:val="Compact"/>
              <w:jc w:val="left"/>
            </w:pPr>
            <w:r>
              <w:t xml:space="preserve">3</w:t>
            </w:r>
          </w:p>
        </w:tc>
        <w:tc>
          <w:tcPr/>
          <w:p>
            <w:pPr>
              <w:pStyle w:val="Compact"/>
              <w:jc w:val="left"/>
            </w:pPr>
            <w:r>
              <w:t xml:space="preserve">Simulated-use bench testing excludes pharmacomechanical function</w:t>
            </w:r>
          </w:p>
        </w:tc>
        <w:tc>
          <w:tcPr/>
          <w:p>
            <w:pPr>
              <w:pStyle w:val="Compact"/>
              <w:jc w:val="left"/>
            </w:pPr>
            <w:r>
              <w:t xml:space="preserve">Testing Plan §7.2</w:t>
            </w:r>
          </w:p>
        </w:tc>
      </w:tr>
      <w:tr>
        <w:tc>
          <w:tcPr/>
          <w:p>
            <w:pPr>
              <w:pStyle w:val="Compact"/>
              <w:jc w:val="left"/>
            </w:pPr>
            <w:r>
              <w:t xml:space="preserve">13</w:t>
            </w:r>
          </w:p>
        </w:tc>
        <w:tc>
          <w:tcPr/>
          <w:p>
            <w:pPr>
              <w:pStyle w:val="Compact"/>
              <w:jc w:val="left"/>
            </w:pPr>
            <w:r>
              <w:t xml:space="preserve">3</w:t>
            </w:r>
          </w:p>
        </w:tc>
        <w:tc>
          <w:tcPr/>
          <w:p>
            <w:pPr>
              <w:pStyle w:val="Compact"/>
              <w:jc w:val="left"/>
            </w:pPr>
            <w:r>
              <w:t xml:space="preserve">Drug-delivery characterization saline only; compatibility unverified</w:t>
            </w:r>
          </w:p>
        </w:tc>
        <w:tc>
          <w:tcPr/>
          <w:p>
            <w:pPr>
              <w:pStyle w:val="Compact"/>
              <w:jc w:val="left"/>
            </w:pPr>
            <w:r>
              <w:t xml:space="preserve">Testing Plan §8.2; IFU §9</w:t>
            </w:r>
          </w:p>
        </w:tc>
      </w:tr>
      <w:tr>
        <w:tc>
          <w:tcPr/>
          <w:p>
            <w:pPr>
              <w:pStyle w:val="Compact"/>
              <w:jc w:val="left"/>
            </w:pPr>
            <w:r>
              <w:t xml:space="preserve">14</w:t>
            </w:r>
          </w:p>
        </w:tc>
        <w:tc>
          <w:tcPr/>
          <w:p>
            <w:pPr>
              <w:pStyle w:val="Compact"/>
              <w:jc w:val="left"/>
            </w:pPr>
            <w:r>
              <w:t xml:space="preserve">3</w:t>
            </w:r>
          </w:p>
        </w:tc>
        <w:tc>
          <w:tcPr/>
          <w:p>
            <w:pPr>
              <w:pStyle w:val="Compact"/>
              <w:jc w:val="left"/>
            </w:pPr>
            <w:r>
              <w:t xml:space="preserve">Software LOC</w:t>
            </w:r>
            <w:r>
              <w:t xml:space="preserve"> </w:t>
            </w:r>
            <w:r>
              <w:t xml:space="preserve">“</w:t>
            </w:r>
            <w:r>
              <w:t xml:space="preserve">Minor</w:t>
            </w:r>
            <w:r>
              <w:t xml:space="preserve">”</w:t>
            </w:r>
            <w:r>
              <w:t xml:space="preserve"> </w:t>
            </w:r>
            <w:r>
              <w:t xml:space="preserve">understated (predicate was Moderate)</w:t>
            </w:r>
          </w:p>
        </w:tc>
        <w:tc>
          <w:tcPr/>
          <w:p>
            <w:pPr>
              <w:pStyle w:val="Compact"/>
              <w:jc w:val="left"/>
            </w:pPr>
            <w:r>
              <w:t xml:space="preserve">Testing Plan §5.2, §5.3; ThrombEx Summary §5.6</w:t>
            </w:r>
          </w:p>
        </w:tc>
      </w:tr>
      <w:tr>
        <w:tc>
          <w:tcPr/>
          <w:p>
            <w:pPr>
              <w:pStyle w:val="Compact"/>
              <w:jc w:val="left"/>
            </w:pPr>
            <w:r>
              <w:t xml:space="preserve">15</w:t>
            </w:r>
          </w:p>
        </w:tc>
        <w:tc>
          <w:tcPr/>
          <w:p>
            <w:pPr>
              <w:pStyle w:val="Compact"/>
              <w:jc w:val="left"/>
            </w:pPr>
            <w:r>
              <w:t xml:space="preserve">3</w:t>
            </w:r>
          </w:p>
        </w:tc>
        <w:tc>
          <w:tcPr/>
          <w:p>
            <w:pPr>
              <w:pStyle w:val="Compact"/>
              <w:jc w:val="left"/>
            </w:pPr>
            <w:r>
              <w:t xml:space="preserve">Obsolete 2005 software guidance; IEC 62304 not committed</w:t>
            </w:r>
          </w:p>
        </w:tc>
        <w:tc>
          <w:tcPr/>
          <w:p>
            <w:pPr>
              <w:pStyle w:val="Compact"/>
              <w:jc w:val="left"/>
            </w:pPr>
            <w:r>
              <w:t xml:space="preserve">DevDesc §2.3, Ref. §7; Testing Plan §5.2; ThrombEx Summary §5.6</w:t>
            </w:r>
          </w:p>
        </w:tc>
      </w:tr>
      <w:tr>
        <w:tc>
          <w:tcPr/>
          <w:p>
            <w:pPr>
              <w:pStyle w:val="Compact"/>
              <w:jc w:val="left"/>
            </w:pPr>
            <w:r>
              <w:t xml:space="preserve">16</w:t>
            </w:r>
          </w:p>
        </w:tc>
        <w:tc>
          <w:tcPr/>
          <w:p>
            <w:pPr>
              <w:pStyle w:val="Compact"/>
              <w:jc w:val="left"/>
            </w:pPr>
            <w:r>
              <w:t xml:space="preserve">3</w:t>
            </w:r>
          </w:p>
        </w:tc>
        <w:tc>
          <w:tcPr/>
          <w:p>
            <w:pPr>
              <w:pStyle w:val="Compact"/>
              <w:jc w:val="left"/>
            </w:pPr>
            <w:r>
              <w:t xml:space="preserve">EMC testing (IEC 60601-1-2) omitted</w:t>
            </w:r>
          </w:p>
        </w:tc>
        <w:tc>
          <w:tcPr/>
          <w:p>
            <w:pPr>
              <w:pStyle w:val="Compact"/>
              <w:jc w:val="left"/>
            </w:pPr>
            <w:r>
              <w:t xml:space="preserve">Testing Plan §4; ThrombEx Summary §5.3</w:t>
            </w:r>
          </w:p>
        </w:tc>
      </w:tr>
      <w:tr>
        <w:tc>
          <w:tcPr/>
          <w:p>
            <w:pPr>
              <w:pStyle w:val="Compact"/>
              <w:jc w:val="left"/>
            </w:pPr>
            <w:r>
              <w:t xml:space="preserve">17</w:t>
            </w:r>
          </w:p>
        </w:tc>
        <w:tc>
          <w:tcPr/>
          <w:p>
            <w:pPr>
              <w:pStyle w:val="Compact"/>
              <w:jc w:val="left"/>
            </w:pPr>
            <w:r>
              <w:t xml:space="preserve">3</w:t>
            </w:r>
          </w:p>
        </w:tc>
        <w:tc>
          <w:tcPr/>
          <w:p>
            <w:pPr>
              <w:pStyle w:val="Compact"/>
              <w:jc w:val="left"/>
            </w:pPr>
            <w:r>
              <w:t xml:space="preserve">Shelf-life/sterile-barrier validation omitted</w:t>
            </w:r>
          </w:p>
        </w:tc>
        <w:tc>
          <w:tcPr/>
          <w:p>
            <w:pPr>
              <w:pStyle w:val="Compact"/>
              <w:jc w:val="left"/>
            </w:pPr>
            <w:r>
              <w:t xml:space="preserve">Testing Plan §6; IFU §12; ThrombEx Summary §5.4</w:t>
            </w:r>
          </w:p>
        </w:tc>
      </w:tr>
      <w:tr>
        <w:tc>
          <w:tcPr/>
          <w:p>
            <w:pPr>
              <w:pStyle w:val="Compact"/>
              <w:jc w:val="left"/>
            </w:pPr>
            <w:r>
              <w:t xml:space="preserve">18</w:t>
            </w:r>
          </w:p>
        </w:tc>
        <w:tc>
          <w:tcPr/>
          <w:p>
            <w:pPr>
              <w:pStyle w:val="Compact"/>
              <w:jc w:val="left"/>
            </w:pPr>
            <w:r>
              <w:t xml:space="preserve">3</w:t>
            </w:r>
          </w:p>
        </w:tc>
        <w:tc>
          <w:tcPr/>
          <w:p>
            <w:pPr>
              <w:pStyle w:val="Compact"/>
              <w:jc w:val="left"/>
            </w:pPr>
            <w:r>
              <w:t xml:space="preserve">No animal/in-vivo testing proposed</w:t>
            </w:r>
          </w:p>
        </w:tc>
        <w:tc>
          <w:tcPr/>
          <w:p>
            <w:pPr>
              <w:pStyle w:val="Compact"/>
              <w:jc w:val="left"/>
            </w:pPr>
            <w:r>
              <w:t xml:space="preserve">Testing Plan (entire)</w:t>
            </w:r>
          </w:p>
        </w:tc>
      </w:tr>
      <w:tr>
        <w:tc>
          <w:tcPr/>
          <w:p>
            <w:pPr>
              <w:pStyle w:val="Compact"/>
              <w:jc w:val="left"/>
            </w:pPr>
            <w:r>
              <w:t xml:space="preserve">19</w:t>
            </w:r>
          </w:p>
        </w:tc>
        <w:tc>
          <w:tcPr/>
          <w:p>
            <w:pPr>
              <w:pStyle w:val="Compact"/>
              <w:jc w:val="left"/>
            </w:pPr>
            <w:r>
              <w:t xml:space="preserve">3</w:t>
            </w:r>
          </w:p>
        </w:tc>
        <w:tc>
          <w:tcPr/>
          <w:p>
            <w:pPr>
              <w:pStyle w:val="Compact"/>
              <w:jc w:val="left"/>
            </w:pPr>
            <w:r>
              <w:t xml:space="preserve">No ISO 14971 risk-management file summary</w:t>
            </w:r>
          </w:p>
        </w:tc>
        <w:tc>
          <w:tcPr/>
          <w:p>
            <w:pPr>
              <w:pStyle w:val="Compact"/>
              <w:jc w:val="left"/>
            </w:pPr>
            <w:r>
              <w:t xml:space="preserve">Testing Plan §5.2; DevDesc §2.3</w:t>
            </w:r>
          </w:p>
        </w:tc>
      </w:tr>
      <w:tr>
        <w:tc>
          <w:tcPr/>
          <w:p>
            <w:pPr>
              <w:pStyle w:val="Compact"/>
              <w:jc w:val="left"/>
            </w:pPr>
            <w:r>
              <w:t xml:space="preserve">20</w:t>
            </w:r>
          </w:p>
        </w:tc>
        <w:tc>
          <w:tcPr/>
          <w:p>
            <w:pPr>
              <w:pStyle w:val="Compact"/>
              <w:jc w:val="left"/>
            </w:pPr>
            <w:r>
              <w:t xml:space="preserve">3</w:t>
            </w:r>
          </w:p>
        </w:tc>
        <w:tc>
          <w:tcPr/>
          <w:p>
            <w:pPr>
              <w:pStyle w:val="Compact"/>
              <w:jc w:val="left"/>
            </w:pPr>
            <w:r>
              <w:t xml:space="preserve">Impeller material contradictory (316L vs. nitinol)</w:t>
            </w:r>
          </w:p>
        </w:tc>
        <w:tc>
          <w:tcPr/>
          <w:p>
            <w:pPr>
              <w:pStyle w:val="Compact"/>
              <w:jc w:val="left"/>
            </w:pPr>
            <w:r>
              <w:t xml:space="preserve">DevDesc §2.2; Testing Plan §2.3</w:t>
            </w:r>
          </w:p>
        </w:tc>
      </w:tr>
      <w:tr>
        <w:tc>
          <w:tcPr/>
          <w:p>
            <w:pPr>
              <w:pStyle w:val="Compact"/>
              <w:jc w:val="left"/>
            </w:pPr>
            <w:r>
              <w:t xml:space="preserve">21</w:t>
            </w:r>
          </w:p>
        </w:tc>
        <w:tc>
          <w:tcPr/>
          <w:p>
            <w:pPr>
              <w:pStyle w:val="Compact"/>
              <w:jc w:val="left"/>
            </w:pPr>
            <w:r>
              <w:t xml:space="preserve">3</w:t>
            </w:r>
          </w:p>
        </w:tc>
        <w:tc>
          <w:tcPr/>
          <w:p>
            <w:pPr>
              <w:pStyle w:val="Compact"/>
              <w:jc w:val="left"/>
            </w:pPr>
            <w:r>
              <w:t xml:space="preserve">Cover Letter misrepresents Testing Plan contents (claims EMC + IEC 62304)</w:t>
            </w:r>
          </w:p>
        </w:tc>
        <w:tc>
          <w:tcPr/>
          <w:p>
            <w:pPr>
              <w:pStyle w:val="Compact"/>
              <w:jc w:val="left"/>
            </w:pPr>
            <w:r>
              <w:t xml:space="preserve">Cover Letter §V; Testing Plan §4, §5</w:t>
            </w:r>
          </w:p>
        </w:tc>
      </w:tr>
      <w:tr>
        <w:tc>
          <w:tcPr/>
          <w:p>
            <w:pPr>
              <w:pStyle w:val="Compact"/>
              <w:jc w:val="left"/>
            </w:pPr>
            <w:r>
              <w:t xml:space="preserve">22</w:t>
            </w:r>
          </w:p>
        </w:tc>
        <w:tc>
          <w:tcPr/>
          <w:p>
            <w:pPr>
              <w:pStyle w:val="Compact"/>
              <w:jc w:val="left"/>
            </w:pPr>
            <w:r>
              <w:t xml:space="preserve">3</w:t>
            </w:r>
          </w:p>
        </w:tc>
        <w:tc>
          <w:tcPr/>
          <w:p>
            <w:pPr>
              <w:pStyle w:val="Compact"/>
              <w:jc w:val="left"/>
            </w:pPr>
            <w:r>
              <w:t xml:space="preserve">DevDesc presents validations as already completed; Testing Plan schedules them future</w:t>
            </w:r>
          </w:p>
        </w:tc>
        <w:tc>
          <w:tcPr/>
          <w:p>
            <w:pPr>
              <w:pStyle w:val="Compact"/>
              <w:jc w:val="left"/>
            </w:pPr>
            <w:r>
              <w:t xml:space="preserve">DevDesc §2.2; Testing Plan §9.2</w:t>
            </w:r>
          </w:p>
        </w:tc>
      </w:tr>
      <w:tr>
        <w:tc>
          <w:tcPr/>
          <w:p>
            <w:pPr>
              <w:pStyle w:val="Compact"/>
              <w:jc w:val="left"/>
            </w:pPr>
            <w:r>
              <w:t xml:space="preserve">23</w:t>
            </w:r>
          </w:p>
        </w:tc>
        <w:tc>
          <w:tcPr/>
          <w:p>
            <w:pPr>
              <w:pStyle w:val="Compact"/>
              <w:jc w:val="left"/>
            </w:pPr>
            <w:r>
              <w:t xml:space="preserve">3</w:t>
            </w:r>
          </w:p>
        </w:tc>
        <w:tc>
          <w:tcPr/>
          <w:p>
            <w:pPr>
              <w:pStyle w:val="Compact"/>
              <w:jc w:val="left"/>
            </w:pPr>
            <w:r>
              <w:t xml:space="preserve">Biocompatibility contact-TYPE categorization inconsistent/incorrect (surface vs. blood-direct)</w:t>
            </w:r>
          </w:p>
        </w:tc>
        <w:tc>
          <w:tcPr/>
          <w:p>
            <w:pPr>
              <w:pStyle w:val="Compact"/>
              <w:jc w:val="left"/>
            </w:pPr>
            <w:r>
              <w:t xml:space="preserve">DevDesc §4.4; Testing Plan §2.1</w:t>
            </w:r>
          </w:p>
        </w:tc>
      </w:tr>
      <w:tr>
        <w:tc>
          <w:tcPr/>
          <w:p>
            <w:pPr>
              <w:pStyle w:val="Compact"/>
              <w:jc w:val="left"/>
            </w:pPr>
            <w:r>
              <w:t xml:space="preserve">24</w:t>
            </w:r>
          </w:p>
        </w:tc>
        <w:tc>
          <w:tcPr/>
          <w:p>
            <w:pPr>
              <w:pStyle w:val="Compact"/>
              <w:jc w:val="left"/>
            </w:pPr>
            <w:r>
              <w:t xml:space="preserve">3</w:t>
            </w:r>
          </w:p>
        </w:tc>
        <w:tc>
          <w:tcPr/>
          <w:p>
            <w:pPr>
              <w:pStyle w:val="Compact"/>
              <w:jc w:val="left"/>
            </w:pPr>
            <w:r>
              <w:t xml:space="preserve">Flexural fatigue testing of catheter body omitted (predicate did 50,000 cycles)</w:t>
            </w:r>
          </w:p>
        </w:tc>
        <w:tc>
          <w:tcPr/>
          <w:p>
            <w:pPr>
              <w:pStyle w:val="Compact"/>
              <w:jc w:val="left"/>
            </w:pPr>
            <w:r>
              <w:t xml:space="preserve">Testing Plan §3; ThrombEx Summary §5.2</w:t>
            </w:r>
          </w:p>
        </w:tc>
      </w:tr>
      <w:tr>
        <w:tc>
          <w:tcPr/>
          <w:p>
            <w:pPr>
              <w:pStyle w:val="Compact"/>
              <w:jc w:val="left"/>
            </w:pPr>
            <w:r>
              <w:t xml:space="preserve">25</w:t>
            </w:r>
          </w:p>
        </w:tc>
        <w:tc>
          <w:tcPr/>
          <w:p>
            <w:pPr>
              <w:pStyle w:val="Compact"/>
              <w:jc w:val="left"/>
            </w:pPr>
            <w:r>
              <w:t xml:space="preserve">3</w:t>
            </w:r>
          </w:p>
        </w:tc>
        <w:tc>
          <w:tcPr/>
          <w:p>
            <w:pPr>
              <w:pStyle w:val="Compact"/>
              <w:jc w:val="left"/>
            </w:pPr>
            <w:r>
              <w:t xml:space="preserve">Distal-tip detachment-force testing omitted (predicate did)</w:t>
            </w:r>
          </w:p>
        </w:tc>
        <w:tc>
          <w:tcPr/>
          <w:p>
            <w:pPr>
              <w:pStyle w:val="Compact"/>
              <w:jc w:val="left"/>
            </w:pPr>
            <w:r>
              <w:t xml:space="preserve">Testing Plan §3.2; ThrombEx Summary §5.2</w:t>
            </w:r>
          </w:p>
        </w:tc>
      </w:tr>
      <w:tr>
        <w:tc>
          <w:tcPr/>
          <w:p>
            <w:pPr>
              <w:pStyle w:val="Compact"/>
              <w:jc w:val="left"/>
            </w:pPr>
            <w:r>
              <w:t xml:space="preserve">26</w:t>
            </w:r>
          </w:p>
        </w:tc>
        <w:tc>
          <w:tcPr/>
          <w:p>
            <w:pPr>
              <w:pStyle w:val="Compact"/>
              <w:jc w:val="left"/>
            </w:pPr>
            <w:r>
              <w:t xml:space="preserve">3</w:t>
            </w:r>
          </w:p>
        </w:tc>
        <w:tc>
          <w:tcPr/>
          <w:p>
            <w:pPr>
              <w:pStyle w:val="Compact"/>
              <w:jc w:val="left"/>
            </w:pPr>
            <w:r>
              <w:t xml:space="preserve">No radiopaque marker band described (fluoroscopic use; predicate had one)</w:t>
            </w:r>
          </w:p>
        </w:tc>
        <w:tc>
          <w:tcPr/>
          <w:p>
            <w:pPr>
              <w:pStyle w:val="Compact"/>
              <w:jc w:val="left"/>
            </w:pPr>
            <w:r>
              <w:t xml:space="preserve">DevDesc §2.2, §2.1; IFU §8; ThrombEx Summary §3.1</w:t>
            </w:r>
          </w:p>
        </w:tc>
      </w:tr>
      <w:tr>
        <w:tc>
          <w:tcPr/>
          <w:p>
            <w:pPr>
              <w:pStyle w:val="Compact"/>
              <w:jc w:val="left"/>
            </w:pPr>
            <w:r>
              <w:t xml:space="preserve">27</w:t>
            </w:r>
          </w:p>
        </w:tc>
        <w:tc>
          <w:tcPr/>
          <w:p>
            <w:pPr>
              <w:pStyle w:val="Compact"/>
              <w:jc w:val="left"/>
            </w:pPr>
            <w:r>
              <w:t xml:space="preserve">3</w:t>
            </w:r>
          </w:p>
        </w:tc>
        <w:tc>
          <w:tcPr/>
          <w:p>
            <w:pPr>
              <w:pStyle w:val="Compact"/>
              <w:jc w:val="left"/>
            </w:pPr>
            <w:r>
              <w:t xml:space="preserve">Rated infusion pressure / burst pressure undefined; acceptance criteria circular</w:t>
            </w:r>
          </w:p>
        </w:tc>
        <w:tc>
          <w:tcPr/>
          <w:p>
            <w:pPr>
              <w:pStyle w:val="Compact"/>
              <w:jc w:val="left"/>
            </w:pPr>
            <w:r>
              <w:t xml:space="preserve">Testing Plan §3.2, §8.2; IFU §13</w:t>
            </w:r>
          </w:p>
        </w:tc>
      </w:tr>
      <w:tr>
        <w:tc>
          <w:tcPr/>
          <w:p>
            <w:pPr>
              <w:pStyle w:val="Compact"/>
              <w:jc w:val="left"/>
            </w:pPr>
            <w:r>
              <w:t xml:space="preserve">28</w:t>
            </w:r>
          </w:p>
        </w:tc>
        <w:tc>
          <w:tcPr/>
          <w:p>
            <w:pPr>
              <w:pStyle w:val="Compact"/>
              <w:jc w:val="left"/>
            </w:pPr>
            <w:r>
              <w:t xml:space="preserve">4</w:t>
            </w:r>
          </w:p>
        </w:tc>
        <w:tc>
          <w:tcPr/>
          <w:p>
            <w:pPr>
              <w:pStyle w:val="Compact"/>
              <w:jc w:val="left"/>
            </w:pPr>
            <w:r>
              <w:t xml:space="preserve">Reprocessing validation for reusable console omitted</w:t>
            </w:r>
          </w:p>
        </w:tc>
        <w:tc>
          <w:tcPr/>
          <w:p>
            <w:pPr>
              <w:pStyle w:val="Compact"/>
              <w:jc w:val="left"/>
            </w:pPr>
            <w:r>
              <w:t xml:space="preserve">IFU §11; DevDesc §2.3; Testing Plan</w:t>
            </w:r>
          </w:p>
        </w:tc>
      </w:tr>
      <w:tr>
        <w:tc>
          <w:tcPr/>
          <w:p>
            <w:pPr>
              <w:pStyle w:val="Compact"/>
              <w:jc w:val="left"/>
            </w:pPr>
            <w:r>
              <w:t xml:space="preserve">29</w:t>
            </w:r>
          </w:p>
        </w:tc>
        <w:tc>
          <w:tcPr/>
          <w:p>
            <w:pPr>
              <w:pStyle w:val="Compact"/>
              <w:jc w:val="left"/>
            </w:pPr>
            <w:r>
              <w:t xml:space="preserve">4</w:t>
            </w:r>
          </w:p>
        </w:tc>
        <w:tc>
          <w:tcPr/>
          <w:p>
            <w:pPr>
              <w:pStyle w:val="Compact"/>
              <w:jc w:val="left"/>
            </w:pPr>
            <w:r>
              <w:t xml:space="preserve">MRI safety testing omitted; IFU has [TBD] placeholders</w:t>
            </w:r>
          </w:p>
        </w:tc>
        <w:tc>
          <w:tcPr/>
          <w:p>
            <w:pPr>
              <w:pStyle w:val="Compact"/>
              <w:jc w:val="left"/>
            </w:pPr>
            <w:r>
              <w:t xml:space="preserve">IFU §6; DevDesc §4.2; Testing Plan</w:t>
            </w:r>
          </w:p>
        </w:tc>
      </w:tr>
      <w:tr>
        <w:tc>
          <w:tcPr/>
          <w:p>
            <w:pPr>
              <w:pStyle w:val="Compact"/>
              <w:jc w:val="left"/>
            </w:pPr>
            <w:r>
              <w:t xml:space="preserve">30</w:t>
            </w:r>
          </w:p>
        </w:tc>
        <w:tc>
          <w:tcPr/>
          <w:p>
            <w:pPr>
              <w:pStyle w:val="Compact"/>
              <w:jc w:val="left"/>
            </w:pPr>
            <w:r>
              <w:t xml:space="preserve">4</w:t>
            </w:r>
          </w:p>
        </w:tc>
        <w:tc>
          <w:tcPr/>
          <w:p>
            <w:pPr>
              <w:pStyle w:val="Compact"/>
              <w:jc w:val="left"/>
            </w:pPr>
            <w:r>
              <w:t xml:space="preserve">Human factors/usability engineering omitted</w:t>
            </w:r>
          </w:p>
        </w:tc>
        <w:tc>
          <w:tcPr/>
          <w:p>
            <w:pPr>
              <w:pStyle w:val="Compact"/>
              <w:jc w:val="left"/>
            </w:pPr>
            <w:r>
              <w:t xml:space="preserve">Testing Plan; DevDesc §2.3; IFU §8</w:t>
            </w:r>
          </w:p>
        </w:tc>
      </w:tr>
      <w:tr>
        <w:tc>
          <w:tcPr/>
          <w:p>
            <w:pPr>
              <w:pStyle w:val="Compact"/>
              <w:jc w:val="left"/>
            </w:pPr>
            <w:r>
              <w:t xml:space="preserve">31</w:t>
            </w:r>
          </w:p>
        </w:tc>
        <w:tc>
          <w:tcPr/>
          <w:p>
            <w:pPr>
              <w:pStyle w:val="Compact"/>
              <w:jc w:val="left"/>
            </w:pPr>
            <w:r>
              <w:t xml:space="preserve">4</w:t>
            </w:r>
          </w:p>
        </w:tc>
        <w:tc>
          <w:tcPr/>
          <w:p>
            <w:pPr>
              <w:pStyle w:val="Compact"/>
              <w:jc w:val="left"/>
            </w:pPr>
            <w:r>
              <w:t xml:space="preserve">Dynamic (in-use) hemolysis not addressed</w:t>
            </w:r>
          </w:p>
        </w:tc>
        <w:tc>
          <w:tcPr/>
          <w:p>
            <w:pPr>
              <w:pStyle w:val="Compact"/>
              <w:jc w:val="left"/>
            </w:pPr>
            <w:r>
              <w:t xml:space="preserve">Testing Plan §2.2, §3.3</w:t>
            </w:r>
          </w:p>
        </w:tc>
      </w:tr>
      <w:tr>
        <w:tc>
          <w:tcPr/>
          <w:p>
            <w:pPr>
              <w:pStyle w:val="Compact"/>
              <w:jc w:val="left"/>
            </w:pPr>
            <w:r>
              <w:t xml:space="preserve">32</w:t>
            </w:r>
          </w:p>
        </w:tc>
        <w:tc>
          <w:tcPr/>
          <w:p>
            <w:pPr>
              <w:pStyle w:val="Compact"/>
              <w:jc w:val="left"/>
            </w:pPr>
            <w:r>
              <w:t xml:space="preserve">4</w:t>
            </w:r>
          </w:p>
        </w:tc>
        <w:tc>
          <w:tcPr/>
          <w:p>
            <w:pPr>
              <w:pStyle w:val="Compact"/>
              <w:jc w:val="left"/>
            </w:pPr>
            <w:r>
              <w:t xml:space="preserve">Corrosion/galvanic testing omitted</w:t>
            </w:r>
          </w:p>
        </w:tc>
        <w:tc>
          <w:tcPr/>
          <w:p>
            <w:pPr>
              <w:pStyle w:val="Compact"/>
              <w:jc w:val="left"/>
            </w:pPr>
            <w:r>
              <w:t xml:space="preserve">Testing Plan §2.3, §3; DevDesc §2.2</w:t>
            </w:r>
          </w:p>
        </w:tc>
      </w:tr>
      <w:tr>
        <w:tc>
          <w:tcPr/>
          <w:p>
            <w:pPr>
              <w:pStyle w:val="Compact"/>
              <w:jc w:val="left"/>
            </w:pPr>
            <w:r>
              <w:t xml:space="preserve">33</w:t>
            </w:r>
          </w:p>
        </w:tc>
        <w:tc>
          <w:tcPr/>
          <w:p>
            <w:pPr>
              <w:pStyle w:val="Compact"/>
              <w:jc w:val="left"/>
            </w:pPr>
            <w:r>
              <w:t xml:space="preserve">4</w:t>
            </w:r>
          </w:p>
        </w:tc>
        <w:tc>
          <w:tcPr/>
          <w:p>
            <w:pPr>
              <w:pStyle w:val="Compact"/>
              <w:jc w:val="left"/>
            </w:pPr>
            <w:r>
              <w:t xml:space="preserve">Hydrophilic coating inconsistently documented and untested</w:t>
            </w:r>
          </w:p>
        </w:tc>
        <w:tc>
          <w:tcPr/>
          <w:p>
            <w:pPr>
              <w:pStyle w:val="Compact"/>
              <w:jc w:val="left"/>
            </w:pPr>
            <w:r>
              <w:t xml:space="preserve">Testing Plan §2.3; DevDesc §2.2; IFU</w:t>
            </w:r>
          </w:p>
        </w:tc>
      </w:tr>
      <w:tr>
        <w:tc>
          <w:tcPr/>
          <w:p>
            <w:pPr>
              <w:pStyle w:val="Compact"/>
              <w:jc w:val="left"/>
            </w:pPr>
            <w:r>
              <w:t xml:space="preserve">34</w:t>
            </w:r>
          </w:p>
        </w:tc>
        <w:tc>
          <w:tcPr/>
          <w:p>
            <w:pPr>
              <w:pStyle w:val="Compact"/>
              <w:jc w:val="left"/>
            </w:pPr>
            <w:r>
              <w:t xml:space="preserve">4</w:t>
            </w:r>
          </w:p>
        </w:tc>
        <w:tc>
          <w:tcPr/>
          <w:p>
            <w:pPr>
              <w:pStyle w:val="Compact"/>
              <w:jc w:val="left"/>
            </w:pPr>
            <w:r>
              <w:t xml:space="preserve">Cybersecurity content omitted</w:t>
            </w:r>
          </w:p>
        </w:tc>
        <w:tc>
          <w:tcPr/>
          <w:p>
            <w:pPr>
              <w:pStyle w:val="Compact"/>
              <w:jc w:val="left"/>
            </w:pPr>
            <w:r>
              <w:t xml:space="preserve">Testing Plan §5; IFU §11</w:t>
            </w:r>
          </w:p>
        </w:tc>
      </w:tr>
      <w:tr>
        <w:tc>
          <w:tcPr/>
          <w:p>
            <w:pPr>
              <w:pStyle w:val="Compact"/>
              <w:jc w:val="left"/>
            </w:pPr>
            <w:r>
              <w:t xml:space="preserve">35</w:t>
            </w:r>
          </w:p>
        </w:tc>
        <w:tc>
          <w:tcPr/>
          <w:p>
            <w:pPr>
              <w:pStyle w:val="Compact"/>
              <w:jc w:val="left"/>
            </w:pPr>
            <w:r>
              <w:t xml:space="preserve">4</w:t>
            </w:r>
          </w:p>
        </w:tc>
        <w:tc>
          <w:tcPr/>
          <w:p>
            <w:pPr>
              <w:pStyle w:val="Compact"/>
              <w:jc w:val="left"/>
            </w:pPr>
            <w:r>
              <w:t xml:space="preserve">Clinical timeline contradicts</w:t>
            </w:r>
            <w:r>
              <w:t xml:space="preserve"> </w:t>
            </w:r>
            <w:r>
              <w:t xml:space="preserve">“</w:t>
            </w:r>
            <w:r>
              <w:t xml:space="preserve">data supports 510(k)</w:t>
            </w:r>
            <w:r>
              <w:t xml:space="preserve">”</w:t>
            </w:r>
            <w:r>
              <w:t xml:space="preserve"> </w:t>
            </w:r>
            <w:r>
              <w:t xml:space="preserve">(CSR Q4’26 vs. clearance 12/31/25)</w:t>
            </w:r>
          </w:p>
        </w:tc>
        <w:tc>
          <w:tcPr/>
          <w:p>
            <w:pPr>
              <w:pStyle w:val="Compact"/>
              <w:jc w:val="left"/>
            </w:pPr>
            <w:r>
              <w:t xml:space="preserve">ClinSyn §3, §15; Testing Plan §9.2</w:t>
            </w:r>
          </w:p>
        </w:tc>
      </w:tr>
      <w:tr>
        <w:tc>
          <w:tcPr/>
          <w:p>
            <w:pPr>
              <w:pStyle w:val="Compact"/>
              <w:jc w:val="left"/>
            </w:pPr>
            <w:r>
              <w:t xml:space="preserve">36</w:t>
            </w:r>
          </w:p>
        </w:tc>
        <w:tc>
          <w:tcPr/>
          <w:p>
            <w:pPr>
              <w:pStyle w:val="Compact"/>
              <w:jc w:val="left"/>
            </w:pPr>
            <w:r>
              <w:t xml:space="preserve">4</w:t>
            </w:r>
          </w:p>
        </w:tc>
        <w:tc>
          <w:tcPr/>
          <w:p>
            <w:pPr>
              <w:pStyle w:val="Compact"/>
              <w:jc w:val="left"/>
            </w:pPr>
            <w:r>
              <w:t xml:space="preserve">Braddock milestone at risk; Kendrick &amp; Hale not engaged</w:t>
            </w:r>
          </w:p>
        </w:tc>
        <w:tc>
          <w:tcPr/>
          <w:p>
            <w:pPr>
              <w:pStyle w:val="Compact"/>
              <w:jc w:val="left"/>
            </w:pPr>
            <w:r>
              <w:t xml:space="preserve">Testing Plan §9.2; email (Pressman 5/12; Fessenden 4/22)</w:t>
            </w:r>
          </w:p>
        </w:tc>
      </w:tr>
      <w:tr>
        <w:tc>
          <w:tcPr/>
          <w:p>
            <w:pPr>
              <w:pStyle w:val="Compact"/>
              <w:jc w:val="left"/>
            </w:pPr>
            <w:r>
              <w:t xml:space="preserve">37</w:t>
            </w:r>
          </w:p>
        </w:tc>
        <w:tc>
          <w:tcPr/>
          <w:p>
            <w:pPr>
              <w:pStyle w:val="Compact"/>
              <w:jc w:val="left"/>
            </w:pPr>
            <w:r>
              <w:t xml:space="preserve">4</w:t>
            </w:r>
          </w:p>
        </w:tc>
        <w:tc>
          <w:tcPr/>
          <w:p>
            <w:pPr>
              <w:pStyle w:val="Compact"/>
              <w:jc w:val="left"/>
            </w:pPr>
            <w:r>
              <w:t xml:space="preserve">70% performance goal unjustified; single-arm; clinical 50% vs. bench 80%</w:t>
            </w:r>
          </w:p>
        </w:tc>
        <w:tc>
          <w:tcPr/>
          <w:p>
            <w:pPr>
              <w:pStyle w:val="Compact"/>
              <w:jc w:val="left"/>
            </w:pPr>
            <w:r>
              <w:t xml:space="preserve">ClinSyn §9.1, §11.1; Testing Plan §7.2</w:t>
            </w:r>
          </w:p>
        </w:tc>
      </w:tr>
      <w:tr>
        <w:tc>
          <w:tcPr/>
          <w:p>
            <w:pPr>
              <w:pStyle w:val="Compact"/>
              <w:jc w:val="left"/>
            </w:pPr>
            <w:r>
              <w:t xml:space="preserve">38</w:t>
            </w:r>
          </w:p>
        </w:tc>
        <w:tc>
          <w:tcPr/>
          <w:p>
            <w:pPr>
              <w:pStyle w:val="Compact"/>
              <w:jc w:val="left"/>
            </w:pPr>
            <w:r>
              <w:t xml:space="preserve">4</w:t>
            </w:r>
          </w:p>
        </w:tc>
        <w:tc>
          <w:tcPr/>
          <w:p>
            <w:pPr>
              <w:pStyle w:val="Compact"/>
              <w:jc w:val="left"/>
            </w:pPr>
            <w:r>
              <w:t xml:space="preserve">Primary-endpoint timing ambiguous vs. 72-hour extended infusion</w:t>
            </w:r>
          </w:p>
        </w:tc>
        <w:tc>
          <w:tcPr/>
          <w:p>
            <w:pPr>
              <w:pStyle w:val="Compact"/>
              <w:jc w:val="left"/>
            </w:pPr>
            <w:r>
              <w:t xml:space="preserve">ClinSyn §8.2, §9.1, §10</w:t>
            </w:r>
          </w:p>
        </w:tc>
      </w:tr>
      <w:tr>
        <w:tc>
          <w:tcPr/>
          <w:p>
            <w:pPr>
              <w:pStyle w:val="Compact"/>
              <w:jc w:val="left"/>
            </w:pPr>
            <w:r>
              <w:t xml:space="preserve">39</w:t>
            </w:r>
          </w:p>
        </w:tc>
        <w:tc>
          <w:tcPr/>
          <w:p>
            <w:pPr>
              <w:pStyle w:val="Compact"/>
              <w:jc w:val="left"/>
            </w:pPr>
            <w:r>
              <w:t xml:space="preserve">4</w:t>
            </w:r>
          </w:p>
        </w:tc>
        <w:tc>
          <w:tcPr/>
          <w:p>
            <w:pPr>
              <w:pStyle w:val="Compact"/>
              <w:jc w:val="left"/>
            </w:pPr>
            <w:r>
              <w:t xml:space="preserve">No DSMB/CEC/independent blinded core lab</w:t>
            </w:r>
          </w:p>
        </w:tc>
        <w:tc>
          <w:tcPr/>
          <w:p>
            <w:pPr>
              <w:pStyle w:val="Compact"/>
              <w:jc w:val="left"/>
            </w:pPr>
            <w:r>
              <w:t xml:space="preserve">ClinSyn §9.1, §12, §16</w:t>
            </w:r>
          </w:p>
        </w:tc>
      </w:tr>
      <w:tr>
        <w:tc>
          <w:tcPr/>
          <w:p>
            <w:pPr>
              <w:pStyle w:val="Compact"/>
              <w:jc w:val="left"/>
            </w:pPr>
            <w:r>
              <w:t xml:space="preserve">40</w:t>
            </w:r>
          </w:p>
        </w:tc>
        <w:tc>
          <w:tcPr/>
          <w:p>
            <w:pPr>
              <w:pStyle w:val="Compact"/>
              <w:jc w:val="left"/>
            </w:pPr>
            <w:r>
              <w:t xml:space="preserve">4</w:t>
            </w:r>
          </w:p>
        </w:tc>
        <w:tc>
          <w:tcPr/>
          <w:p>
            <w:pPr>
              <w:pStyle w:val="Compact"/>
              <w:jc w:val="left"/>
            </w:pPr>
            <w:r>
              <w:t xml:space="preserve">tPA no max dose/stopping criteria; off-label alteplase not addressed</w:t>
            </w:r>
          </w:p>
        </w:tc>
        <w:tc>
          <w:tcPr/>
          <w:p>
            <w:pPr>
              <w:pStyle w:val="Compact"/>
              <w:jc w:val="left"/>
            </w:pPr>
            <w:r>
              <w:t xml:space="preserve">ClinSyn §8.2, §9.2, §9.3; IFU §8.4</w:t>
            </w:r>
          </w:p>
        </w:tc>
      </w:tr>
      <w:tr>
        <w:tc>
          <w:tcPr/>
          <w:p>
            <w:pPr>
              <w:pStyle w:val="Compact"/>
              <w:jc w:val="left"/>
            </w:pPr>
            <w:r>
              <w:t xml:space="preserve">41</w:t>
            </w:r>
          </w:p>
        </w:tc>
        <w:tc>
          <w:tcPr/>
          <w:p>
            <w:pPr>
              <w:pStyle w:val="Compact"/>
              <w:jc w:val="left"/>
            </w:pPr>
            <w:r>
              <w:t xml:space="preserve">4</w:t>
            </w:r>
          </w:p>
        </w:tc>
        <w:tc>
          <w:tcPr/>
          <w:p>
            <w:pPr>
              <w:pStyle w:val="Compact"/>
              <w:jc w:val="left"/>
            </w:pPr>
            <w:r>
              <w:t xml:space="preserve">30-day follow-up insufficient for stated PTS rationale</w:t>
            </w:r>
          </w:p>
        </w:tc>
        <w:tc>
          <w:tcPr/>
          <w:p>
            <w:pPr>
              <w:pStyle w:val="Compact"/>
              <w:jc w:val="left"/>
            </w:pPr>
            <w:r>
              <w:t xml:space="preserve">ClinSyn §3, §10</w:t>
            </w:r>
          </w:p>
        </w:tc>
      </w:tr>
      <w:tr>
        <w:tc>
          <w:tcPr/>
          <w:p>
            <w:pPr>
              <w:pStyle w:val="Compact"/>
              <w:jc w:val="left"/>
            </w:pPr>
            <w:r>
              <w:t xml:space="preserve">42</w:t>
            </w:r>
          </w:p>
        </w:tc>
        <w:tc>
          <w:tcPr/>
          <w:p>
            <w:pPr>
              <w:pStyle w:val="Compact"/>
              <w:jc w:val="left"/>
            </w:pPr>
            <w:r>
              <w:t xml:space="preserve">4</w:t>
            </w:r>
          </w:p>
        </w:tc>
        <w:tc>
          <w:tcPr/>
          <w:p>
            <w:pPr>
              <w:pStyle w:val="Compact"/>
              <w:jc w:val="left"/>
            </w:pPr>
            <w:r>
              <w:t xml:space="preserve">IFU names specific thrombolytics — tension with</w:t>
            </w:r>
            <w:r>
              <w:t xml:space="preserve"> </w:t>
            </w:r>
            <w:r>
              <w:t xml:space="preserve">“</w:t>
            </w:r>
            <w:r>
              <w:t xml:space="preserve">not combo product</w:t>
            </w:r>
            <w:r>
              <w:t xml:space="preserve">”</w:t>
            </w:r>
          </w:p>
        </w:tc>
        <w:tc>
          <w:tcPr/>
          <w:p>
            <w:pPr>
              <w:pStyle w:val="Compact"/>
              <w:jc w:val="left"/>
            </w:pPr>
            <w:r>
              <w:t xml:space="preserve">IFU §9; Cover Letter §IV; DevDesc §2.4</w:t>
            </w:r>
          </w:p>
        </w:tc>
      </w:tr>
      <w:tr>
        <w:tc>
          <w:tcPr/>
          <w:p>
            <w:pPr>
              <w:pStyle w:val="Compact"/>
              <w:jc w:val="left"/>
            </w:pPr>
            <w:r>
              <w:t xml:space="preserve">43</w:t>
            </w:r>
          </w:p>
        </w:tc>
        <w:tc>
          <w:tcPr/>
          <w:p>
            <w:pPr>
              <w:pStyle w:val="Compact"/>
              <w:jc w:val="left"/>
            </w:pPr>
            <w:r>
              <w:t xml:space="preserve">4</w:t>
            </w:r>
          </w:p>
        </w:tc>
        <w:tc>
          <w:tcPr/>
          <w:p>
            <w:pPr>
              <w:pStyle w:val="Compact"/>
              <w:jc w:val="left"/>
            </w:pPr>
            <w:r>
              <w:t xml:space="preserve">IFU no dosing/dilution guidance for indicated drug-delivery</w:t>
            </w:r>
          </w:p>
        </w:tc>
        <w:tc>
          <w:tcPr/>
          <w:p>
            <w:pPr>
              <w:pStyle w:val="Compact"/>
              <w:jc w:val="left"/>
            </w:pPr>
            <w:r>
              <w:t xml:space="preserve">IFU §9</w:t>
            </w:r>
          </w:p>
        </w:tc>
      </w:tr>
      <w:tr>
        <w:tc>
          <w:tcPr/>
          <w:p>
            <w:pPr>
              <w:pStyle w:val="Compact"/>
              <w:jc w:val="left"/>
            </w:pPr>
            <w:r>
              <w:t xml:space="preserve">44</w:t>
            </w:r>
          </w:p>
        </w:tc>
        <w:tc>
          <w:tcPr/>
          <w:p>
            <w:pPr>
              <w:pStyle w:val="Compact"/>
              <w:jc w:val="left"/>
            </w:pPr>
            <w:r>
              <w:t xml:space="preserve">4</w:t>
            </w:r>
          </w:p>
        </w:tc>
        <w:tc>
          <w:tcPr/>
          <w:p>
            <w:pPr>
              <w:pStyle w:val="Compact"/>
              <w:jc w:val="left"/>
            </w:pPr>
            <w:r>
              <w:t xml:space="preserve">Contraindications/exclusions cite non-device materials; omit nitinol/nickel</w:t>
            </w:r>
          </w:p>
        </w:tc>
        <w:tc>
          <w:tcPr/>
          <w:p>
            <w:pPr>
              <w:pStyle w:val="Compact"/>
              <w:jc w:val="left"/>
            </w:pPr>
            <w:r>
              <w:t xml:space="preserve">IFU §3; ClinSyn §7.3; Testing Plan §2.3</w:t>
            </w:r>
          </w:p>
        </w:tc>
      </w:tr>
      <w:tr>
        <w:tc>
          <w:tcPr/>
          <w:p>
            <w:pPr>
              <w:pStyle w:val="Compact"/>
              <w:jc w:val="left"/>
            </w:pPr>
            <w:r>
              <w:t xml:space="preserve">45</w:t>
            </w:r>
          </w:p>
        </w:tc>
        <w:tc>
          <w:tcPr/>
          <w:p>
            <w:pPr>
              <w:pStyle w:val="Compact"/>
              <w:jc w:val="left"/>
            </w:pPr>
            <w:r>
              <w:t xml:space="preserve">4</w:t>
            </w:r>
          </w:p>
        </w:tc>
        <w:tc>
          <w:tcPr/>
          <w:p>
            <w:pPr>
              <w:pStyle w:val="Compact"/>
              <w:jc w:val="left"/>
            </w:pPr>
            <w:r>
              <w:t xml:space="preserve">Inclusion age 18–75 vs. indication</w:t>
            </w:r>
            <w:r>
              <w:t xml:space="preserve"> </w:t>
            </w:r>
            <w:r>
              <w:t xml:space="preserve">“</w:t>
            </w:r>
            <w:r>
              <w:t xml:space="preserve">18+</w:t>
            </w:r>
            <w:r>
              <w:t xml:space="preserve">”</w:t>
            </w:r>
          </w:p>
        </w:tc>
        <w:tc>
          <w:tcPr/>
          <w:p>
            <w:pPr>
              <w:pStyle w:val="Compact"/>
              <w:jc w:val="left"/>
            </w:pPr>
            <w:r>
              <w:t xml:space="preserve">ClinSyn §7.2; IFU §2</w:t>
            </w:r>
          </w:p>
        </w:tc>
      </w:tr>
      <w:tr>
        <w:tc>
          <w:tcPr/>
          <w:p>
            <w:pPr>
              <w:pStyle w:val="Compact"/>
              <w:jc w:val="left"/>
            </w:pPr>
            <w:r>
              <w:t xml:space="preserve">46</w:t>
            </w:r>
          </w:p>
        </w:tc>
        <w:tc>
          <w:tcPr/>
          <w:p>
            <w:pPr>
              <w:pStyle w:val="Compact"/>
              <w:jc w:val="left"/>
            </w:pPr>
            <w:r>
              <w:t xml:space="preserve">4</w:t>
            </w:r>
          </w:p>
        </w:tc>
        <w:tc>
          <w:tcPr/>
          <w:p>
            <w:pPr>
              <w:pStyle w:val="Compact"/>
              <w:jc w:val="left"/>
            </w:pPr>
            <w:r>
              <w:t xml:space="preserve">No ISO 14155 / 21 CFR 54 / 21 CFR 812 compliance commitments</w:t>
            </w:r>
          </w:p>
        </w:tc>
        <w:tc>
          <w:tcPr/>
          <w:p>
            <w:pPr>
              <w:pStyle w:val="Compact"/>
              <w:jc w:val="left"/>
            </w:pPr>
            <w:r>
              <w:t xml:space="preserve">ClinSyn §6, §13, §14, §17</w:t>
            </w:r>
          </w:p>
        </w:tc>
      </w:tr>
      <w:tr>
        <w:tc>
          <w:tcPr/>
          <w:p>
            <w:pPr>
              <w:pStyle w:val="Compact"/>
              <w:jc w:val="left"/>
            </w:pPr>
            <w:r>
              <w:t xml:space="preserve">47</w:t>
            </w:r>
          </w:p>
        </w:tc>
        <w:tc>
          <w:tcPr/>
          <w:p>
            <w:pPr>
              <w:pStyle w:val="Compact"/>
              <w:jc w:val="left"/>
            </w:pPr>
            <w:r>
              <w:t xml:space="preserve">4</w:t>
            </w:r>
          </w:p>
        </w:tc>
        <w:tc>
          <w:tcPr/>
          <w:p>
            <w:pPr>
              <w:pStyle w:val="Compact"/>
              <w:jc w:val="left"/>
            </w:pPr>
            <w:r>
              <w:t xml:space="preserve">No comparative bench testing vs. predicate</w:t>
            </w:r>
          </w:p>
        </w:tc>
        <w:tc>
          <w:tcPr/>
          <w:p>
            <w:pPr>
              <w:pStyle w:val="Compact"/>
              <w:jc w:val="left"/>
            </w:pPr>
            <w:r>
              <w:t xml:space="preserve">Testing Plan §7; ThrombEx Summary §5.5</w:t>
            </w:r>
          </w:p>
        </w:tc>
      </w:tr>
      <w:tr>
        <w:tc>
          <w:tcPr/>
          <w:p>
            <w:pPr>
              <w:pStyle w:val="Compact"/>
              <w:jc w:val="left"/>
            </w:pPr>
            <w:r>
              <w:t xml:space="preserve">48</w:t>
            </w:r>
          </w:p>
        </w:tc>
        <w:tc>
          <w:tcPr/>
          <w:p>
            <w:pPr>
              <w:pStyle w:val="Compact"/>
              <w:jc w:val="left"/>
            </w:pPr>
            <w:r>
              <w:t xml:space="preserve">4</w:t>
            </w:r>
          </w:p>
        </w:tc>
        <w:tc>
          <w:tcPr/>
          <w:p>
            <w:pPr>
              <w:pStyle w:val="Compact"/>
              <w:jc w:val="left"/>
            </w:pPr>
            <w:r>
              <w:t xml:space="preserve">Particulate USP &lt;788&gt; criteria &amp; small sample sizes need justification</w:t>
            </w:r>
          </w:p>
        </w:tc>
        <w:tc>
          <w:tcPr/>
          <w:p>
            <w:pPr>
              <w:pStyle w:val="Compact"/>
              <w:jc w:val="left"/>
            </w:pPr>
            <w:r>
              <w:t xml:space="preserve">Testing Plan §3.3, §4.2, §3.2</w:t>
            </w:r>
          </w:p>
        </w:tc>
      </w:tr>
      <w:tr>
        <w:tc>
          <w:tcPr/>
          <w:p>
            <w:pPr>
              <w:pStyle w:val="Compact"/>
              <w:jc w:val="left"/>
            </w:pPr>
            <w:r>
              <w:t xml:space="preserve">49</w:t>
            </w:r>
          </w:p>
        </w:tc>
        <w:tc>
          <w:tcPr/>
          <w:p>
            <w:pPr>
              <w:pStyle w:val="Compact"/>
              <w:jc w:val="left"/>
            </w:pPr>
            <w:r>
              <w:t xml:space="preserve">4</w:t>
            </w:r>
          </w:p>
        </w:tc>
        <w:tc>
          <w:tcPr/>
          <w:p>
            <w:pPr>
              <w:pStyle w:val="Compact"/>
              <w:jc w:val="left"/>
            </w:pPr>
            <w:r>
              <w:t xml:space="preserve">Clinical-evidence scope (tPA only) vs. breadth of indicated/named agents</w:t>
            </w:r>
          </w:p>
        </w:tc>
        <w:tc>
          <w:tcPr/>
          <w:p>
            <w:pPr>
              <w:pStyle w:val="Compact"/>
              <w:jc w:val="left"/>
            </w:pPr>
            <w:r>
              <w:t xml:space="preserve">ClinSyn §4.1, §8.2; Cover Letter §IV; IFU §9</w:t>
            </w:r>
          </w:p>
        </w:tc>
      </w:tr>
      <w:tr>
        <w:tc>
          <w:tcPr/>
          <w:p>
            <w:pPr>
              <w:pStyle w:val="Compact"/>
              <w:jc w:val="left"/>
            </w:pPr>
            <w:r>
              <w:t xml:space="preserve">50</w:t>
            </w:r>
          </w:p>
        </w:tc>
        <w:tc>
          <w:tcPr/>
          <w:p>
            <w:pPr>
              <w:pStyle w:val="Compact"/>
              <w:jc w:val="left"/>
            </w:pPr>
            <w:r>
              <w:t xml:space="preserve">4</w:t>
            </w:r>
          </w:p>
        </w:tc>
        <w:tc>
          <w:tcPr/>
          <w:p>
            <w:pPr>
              <w:pStyle w:val="Compact"/>
              <w:jc w:val="left"/>
            </w:pPr>
            <w:r>
              <w:t xml:space="preserve">Primary-endpoint venographic scoring methodology undefined (</w:t>
            </w:r>
            <w:r>
              <w:t xml:space="preserve">“</w:t>
            </w:r>
            <w:r>
              <w:t xml:space="preserve">in development</w:t>
            </w:r>
            <w:r>
              <w:t xml:space="preserve">”</w:t>
            </w:r>
            <w:r>
              <w:t xml:space="preserve">)</w:t>
            </w:r>
          </w:p>
        </w:tc>
        <w:tc>
          <w:tcPr/>
          <w:p>
            <w:pPr>
              <w:pStyle w:val="Compact"/>
              <w:jc w:val="left"/>
            </w:pPr>
            <w:r>
              <w:t xml:space="preserve">ClinSyn §9.1, §18</w:t>
            </w:r>
          </w:p>
        </w:tc>
      </w:tr>
      <w:tr>
        <w:tc>
          <w:tcPr/>
          <w:p>
            <w:pPr>
              <w:pStyle w:val="Compact"/>
              <w:jc w:val="left"/>
            </w:pPr>
            <w:r>
              <w:t xml:space="preserve">51</w:t>
            </w:r>
          </w:p>
        </w:tc>
        <w:tc>
          <w:tcPr/>
          <w:p>
            <w:pPr>
              <w:pStyle w:val="Compact"/>
              <w:jc w:val="left"/>
            </w:pPr>
            <w:r>
              <w:t xml:space="preserve">4</w:t>
            </w:r>
          </w:p>
        </w:tc>
        <w:tc>
          <w:tcPr/>
          <w:p>
            <w:pPr>
              <w:pStyle w:val="Compact"/>
              <w:jc w:val="left"/>
            </w:pPr>
            <w:r>
              <w:t xml:space="preserve">Sample-size/power claim statistically questionable</w:t>
            </w:r>
          </w:p>
        </w:tc>
        <w:tc>
          <w:tcPr/>
          <w:p>
            <w:pPr>
              <w:pStyle w:val="Compact"/>
              <w:jc w:val="left"/>
            </w:pPr>
            <w:r>
              <w:t xml:space="preserve">ClinSyn §11.1</w:t>
            </w:r>
          </w:p>
        </w:tc>
      </w:tr>
      <w:tr>
        <w:tc>
          <w:tcPr/>
          <w:p>
            <w:pPr>
              <w:pStyle w:val="Compact"/>
              <w:jc w:val="left"/>
            </w:pPr>
            <w:r>
              <w:t xml:space="preserve">52</w:t>
            </w:r>
          </w:p>
        </w:tc>
        <w:tc>
          <w:tcPr/>
          <w:p>
            <w:pPr>
              <w:pStyle w:val="Compact"/>
              <w:jc w:val="left"/>
            </w:pPr>
            <w:r>
              <w:t xml:space="preserve">5</w:t>
            </w:r>
          </w:p>
        </w:tc>
        <w:tc>
          <w:tcPr/>
          <w:p>
            <w:pPr>
              <w:pStyle w:val="Compact"/>
              <w:jc w:val="left"/>
            </w:pPr>
            <w:r>
              <w:t xml:space="preserve">Console dimensions/weight inconsistent</w:t>
            </w:r>
          </w:p>
        </w:tc>
        <w:tc>
          <w:tcPr/>
          <w:p>
            <w:pPr>
              <w:pStyle w:val="Compact"/>
              <w:jc w:val="left"/>
            </w:pPr>
            <w:r>
              <w:t xml:space="preserve">DevDesc §2.3; IFU §13</w:t>
            </w:r>
          </w:p>
        </w:tc>
      </w:tr>
      <w:tr>
        <w:tc>
          <w:tcPr/>
          <w:p>
            <w:pPr>
              <w:pStyle w:val="Compact"/>
              <w:jc w:val="left"/>
            </w:pPr>
            <w:r>
              <w:t xml:space="preserve">53</w:t>
            </w:r>
          </w:p>
        </w:tc>
        <w:tc>
          <w:tcPr/>
          <w:p>
            <w:pPr>
              <w:pStyle w:val="Compact"/>
              <w:jc w:val="left"/>
            </w:pPr>
            <w:r>
              <w:t xml:space="preserve">5</w:t>
            </w:r>
          </w:p>
        </w:tc>
        <w:tc>
          <w:tcPr/>
          <w:p>
            <w:pPr>
              <w:pStyle w:val="Compact"/>
              <w:jc w:val="left"/>
            </w:pPr>
            <w:r>
              <w:t xml:space="preserve">Display touchscreen vs. LCD</w:t>
            </w:r>
          </w:p>
        </w:tc>
        <w:tc>
          <w:tcPr/>
          <w:p>
            <w:pPr>
              <w:pStyle w:val="Compact"/>
              <w:jc w:val="left"/>
            </w:pPr>
            <w:r>
              <w:t xml:space="preserve">DevDesc §2.3; Testing Plan §5.1; IFU §1, §13</w:t>
            </w:r>
          </w:p>
        </w:tc>
      </w:tr>
      <w:tr>
        <w:tc>
          <w:tcPr/>
          <w:p>
            <w:pPr>
              <w:pStyle w:val="Compact"/>
              <w:jc w:val="left"/>
            </w:pPr>
            <w:r>
              <w:t xml:space="preserve">54</w:t>
            </w:r>
          </w:p>
        </w:tc>
        <w:tc>
          <w:tcPr/>
          <w:p>
            <w:pPr>
              <w:pStyle w:val="Compact"/>
              <w:jc w:val="left"/>
            </w:pPr>
            <w:r>
              <w:t xml:space="preserve">5</w:t>
            </w:r>
          </w:p>
        </w:tc>
        <w:tc>
          <w:tcPr/>
          <w:p>
            <w:pPr>
              <w:pStyle w:val="Compact"/>
              <w:jc w:val="left"/>
            </w:pPr>
            <w:r>
              <w:t xml:space="preserve">Contact phone numbers inconsistent</w:t>
            </w:r>
          </w:p>
        </w:tc>
        <w:tc>
          <w:tcPr/>
          <w:p>
            <w:pPr>
              <w:pStyle w:val="Compact"/>
              <w:jc w:val="left"/>
            </w:pPr>
            <w:r>
              <w:t xml:space="preserve">Cover Letter; DevDesc; IFU §15</w:t>
            </w:r>
          </w:p>
        </w:tc>
      </w:tr>
      <w:tr>
        <w:tc>
          <w:tcPr/>
          <w:p>
            <w:pPr>
              <w:pStyle w:val="Compact"/>
              <w:jc w:val="left"/>
            </w:pPr>
            <w:r>
              <w:t xml:space="preserve">55</w:t>
            </w:r>
          </w:p>
        </w:tc>
        <w:tc>
          <w:tcPr/>
          <w:p>
            <w:pPr>
              <w:pStyle w:val="Compact"/>
              <w:jc w:val="left"/>
            </w:pPr>
            <w:r>
              <w:t xml:space="preserve">5</w:t>
            </w:r>
          </w:p>
        </w:tc>
        <w:tc>
          <w:tcPr/>
          <w:p>
            <w:pPr>
              <w:pStyle w:val="Compact"/>
              <w:jc w:val="left"/>
            </w:pPr>
            <w:r>
              <w:t xml:space="preserve">Cover letter dated internal deadline, not filing date</w:t>
            </w:r>
          </w:p>
        </w:tc>
        <w:tc>
          <w:tcPr/>
          <w:p>
            <w:pPr>
              <w:pStyle w:val="Compact"/>
              <w:jc w:val="left"/>
            </w:pPr>
            <w:r>
              <w:t xml:space="preserve">Cover Letter; email (Fessenden 4/22)</w:t>
            </w:r>
          </w:p>
        </w:tc>
      </w:tr>
      <w:tr>
        <w:tc>
          <w:tcPr/>
          <w:p>
            <w:pPr>
              <w:pStyle w:val="Compact"/>
              <w:jc w:val="left"/>
            </w:pPr>
            <w:r>
              <w:t xml:space="preserve">56</w:t>
            </w:r>
          </w:p>
        </w:tc>
        <w:tc>
          <w:tcPr/>
          <w:p>
            <w:pPr>
              <w:pStyle w:val="Compact"/>
              <w:jc w:val="left"/>
            </w:pPr>
            <w:r>
              <w:t xml:space="preserve">5</w:t>
            </w:r>
          </w:p>
        </w:tc>
        <w:tc>
          <w:tcPr/>
          <w:p>
            <w:pPr>
              <w:pStyle w:val="Compact"/>
              <w:jc w:val="left"/>
            </w:pPr>
            <w:r>
              <w:t xml:space="preserve">“</w:t>
            </w:r>
            <w:r>
              <w:t xml:space="preserve">Pre-Submission Type: Traditional 510(k) Pre-Submission</w:t>
            </w:r>
            <w:r>
              <w:t xml:space="preserve">”</w:t>
            </w:r>
            <w:r>
              <w:t xml:space="preserve"> </w:t>
            </w:r>
            <w:r>
              <w:t xml:space="preserve">mischaracterization</w:t>
            </w:r>
          </w:p>
        </w:tc>
        <w:tc>
          <w:tcPr/>
          <w:p>
            <w:pPr>
              <w:pStyle w:val="Compact"/>
              <w:jc w:val="left"/>
            </w:pPr>
            <w:r>
              <w:t xml:space="preserve">Cover Letter header</w:t>
            </w:r>
          </w:p>
        </w:tc>
      </w:tr>
      <w:tr>
        <w:tc>
          <w:tcPr/>
          <w:p>
            <w:pPr>
              <w:pStyle w:val="Compact"/>
              <w:jc w:val="left"/>
            </w:pPr>
            <w:r>
              <w:t xml:space="preserve">57</w:t>
            </w:r>
          </w:p>
        </w:tc>
        <w:tc>
          <w:tcPr/>
          <w:p>
            <w:pPr>
              <w:pStyle w:val="Compact"/>
              <w:jc w:val="left"/>
            </w:pPr>
            <w:r>
              <w:t xml:space="preserve">5</w:t>
            </w:r>
          </w:p>
        </w:tc>
        <w:tc>
          <w:tcPr/>
          <w:p>
            <w:pPr>
              <w:pStyle w:val="Compact"/>
              <w:jc w:val="left"/>
            </w:pPr>
            <w:r>
              <w:t xml:space="preserve">Prior 510(k) numbers only in clinical synopsis</w:t>
            </w:r>
          </w:p>
        </w:tc>
        <w:tc>
          <w:tcPr/>
          <w:p>
            <w:pPr>
              <w:pStyle w:val="Compact"/>
              <w:jc w:val="left"/>
            </w:pPr>
            <w:r>
              <w:t xml:space="preserve">Cover Letter §I; DevDesc §1; ClinSyn §3</w:t>
            </w:r>
          </w:p>
        </w:tc>
      </w:tr>
      <w:tr>
        <w:tc>
          <w:tcPr/>
          <w:p>
            <w:pPr>
              <w:pStyle w:val="Compact"/>
              <w:jc w:val="left"/>
            </w:pPr>
            <w:r>
              <w:t xml:space="preserve">58</w:t>
            </w:r>
          </w:p>
        </w:tc>
        <w:tc>
          <w:tcPr/>
          <w:p>
            <w:pPr>
              <w:pStyle w:val="Compact"/>
              <w:jc w:val="left"/>
            </w:pPr>
            <w:r>
              <w:t xml:space="preserve">5</w:t>
            </w:r>
          </w:p>
        </w:tc>
        <w:tc>
          <w:tcPr/>
          <w:p>
            <w:pPr>
              <w:pStyle w:val="Compact"/>
              <w:jc w:val="left"/>
            </w:pPr>
            <w:r>
              <w:t xml:space="preserve">Internal doc cross-references inconsistent (DOC_001…; skipped DOC_004)</w:t>
            </w:r>
          </w:p>
        </w:tc>
        <w:tc>
          <w:tcPr/>
          <w:p>
            <w:pPr>
              <w:pStyle w:val="Compact"/>
              <w:jc w:val="left"/>
            </w:pPr>
            <w:r>
              <w:t xml:space="preserve">Testing Plan §1; Cover Letter §V</w:t>
            </w:r>
          </w:p>
        </w:tc>
      </w:tr>
      <w:tr>
        <w:tc>
          <w:tcPr/>
          <w:p>
            <w:pPr>
              <w:pStyle w:val="Compact"/>
              <w:jc w:val="left"/>
            </w:pPr>
            <w:r>
              <w:t xml:space="preserve">59</w:t>
            </w:r>
          </w:p>
        </w:tc>
        <w:tc>
          <w:tcPr/>
          <w:p>
            <w:pPr>
              <w:pStyle w:val="Compact"/>
              <w:jc w:val="left"/>
            </w:pPr>
            <w:r>
              <w:t xml:space="preserve">5</w:t>
            </w:r>
          </w:p>
        </w:tc>
        <w:tc>
          <w:tcPr/>
          <w:p>
            <w:pPr>
              <w:pStyle w:val="Compact"/>
              <w:jc w:val="left"/>
            </w:pPr>
            <w:r>
              <w:t xml:space="preserve">Clinical synopsis cites bench data not yet existing</w:t>
            </w:r>
          </w:p>
        </w:tc>
        <w:tc>
          <w:tcPr/>
          <w:p>
            <w:pPr>
              <w:pStyle w:val="Compact"/>
              <w:jc w:val="left"/>
            </w:pPr>
            <w:r>
              <w:t xml:space="preserve">ClinSyn §17; Testing Plan §9.2</w:t>
            </w:r>
          </w:p>
        </w:tc>
      </w:tr>
      <w:tr>
        <w:tc>
          <w:tcPr/>
          <w:p>
            <w:pPr>
              <w:pStyle w:val="Compact"/>
              <w:jc w:val="left"/>
            </w:pPr>
            <w:r>
              <w:t xml:space="preserve">60</w:t>
            </w:r>
          </w:p>
        </w:tc>
        <w:tc>
          <w:tcPr/>
          <w:p>
            <w:pPr>
              <w:pStyle w:val="Compact"/>
              <w:jc w:val="left"/>
            </w:pPr>
            <w:r>
              <w:t xml:space="preserve">5</w:t>
            </w:r>
          </w:p>
        </w:tc>
        <w:tc>
          <w:tcPr/>
          <w:p>
            <w:pPr>
              <w:pStyle w:val="Compact"/>
              <w:jc w:val="left"/>
            </w:pPr>
            <w:r>
              <w:t xml:space="preserve">Pulmonary-vasculature exclusion in IFU not in device description</w:t>
            </w:r>
          </w:p>
        </w:tc>
        <w:tc>
          <w:tcPr/>
          <w:p>
            <w:pPr>
              <w:pStyle w:val="Compact"/>
              <w:jc w:val="left"/>
            </w:pPr>
            <w:r>
              <w:t xml:space="preserve">IFU §2; DevDesc §2.4</w:t>
            </w:r>
          </w:p>
        </w:tc>
      </w:tr>
      <w:tr>
        <w:tc>
          <w:tcPr/>
          <w:p>
            <w:pPr>
              <w:pStyle w:val="Compact"/>
              <w:jc w:val="left"/>
            </w:pPr>
            <w:r>
              <w:t xml:space="preserve">61</w:t>
            </w:r>
          </w:p>
        </w:tc>
        <w:tc>
          <w:tcPr/>
          <w:p>
            <w:pPr>
              <w:pStyle w:val="Compact"/>
              <w:jc w:val="left"/>
            </w:pPr>
            <w:r>
              <w:t xml:space="preserve">5</w:t>
            </w:r>
          </w:p>
        </w:tc>
        <w:tc>
          <w:tcPr/>
          <w:p>
            <w:pPr>
              <w:pStyle w:val="Compact"/>
              <w:jc w:val="left"/>
            </w:pPr>
            <w:r>
              <w:t xml:space="preserve">CDRH office naming should be confirmed (OHT2)</w:t>
            </w:r>
          </w:p>
        </w:tc>
        <w:tc>
          <w:tcPr/>
          <w:p>
            <w:pPr>
              <w:pStyle w:val="Compact"/>
              <w:jc w:val="left"/>
            </w:pPr>
            <w:r>
              <w:t xml:space="preserve">Cover Letter; ThrombEx Summary</w:t>
            </w:r>
          </w:p>
        </w:tc>
      </w:tr>
      <w:tr>
        <w:tc>
          <w:tcPr/>
          <w:p>
            <w:pPr>
              <w:pStyle w:val="Compact"/>
              <w:jc w:val="left"/>
            </w:pPr>
            <w:r>
              <w:t xml:space="preserve">62</w:t>
            </w:r>
          </w:p>
        </w:tc>
        <w:tc>
          <w:tcPr/>
          <w:p>
            <w:pPr>
              <w:pStyle w:val="Compact"/>
              <w:jc w:val="left"/>
            </w:pPr>
            <w:r>
              <w:t xml:space="preserve">5</w:t>
            </w:r>
          </w:p>
        </w:tc>
        <w:tc>
          <w:tcPr/>
          <w:p>
            <w:pPr>
              <w:pStyle w:val="Compact"/>
              <w:jc w:val="left"/>
            </w:pPr>
            <w:r>
              <w:t xml:space="preserve">SE framed as definitive conclusion, not proposal</w:t>
            </w:r>
          </w:p>
        </w:tc>
        <w:tc>
          <w:tcPr/>
          <w:p>
            <w:pPr>
              <w:pStyle w:val="Compact"/>
              <w:jc w:val="left"/>
            </w:pPr>
            <w:r>
              <w:t xml:space="preserve">Cover Letter §VII; DevDesc §5.3</w:t>
            </w:r>
          </w:p>
        </w:tc>
      </w:tr>
      <w:tr>
        <w:tc>
          <w:tcPr/>
          <w:p>
            <w:pPr>
              <w:pStyle w:val="Compact"/>
              <w:jc w:val="left"/>
            </w:pPr>
            <w:r>
              <w:t xml:space="preserve">63</w:t>
            </w:r>
          </w:p>
        </w:tc>
        <w:tc>
          <w:tcPr/>
          <w:p>
            <w:pPr>
              <w:pStyle w:val="Compact"/>
              <w:jc w:val="left"/>
            </w:pPr>
            <w:r>
              <w:t xml:space="preserve">5</w:t>
            </w:r>
          </w:p>
        </w:tc>
        <w:tc>
          <w:tcPr/>
          <w:p>
            <w:pPr>
              <w:pStyle w:val="Compact"/>
              <w:jc w:val="left"/>
            </w:pPr>
            <w:r>
              <w:t xml:space="preserve">Testing budget likely understated</w:t>
            </w:r>
          </w:p>
        </w:tc>
        <w:tc>
          <w:tcPr/>
          <w:p>
            <w:pPr>
              <w:pStyle w:val="Compact"/>
              <w:jc w:val="left"/>
            </w:pPr>
            <w:r>
              <w:t xml:space="preserve">Testing Plan §9.1</w:t>
            </w:r>
          </w:p>
        </w:tc>
      </w:tr>
      <w:tr>
        <w:tc>
          <w:tcPr/>
          <w:p>
            <w:pPr>
              <w:pStyle w:val="Compact"/>
              <w:jc w:val="left"/>
            </w:pPr>
            <w:r>
              <w:t xml:space="preserve">64</w:t>
            </w:r>
          </w:p>
        </w:tc>
        <w:tc>
          <w:tcPr/>
          <w:p>
            <w:pPr>
              <w:pStyle w:val="Compact"/>
              <w:jc w:val="left"/>
            </w:pPr>
            <w:r>
              <w:t xml:space="preserve">5</w:t>
            </w:r>
          </w:p>
        </w:tc>
        <w:tc>
          <w:tcPr/>
          <w:p>
            <w:pPr>
              <w:pStyle w:val="Compact"/>
              <w:jc w:val="left"/>
            </w:pPr>
            <w:r>
              <w:t xml:space="preserve">Aspiration 450 mL/min vs. 500 mL canister</w:t>
            </w:r>
          </w:p>
        </w:tc>
        <w:tc>
          <w:tcPr/>
          <w:p>
            <w:pPr>
              <w:pStyle w:val="Compact"/>
              <w:jc w:val="left"/>
            </w:pPr>
            <w:r>
              <w:t xml:space="preserve">Testing Plan §3.3; IFU §7</w:t>
            </w:r>
          </w:p>
        </w:tc>
      </w:tr>
      <w:tr>
        <w:tc>
          <w:tcPr/>
          <w:p>
            <w:pPr>
              <w:pStyle w:val="Compact"/>
              <w:jc w:val="left"/>
            </w:pPr>
            <w:r>
              <w:t xml:space="preserve">65</w:t>
            </w:r>
          </w:p>
        </w:tc>
        <w:tc>
          <w:tcPr/>
          <w:p>
            <w:pPr>
              <w:pStyle w:val="Compact"/>
              <w:jc w:val="left"/>
            </w:pPr>
            <w:r>
              <w:t xml:space="preserve">5</w:t>
            </w:r>
          </w:p>
        </w:tc>
        <w:tc>
          <w:tcPr/>
          <w:p>
            <w:pPr>
              <w:pStyle w:val="Compact"/>
              <w:jc w:val="left"/>
            </w:pPr>
            <w:r>
              <w:t xml:space="preserve">Console service-life claim unsupported;</w:t>
            </w:r>
            <w:r>
              <w:t xml:space="preserve"> </w:t>
            </w:r>
            <w:r>
              <w:t xml:space="preserve">“</w:t>
            </w:r>
            <w:r>
              <w:t xml:space="preserve">500</w:t>
            </w:r>
            <w:r>
              <w:t xml:space="preserve">”</w:t>
            </w:r>
            <w:r>
              <w:t xml:space="preserve"> </w:t>
            </w:r>
            <w:r>
              <w:t xml:space="preserve">confusion</w:t>
            </w:r>
          </w:p>
        </w:tc>
        <w:tc>
          <w:tcPr/>
          <w:p>
            <w:pPr>
              <w:pStyle w:val="Compact"/>
              <w:jc w:val="left"/>
            </w:pPr>
            <w:r>
              <w:t xml:space="preserve">IFU §11, §13</w:t>
            </w:r>
          </w:p>
        </w:tc>
      </w:tr>
      <w:tr>
        <w:tc>
          <w:tcPr/>
          <w:p>
            <w:pPr>
              <w:pStyle w:val="Compact"/>
              <w:jc w:val="left"/>
            </w:pPr>
            <w:r>
              <w:t xml:space="preserve">66</w:t>
            </w:r>
          </w:p>
        </w:tc>
        <w:tc>
          <w:tcPr/>
          <w:p>
            <w:pPr>
              <w:pStyle w:val="Compact"/>
              <w:jc w:val="left"/>
            </w:pPr>
            <w:r>
              <w:t xml:space="preserve">5</w:t>
            </w:r>
          </w:p>
        </w:tc>
        <w:tc>
          <w:tcPr/>
          <w:p>
            <w:pPr>
              <w:pStyle w:val="Compact"/>
              <w:jc w:val="left"/>
            </w:pPr>
            <w:r>
              <w:t xml:space="preserve">Pinnacle Standards Testing location inconsistent (Pittsburgh PA vs. Austin TX)</w:t>
            </w:r>
          </w:p>
        </w:tc>
        <w:tc>
          <w:tcPr/>
          <w:p>
            <w:pPr>
              <w:pStyle w:val="Compact"/>
              <w:jc w:val="left"/>
            </w:pPr>
            <w:r>
              <w:t xml:space="preserve">DevDesc §2.2; Testing Plan App. B</w:t>
            </w:r>
          </w:p>
        </w:tc>
      </w:tr>
      <w:tr>
        <w:tc>
          <w:tcPr/>
          <w:p>
            <w:pPr>
              <w:pStyle w:val="Compact"/>
              <w:jc w:val="left"/>
            </w:pPr>
            <w:r>
              <w:t xml:space="preserve">67</w:t>
            </w:r>
          </w:p>
        </w:tc>
        <w:tc>
          <w:tcPr/>
          <w:p>
            <w:pPr>
              <w:pStyle w:val="Compact"/>
              <w:jc w:val="left"/>
            </w:pPr>
            <w:r>
              <w:t xml:space="preserve">5</w:t>
            </w:r>
          </w:p>
        </w:tc>
        <w:tc>
          <w:tcPr/>
          <w:p>
            <w:pPr>
              <w:pStyle w:val="Compact"/>
              <w:jc w:val="left"/>
            </w:pPr>
            <w:r>
              <w:t xml:space="preserve">Pediatric exclusion explicit in devdesc, only implied in IFU</w:t>
            </w:r>
          </w:p>
        </w:tc>
        <w:tc>
          <w:tcPr/>
          <w:p>
            <w:pPr>
              <w:pStyle w:val="Compact"/>
              <w:jc w:val="left"/>
            </w:pPr>
            <w:r>
              <w:t xml:space="preserve">DevDesc §2.4; IFU §2</w:t>
            </w:r>
          </w:p>
        </w:tc>
      </w:tr>
      <w:tr>
        <w:tc>
          <w:tcPr/>
          <w:p>
            <w:pPr>
              <w:pStyle w:val="Compact"/>
              <w:jc w:val="left"/>
            </w:pPr>
            <w:r>
              <w:t xml:space="preserve">68</w:t>
            </w:r>
          </w:p>
        </w:tc>
        <w:tc>
          <w:tcPr/>
          <w:p>
            <w:pPr>
              <w:pStyle w:val="Compact"/>
              <w:jc w:val="left"/>
            </w:pPr>
            <w:r>
              <w:t xml:space="preserve">5</w:t>
            </w:r>
          </w:p>
        </w:tc>
        <w:tc>
          <w:tcPr/>
          <w:p>
            <w:pPr>
              <w:pStyle w:val="Compact"/>
              <w:jc w:val="left"/>
            </w:pPr>
            <w:r>
              <w:t xml:space="preserve">Device description figures are placeholders (</w:t>
            </w:r>
            <w:r>
              <w:t xml:space="preserve">“</w:t>
            </w:r>
            <w:r>
              <w:t xml:space="preserve">to be inserted</w:t>
            </w:r>
            <w:r>
              <w:t xml:space="preserve">”</w:t>
            </w:r>
            <w:r>
              <w:t xml:space="preserve">)</w:t>
            </w:r>
          </w:p>
        </w:tc>
        <w:tc>
          <w:tcPr/>
          <w:p>
            <w:pPr>
              <w:pStyle w:val="Compact"/>
              <w:jc w:val="left"/>
            </w:pPr>
            <w:r>
              <w:t xml:space="preserve">DevDesc App. A</w:t>
            </w:r>
          </w:p>
        </w:tc>
      </w:tr>
    </w:tbl>
    <w:p>
      <w:r>
        <w:pict>
          <v:rect style="width:0;height:1.5pt" o:hralign="center" o:hrstd="t" o:hr="t"/>
        </w:pict>
      </w:r>
    </w:p>
    <w:p>
      <w:pPr>
        <w:pStyle w:val="FirstParagraph"/>
      </w:pPr>
      <w:r>
        <w:rPr>
          <w:i/>
          <w:iCs/>
        </w:rPr>
        <w:t xml:space="preserve">End of Memorandum.</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2026-06-27T01:50:52Z</dcterms:created>
  <dcterms:modified xsi:type="dcterms:W3CDTF">2026-06-27T01:50:52Z</dcterms:modified>
</cp:coreProperties>
</file>

<file path=docProps/custom.xml><?xml version="1.0" encoding="utf-8"?>
<Properties xmlns="http://schemas.openxmlformats.org/officeDocument/2006/custom-properties" xmlns:vt="http://schemas.openxmlformats.org/officeDocument/2006/docPropsVTypes"/>
</file>